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70CA7" w14:textId="47ACDD60" w:rsidR="00BE4FAA" w:rsidRDefault="004D6C06" w:rsidP="00BE4FAA">
      <w:pPr>
        <w:spacing w:after="0" w:line="240" w:lineRule="auto"/>
        <w:rPr>
          <w:rFonts w:ascii="Sabon Next LT" w:hAnsi="Sabon Next LT" w:cs="Sabon Next LT"/>
          <w:b/>
          <w:bCs/>
          <w:sz w:val="52"/>
          <w:szCs w:val="52"/>
          <w:lang w:val="en-GB"/>
        </w:rPr>
      </w:pPr>
      <w:r w:rsidRPr="009D040E">
        <w:rPr>
          <w:rFonts w:ascii="Sabon Next LT" w:hAnsi="Sabon Next LT" w:cs="Sabon Next LT"/>
          <w:b/>
          <w:bCs/>
          <w:sz w:val="52"/>
          <w:szCs w:val="52"/>
          <w:lang w:val="en-GB"/>
        </w:rPr>
        <w:t>Add</w:t>
      </w:r>
      <w:r w:rsidR="00FD4E8B" w:rsidRPr="009D040E">
        <w:rPr>
          <w:rFonts w:ascii="Sabon Next LT" w:hAnsi="Sabon Next LT" w:cs="Sabon Next LT"/>
          <w:b/>
          <w:bCs/>
          <w:sz w:val="52"/>
          <w:szCs w:val="52"/>
          <w:lang w:val="en-GB"/>
        </w:rPr>
        <w:t>endum to</w:t>
      </w:r>
      <w:r w:rsidRPr="009D040E">
        <w:rPr>
          <w:rFonts w:ascii="Sabon Next LT" w:hAnsi="Sabon Next LT" w:cs="Sabon Next LT"/>
          <w:b/>
          <w:bCs/>
          <w:sz w:val="52"/>
          <w:szCs w:val="52"/>
          <w:lang w:val="en-GB"/>
        </w:rPr>
        <w:t xml:space="preserve"> Chapter 3</w:t>
      </w:r>
    </w:p>
    <w:p w14:paraId="02FE922C" w14:textId="03E861A8" w:rsidR="004D6C06" w:rsidRPr="009D040E" w:rsidRDefault="009D040E" w:rsidP="00BE4FAA">
      <w:pPr>
        <w:spacing w:after="0" w:line="240" w:lineRule="auto"/>
        <w:rPr>
          <w:rFonts w:ascii="Sabon Next LT" w:hAnsi="Sabon Next LT" w:cs="Sabon Next LT"/>
          <w:b/>
          <w:bCs/>
          <w:sz w:val="52"/>
          <w:szCs w:val="52"/>
          <w:lang w:val="en-GB"/>
        </w:rPr>
      </w:pPr>
      <w:r w:rsidRPr="000972E8">
        <w:rPr>
          <w:rFonts w:ascii="Sabon Next LT" w:hAnsi="Sabon Next LT" w:cs="Sabon Next LT"/>
          <w:b/>
          <w:bCs/>
          <w:i/>
          <w:sz w:val="52"/>
          <w:szCs w:val="52"/>
          <w:lang w:val="en-GB"/>
        </w:rPr>
        <w:t>Life</w:t>
      </w:r>
      <w:r w:rsidR="006E6C6F" w:rsidRPr="000972E8">
        <w:rPr>
          <w:rFonts w:ascii="Sabon Next LT" w:hAnsi="Sabon Next LT" w:cs="Sabon Next LT"/>
          <w:b/>
          <w:bCs/>
          <w:i/>
          <w:sz w:val="52"/>
          <w:szCs w:val="52"/>
          <w:lang w:val="en-GB"/>
        </w:rPr>
        <w:t xml:space="preserve"> </w:t>
      </w:r>
      <w:r w:rsidRPr="000972E8">
        <w:rPr>
          <w:rFonts w:ascii="Sabon Next LT" w:hAnsi="Sabon Next LT" w:cs="Sabon Next LT"/>
          <w:b/>
          <w:bCs/>
          <w:i/>
          <w:sz w:val="52"/>
          <w:szCs w:val="52"/>
          <w:lang w:val="en-GB"/>
        </w:rPr>
        <w:t>expectancy stagnation</w:t>
      </w:r>
      <w:r w:rsidR="006E6C6F" w:rsidRPr="000972E8">
        <w:rPr>
          <w:rFonts w:ascii="Sabon Next LT" w:hAnsi="Sabon Next LT" w:cs="Sabon Next LT"/>
          <w:b/>
          <w:bCs/>
          <w:i/>
          <w:sz w:val="52"/>
          <w:szCs w:val="52"/>
          <w:lang w:val="en-GB"/>
        </w:rPr>
        <w:t xml:space="preserve"> </w:t>
      </w:r>
      <w:r w:rsidRPr="000972E8">
        <w:rPr>
          <w:rFonts w:ascii="Sabon Next LT" w:hAnsi="Sabon Next LT" w:cs="Sabon Next LT"/>
          <w:b/>
          <w:bCs/>
          <w:i/>
          <w:sz w:val="52"/>
          <w:szCs w:val="52"/>
          <w:lang w:val="en-GB"/>
        </w:rPr>
        <w:t>and</w:t>
      </w:r>
      <w:r w:rsidR="000972E8">
        <w:rPr>
          <w:rFonts w:ascii="Sabon Next LT" w:hAnsi="Sabon Next LT" w:cs="Sabon Next LT"/>
          <w:b/>
          <w:bCs/>
          <w:i/>
          <w:sz w:val="52"/>
          <w:szCs w:val="52"/>
          <w:lang w:val="en-GB"/>
        </w:rPr>
        <w:t xml:space="preserve"> </w:t>
      </w:r>
      <w:r w:rsidRPr="000972E8">
        <w:rPr>
          <w:rFonts w:ascii="Sabon Next LT" w:hAnsi="Sabon Next LT" w:cs="Sabon Next LT"/>
          <w:b/>
          <w:bCs/>
          <w:i/>
          <w:sz w:val="52"/>
          <w:szCs w:val="52"/>
          <w:lang w:val="en-GB"/>
        </w:rPr>
        <w:t xml:space="preserve">divergence </w:t>
      </w:r>
      <w:r w:rsidR="006E6C6F" w:rsidRPr="000972E8">
        <w:rPr>
          <w:rFonts w:ascii="Sabon Next LT" w:hAnsi="Sabon Next LT" w:cs="Sabon Next LT"/>
          <w:b/>
          <w:bCs/>
          <w:i/>
          <w:sz w:val="52"/>
          <w:szCs w:val="52"/>
          <w:lang w:val="en-GB"/>
        </w:rPr>
        <w:t xml:space="preserve">in the USA and the UK </w:t>
      </w:r>
      <w:r w:rsidRPr="000972E8">
        <w:rPr>
          <w:rFonts w:ascii="Sabon Next LT" w:hAnsi="Sabon Next LT" w:cs="Sabon Next LT"/>
          <w:b/>
          <w:bCs/>
          <w:i/>
          <w:sz w:val="52"/>
          <w:szCs w:val="52"/>
          <w:lang w:val="en-GB"/>
        </w:rPr>
        <w:t>before and during the COVID-19 pandemic</w:t>
      </w:r>
      <w:r>
        <w:rPr>
          <w:rFonts w:ascii="Sabon Next LT" w:hAnsi="Sabon Next LT" w:cs="Sabon Next LT"/>
          <w:b/>
          <w:bCs/>
          <w:sz w:val="52"/>
          <w:szCs w:val="52"/>
          <w:lang w:val="en-GB"/>
        </w:rPr>
        <w:t xml:space="preserve"> </w:t>
      </w:r>
    </w:p>
    <w:p w14:paraId="0370DDE7" w14:textId="77777777" w:rsidR="00FE2DCD" w:rsidRDefault="00FE2DCD" w:rsidP="00FE2DCD">
      <w:pPr>
        <w:spacing w:after="0" w:line="480" w:lineRule="auto"/>
        <w:jc w:val="both"/>
        <w:rPr>
          <w:rFonts w:ascii="Times New Roman" w:hAnsi="Times New Roman" w:cs="Times New Roman"/>
          <w:b/>
          <w:bCs/>
          <w:lang w:val="en-GB"/>
        </w:rPr>
      </w:pPr>
    </w:p>
    <w:p w14:paraId="1BFD8EEF" w14:textId="43E96521" w:rsidR="00FE2DCD" w:rsidRPr="0056300E" w:rsidRDefault="00FE2DCD" w:rsidP="00FE2DCD">
      <w:pPr>
        <w:spacing w:after="0" w:line="480" w:lineRule="auto"/>
        <w:jc w:val="both"/>
        <w:rPr>
          <w:rFonts w:ascii="Times New Roman" w:hAnsi="Times New Roman" w:cs="Times New Roman"/>
          <w:b/>
          <w:bCs/>
          <w:lang w:val="en-GB"/>
        </w:rPr>
      </w:pPr>
      <w:r w:rsidRPr="0056300E">
        <w:rPr>
          <w:rFonts w:ascii="Times New Roman" w:hAnsi="Times New Roman" w:cs="Times New Roman"/>
          <w:b/>
          <w:bCs/>
          <w:lang w:val="en-GB"/>
        </w:rPr>
        <w:t>Chapter word count:</w:t>
      </w:r>
      <w:r>
        <w:rPr>
          <w:rFonts w:ascii="Times New Roman" w:hAnsi="Times New Roman" w:cs="Times New Roman"/>
          <w:b/>
          <w:bCs/>
          <w:lang w:val="en-GB"/>
        </w:rPr>
        <w:t xml:space="preserve"> </w:t>
      </w:r>
      <w:r w:rsidR="008F067C">
        <w:rPr>
          <w:rFonts w:ascii="Times New Roman" w:hAnsi="Times New Roman" w:cs="Times New Roman"/>
          <w:b/>
          <w:bCs/>
          <w:lang w:val="en-GB"/>
        </w:rPr>
        <w:t>3,0</w:t>
      </w:r>
      <w:r w:rsidR="00E2651E">
        <w:rPr>
          <w:rFonts w:ascii="Times New Roman" w:hAnsi="Times New Roman" w:cs="Times New Roman"/>
          <w:b/>
          <w:bCs/>
          <w:lang w:val="en-GB"/>
        </w:rPr>
        <w:t>31</w:t>
      </w:r>
    </w:p>
    <w:p w14:paraId="658DBBAF" w14:textId="77777777" w:rsidR="0034744E" w:rsidRDefault="0034744E" w:rsidP="00733774">
      <w:pPr>
        <w:spacing w:after="0" w:line="480" w:lineRule="auto"/>
        <w:jc w:val="both"/>
        <w:rPr>
          <w:rFonts w:ascii="Times New Roman" w:hAnsi="Times New Roman" w:cs="Times New Roman"/>
          <w:lang w:val="en-GB"/>
        </w:rPr>
      </w:pPr>
    </w:p>
    <w:p w14:paraId="5C4DA5C8" w14:textId="6000A336" w:rsidR="00FE2DCD" w:rsidRPr="00DA578F" w:rsidRDefault="00DA578F" w:rsidP="00733774">
      <w:pPr>
        <w:spacing w:after="0" w:line="480" w:lineRule="auto"/>
        <w:jc w:val="both"/>
        <w:rPr>
          <w:rFonts w:ascii="Times New Roman" w:hAnsi="Times New Roman" w:cs="Times New Roman"/>
          <w:b/>
          <w:lang w:val="en-GB"/>
        </w:rPr>
      </w:pPr>
      <w:r w:rsidRPr="00DA578F">
        <w:rPr>
          <w:rFonts w:ascii="Times New Roman" w:hAnsi="Times New Roman" w:cs="Times New Roman"/>
          <w:b/>
          <w:lang w:val="en-GB"/>
        </w:rPr>
        <w:t>3</w:t>
      </w:r>
      <w:r w:rsidR="00C47056">
        <w:rPr>
          <w:rFonts w:ascii="Times New Roman" w:hAnsi="Times New Roman" w:cs="Times New Roman"/>
          <w:b/>
          <w:lang w:val="en-GB"/>
        </w:rPr>
        <w:t>-</w:t>
      </w:r>
      <w:r w:rsidRPr="00DA578F">
        <w:rPr>
          <w:rFonts w:ascii="Times New Roman" w:hAnsi="Times New Roman" w:cs="Times New Roman"/>
          <w:b/>
          <w:lang w:val="en-GB"/>
        </w:rPr>
        <w:t xml:space="preserve">add.1. </w:t>
      </w:r>
      <w:r w:rsidR="00D46F52" w:rsidRPr="00DA578F">
        <w:rPr>
          <w:rFonts w:ascii="Times New Roman" w:hAnsi="Times New Roman" w:cs="Times New Roman"/>
          <w:b/>
          <w:lang w:val="en-GB"/>
        </w:rPr>
        <w:t>Life expectancy stagnation</w:t>
      </w:r>
      <w:r w:rsidRPr="00DA578F">
        <w:rPr>
          <w:rFonts w:ascii="Times New Roman" w:hAnsi="Times New Roman" w:cs="Times New Roman"/>
          <w:b/>
          <w:lang w:val="en-GB"/>
        </w:rPr>
        <w:t xml:space="preserve"> during the COVID-19 pandemic</w:t>
      </w:r>
    </w:p>
    <w:p w14:paraId="1C0BFD46" w14:textId="12794D64" w:rsidR="007222FD" w:rsidRDefault="00A864BA" w:rsidP="00733774">
      <w:pPr>
        <w:spacing w:after="0" w:line="480" w:lineRule="auto"/>
        <w:jc w:val="both"/>
        <w:rPr>
          <w:rFonts w:ascii="Times New Roman" w:hAnsi="Times New Roman" w:cs="Times New Roman"/>
          <w:lang w:val="en-GB"/>
        </w:rPr>
      </w:pPr>
      <w:r>
        <w:rPr>
          <w:rFonts w:ascii="Times New Roman" w:hAnsi="Times New Roman" w:cs="Times New Roman"/>
          <w:lang w:val="en-GB"/>
        </w:rPr>
        <w:t xml:space="preserve">Before this </w:t>
      </w:r>
      <w:r w:rsidR="0041446C">
        <w:rPr>
          <w:rFonts w:ascii="Times New Roman" w:hAnsi="Times New Roman" w:cs="Times New Roman"/>
          <w:lang w:val="en-GB"/>
        </w:rPr>
        <w:t>dissertation</w:t>
      </w:r>
      <w:r>
        <w:rPr>
          <w:rFonts w:ascii="Times New Roman" w:hAnsi="Times New Roman" w:cs="Times New Roman"/>
          <w:lang w:val="en-GB"/>
        </w:rPr>
        <w:t xml:space="preserve">, </w:t>
      </w:r>
      <w:r w:rsidR="0041446C">
        <w:rPr>
          <w:rFonts w:ascii="Times New Roman" w:hAnsi="Times New Roman" w:cs="Times New Roman"/>
          <w:lang w:val="en-GB"/>
        </w:rPr>
        <w:t>it was not known how different causes of death contributed to life expectancy changes during the COVID-19 pandemic, and how th</w:t>
      </w:r>
      <w:r w:rsidR="00C35DC8">
        <w:rPr>
          <w:rFonts w:ascii="Times New Roman" w:hAnsi="Times New Roman" w:cs="Times New Roman"/>
          <w:lang w:val="en-GB"/>
        </w:rPr>
        <w:t>ese contributions</w:t>
      </w:r>
      <w:r w:rsidR="0041446C">
        <w:rPr>
          <w:rFonts w:ascii="Times New Roman" w:hAnsi="Times New Roman" w:cs="Times New Roman"/>
          <w:lang w:val="en-GB"/>
        </w:rPr>
        <w:t xml:space="preserve"> </w:t>
      </w:r>
      <w:r w:rsidR="00C35DC8">
        <w:rPr>
          <w:rFonts w:ascii="Times New Roman" w:hAnsi="Times New Roman" w:cs="Times New Roman"/>
          <w:lang w:val="en-GB"/>
        </w:rPr>
        <w:t xml:space="preserve">differed across countries. </w:t>
      </w:r>
      <w:r w:rsidR="00F87311">
        <w:rPr>
          <w:rFonts w:ascii="Times New Roman" w:hAnsi="Times New Roman" w:cs="Times New Roman"/>
          <w:lang w:val="en-GB"/>
        </w:rPr>
        <w:t>The analysis in Chapter 3 therefore establish</w:t>
      </w:r>
      <w:r w:rsidR="007222FD">
        <w:rPr>
          <w:rFonts w:ascii="Times New Roman" w:hAnsi="Times New Roman" w:cs="Times New Roman"/>
          <w:lang w:val="en-GB"/>
        </w:rPr>
        <w:t>ed</w:t>
      </w:r>
      <w:r w:rsidR="00F87311">
        <w:rPr>
          <w:rFonts w:ascii="Times New Roman" w:hAnsi="Times New Roman" w:cs="Times New Roman"/>
          <w:lang w:val="en-GB"/>
        </w:rPr>
        <w:t xml:space="preserve"> the fact base from which </w:t>
      </w:r>
      <w:r w:rsidR="00E72B02">
        <w:rPr>
          <w:rFonts w:ascii="Times New Roman" w:hAnsi="Times New Roman" w:cs="Times New Roman"/>
          <w:lang w:val="en-GB"/>
        </w:rPr>
        <w:t>I</w:t>
      </w:r>
      <w:r w:rsidR="00733774">
        <w:rPr>
          <w:rFonts w:ascii="Times New Roman" w:hAnsi="Times New Roman" w:cs="Times New Roman"/>
          <w:lang w:val="en-GB"/>
        </w:rPr>
        <w:t xml:space="preserve"> </w:t>
      </w:r>
      <w:r w:rsidR="00E034EB">
        <w:rPr>
          <w:rFonts w:ascii="Times New Roman" w:hAnsi="Times New Roman" w:cs="Times New Roman"/>
          <w:lang w:val="en-GB"/>
        </w:rPr>
        <w:t>am able to</w:t>
      </w:r>
      <w:r w:rsidR="00F87311">
        <w:rPr>
          <w:rFonts w:ascii="Times New Roman" w:hAnsi="Times New Roman" w:cs="Times New Roman"/>
          <w:lang w:val="en-GB"/>
        </w:rPr>
        <w:t xml:space="preserve"> </w:t>
      </w:r>
      <w:r w:rsidR="00E72B02">
        <w:rPr>
          <w:rFonts w:ascii="Times New Roman" w:hAnsi="Times New Roman" w:cs="Times New Roman"/>
          <w:lang w:val="en-GB"/>
        </w:rPr>
        <w:t xml:space="preserve">further </w:t>
      </w:r>
      <w:r w:rsidR="00F87311">
        <w:rPr>
          <w:rFonts w:ascii="Times New Roman" w:hAnsi="Times New Roman" w:cs="Times New Roman"/>
          <w:lang w:val="en-GB"/>
        </w:rPr>
        <w:t>investigate</w:t>
      </w:r>
      <w:r w:rsidR="00946106">
        <w:rPr>
          <w:rFonts w:ascii="Times New Roman" w:hAnsi="Times New Roman" w:cs="Times New Roman"/>
          <w:lang w:val="en-GB"/>
        </w:rPr>
        <w:t xml:space="preserve"> </w:t>
      </w:r>
      <w:r w:rsidR="00F87311">
        <w:rPr>
          <w:rFonts w:ascii="Times New Roman" w:hAnsi="Times New Roman" w:cs="Times New Roman"/>
          <w:lang w:val="en-GB"/>
        </w:rPr>
        <w:t xml:space="preserve">questions about </w:t>
      </w:r>
      <w:r w:rsidR="00946106">
        <w:rPr>
          <w:rFonts w:ascii="Times New Roman" w:hAnsi="Times New Roman" w:cs="Times New Roman"/>
          <w:lang w:val="en-GB"/>
        </w:rPr>
        <w:t xml:space="preserve">life expectancy </w:t>
      </w:r>
      <w:r w:rsidR="00946106" w:rsidRPr="00213440">
        <w:rPr>
          <w:rFonts w:ascii="Times New Roman" w:hAnsi="Times New Roman" w:cs="Times New Roman"/>
          <w:i/>
          <w:lang w:val="en-GB"/>
        </w:rPr>
        <w:t>stagnation</w:t>
      </w:r>
      <w:r w:rsidR="00946106">
        <w:rPr>
          <w:rFonts w:ascii="Times New Roman" w:hAnsi="Times New Roman" w:cs="Times New Roman"/>
          <w:lang w:val="en-GB"/>
        </w:rPr>
        <w:t xml:space="preserve"> and life expectancy </w:t>
      </w:r>
      <w:r w:rsidR="00946106" w:rsidRPr="00213440">
        <w:rPr>
          <w:rFonts w:ascii="Times New Roman" w:hAnsi="Times New Roman" w:cs="Times New Roman"/>
          <w:i/>
          <w:lang w:val="en-GB"/>
        </w:rPr>
        <w:t>divergence</w:t>
      </w:r>
      <w:r w:rsidR="00733774">
        <w:rPr>
          <w:rFonts w:ascii="Times New Roman" w:hAnsi="Times New Roman" w:cs="Times New Roman"/>
          <w:lang w:val="en-GB"/>
        </w:rPr>
        <w:t xml:space="preserve"> during the COVID-19 pandemic</w:t>
      </w:r>
      <w:r w:rsidR="00946106">
        <w:rPr>
          <w:rFonts w:ascii="Times New Roman" w:hAnsi="Times New Roman" w:cs="Times New Roman"/>
          <w:lang w:val="en-GB"/>
        </w:rPr>
        <w:t xml:space="preserve">. </w:t>
      </w:r>
      <w:r w:rsidR="00FD4E8B">
        <w:rPr>
          <w:rFonts w:ascii="Times New Roman" w:hAnsi="Times New Roman" w:cs="Times New Roman"/>
          <w:lang w:val="en-GB"/>
        </w:rPr>
        <w:t xml:space="preserve">In this </w:t>
      </w:r>
      <w:r w:rsidR="00AE63D2">
        <w:rPr>
          <w:rFonts w:ascii="Times New Roman" w:hAnsi="Times New Roman" w:cs="Times New Roman"/>
          <w:lang w:val="en-GB"/>
        </w:rPr>
        <w:t>A</w:t>
      </w:r>
      <w:r w:rsidR="00FD4E8B">
        <w:rPr>
          <w:rFonts w:ascii="Times New Roman" w:hAnsi="Times New Roman" w:cs="Times New Roman"/>
          <w:lang w:val="en-GB"/>
        </w:rPr>
        <w:t>ddendum</w:t>
      </w:r>
      <w:r w:rsidR="00213440">
        <w:rPr>
          <w:rFonts w:ascii="Times New Roman" w:hAnsi="Times New Roman" w:cs="Times New Roman"/>
          <w:lang w:val="en-GB"/>
        </w:rPr>
        <w:t xml:space="preserve"> to Chapter 3</w:t>
      </w:r>
      <w:r w:rsidR="00FD4E8B">
        <w:rPr>
          <w:rFonts w:ascii="Times New Roman" w:hAnsi="Times New Roman" w:cs="Times New Roman"/>
          <w:lang w:val="en-GB"/>
        </w:rPr>
        <w:t xml:space="preserve">, I </w:t>
      </w:r>
      <w:r w:rsidR="007222FD">
        <w:rPr>
          <w:rFonts w:ascii="Times New Roman" w:hAnsi="Times New Roman" w:cs="Times New Roman"/>
          <w:lang w:val="en-GB"/>
        </w:rPr>
        <w:t xml:space="preserve">look more closely at the causes of death that </w:t>
      </w:r>
      <w:r w:rsidR="002239DA">
        <w:rPr>
          <w:rFonts w:ascii="Times New Roman" w:hAnsi="Times New Roman" w:cs="Times New Roman"/>
          <w:lang w:val="en-GB"/>
        </w:rPr>
        <w:t>led to</w:t>
      </w:r>
      <w:r w:rsidR="007222FD">
        <w:rPr>
          <w:rFonts w:ascii="Times New Roman" w:hAnsi="Times New Roman" w:cs="Times New Roman"/>
          <w:lang w:val="en-GB"/>
        </w:rPr>
        <w:t xml:space="preserve"> </w:t>
      </w:r>
      <w:r w:rsidR="002239DA">
        <w:rPr>
          <w:rFonts w:ascii="Times New Roman" w:hAnsi="Times New Roman" w:cs="Times New Roman"/>
          <w:lang w:val="en-GB"/>
        </w:rPr>
        <w:t xml:space="preserve">(a) </w:t>
      </w:r>
      <w:r w:rsidR="007222FD">
        <w:rPr>
          <w:rFonts w:ascii="Times New Roman" w:hAnsi="Times New Roman" w:cs="Times New Roman"/>
          <w:lang w:val="en-GB"/>
        </w:rPr>
        <w:t xml:space="preserve">life expectancy stagnation </w:t>
      </w:r>
      <w:r w:rsidR="002239DA">
        <w:rPr>
          <w:rFonts w:ascii="Times New Roman" w:hAnsi="Times New Roman" w:cs="Times New Roman"/>
          <w:lang w:val="en-GB"/>
        </w:rPr>
        <w:t xml:space="preserve">in the USA and the UK during the COVID-19 pandemic, compared to the </w:t>
      </w:r>
      <w:r w:rsidR="00943010">
        <w:rPr>
          <w:rFonts w:ascii="Times New Roman" w:hAnsi="Times New Roman" w:cs="Times New Roman"/>
          <w:lang w:val="en-GB"/>
        </w:rPr>
        <w:t>pre-pandemic period</w:t>
      </w:r>
      <w:r w:rsidR="00AD3935">
        <w:rPr>
          <w:rFonts w:ascii="Times New Roman" w:hAnsi="Times New Roman" w:cs="Times New Roman"/>
          <w:lang w:val="en-GB"/>
        </w:rPr>
        <w:t xml:space="preserve">; </w:t>
      </w:r>
      <w:r w:rsidR="00E8392D">
        <w:rPr>
          <w:rFonts w:ascii="Times New Roman" w:hAnsi="Times New Roman" w:cs="Times New Roman"/>
          <w:lang w:val="en-GB"/>
        </w:rPr>
        <w:t xml:space="preserve">and </w:t>
      </w:r>
      <w:r w:rsidR="00AD3935">
        <w:rPr>
          <w:rFonts w:ascii="Times New Roman" w:hAnsi="Times New Roman" w:cs="Times New Roman"/>
          <w:lang w:val="en-GB"/>
        </w:rPr>
        <w:t xml:space="preserve">(b) </w:t>
      </w:r>
      <w:r w:rsidR="002239DA">
        <w:rPr>
          <w:rFonts w:ascii="Times New Roman" w:hAnsi="Times New Roman" w:cs="Times New Roman"/>
          <w:lang w:val="en-GB"/>
        </w:rPr>
        <w:t xml:space="preserve">life expectancy divergence </w:t>
      </w:r>
      <w:r w:rsidR="00FC7994">
        <w:rPr>
          <w:rFonts w:ascii="Times New Roman" w:hAnsi="Times New Roman" w:cs="Times New Roman"/>
          <w:lang w:val="en-GB"/>
        </w:rPr>
        <w:t>of</w:t>
      </w:r>
      <w:r w:rsidR="002239DA">
        <w:rPr>
          <w:rFonts w:ascii="Times New Roman" w:hAnsi="Times New Roman" w:cs="Times New Roman"/>
          <w:lang w:val="en-GB"/>
        </w:rPr>
        <w:t xml:space="preserve"> the USA and the UK </w:t>
      </w:r>
      <w:r w:rsidR="00AD3935">
        <w:rPr>
          <w:rFonts w:ascii="Times New Roman" w:hAnsi="Times New Roman" w:cs="Times New Roman"/>
          <w:lang w:val="en-GB"/>
        </w:rPr>
        <w:t>from</w:t>
      </w:r>
      <w:r w:rsidR="002239DA">
        <w:rPr>
          <w:rFonts w:ascii="Times New Roman" w:hAnsi="Times New Roman" w:cs="Times New Roman"/>
          <w:lang w:val="en-GB"/>
        </w:rPr>
        <w:t xml:space="preserve"> better-performing countries </w:t>
      </w:r>
      <w:r w:rsidR="002A3EAE">
        <w:rPr>
          <w:rFonts w:ascii="Times New Roman" w:hAnsi="Times New Roman" w:cs="Times New Roman"/>
          <w:lang w:val="en-GB"/>
        </w:rPr>
        <w:t xml:space="preserve">before and </w:t>
      </w:r>
      <w:r w:rsidR="00AD3935">
        <w:rPr>
          <w:rFonts w:ascii="Times New Roman" w:hAnsi="Times New Roman" w:cs="Times New Roman"/>
          <w:lang w:val="en-GB"/>
        </w:rPr>
        <w:t>during the COVID-19 pandemic</w:t>
      </w:r>
      <w:r w:rsidR="00E034EB">
        <w:rPr>
          <w:rFonts w:ascii="Times New Roman" w:hAnsi="Times New Roman" w:cs="Times New Roman"/>
          <w:lang w:val="en-GB"/>
        </w:rPr>
        <w:t xml:space="preserve">. </w:t>
      </w:r>
    </w:p>
    <w:p w14:paraId="13D1E4CF" w14:textId="77777777" w:rsidR="0009303E" w:rsidRDefault="0009303E" w:rsidP="000172C4">
      <w:pPr>
        <w:spacing w:after="0" w:line="480" w:lineRule="auto"/>
        <w:jc w:val="both"/>
        <w:rPr>
          <w:rFonts w:ascii="Times New Roman" w:hAnsi="Times New Roman" w:cs="Times New Roman"/>
          <w:lang w:val="en-GB"/>
        </w:rPr>
      </w:pPr>
      <w:r>
        <w:rPr>
          <w:rFonts w:ascii="Times New Roman" w:hAnsi="Times New Roman" w:cs="Times New Roman"/>
          <w:lang w:val="en-GB"/>
        </w:rPr>
        <w:t xml:space="preserve"> </w:t>
      </w:r>
    </w:p>
    <w:p w14:paraId="2157DDF5" w14:textId="54F66AAF" w:rsidR="003E60DC" w:rsidRDefault="00DD6187" w:rsidP="000172C4">
      <w:pPr>
        <w:spacing w:after="0" w:line="480" w:lineRule="auto"/>
        <w:jc w:val="both"/>
        <w:rPr>
          <w:rFonts w:ascii="Times New Roman" w:hAnsi="Times New Roman" w:cs="Times New Roman"/>
          <w:lang w:val="en-GB"/>
        </w:rPr>
      </w:pPr>
      <w:r>
        <w:rPr>
          <w:rFonts w:ascii="Times New Roman" w:hAnsi="Times New Roman" w:cs="Times New Roman"/>
          <w:lang w:val="en-GB"/>
        </w:rPr>
        <w:t xml:space="preserve">To clarify, </w:t>
      </w:r>
      <w:r w:rsidR="00B427B9">
        <w:rPr>
          <w:rFonts w:ascii="Times New Roman" w:hAnsi="Times New Roman" w:cs="Times New Roman"/>
          <w:lang w:val="en-GB"/>
        </w:rPr>
        <w:t xml:space="preserve">despite </w:t>
      </w:r>
      <w:r w:rsidR="00F55061">
        <w:rPr>
          <w:rFonts w:ascii="Times New Roman" w:hAnsi="Times New Roman" w:cs="Times New Roman"/>
          <w:lang w:val="en-GB"/>
        </w:rPr>
        <w:t>following</w:t>
      </w:r>
      <w:r w:rsidR="00B427B9">
        <w:rPr>
          <w:rFonts w:ascii="Times New Roman" w:hAnsi="Times New Roman" w:cs="Times New Roman"/>
          <w:lang w:val="en-GB"/>
        </w:rPr>
        <w:t xml:space="preserve"> a </w:t>
      </w:r>
      <w:r w:rsidR="00736969">
        <w:rPr>
          <w:rFonts w:ascii="Times New Roman" w:hAnsi="Times New Roman" w:cs="Times New Roman"/>
          <w:lang w:val="en-GB"/>
        </w:rPr>
        <w:t xml:space="preserve">comparative </w:t>
      </w:r>
      <w:r w:rsidR="00B427B9">
        <w:rPr>
          <w:rFonts w:ascii="Times New Roman" w:hAnsi="Times New Roman" w:cs="Times New Roman"/>
          <w:lang w:val="en-GB"/>
        </w:rPr>
        <w:t xml:space="preserve">within-country approach, Chapter 3 itself </w:t>
      </w:r>
      <w:r w:rsidR="00736969">
        <w:rPr>
          <w:rFonts w:ascii="Times New Roman" w:hAnsi="Times New Roman" w:cs="Times New Roman"/>
          <w:lang w:val="en-GB"/>
        </w:rPr>
        <w:t>neither</w:t>
      </w:r>
      <w:r w:rsidR="00B427B9">
        <w:rPr>
          <w:rFonts w:ascii="Times New Roman" w:hAnsi="Times New Roman" w:cs="Times New Roman"/>
          <w:lang w:val="en-GB"/>
        </w:rPr>
        <w:t xml:space="preserve"> t</w:t>
      </w:r>
      <w:r w:rsidR="00736969">
        <w:rPr>
          <w:rFonts w:ascii="Times New Roman" w:hAnsi="Times New Roman" w:cs="Times New Roman"/>
          <w:lang w:val="en-GB"/>
        </w:rPr>
        <w:t>ook</w:t>
      </w:r>
      <w:r w:rsidR="00B427B9">
        <w:rPr>
          <w:rFonts w:ascii="Times New Roman" w:hAnsi="Times New Roman" w:cs="Times New Roman"/>
          <w:lang w:val="en-GB"/>
        </w:rPr>
        <w:t xml:space="preserve"> a </w:t>
      </w:r>
      <w:r w:rsidR="00B427B9" w:rsidRPr="00F55061">
        <w:rPr>
          <w:rFonts w:ascii="Times New Roman" w:hAnsi="Times New Roman" w:cs="Times New Roman"/>
          <w:i/>
          <w:iCs/>
          <w:lang w:val="en-GB"/>
        </w:rPr>
        <w:t>stagnation</w:t>
      </w:r>
      <w:r w:rsidR="00B427B9">
        <w:rPr>
          <w:rFonts w:ascii="Times New Roman" w:hAnsi="Times New Roman" w:cs="Times New Roman"/>
          <w:lang w:val="en-GB"/>
        </w:rPr>
        <w:t xml:space="preserve"> </w:t>
      </w:r>
      <w:r w:rsidR="00736969">
        <w:rPr>
          <w:rFonts w:ascii="Times New Roman" w:hAnsi="Times New Roman" w:cs="Times New Roman"/>
          <w:lang w:val="en-GB"/>
        </w:rPr>
        <w:t xml:space="preserve">nor a </w:t>
      </w:r>
      <w:r w:rsidR="00736969" w:rsidRPr="00F55061">
        <w:rPr>
          <w:rFonts w:ascii="Times New Roman" w:hAnsi="Times New Roman" w:cs="Times New Roman"/>
          <w:i/>
          <w:iCs/>
          <w:lang w:val="en-GB"/>
        </w:rPr>
        <w:t>divergence</w:t>
      </w:r>
      <w:r w:rsidR="00736969">
        <w:rPr>
          <w:rFonts w:ascii="Times New Roman" w:hAnsi="Times New Roman" w:cs="Times New Roman"/>
          <w:lang w:val="en-GB"/>
        </w:rPr>
        <w:t xml:space="preserve"> perspective. Rather, </w:t>
      </w:r>
      <w:r w:rsidR="00F044A0">
        <w:rPr>
          <w:rFonts w:ascii="Times New Roman" w:hAnsi="Times New Roman" w:cs="Times New Roman"/>
          <w:lang w:val="en-GB"/>
        </w:rPr>
        <w:t xml:space="preserve">it </w:t>
      </w:r>
      <w:r w:rsidR="006340EF">
        <w:rPr>
          <w:rFonts w:ascii="Times New Roman" w:hAnsi="Times New Roman" w:cs="Times New Roman"/>
          <w:lang w:val="en-GB"/>
        </w:rPr>
        <w:t>describe</w:t>
      </w:r>
      <w:r w:rsidR="00152744">
        <w:rPr>
          <w:rFonts w:ascii="Times New Roman" w:hAnsi="Times New Roman" w:cs="Times New Roman"/>
          <w:lang w:val="en-GB"/>
        </w:rPr>
        <w:t>d</w:t>
      </w:r>
      <w:r w:rsidR="006340EF">
        <w:rPr>
          <w:rFonts w:ascii="Times New Roman" w:hAnsi="Times New Roman" w:cs="Times New Roman"/>
          <w:lang w:val="en-GB"/>
        </w:rPr>
        <w:t xml:space="preserve"> </w:t>
      </w:r>
      <w:r w:rsidR="00F044A0">
        <w:rPr>
          <w:rFonts w:ascii="Times New Roman" w:hAnsi="Times New Roman" w:cs="Times New Roman"/>
          <w:lang w:val="en-GB"/>
        </w:rPr>
        <w:t>changes in life expectancy before</w:t>
      </w:r>
      <w:r w:rsidR="008D3FEF">
        <w:rPr>
          <w:rFonts w:ascii="Times New Roman" w:hAnsi="Times New Roman" w:cs="Times New Roman"/>
          <w:lang w:val="en-GB"/>
        </w:rPr>
        <w:t xml:space="preserve"> (2015–2019)</w:t>
      </w:r>
      <w:r w:rsidR="00F044A0">
        <w:rPr>
          <w:rFonts w:ascii="Times New Roman" w:hAnsi="Times New Roman" w:cs="Times New Roman"/>
          <w:lang w:val="en-GB"/>
        </w:rPr>
        <w:t xml:space="preserve"> and during </w:t>
      </w:r>
      <w:r w:rsidR="008D3FEF">
        <w:rPr>
          <w:rFonts w:ascii="Times New Roman" w:hAnsi="Times New Roman" w:cs="Times New Roman"/>
          <w:lang w:val="en-GB"/>
        </w:rPr>
        <w:t xml:space="preserve">(2019–2022) </w:t>
      </w:r>
      <w:r w:rsidR="00F044A0">
        <w:rPr>
          <w:rFonts w:ascii="Times New Roman" w:hAnsi="Times New Roman" w:cs="Times New Roman"/>
          <w:lang w:val="en-GB"/>
        </w:rPr>
        <w:t xml:space="preserve">the COVID-19 pandemic </w:t>
      </w:r>
      <w:r w:rsidR="006340EF">
        <w:rPr>
          <w:rFonts w:ascii="Times New Roman" w:hAnsi="Times New Roman" w:cs="Times New Roman"/>
          <w:lang w:val="en-GB"/>
        </w:rPr>
        <w:t xml:space="preserve">and used decomposition methods to disaggregate these changes </w:t>
      </w:r>
      <w:r w:rsidR="00F044A0">
        <w:rPr>
          <w:rFonts w:ascii="Times New Roman" w:hAnsi="Times New Roman" w:cs="Times New Roman"/>
          <w:lang w:val="en-GB"/>
        </w:rPr>
        <w:t>into cause-</w:t>
      </w:r>
      <w:r w:rsidR="00626E0C">
        <w:rPr>
          <w:rFonts w:ascii="Times New Roman" w:hAnsi="Times New Roman" w:cs="Times New Roman"/>
          <w:lang w:val="en-GB"/>
        </w:rPr>
        <w:t>of-death-</w:t>
      </w:r>
      <w:r w:rsidR="00F044A0">
        <w:rPr>
          <w:rFonts w:ascii="Times New Roman" w:hAnsi="Times New Roman" w:cs="Times New Roman"/>
          <w:lang w:val="en-GB"/>
        </w:rPr>
        <w:t xml:space="preserve">specific </w:t>
      </w:r>
      <w:r w:rsidR="00F044A0">
        <w:rPr>
          <w:rFonts w:ascii="Times New Roman" w:hAnsi="Times New Roman" w:cs="Times New Roman"/>
          <w:lang w:val="en-GB"/>
        </w:rPr>
        <w:lastRenderedPageBreak/>
        <w:t>contributions.</w:t>
      </w:r>
      <w:r w:rsidR="006340EF">
        <w:rPr>
          <w:rFonts w:ascii="Times New Roman" w:hAnsi="Times New Roman" w:cs="Times New Roman"/>
          <w:lang w:val="en-GB"/>
        </w:rPr>
        <w:t xml:space="preserve"> </w:t>
      </w:r>
      <w:r w:rsidR="00002C5E">
        <w:rPr>
          <w:rFonts w:ascii="Times New Roman" w:hAnsi="Times New Roman" w:cs="Times New Roman"/>
          <w:lang w:val="en-GB"/>
        </w:rPr>
        <w:t>T</w:t>
      </w:r>
      <w:r w:rsidR="00385FE2">
        <w:rPr>
          <w:rFonts w:ascii="Times New Roman" w:hAnsi="Times New Roman" w:cs="Times New Roman"/>
          <w:lang w:val="en-GB"/>
        </w:rPr>
        <w:t xml:space="preserve">he </w:t>
      </w:r>
      <w:r w:rsidR="00385FE2" w:rsidRPr="00E03086">
        <w:rPr>
          <w:rFonts w:ascii="Times New Roman" w:hAnsi="Times New Roman" w:cs="Times New Roman"/>
          <w:i/>
          <w:lang w:val="en-GB"/>
        </w:rPr>
        <w:t>stagnation</w:t>
      </w:r>
      <w:r w:rsidR="00385FE2">
        <w:rPr>
          <w:rFonts w:ascii="Times New Roman" w:hAnsi="Times New Roman" w:cs="Times New Roman"/>
          <w:lang w:val="en-GB"/>
        </w:rPr>
        <w:t xml:space="preserve"> perspective</w:t>
      </w:r>
      <w:r w:rsidR="00002C5E">
        <w:rPr>
          <w:rFonts w:ascii="Times New Roman" w:hAnsi="Times New Roman" w:cs="Times New Roman"/>
          <w:lang w:val="en-GB"/>
        </w:rPr>
        <w:t>, however,</w:t>
      </w:r>
      <w:r w:rsidR="00385FE2">
        <w:rPr>
          <w:rFonts w:ascii="Times New Roman" w:hAnsi="Times New Roman" w:cs="Times New Roman"/>
          <w:lang w:val="en-GB"/>
        </w:rPr>
        <w:t xml:space="preserve"> is usually </w:t>
      </w:r>
      <w:r w:rsidR="00002C5E">
        <w:rPr>
          <w:rFonts w:ascii="Times New Roman" w:hAnsi="Times New Roman" w:cs="Times New Roman"/>
          <w:lang w:val="en-GB"/>
        </w:rPr>
        <w:t xml:space="preserve">based in counterfactual analysis, </w:t>
      </w:r>
      <w:r w:rsidR="00C36E0F">
        <w:rPr>
          <w:rFonts w:ascii="Times New Roman" w:hAnsi="Times New Roman" w:cs="Times New Roman"/>
          <w:lang w:val="en-GB"/>
        </w:rPr>
        <w:t>comparing the actual mortality trajectory in a population to the trajectory that would have been observed if mortality dynamics at an earlier period had persisted</w:t>
      </w:r>
      <w:r w:rsidR="00422E55">
        <w:rPr>
          <w:rFonts w:ascii="Times New Roman" w:hAnsi="Times New Roman" w:cs="Times New Roman"/>
          <w:lang w:val="en-GB"/>
        </w:rPr>
        <w:t xml:space="preserve"> </w:t>
      </w:r>
      <w:r w:rsidR="00896009">
        <w:rPr>
          <w:rFonts w:ascii="Times New Roman" w:hAnsi="Times New Roman" w:cs="Times New Roman"/>
          <w:lang w:val="en-GB"/>
        </w:rPr>
        <w:fldChar w:fldCharType="begin"/>
      </w:r>
      <w:r w:rsidR="00896009">
        <w:rPr>
          <w:rFonts w:ascii="Times New Roman" w:hAnsi="Times New Roman" w:cs="Times New Roman"/>
          <w:lang w:val="en-GB"/>
        </w:rPr>
        <w:instrText xml:space="preserve"> ADDIN ZOTERO_ITEM CSL_CITATION {"citationID":"Y4p2Pdl2","properties":{"formattedCitation":"(e.g., Ramsay et al., 2020)","plainCitation":"(e.g., Ramsay et al., 2020)","noteIndex":0},"citationItems":[{"id":2580,"uris":["http://zotero.org/users/5659841/items/YZ9C765B"],"itemData":{"id":2580,"type":"article-journal","container-title":"BMJ Open","DOI":"10.1136/bmjopen-2019-036529","issue":"10","language":"en","page":"e036529","title":"How have changes in death by cause and age group contributed to the recent stalling of life expectancy gains in Scotland? Comparative decomposition analysis of mortality data, 2000–2002 to 2015–2017","volume":"10","author":[{"family":"Ramsay","given":"Julie"},{"family":"Minton","given":"Jon"},{"family":"Fischbacher","given":"Colin"},{"family":"Fenton","given":"Lynda"},{"family":"Kaye-Bardgett","given":"Maria"},{"family":"Wyper","given":"Grant M A"},{"family":"Richardson","given":"Elizabeth"},{"family":"McCartney","given":"Gerry"}],"issued":{"date-parts":[["2020"]]}},"label":"page","prefix":"e.g., "}],"schema":"https://github.com/citation-style-language/schema/raw/master/csl-citation.json"} </w:instrText>
      </w:r>
      <w:r w:rsidR="00896009">
        <w:rPr>
          <w:rFonts w:ascii="Times New Roman" w:hAnsi="Times New Roman" w:cs="Times New Roman"/>
          <w:lang w:val="en-GB"/>
        </w:rPr>
        <w:fldChar w:fldCharType="separate"/>
      </w:r>
      <w:r w:rsidR="00896009" w:rsidRPr="00A835D4">
        <w:rPr>
          <w:rFonts w:ascii="Times New Roman" w:hAnsi="Times New Roman" w:cs="Times New Roman"/>
          <w:lang w:val="en-GB"/>
        </w:rPr>
        <w:t>(e.g., Ramsay et al., 2020)</w:t>
      </w:r>
      <w:r w:rsidR="00896009">
        <w:rPr>
          <w:rFonts w:ascii="Times New Roman" w:hAnsi="Times New Roman" w:cs="Times New Roman"/>
          <w:lang w:val="en-GB"/>
        </w:rPr>
        <w:fldChar w:fldCharType="end"/>
      </w:r>
      <w:r w:rsidR="00C36E0F">
        <w:rPr>
          <w:rFonts w:ascii="Times New Roman" w:hAnsi="Times New Roman" w:cs="Times New Roman"/>
          <w:lang w:val="en-GB"/>
        </w:rPr>
        <w:t xml:space="preserve">. </w:t>
      </w:r>
      <w:r w:rsidR="00900CEA">
        <w:rPr>
          <w:rFonts w:ascii="Times New Roman" w:hAnsi="Times New Roman" w:cs="Times New Roman"/>
          <w:lang w:val="en-GB"/>
        </w:rPr>
        <w:t>For example, a</w:t>
      </w:r>
      <w:r w:rsidR="00A735D3">
        <w:rPr>
          <w:rFonts w:ascii="Times New Roman" w:hAnsi="Times New Roman" w:cs="Times New Roman"/>
          <w:lang w:val="en-GB"/>
        </w:rPr>
        <w:t xml:space="preserve">ccording to Table 3-1, female life expectancy </w:t>
      </w:r>
      <w:r w:rsidR="00585DFC">
        <w:rPr>
          <w:rFonts w:ascii="Times New Roman" w:hAnsi="Times New Roman" w:cs="Times New Roman"/>
          <w:lang w:val="en-GB"/>
        </w:rPr>
        <w:t xml:space="preserve">at birth </w:t>
      </w:r>
      <w:r w:rsidR="00A735D3">
        <w:rPr>
          <w:rFonts w:ascii="Times New Roman" w:hAnsi="Times New Roman" w:cs="Times New Roman"/>
          <w:lang w:val="en-GB"/>
        </w:rPr>
        <w:t xml:space="preserve">in England and Wales </w:t>
      </w:r>
      <w:r w:rsidR="00A735D3" w:rsidRPr="00842644">
        <w:rPr>
          <w:rFonts w:ascii="Times New Roman" w:hAnsi="Times New Roman" w:cs="Times New Roman"/>
          <w:lang w:val="en-GB"/>
        </w:rPr>
        <w:t xml:space="preserve">improved by </w:t>
      </w:r>
      <w:r w:rsidR="005335FA" w:rsidRPr="00842644">
        <w:rPr>
          <w:rFonts w:ascii="Times New Roman" w:hAnsi="Times New Roman" w:cs="Times New Roman"/>
          <w:lang w:val="en-GB"/>
        </w:rPr>
        <w:t xml:space="preserve">0.8 years over the period 2015–2019, for an average of 0.2 years per annum. </w:t>
      </w:r>
      <w:r w:rsidR="00585DFC" w:rsidRPr="00842644">
        <w:rPr>
          <w:rFonts w:ascii="Times New Roman" w:hAnsi="Times New Roman" w:cs="Times New Roman"/>
          <w:lang w:val="en-GB"/>
        </w:rPr>
        <w:t>For the pe</w:t>
      </w:r>
      <w:r w:rsidR="00585DFC">
        <w:rPr>
          <w:rFonts w:ascii="Times New Roman" w:hAnsi="Times New Roman" w:cs="Times New Roman"/>
          <w:lang w:val="en-GB"/>
        </w:rPr>
        <w:t xml:space="preserve">riod of the COVID-19 pandemic, we can now formulate a counterfactual scenario, </w:t>
      </w:r>
      <w:r w:rsidR="00D23B7D">
        <w:rPr>
          <w:rFonts w:ascii="Times New Roman" w:hAnsi="Times New Roman" w:cs="Times New Roman"/>
          <w:lang w:val="en-GB"/>
        </w:rPr>
        <w:t xml:space="preserve">in which </w:t>
      </w:r>
      <w:r w:rsidR="00585DFC">
        <w:rPr>
          <w:rFonts w:ascii="Times New Roman" w:hAnsi="Times New Roman" w:cs="Times New Roman"/>
          <w:lang w:val="en-GB"/>
        </w:rPr>
        <w:t xml:space="preserve">female life expectancy at birth in England and Wales had continued to increase </w:t>
      </w:r>
      <w:r w:rsidR="00585DFC" w:rsidRPr="00842644">
        <w:rPr>
          <w:rFonts w:ascii="Times New Roman" w:hAnsi="Times New Roman" w:cs="Times New Roman"/>
          <w:lang w:val="en-GB"/>
        </w:rPr>
        <w:t xml:space="preserve">by 0.2 </w:t>
      </w:r>
      <w:r w:rsidR="00380A43">
        <w:rPr>
          <w:rFonts w:ascii="Times New Roman" w:hAnsi="Times New Roman" w:cs="Times New Roman"/>
          <w:lang w:val="en-GB"/>
        </w:rPr>
        <w:t xml:space="preserve">years </w:t>
      </w:r>
      <w:r w:rsidR="00585DFC" w:rsidRPr="00842644">
        <w:rPr>
          <w:rFonts w:ascii="Times New Roman" w:hAnsi="Times New Roman" w:cs="Times New Roman"/>
          <w:lang w:val="en-GB"/>
        </w:rPr>
        <w:t>per annum through</w:t>
      </w:r>
      <w:r w:rsidR="00585DFC">
        <w:rPr>
          <w:rFonts w:ascii="Times New Roman" w:hAnsi="Times New Roman" w:cs="Times New Roman"/>
          <w:lang w:val="en-GB"/>
        </w:rPr>
        <w:t xml:space="preserve"> 2022</w:t>
      </w:r>
      <w:r w:rsidR="000B4DA8">
        <w:rPr>
          <w:rFonts w:ascii="Times New Roman" w:hAnsi="Times New Roman" w:cs="Times New Roman"/>
          <w:lang w:val="en-GB"/>
        </w:rPr>
        <w:t xml:space="preserve">, for a </w:t>
      </w:r>
      <w:r w:rsidR="000B4DA8" w:rsidRPr="00842644">
        <w:rPr>
          <w:rFonts w:ascii="Times New Roman" w:hAnsi="Times New Roman" w:cs="Times New Roman"/>
          <w:lang w:val="en-GB"/>
        </w:rPr>
        <w:t xml:space="preserve">total of 0.6 years </w:t>
      </w:r>
      <w:r w:rsidR="00D750DD" w:rsidRPr="00842644">
        <w:rPr>
          <w:rFonts w:ascii="Times New Roman" w:hAnsi="Times New Roman" w:cs="Times New Roman"/>
          <w:lang w:val="en-GB"/>
        </w:rPr>
        <w:t>over</w:t>
      </w:r>
      <w:r w:rsidR="000B4DA8">
        <w:rPr>
          <w:rFonts w:ascii="Times New Roman" w:hAnsi="Times New Roman" w:cs="Times New Roman"/>
          <w:lang w:val="en-GB"/>
        </w:rPr>
        <w:t xml:space="preserve"> 2019–2022. In this </w:t>
      </w:r>
      <w:r w:rsidR="005E7B97" w:rsidRPr="00FE1F04">
        <w:rPr>
          <w:rFonts w:ascii="Times New Roman" w:hAnsi="Times New Roman" w:cs="Times New Roman"/>
          <w:lang w:val="en-GB"/>
        </w:rPr>
        <w:t xml:space="preserve">counterfactual scenario, female life expectancy at birth in England and Wales would have been </w:t>
      </w:r>
      <w:r w:rsidR="000613C4" w:rsidRPr="00FE1F04">
        <w:rPr>
          <w:rFonts w:ascii="Times New Roman" w:hAnsi="Times New Roman" w:cs="Times New Roman"/>
          <w:lang w:val="en-GB"/>
        </w:rPr>
        <w:t>84.3 years in 2022</w:t>
      </w:r>
      <w:r w:rsidR="00D23B7D" w:rsidRPr="00FE1F04">
        <w:rPr>
          <w:rFonts w:ascii="Times New Roman" w:hAnsi="Times New Roman" w:cs="Times New Roman"/>
          <w:lang w:val="en-GB"/>
        </w:rPr>
        <w:t xml:space="preserve">—an increase by </w:t>
      </w:r>
      <w:r w:rsidR="000613C4" w:rsidRPr="00FE1F04">
        <w:rPr>
          <w:rFonts w:ascii="Times New Roman" w:hAnsi="Times New Roman" w:cs="Times New Roman"/>
          <w:lang w:val="en-GB"/>
        </w:rPr>
        <w:t>0.6</w:t>
      </w:r>
      <w:r w:rsidR="00D23B7D" w:rsidRPr="00FE1F04">
        <w:rPr>
          <w:rFonts w:ascii="Times New Roman" w:hAnsi="Times New Roman" w:cs="Times New Roman"/>
          <w:lang w:val="en-GB"/>
        </w:rPr>
        <w:t xml:space="preserve"> years from the 2019 value of 83.7</w:t>
      </w:r>
      <w:r w:rsidR="0073241A" w:rsidRPr="00FE1F04">
        <w:rPr>
          <w:rFonts w:ascii="Times New Roman" w:hAnsi="Times New Roman" w:cs="Times New Roman"/>
          <w:lang w:val="en-GB"/>
        </w:rPr>
        <w:t xml:space="preserve"> years</w:t>
      </w:r>
      <w:r w:rsidR="00D23B7D" w:rsidRPr="00FE1F04">
        <w:rPr>
          <w:rFonts w:ascii="Times New Roman" w:hAnsi="Times New Roman" w:cs="Times New Roman"/>
          <w:lang w:val="en-GB"/>
        </w:rPr>
        <w:t>. I</w:t>
      </w:r>
      <w:r w:rsidR="000613C4" w:rsidRPr="00FE1F04">
        <w:rPr>
          <w:rFonts w:ascii="Times New Roman" w:hAnsi="Times New Roman" w:cs="Times New Roman"/>
          <w:lang w:val="en-GB"/>
        </w:rPr>
        <w:t>nstead</w:t>
      </w:r>
      <w:r w:rsidR="00D23B7D" w:rsidRPr="00FE1F04">
        <w:rPr>
          <w:rFonts w:ascii="Times New Roman" w:hAnsi="Times New Roman" w:cs="Times New Roman"/>
          <w:lang w:val="en-GB"/>
        </w:rPr>
        <w:t>,</w:t>
      </w:r>
      <w:r w:rsidR="000613C4" w:rsidRPr="00FE1F04">
        <w:rPr>
          <w:rFonts w:ascii="Times New Roman" w:hAnsi="Times New Roman" w:cs="Times New Roman"/>
          <w:lang w:val="en-GB"/>
        </w:rPr>
        <w:t xml:space="preserve"> </w:t>
      </w:r>
      <w:r w:rsidR="00D23B7D" w:rsidRPr="00FE1F04">
        <w:rPr>
          <w:rFonts w:ascii="Times New Roman" w:hAnsi="Times New Roman" w:cs="Times New Roman"/>
          <w:lang w:val="en-GB"/>
        </w:rPr>
        <w:t>life expectancy in 2022 was</w:t>
      </w:r>
      <w:r w:rsidR="000613C4" w:rsidRPr="00FE1F04">
        <w:rPr>
          <w:rFonts w:ascii="Times New Roman" w:hAnsi="Times New Roman" w:cs="Times New Roman"/>
          <w:lang w:val="en-GB"/>
        </w:rPr>
        <w:t xml:space="preserve"> </w:t>
      </w:r>
      <w:r w:rsidR="003C34A7" w:rsidRPr="00FE1F04">
        <w:rPr>
          <w:rFonts w:ascii="Times New Roman" w:hAnsi="Times New Roman" w:cs="Times New Roman"/>
          <w:lang w:val="en-GB"/>
        </w:rPr>
        <w:t>83.3</w:t>
      </w:r>
      <w:r w:rsidR="00AB3E5E" w:rsidRPr="00FE1F04">
        <w:rPr>
          <w:rFonts w:ascii="Times New Roman" w:hAnsi="Times New Roman" w:cs="Times New Roman"/>
          <w:lang w:val="en-GB"/>
        </w:rPr>
        <w:t xml:space="preserve"> years</w:t>
      </w:r>
      <w:r w:rsidR="003C34A7" w:rsidRPr="00FE1F04">
        <w:rPr>
          <w:rFonts w:ascii="Times New Roman" w:hAnsi="Times New Roman" w:cs="Times New Roman"/>
          <w:lang w:val="en-GB"/>
        </w:rPr>
        <w:t xml:space="preserve">. Thus, while </w:t>
      </w:r>
      <w:r w:rsidR="009906C9" w:rsidRPr="00FE1F04">
        <w:rPr>
          <w:rFonts w:ascii="Times New Roman" w:hAnsi="Times New Roman" w:cs="Times New Roman"/>
          <w:lang w:val="en-GB"/>
        </w:rPr>
        <w:t xml:space="preserve">the COVID-19 pandemic resulted in a loss of life expectancy </w:t>
      </w:r>
      <w:r w:rsidR="005D10E1" w:rsidRPr="00FE1F04">
        <w:rPr>
          <w:rFonts w:ascii="Times New Roman" w:hAnsi="Times New Roman" w:cs="Times New Roman"/>
          <w:lang w:val="en-GB"/>
        </w:rPr>
        <w:t xml:space="preserve">of </w:t>
      </w:r>
      <w:r w:rsidR="003D3240" w:rsidRPr="00FE1F04">
        <w:rPr>
          <w:rFonts w:ascii="Times New Roman" w:hAnsi="Times New Roman" w:cs="Times New Roman"/>
          <w:lang w:val="en-GB"/>
        </w:rPr>
        <w:t>0.4 years</w:t>
      </w:r>
      <w:r w:rsidR="003E60DC" w:rsidRPr="00FE1F04">
        <w:rPr>
          <w:rFonts w:ascii="Times New Roman" w:hAnsi="Times New Roman" w:cs="Times New Roman"/>
          <w:lang w:val="en-GB"/>
        </w:rPr>
        <w:t>—</w:t>
      </w:r>
      <w:r w:rsidR="005413D1" w:rsidRPr="00FE1F04">
        <w:rPr>
          <w:rFonts w:ascii="Times New Roman" w:hAnsi="Times New Roman" w:cs="Times New Roman"/>
          <w:lang w:val="en-GB"/>
        </w:rPr>
        <w:t xml:space="preserve">from </w:t>
      </w:r>
      <w:r w:rsidR="003E60DC" w:rsidRPr="00FE1F04">
        <w:rPr>
          <w:rFonts w:ascii="Times New Roman" w:hAnsi="Times New Roman" w:cs="Times New Roman"/>
          <w:lang w:val="en-GB"/>
        </w:rPr>
        <w:t xml:space="preserve">83.7 </w:t>
      </w:r>
      <w:r w:rsidR="00FE1F04">
        <w:rPr>
          <w:rFonts w:ascii="Times New Roman" w:hAnsi="Times New Roman" w:cs="Times New Roman"/>
          <w:lang w:val="en-GB"/>
        </w:rPr>
        <w:t xml:space="preserve">years </w:t>
      </w:r>
      <w:r w:rsidR="003E60DC" w:rsidRPr="00FE1F04">
        <w:rPr>
          <w:rFonts w:ascii="Times New Roman" w:hAnsi="Times New Roman" w:cs="Times New Roman"/>
          <w:lang w:val="en-GB"/>
        </w:rPr>
        <w:t xml:space="preserve">in 2019 to 83.3 </w:t>
      </w:r>
      <w:r w:rsidR="00FE1F04">
        <w:rPr>
          <w:rFonts w:ascii="Times New Roman" w:hAnsi="Times New Roman" w:cs="Times New Roman"/>
          <w:lang w:val="en-GB"/>
        </w:rPr>
        <w:t xml:space="preserve">years </w:t>
      </w:r>
      <w:r w:rsidR="003E60DC" w:rsidRPr="00FE1F04">
        <w:rPr>
          <w:rFonts w:ascii="Times New Roman" w:hAnsi="Times New Roman" w:cs="Times New Roman"/>
          <w:lang w:val="en-GB"/>
        </w:rPr>
        <w:t>in 2022—</w:t>
      </w:r>
      <w:r w:rsidR="00FE4580" w:rsidRPr="00FE1F04">
        <w:rPr>
          <w:rFonts w:ascii="Times New Roman" w:hAnsi="Times New Roman" w:cs="Times New Roman"/>
          <w:lang w:val="en-GB"/>
        </w:rPr>
        <w:t xml:space="preserve">we could argue that it </w:t>
      </w:r>
      <w:r w:rsidR="00D23B7D" w:rsidRPr="00FE1F04">
        <w:rPr>
          <w:rFonts w:ascii="Times New Roman" w:hAnsi="Times New Roman" w:cs="Times New Roman"/>
          <w:lang w:val="en-GB"/>
        </w:rPr>
        <w:t>set</w:t>
      </w:r>
      <w:r w:rsidR="00FE4580" w:rsidRPr="00FE1F04">
        <w:rPr>
          <w:rFonts w:ascii="Times New Roman" w:hAnsi="Times New Roman" w:cs="Times New Roman"/>
          <w:lang w:val="en-GB"/>
        </w:rPr>
        <w:t xml:space="preserve"> back </w:t>
      </w:r>
      <w:r w:rsidR="00AB3E5E" w:rsidRPr="00FE1F04">
        <w:rPr>
          <w:rFonts w:ascii="Times New Roman" w:hAnsi="Times New Roman" w:cs="Times New Roman"/>
          <w:lang w:val="en-GB"/>
        </w:rPr>
        <w:t>the</w:t>
      </w:r>
      <w:r w:rsidR="00AB3E5E">
        <w:rPr>
          <w:rFonts w:ascii="Times New Roman" w:hAnsi="Times New Roman" w:cs="Times New Roman"/>
          <w:lang w:val="en-GB"/>
        </w:rPr>
        <w:t xml:space="preserve"> country</w:t>
      </w:r>
      <w:r w:rsidR="006824D6">
        <w:rPr>
          <w:rFonts w:ascii="Times New Roman" w:hAnsi="Times New Roman" w:cs="Times New Roman"/>
          <w:lang w:val="en-GB"/>
        </w:rPr>
        <w:t>’</w:t>
      </w:r>
      <w:r w:rsidR="00AB3E5E">
        <w:rPr>
          <w:rFonts w:ascii="Times New Roman" w:hAnsi="Times New Roman" w:cs="Times New Roman"/>
          <w:lang w:val="en-GB"/>
        </w:rPr>
        <w:t xml:space="preserve">s </w:t>
      </w:r>
      <w:r w:rsidR="00FE4580">
        <w:rPr>
          <w:rFonts w:ascii="Times New Roman" w:hAnsi="Times New Roman" w:cs="Times New Roman"/>
          <w:lang w:val="en-GB"/>
        </w:rPr>
        <w:t xml:space="preserve">life expectancy by </w:t>
      </w:r>
      <w:r w:rsidR="005413D1">
        <w:rPr>
          <w:rFonts w:ascii="Times New Roman" w:hAnsi="Times New Roman" w:cs="Times New Roman"/>
          <w:lang w:val="en-GB"/>
        </w:rPr>
        <w:t>one whole year</w:t>
      </w:r>
      <w:r w:rsidR="003E60DC">
        <w:rPr>
          <w:rFonts w:ascii="Times New Roman" w:hAnsi="Times New Roman" w:cs="Times New Roman"/>
          <w:lang w:val="en-GB"/>
        </w:rPr>
        <w:t xml:space="preserve">, </w:t>
      </w:r>
      <w:r w:rsidR="003E60DC" w:rsidRPr="0009468E">
        <w:rPr>
          <w:rFonts w:ascii="Times New Roman" w:hAnsi="Times New Roman" w:cs="Times New Roman"/>
          <w:lang w:val="en-GB"/>
        </w:rPr>
        <w:t>from 84.3 years</w:t>
      </w:r>
      <w:r w:rsidR="00836CB8" w:rsidRPr="0009468E">
        <w:rPr>
          <w:rFonts w:ascii="Times New Roman" w:hAnsi="Times New Roman" w:cs="Times New Roman"/>
          <w:lang w:val="en-GB"/>
        </w:rPr>
        <w:t>—</w:t>
      </w:r>
      <w:r w:rsidR="003E60DC" w:rsidRPr="0009468E">
        <w:rPr>
          <w:rFonts w:ascii="Times New Roman" w:hAnsi="Times New Roman" w:cs="Times New Roman"/>
          <w:lang w:val="en-GB"/>
        </w:rPr>
        <w:t>if the 2015–2019 gains had continued through 2022</w:t>
      </w:r>
      <w:r w:rsidR="00836CB8" w:rsidRPr="0009468E">
        <w:rPr>
          <w:rFonts w:ascii="Times New Roman" w:hAnsi="Times New Roman" w:cs="Times New Roman"/>
          <w:lang w:val="en-GB"/>
        </w:rPr>
        <w:t>—</w:t>
      </w:r>
      <w:r w:rsidR="003E60DC" w:rsidRPr="0009468E">
        <w:rPr>
          <w:rFonts w:ascii="Times New Roman" w:hAnsi="Times New Roman" w:cs="Times New Roman"/>
          <w:lang w:val="en-GB"/>
        </w:rPr>
        <w:t>to the 83.3 years</w:t>
      </w:r>
      <w:r w:rsidR="00D23B7D" w:rsidRPr="0009468E">
        <w:rPr>
          <w:rFonts w:ascii="Times New Roman" w:hAnsi="Times New Roman" w:cs="Times New Roman"/>
          <w:lang w:val="en-GB"/>
        </w:rPr>
        <w:t xml:space="preserve"> observed i</w:t>
      </w:r>
      <w:r w:rsidR="00D23B7D">
        <w:rPr>
          <w:rFonts w:ascii="Times New Roman" w:hAnsi="Times New Roman" w:cs="Times New Roman"/>
          <w:lang w:val="en-GB"/>
        </w:rPr>
        <w:t>n 2022</w:t>
      </w:r>
      <w:r w:rsidR="003E60DC">
        <w:rPr>
          <w:rFonts w:ascii="Times New Roman" w:hAnsi="Times New Roman" w:cs="Times New Roman"/>
          <w:lang w:val="en-GB"/>
        </w:rPr>
        <w:t>.</w:t>
      </w:r>
      <w:r w:rsidR="006436D9">
        <w:rPr>
          <w:rFonts w:ascii="Times New Roman" w:hAnsi="Times New Roman" w:cs="Times New Roman"/>
          <w:lang w:val="en-GB"/>
        </w:rPr>
        <w:t xml:space="preserve"> </w:t>
      </w:r>
      <w:r w:rsidR="00B6269E">
        <w:rPr>
          <w:rFonts w:ascii="Times New Roman" w:hAnsi="Times New Roman" w:cs="Times New Roman"/>
          <w:lang w:val="en-GB"/>
        </w:rPr>
        <w:t>Averaged a</w:t>
      </w:r>
      <w:r w:rsidR="00B6269E" w:rsidRPr="0009468E">
        <w:rPr>
          <w:rFonts w:ascii="Times New Roman" w:hAnsi="Times New Roman" w:cs="Times New Roman"/>
          <w:lang w:val="en-GB"/>
        </w:rPr>
        <w:t xml:space="preserve">cross the three years of the pandemic, this corresponds to a total stagnation of </w:t>
      </w:r>
      <w:r w:rsidR="00DE1E72" w:rsidRPr="0009468E">
        <w:rPr>
          <w:rFonts w:ascii="Times New Roman" w:hAnsi="Times New Roman" w:cs="Times New Roman"/>
          <w:lang w:val="en-GB"/>
        </w:rPr>
        <w:t xml:space="preserve">around </w:t>
      </w:r>
      <w:r w:rsidR="00B6269E" w:rsidRPr="0009468E">
        <w:rPr>
          <w:rFonts w:ascii="Times New Roman" w:hAnsi="Times New Roman" w:cs="Times New Roman"/>
          <w:lang w:val="en-GB"/>
        </w:rPr>
        <w:t xml:space="preserve">-4 months per </w:t>
      </w:r>
      <w:r w:rsidR="00A90FD6" w:rsidRPr="0009468E">
        <w:rPr>
          <w:rFonts w:ascii="Times New Roman" w:hAnsi="Times New Roman" w:cs="Times New Roman"/>
          <w:lang w:val="en-GB"/>
        </w:rPr>
        <w:t>annum</w:t>
      </w:r>
      <w:r w:rsidR="00B6269E" w:rsidRPr="0009468E">
        <w:rPr>
          <w:rFonts w:ascii="Times New Roman" w:hAnsi="Times New Roman" w:cs="Times New Roman"/>
          <w:lang w:val="en-GB"/>
        </w:rPr>
        <w:t xml:space="preserve">. </w:t>
      </w:r>
      <w:r w:rsidR="006436D9" w:rsidRPr="0009468E">
        <w:rPr>
          <w:rFonts w:ascii="Times New Roman" w:hAnsi="Times New Roman" w:cs="Times New Roman"/>
          <w:lang w:val="en-GB"/>
        </w:rPr>
        <w:t xml:space="preserve">This </w:t>
      </w:r>
      <w:r w:rsidR="001947FC" w:rsidRPr="0009468E">
        <w:rPr>
          <w:rFonts w:ascii="Times New Roman" w:hAnsi="Times New Roman" w:cs="Times New Roman"/>
          <w:lang w:val="en-GB"/>
        </w:rPr>
        <w:t>example</w:t>
      </w:r>
      <w:r w:rsidR="004D3603" w:rsidRPr="0009468E">
        <w:rPr>
          <w:rFonts w:ascii="Times New Roman" w:hAnsi="Times New Roman" w:cs="Times New Roman"/>
          <w:lang w:val="en-GB"/>
        </w:rPr>
        <w:t xml:space="preserve">, based on all-cause mortality, </w:t>
      </w:r>
      <w:r w:rsidR="001947FC" w:rsidRPr="0009468E">
        <w:rPr>
          <w:rFonts w:ascii="Times New Roman" w:hAnsi="Times New Roman" w:cs="Times New Roman"/>
          <w:lang w:val="en-GB"/>
        </w:rPr>
        <w:t xml:space="preserve">illustrates the </w:t>
      </w:r>
      <w:r w:rsidR="006436D9" w:rsidRPr="0009468E">
        <w:rPr>
          <w:rFonts w:ascii="Times New Roman" w:hAnsi="Times New Roman" w:cs="Times New Roman"/>
          <w:lang w:val="en-GB"/>
        </w:rPr>
        <w:t>difference</w:t>
      </w:r>
      <w:r w:rsidR="006436D9">
        <w:rPr>
          <w:rFonts w:ascii="Times New Roman" w:hAnsi="Times New Roman" w:cs="Times New Roman"/>
          <w:lang w:val="en-GB"/>
        </w:rPr>
        <w:t xml:space="preserve"> </w:t>
      </w:r>
      <w:r w:rsidR="001947FC">
        <w:rPr>
          <w:rFonts w:ascii="Times New Roman" w:hAnsi="Times New Roman" w:cs="Times New Roman"/>
          <w:lang w:val="en-GB"/>
        </w:rPr>
        <w:t>b</w:t>
      </w:r>
      <w:r w:rsidR="006436D9">
        <w:rPr>
          <w:rFonts w:ascii="Times New Roman" w:hAnsi="Times New Roman" w:cs="Times New Roman"/>
          <w:lang w:val="en-GB"/>
        </w:rPr>
        <w:t xml:space="preserve">etween the descriptive </w:t>
      </w:r>
      <w:r w:rsidR="00310D31">
        <w:rPr>
          <w:rFonts w:ascii="Times New Roman" w:hAnsi="Times New Roman" w:cs="Times New Roman"/>
          <w:lang w:val="en-GB"/>
        </w:rPr>
        <w:t xml:space="preserve">decomposition </w:t>
      </w:r>
      <w:r w:rsidR="006436D9">
        <w:rPr>
          <w:rFonts w:ascii="Times New Roman" w:hAnsi="Times New Roman" w:cs="Times New Roman"/>
          <w:lang w:val="en-GB"/>
        </w:rPr>
        <w:t xml:space="preserve">approach taken in Chapter 3 and </w:t>
      </w:r>
      <w:r w:rsidR="001947FC">
        <w:rPr>
          <w:rFonts w:ascii="Times New Roman" w:hAnsi="Times New Roman" w:cs="Times New Roman"/>
          <w:lang w:val="en-GB"/>
        </w:rPr>
        <w:t>a counterfactual</w:t>
      </w:r>
      <w:r w:rsidR="00310D31">
        <w:rPr>
          <w:rFonts w:ascii="Times New Roman" w:hAnsi="Times New Roman" w:cs="Times New Roman"/>
          <w:lang w:val="en-GB"/>
        </w:rPr>
        <w:t xml:space="preserve"> </w:t>
      </w:r>
      <w:r w:rsidR="00310D31">
        <w:rPr>
          <w:rFonts w:ascii="Times New Roman" w:hAnsi="Times New Roman" w:cs="Times New Roman"/>
          <w:i/>
          <w:lang w:val="en-GB"/>
        </w:rPr>
        <w:t>stagnation</w:t>
      </w:r>
      <w:r w:rsidR="00310D31">
        <w:rPr>
          <w:rFonts w:ascii="Times New Roman" w:hAnsi="Times New Roman" w:cs="Times New Roman"/>
          <w:lang w:val="en-GB"/>
        </w:rPr>
        <w:t xml:space="preserve"> perspective</w:t>
      </w:r>
      <w:r w:rsidR="001947FC">
        <w:rPr>
          <w:rFonts w:ascii="Times New Roman" w:hAnsi="Times New Roman" w:cs="Times New Roman"/>
          <w:lang w:val="en-GB"/>
        </w:rPr>
        <w:t>.</w:t>
      </w:r>
    </w:p>
    <w:p w14:paraId="5CCC1788" w14:textId="77777777" w:rsidR="00273A0A" w:rsidRDefault="00273A0A" w:rsidP="00733774">
      <w:pPr>
        <w:spacing w:after="0" w:line="480" w:lineRule="auto"/>
        <w:jc w:val="both"/>
        <w:rPr>
          <w:rFonts w:ascii="Times New Roman" w:hAnsi="Times New Roman" w:cs="Times New Roman"/>
          <w:lang w:val="en-GB"/>
        </w:rPr>
      </w:pPr>
    </w:p>
    <w:p w14:paraId="050001FA" w14:textId="36918402" w:rsidR="00523186" w:rsidRDefault="00273A0A" w:rsidP="00733774">
      <w:pPr>
        <w:spacing w:after="0" w:line="480" w:lineRule="auto"/>
        <w:jc w:val="both"/>
        <w:rPr>
          <w:rFonts w:ascii="Times New Roman" w:hAnsi="Times New Roman" w:cs="Times New Roman"/>
          <w:lang w:val="en-GB"/>
        </w:rPr>
      </w:pPr>
      <w:r>
        <w:rPr>
          <w:rFonts w:ascii="Times New Roman" w:hAnsi="Times New Roman" w:cs="Times New Roman"/>
          <w:lang w:val="en-GB"/>
        </w:rPr>
        <w:t>Figure 3</w:t>
      </w:r>
      <w:r w:rsidR="003E23A9">
        <w:rPr>
          <w:rFonts w:ascii="Times New Roman" w:hAnsi="Times New Roman" w:cs="Times New Roman"/>
          <w:lang w:val="en-GB"/>
        </w:rPr>
        <w:t>-add</w:t>
      </w:r>
      <w:r>
        <w:rPr>
          <w:rFonts w:ascii="Times New Roman" w:hAnsi="Times New Roman" w:cs="Times New Roman"/>
          <w:lang w:val="en-GB"/>
        </w:rPr>
        <w:t>-1 extends th</w:t>
      </w:r>
      <w:r w:rsidR="002E096A">
        <w:rPr>
          <w:rFonts w:ascii="Times New Roman" w:hAnsi="Times New Roman" w:cs="Times New Roman"/>
          <w:lang w:val="en-GB"/>
        </w:rPr>
        <w:t xml:space="preserve">e all-cause mortality example above by a cause-of-death perspective. For both </w:t>
      </w:r>
      <w:r w:rsidR="009B67E4">
        <w:rPr>
          <w:rFonts w:ascii="Times New Roman" w:hAnsi="Times New Roman" w:cs="Times New Roman"/>
          <w:lang w:val="en-GB"/>
        </w:rPr>
        <w:t xml:space="preserve">England and Wales (left column) and </w:t>
      </w:r>
      <w:r w:rsidR="002E096A">
        <w:rPr>
          <w:rFonts w:ascii="Times New Roman" w:hAnsi="Times New Roman" w:cs="Times New Roman"/>
          <w:lang w:val="en-GB"/>
        </w:rPr>
        <w:t xml:space="preserve">the USA (right column), it shows the </w:t>
      </w:r>
      <w:r w:rsidR="00BC7BB3">
        <w:rPr>
          <w:rFonts w:ascii="Times New Roman" w:hAnsi="Times New Roman" w:cs="Times New Roman"/>
          <w:lang w:val="en-GB"/>
        </w:rPr>
        <w:t xml:space="preserve">average annual contributions to </w:t>
      </w:r>
      <w:r w:rsidR="00C75C24">
        <w:rPr>
          <w:rFonts w:ascii="Times New Roman" w:hAnsi="Times New Roman" w:cs="Times New Roman"/>
          <w:lang w:val="en-GB"/>
        </w:rPr>
        <w:t xml:space="preserve">female (top row) and male (bottom row) </w:t>
      </w:r>
      <w:r w:rsidR="00BC7BB3">
        <w:rPr>
          <w:rFonts w:ascii="Times New Roman" w:hAnsi="Times New Roman" w:cs="Times New Roman"/>
          <w:lang w:val="en-GB"/>
        </w:rPr>
        <w:t>life expectancy changes during 2015–2019 (</w:t>
      </w:r>
      <w:r w:rsidR="00435BCA">
        <w:rPr>
          <w:rFonts w:ascii="Times New Roman" w:hAnsi="Times New Roman" w:cs="Times New Roman"/>
          <w:lang w:val="en-GB"/>
        </w:rPr>
        <w:t>circles</w:t>
      </w:r>
      <w:r w:rsidR="00BC7BB3">
        <w:rPr>
          <w:rFonts w:ascii="Times New Roman" w:hAnsi="Times New Roman" w:cs="Times New Roman"/>
          <w:lang w:val="en-GB"/>
        </w:rPr>
        <w:t>)</w:t>
      </w:r>
      <w:r w:rsidR="00435BCA">
        <w:rPr>
          <w:rFonts w:ascii="Times New Roman" w:hAnsi="Times New Roman" w:cs="Times New Roman"/>
          <w:lang w:val="en-GB"/>
        </w:rPr>
        <w:t xml:space="preserve"> and 2019–2022 (triangles)</w:t>
      </w:r>
      <w:r w:rsidR="004F00BE">
        <w:rPr>
          <w:rFonts w:ascii="Times New Roman" w:hAnsi="Times New Roman" w:cs="Times New Roman"/>
          <w:lang w:val="en-GB"/>
        </w:rPr>
        <w:t xml:space="preserve"> </w:t>
      </w:r>
      <w:r w:rsidR="007E6702">
        <w:rPr>
          <w:rFonts w:ascii="Times New Roman" w:hAnsi="Times New Roman" w:cs="Times New Roman"/>
          <w:lang w:val="en-GB"/>
        </w:rPr>
        <w:t>for each cause of death</w:t>
      </w:r>
      <w:r w:rsidR="005E265C">
        <w:rPr>
          <w:rFonts w:ascii="Times New Roman" w:hAnsi="Times New Roman" w:cs="Times New Roman"/>
          <w:lang w:val="en-GB"/>
        </w:rPr>
        <w:t xml:space="preserve"> in months</w:t>
      </w:r>
      <w:r w:rsidR="00CB0916">
        <w:rPr>
          <w:rFonts w:ascii="Times New Roman" w:hAnsi="Times New Roman" w:cs="Times New Roman"/>
          <w:lang w:val="en-GB"/>
        </w:rPr>
        <w:t xml:space="preserve"> (see Figure 3-add-</w:t>
      </w:r>
      <w:r w:rsidR="00242554">
        <w:rPr>
          <w:rFonts w:ascii="Times New Roman" w:hAnsi="Times New Roman" w:cs="Times New Roman"/>
          <w:lang w:val="en-GB"/>
        </w:rPr>
        <w:t>S</w:t>
      </w:r>
      <w:r w:rsidR="00CB0916">
        <w:rPr>
          <w:rFonts w:ascii="Times New Roman" w:hAnsi="Times New Roman" w:cs="Times New Roman"/>
          <w:lang w:val="en-GB"/>
        </w:rPr>
        <w:t xml:space="preserve">1 </w:t>
      </w:r>
      <w:r w:rsidR="005A5279">
        <w:rPr>
          <w:rFonts w:ascii="Times New Roman" w:hAnsi="Times New Roman" w:cs="Times New Roman"/>
          <w:lang w:val="en-GB"/>
        </w:rPr>
        <w:t xml:space="preserve">in the </w:t>
      </w:r>
      <w:r w:rsidR="00C6446D">
        <w:rPr>
          <w:rFonts w:ascii="Times New Roman" w:hAnsi="Times New Roman" w:cs="Times New Roman"/>
          <w:lang w:val="en-GB"/>
        </w:rPr>
        <w:t>Supplementary Information</w:t>
      </w:r>
      <w:r w:rsidR="005A5279">
        <w:rPr>
          <w:rFonts w:ascii="Times New Roman" w:hAnsi="Times New Roman" w:cs="Times New Roman"/>
          <w:lang w:val="en-GB"/>
        </w:rPr>
        <w:t xml:space="preserve"> </w:t>
      </w:r>
      <w:r w:rsidR="00CB0916">
        <w:rPr>
          <w:rFonts w:ascii="Times New Roman" w:hAnsi="Times New Roman" w:cs="Times New Roman"/>
          <w:lang w:val="en-GB"/>
        </w:rPr>
        <w:t>for total cause-specific contributions to changes in life expectancy across 2015–2019 and 2019–2022</w:t>
      </w:r>
      <w:r w:rsidR="003F2CCE">
        <w:rPr>
          <w:rFonts w:ascii="Times New Roman" w:hAnsi="Times New Roman" w:cs="Times New Roman"/>
          <w:lang w:val="en-GB"/>
        </w:rPr>
        <w:t>)</w:t>
      </w:r>
      <w:r w:rsidR="00CB0916">
        <w:rPr>
          <w:rFonts w:ascii="Times New Roman" w:hAnsi="Times New Roman" w:cs="Times New Roman"/>
          <w:lang w:val="en-GB"/>
        </w:rPr>
        <w:t>.</w:t>
      </w:r>
      <w:r w:rsidR="00586C25">
        <w:rPr>
          <w:rFonts w:ascii="Times New Roman" w:hAnsi="Times New Roman" w:cs="Times New Roman"/>
          <w:lang w:val="en-GB"/>
        </w:rPr>
        <w:t xml:space="preserve"> </w:t>
      </w:r>
    </w:p>
    <w:p w14:paraId="2BB02F5E" w14:textId="0E5A6483" w:rsidR="00AB51CA" w:rsidRDefault="00C619C3" w:rsidP="00733774">
      <w:pPr>
        <w:spacing w:after="0" w:line="480" w:lineRule="auto"/>
        <w:jc w:val="both"/>
        <w:rPr>
          <w:rFonts w:ascii="Times New Roman" w:hAnsi="Times New Roman" w:cs="Times New Roman"/>
          <w:lang w:val="en-GB"/>
        </w:rPr>
      </w:pPr>
      <w:r w:rsidRPr="00C619C3">
        <w:rPr>
          <w:rFonts w:ascii="Times New Roman" w:hAnsi="Times New Roman" w:cs="Times New Roman"/>
          <w:noProof/>
          <w:lang w:val="en-GB"/>
        </w:rPr>
        <w:lastRenderedPageBreak/>
        <w:drawing>
          <wp:inline distT="0" distB="0" distL="0" distR="0" wp14:anchorId="3CCEA3E5" wp14:editId="23D4ED33">
            <wp:extent cx="5494020" cy="5494020"/>
            <wp:effectExtent l="0" t="0" r="0" b="0"/>
            <wp:docPr id="1516958376"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958376" name=""/>
                    <pic:cNvPicPr/>
                  </pic:nvPicPr>
                  <pic:blipFill>
                    <a:blip r:embed="rId6">
                      <a:extLst>
                        <a:ext uri="{96DAC541-7B7A-43D3-8B79-37D633B846F1}">
                          <asvg:svgBlip xmlns:asvg="http://schemas.microsoft.com/office/drawing/2016/SVG/main" r:embed="rId7"/>
                        </a:ext>
                      </a:extLst>
                    </a:blip>
                    <a:stretch>
                      <a:fillRect/>
                    </a:stretch>
                  </pic:blipFill>
                  <pic:spPr>
                    <a:xfrm>
                      <a:off x="0" y="0"/>
                      <a:ext cx="5494020" cy="5494020"/>
                    </a:xfrm>
                    <a:prstGeom prst="rect">
                      <a:avLst/>
                    </a:prstGeom>
                  </pic:spPr>
                </pic:pic>
              </a:graphicData>
            </a:graphic>
          </wp:inline>
        </w:drawing>
      </w:r>
    </w:p>
    <w:p w14:paraId="5690074C" w14:textId="2D7574C2" w:rsidR="001942CF" w:rsidRDefault="002D45B0" w:rsidP="00FE2DCD">
      <w:pPr>
        <w:spacing w:after="0" w:line="240" w:lineRule="auto"/>
        <w:jc w:val="both"/>
        <w:rPr>
          <w:rFonts w:ascii="Times New Roman" w:hAnsi="Times New Roman" w:cs="Times New Roman"/>
          <w:lang w:val="en-GB"/>
        </w:rPr>
      </w:pPr>
      <w:r w:rsidRPr="002D45B0">
        <w:rPr>
          <w:rFonts w:ascii="Times New Roman" w:hAnsi="Times New Roman" w:cs="Times New Roman"/>
          <w:b/>
          <w:lang w:val="en-GB"/>
        </w:rPr>
        <w:t>Figure 3-add-1.</w:t>
      </w:r>
      <w:r w:rsidR="005104FC">
        <w:rPr>
          <w:rFonts w:ascii="Times New Roman" w:hAnsi="Times New Roman" w:cs="Times New Roman"/>
          <w:b/>
          <w:lang w:val="en-GB"/>
        </w:rPr>
        <w:t xml:space="preserve"> </w:t>
      </w:r>
      <w:r w:rsidR="00661506" w:rsidRPr="000D7A24">
        <w:rPr>
          <w:rFonts w:ascii="Times New Roman" w:hAnsi="Times New Roman" w:cs="Times New Roman"/>
          <w:lang w:val="en-GB"/>
        </w:rPr>
        <w:t xml:space="preserve">Contribution of </w:t>
      </w:r>
      <w:r w:rsidR="004F2338" w:rsidRPr="000D7A24">
        <w:rPr>
          <w:rFonts w:ascii="Times New Roman" w:hAnsi="Times New Roman" w:cs="Times New Roman"/>
          <w:lang w:val="en-GB"/>
        </w:rPr>
        <w:t>seven causes of death to life expectancy stagnation in England and Wales and the USA</w:t>
      </w:r>
      <w:r w:rsidR="000B6BAB" w:rsidRPr="000D7A24">
        <w:rPr>
          <w:rFonts w:ascii="Times New Roman" w:hAnsi="Times New Roman" w:cs="Times New Roman"/>
          <w:lang w:val="en-GB"/>
        </w:rPr>
        <w:t xml:space="preserve"> in 2019–2022</w:t>
      </w:r>
      <w:r w:rsidR="004F2338" w:rsidRPr="000D7A24">
        <w:rPr>
          <w:rFonts w:ascii="Times New Roman" w:hAnsi="Times New Roman" w:cs="Times New Roman"/>
          <w:lang w:val="en-GB"/>
        </w:rPr>
        <w:t>.</w:t>
      </w:r>
      <w:r w:rsidR="004F2338">
        <w:rPr>
          <w:rFonts w:ascii="Times New Roman" w:hAnsi="Times New Roman" w:cs="Times New Roman"/>
          <w:b/>
          <w:lang w:val="en-GB"/>
        </w:rPr>
        <w:t xml:space="preserve"> </w:t>
      </w:r>
      <w:r w:rsidR="00661506" w:rsidRPr="00661506">
        <w:rPr>
          <w:rFonts w:ascii="Times New Roman" w:hAnsi="Times New Roman" w:cs="Times New Roman"/>
          <w:i/>
          <w:lang w:val="en-GB"/>
        </w:rPr>
        <w:t>Note:</w:t>
      </w:r>
      <w:r w:rsidR="00661506">
        <w:rPr>
          <w:rFonts w:ascii="Times New Roman" w:hAnsi="Times New Roman" w:cs="Times New Roman"/>
          <w:i/>
          <w:lang w:val="en-GB"/>
        </w:rPr>
        <w:t xml:space="preserve"> </w:t>
      </w:r>
      <w:r w:rsidR="00C378C9">
        <w:rPr>
          <w:rFonts w:ascii="Times New Roman" w:hAnsi="Times New Roman" w:cs="Times New Roman"/>
          <w:lang w:val="en-GB"/>
        </w:rPr>
        <w:t>bars represent difference between triangles (</w:t>
      </w:r>
      <w:r w:rsidR="00EE739C">
        <w:rPr>
          <w:rFonts w:ascii="Times New Roman" w:hAnsi="Times New Roman" w:cs="Times New Roman"/>
          <w:lang w:val="en-GB"/>
        </w:rPr>
        <w:t>average annual contribution to life expectancy change in 2019–2022</w:t>
      </w:r>
      <w:r w:rsidR="00C378C9">
        <w:rPr>
          <w:rFonts w:ascii="Times New Roman" w:hAnsi="Times New Roman" w:cs="Times New Roman"/>
          <w:lang w:val="en-GB"/>
        </w:rPr>
        <w:t>) and circles (</w:t>
      </w:r>
      <w:r w:rsidR="00EE739C">
        <w:rPr>
          <w:rFonts w:ascii="Times New Roman" w:hAnsi="Times New Roman" w:cs="Times New Roman"/>
          <w:lang w:val="en-GB"/>
        </w:rPr>
        <w:t>average annual contribution to life expectancy change in 2015–2019</w:t>
      </w:r>
      <w:r w:rsidR="00C378C9">
        <w:rPr>
          <w:rFonts w:ascii="Times New Roman" w:hAnsi="Times New Roman" w:cs="Times New Roman"/>
          <w:lang w:val="en-GB"/>
        </w:rPr>
        <w:t>)</w:t>
      </w:r>
      <w:r w:rsidR="003C6C62">
        <w:rPr>
          <w:rFonts w:ascii="Times New Roman" w:hAnsi="Times New Roman" w:cs="Times New Roman"/>
          <w:lang w:val="en-GB"/>
        </w:rPr>
        <w:t xml:space="preserve"> in months</w:t>
      </w:r>
      <w:r w:rsidR="00EE739C">
        <w:rPr>
          <w:rFonts w:ascii="Times New Roman" w:hAnsi="Times New Roman" w:cs="Times New Roman"/>
          <w:lang w:val="en-GB"/>
        </w:rPr>
        <w:t>.</w:t>
      </w:r>
      <w:r w:rsidR="004C4E3F">
        <w:rPr>
          <w:rFonts w:ascii="Times New Roman" w:hAnsi="Times New Roman" w:cs="Times New Roman"/>
          <w:lang w:val="en-GB"/>
        </w:rPr>
        <w:t xml:space="preserve"> </w:t>
      </w:r>
      <w:r w:rsidR="0025473D" w:rsidRPr="0025473D">
        <w:rPr>
          <w:rFonts w:ascii="Times New Roman" w:hAnsi="Times New Roman" w:cs="Times New Roman"/>
          <w:lang w:val="en-GB"/>
        </w:rPr>
        <w:t xml:space="preserve">Negative </w:t>
      </w:r>
      <w:r w:rsidR="00784102">
        <w:rPr>
          <w:rFonts w:ascii="Times New Roman" w:hAnsi="Times New Roman" w:cs="Times New Roman"/>
          <w:lang w:val="en-GB"/>
        </w:rPr>
        <w:t>bars</w:t>
      </w:r>
      <w:r w:rsidR="0025473D" w:rsidRPr="0025473D">
        <w:rPr>
          <w:rFonts w:ascii="Times New Roman" w:hAnsi="Times New Roman" w:cs="Times New Roman"/>
          <w:lang w:val="en-GB"/>
        </w:rPr>
        <w:t xml:space="preserve"> = cause of death contributed to life expectancy stagnation.</w:t>
      </w:r>
      <w:r w:rsidR="0025473D">
        <w:rPr>
          <w:rFonts w:ascii="Times New Roman" w:hAnsi="Times New Roman" w:cs="Times New Roman"/>
          <w:lang w:val="en-GB"/>
        </w:rPr>
        <w:t xml:space="preserve"> </w:t>
      </w:r>
      <w:r w:rsidR="0025473D" w:rsidRPr="0025473D">
        <w:rPr>
          <w:rFonts w:ascii="Times New Roman" w:hAnsi="Times New Roman" w:cs="Times New Roman"/>
          <w:lang w:val="en-GB"/>
        </w:rPr>
        <w:t xml:space="preserve">Positive </w:t>
      </w:r>
      <w:r w:rsidR="00784102">
        <w:rPr>
          <w:rFonts w:ascii="Times New Roman" w:hAnsi="Times New Roman" w:cs="Times New Roman"/>
          <w:lang w:val="en-GB"/>
        </w:rPr>
        <w:t>bars</w:t>
      </w:r>
      <w:r w:rsidR="0025473D" w:rsidRPr="0025473D">
        <w:rPr>
          <w:rFonts w:ascii="Times New Roman" w:hAnsi="Times New Roman" w:cs="Times New Roman"/>
          <w:lang w:val="en-GB"/>
        </w:rPr>
        <w:t xml:space="preserve"> = cause of death offset life expectancy stagnation</w:t>
      </w:r>
      <w:r w:rsidR="0025473D">
        <w:rPr>
          <w:rFonts w:ascii="Times New Roman" w:hAnsi="Times New Roman" w:cs="Times New Roman"/>
          <w:lang w:val="en-GB"/>
        </w:rPr>
        <w:t>.</w:t>
      </w:r>
      <w:r w:rsidR="00625D78">
        <w:rPr>
          <w:rFonts w:ascii="Times New Roman" w:hAnsi="Times New Roman" w:cs="Times New Roman"/>
          <w:lang w:val="en-GB"/>
        </w:rPr>
        <w:t xml:space="preserve"> Sum of bars </w:t>
      </w:r>
      <w:r w:rsidR="006B62CF">
        <w:rPr>
          <w:rFonts w:ascii="Times New Roman" w:hAnsi="Times New Roman" w:cs="Times New Roman"/>
          <w:lang w:val="en-GB"/>
        </w:rPr>
        <w:t>equals</w:t>
      </w:r>
      <w:r w:rsidR="00625D78">
        <w:rPr>
          <w:rFonts w:ascii="Times New Roman" w:hAnsi="Times New Roman" w:cs="Times New Roman"/>
          <w:lang w:val="en-GB"/>
        </w:rPr>
        <w:t xml:space="preserve"> total </w:t>
      </w:r>
      <w:r w:rsidR="006B1B4B">
        <w:rPr>
          <w:rFonts w:ascii="Times New Roman" w:hAnsi="Times New Roman" w:cs="Times New Roman"/>
          <w:lang w:val="en-GB"/>
        </w:rPr>
        <w:t xml:space="preserve">annual </w:t>
      </w:r>
      <w:r w:rsidR="00625D78">
        <w:rPr>
          <w:rFonts w:ascii="Times New Roman" w:hAnsi="Times New Roman" w:cs="Times New Roman"/>
          <w:lang w:val="en-GB"/>
        </w:rPr>
        <w:t>life expectancy stagnation</w:t>
      </w:r>
      <w:r w:rsidR="006B1B4B">
        <w:rPr>
          <w:rFonts w:ascii="Times New Roman" w:hAnsi="Times New Roman" w:cs="Times New Roman"/>
          <w:lang w:val="en-GB"/>
        </w:rPr>
        <w:t xml:space="preserve"> in 2019–2022</w:t>
      </w:r>
      <w:r w:rsidR="00625D78">
        <w:rPr>
          <w:rFonts w:ascii="Times New Roman" w:hAnsi="Times New Roman" w:cs="Times New Roman"/>
          <w:lang w:val="en-GB"/>
        </w:rPr>
        <w:t>.</w:t>
      </w:r>
      <w:r w:rsidR="00661506">
        <w:rPr>
          <w:rFonts w:ascii="Times New Roman" w:hAnsi="Times New Roman" w:cs="Times New Roman"/>
          <w:lang w:val="en-GB"/>
        </w:rPr>
        <w:t xml:space="preserve"> </w:t>
      </w:r>
      <w:r w:rsidR="00661506" w:rsidRPr="001942CF">
        <w:rPr>
          <w:rFonts w:ascii="Times New Roman" w:hAnsi="Times New Roman" w:cs="Times New Roman"/>
          <w:i/>
          <w:lang w:val="en-GB"/>
        </w:rPr>
        <w:t>Source</w:t>
      </w:r>
      <w:r w:rsidR="00661506">
        <w:rPr>
          <w:rFonts w:ascii="Times New Roman" w:hAnsi="Times New Roman" w:cs="Times New Roman"/>
          <w:i/>
          <w:lang w:val="en-GB"/>
        </w:rPr>
        <w:t xml:space="preserve">: </w:t>
      </w:r>
      <w:r w:rsidR="00661506">
        <w:rPr>
          <w:rFonts w:ascii="Times New Roman" w:hAnsi="Times New Roman" w:cs="Times New Roman"/>
          <w:lang w:val="en-GB"/>
        </w:rPr>
        <w:t>see Chapter 3.</w:t>
      </w:r>
    </w:p>
    <w:p w14:paraId="61F6993D" w14:textId="77777777" w:rsidR="00661506" w:rsidRDefault="00661506" w:rsidP="00733774">
      <w:pPr>
        <w:spacing w:after="0" w:line="480" w:lineRule="auto"/>
        <w:jc w:val="both"/>
        <w:rPr>
          <w:rFonts w:ascii="Times New Roman" w:hAnsi="Times New Roman" w:cs="Times New Roman"/>
          <w:lang w:val="en-GB"/>
        </w:rPr>
      </w:pPr>
    </w:p>
    <w:p w14:paraId="1B2BB222" w14:textId="1AFA78CF" w:rsidR="00273A0A" w:rsidRDefault="004F00BE" w:rsidP="00733774">
      <w:pPr>
        <w:spacing w:after="0" w:line="480" w:lineRule="auto"/>
        <w:jc w:val="both"/>
        <w:rPr>
          <w:rFonts w:ascii="Times New Roman" w:hAnsi="Times New Roman" w:cs="Times New Roman"/>
          <w:lang w:val="en-GB"/>
        </w:rPr>
      </w:pPr>
      <w:r>
        <w:rPr>
          <w:rFonts w:ascii="Times New Roman" w:hAnsi="Times New Roman" w:cs="Times New Roman"/>
          <w:lang w:val="en-GB"/>
        </w:rPr>
        <w:t xml:space="preserve">The circles </w:t>
      </w:r>
      <w:r w:rsidR="005A77F0">
        <w:rPr>
          <w:rFonts w:ascii="Times New Roman" w:hAnsi="Times New Roman" w:cs="Times New Roman"/>
          <w:lang w:val="en-GB"/>
        </w:rPr>
        <w:t xml:space="preserve">in Figure 3-add-1 </w:t>
      </w:r>
      <w:r>
        <w:rPr>
          <w:rFonts w:ascii="Times New Roman" w:hAnsi="Times New Roman" w:cs="Times New Roman"/>
          <w:lang w:val="en-GB"/>
        </w:rPr>
        <w:t xml:space="preserve">correspond to the tiles for 2015–2019 in Figures 3-1 and 3-2 in Chapter 3, while the triangles correspond to the average of the tiles for 2019–2020, 2020–2021, and 2021–2022. </w:t>
      </w:r>
      <w:r w:rsidR="00101668">
        <w:rPr>
          <w:rFonts w:ascii="Times New Roman" w:hAnsi="Times New Roman" w:cs="Times New Roman"/>
          <w:lang w:val="en-GB"/>
        </w:rPr>
        <w:t xml:space="preserve">For the analysis in this </w:t>
      </w:r>
      <w:r w:rsidR="00A1185E">
        <w:rPr>
          <w:rFonts w:ascii="Times New Roman" w:hAnsi="Times New Roman" w:cs="Times New Roman"/>
          <w:lang w:val="en-GB"/>
        </w:rPr>
        <w:t>A</w:t>
      </w:r>
      <w:r w:rsidR="00101668">
        <w:rPr>
          <w:rFonts w:ascii="Times New Roman" w:hAnsi="Times New Roman" w:cs="Times New Roman"/>
          <w:lang w:val="en-GB"/>
        </w:rPr>
        <w:t xml:space="preserve">ddendum, </w:t>
      </w:r>
      <w:r w:rsidR="00690ADD">
        <w:rPr>
          <w:rFonts w:ascii="Times New Roman" w:hAnsi="Times New Roman" w:cs="Times New Roman"/>
          <w:lang w:val="en-GB"/>
        </w:rPr>
        <w:t>I</w:t>
      </w:r>
      <w:r w:rsidR="006134AB">
        <w:rPr>
          <w:rFonts w:ascii="Times New Roman" w:hAnsi="Times New Roman" w:cs="Times New Roman"/>
          <w:lang w:val="en-GB"/>
        </w:rPr>
        <w:t xml:space="preserve"> focus on England and Wales only, instead of all UK countries, since </w:t>
      </w:r>
      <w:r w:rsidR="003E23A9">
        <w:rPr>
          <w:rFonts w:ascii="Times New Roman" w:hAnsi="Times New Roman" w:cs="Times New Roman"/>
          <w:lang w:val="en-GB"/>
        </w:rPr>
        <w:t xml:space="preserve">cause-of-death data through 2022 were </w:t>
      </w:r>
      <w:r w:rsidR="00113FBB">
        <w:rPr>
          <w:rFonts w:ascii="Times New Roman" w:hAnsi="Times New Roman" w:cs="Times New Roman"/>
          <w:lang w:val="en-GB"/>
        </w:rPr>
        <w:t>not available for Northern Ireland and Scotland</w:t>
      </w:r>
      <w:r w:rsidR="003E23A9">
        <w:rPr>
          <w:rFonts w:ascii="Times New Roman" w:hAnsi="Times New Roman" w:cs="Times New Roman"/>
          <w:lang w:val="en-GB"/>
        </w:rPr>
        <w:t xml:space="preserve">. </w:t>
      </w:r>
      <w:r w:rsidR="00037664">
        <w:rPr>
          <w:rFonts w:ascii="Times New Roman" w:hAnsi="Times New Roman" w:cs="Times New Roman"/>
          <w:lang w:val="en-GB"/>
        </w:rPr>
        <w:t xml:space="preserve">Moreover, </w:t>
      </w:r>
      <w:r w:rsidR="003E23A9">
        <w:rPr>
          <w:rFonts w:ascii="Times New Roman" w:hAnsi="Times New Roman" w:cs="Times New Roman"/>
          <w:lang w:val="en-GB"/>
        </w:rPr>
        <w:t xml:space="preserve">I combined the causes “acute </w:t>
      </w:r>
      <w:r w:rsidR="003E23A9">
        <w:rPr>
          <w:rFonts w:ascii="Times New Roman" w:hAnsi="Times New Roman" w:cs="Times New Roman"/>
          <w:lang w:val="en-GB"/>
        </w:rPr>
        <w:lastRenderedPageBreak/>
        <w:t xml:space="preserve">cardiovascular disease” and “other </w:t>
      </w:r>
      <w:r w:rsidR="003E23A9" w:rsidRPr="00D07AFF">
        <w:rPr>
          <w:rFonts w:ascii="Times New Roman" w:hAnsi="Times New Roman" w:cs="Times New Roman"/>
          <w:lang w:val="en-GB"/>
        </w:rPr>
        <w:t xml:space="preserve">cardiovascular disease” into one category </w:t>
      </w:r>
      <w:r w:rsidR="003337B8" w:rsidRPr="00D07AFF">
        <w:rPr>
          <w:rFonts w:ascii="Times New Roman" w:hAnsi="Times New Roman" w:cs="Times New Roman"/>
          <w:lang w:val="en-GB"/>
        </w:rPr>
        <w:t>“cardiovascular disease,” and I combined the causes “</w:t>
      </w:r>
      <w:r w:rsidR="00834A06" w:rsidRPr="00D07AFF">
        <w:rPr>
          <w:rFonts w:ascii="Times New Roman" w:hAnsi="Times New Roman" w:cs="Times New Roman"/>
          <w:lang w:val="en-GB"/>
        </w:rPr>
        <w:t>cancer</w:t>
      </w:r>
      <w:r w:rsidR="003337B8" w:rsidRPr="00D07AFF">
        <w:rPr>
          <w:rFonts w:ascii="Times New Roman" w:hAnsi="Times New Roman" w:cs="Times New Roman"/>
          <w:lang w:val="en-GB"/>
        </w:rPr>
        <w:t>,” “</w:t>
      </w:r>
      <w:r w:rsidR="00834A06" w:rsidRPr="00D07AFF">
        <w:rPr>
          <w:rFonts w:ascii="Times New Roman" w:hAnsi="Times New Roman" w:cs="Times New Roman"/>
          <w:lang w:val="en-GB"/>
        </w:rPr>
        <w:t>acute respiratory</w:t>
      </w:r>
      <w:r w:rsidR="003337B8" w:rsidRPr="00D07AFF">
        <w:rPr>
          <w:rFonts w:ascii="Times New Roman" w:hAnsi="Times New Roman" w:cs="Times New Roman"/>
          <w:lang w:val="en-GB"/>
        </w:rPr>
        <w:t>,” “</w:t>
      </w:r>
      <w:r w:rsidR="00834A06" w:rsidRPr="00D07AFF">
        <w:rPr>
          <w:rFonts w:ascii="Times New Roman" w:hAnsi="Times New Roman" w:cs="Times New Roman"/>
          <w:lang w:val="en-GB"/>
        </w:rPr>
        <w:t>COPD,</w:t>
      </w:r>
      <w:r w:rsidR="003337B8" w:rsidRPr="00D07AFF">
        <w:rPr>
          <w:rFonts w:ascii="Times New Roman" w:hAnsi="Times New Roman" w:cs="Times New Roman"/>
          <w:lang w:val="en-GB"/>
        </w:rPr>
        <w:t>”</w:t>
      </w:r>
      <w:r w:rsidR="00834A06" w:rsidRPr="00D07AFF">
        <w:rPr>
          <w:rFonts w:ascii="Times New Roman" w:hAnsi="Times New Roman" w:cs="Times New Roman"/>
          <w:lang w:val="en-GB"/>
        </w:rPr>
        <w:t xml:space="preserve"> “infectious,” and “residual” into one category “residual.” I did not aggregate external and substance-related causes of death</w:t>
      </w:r>
      <w:r w:rsidR="002B6793" w:rsidRPr="00D07AFF">
        <w:rPr>
          <w:rFonts w:ascii="Times New Roman" w:hAnsi="Times New Roman" w:cs="Times New Roman"/>
          <w:lang w:val="en-GB"/>
        </w:rPr>
        <w:t>. This allows</w:t>
      </w:r>
      <w:r w:rsidR="002B6793">
        <w:rPr>
          <w:rFonts w:ascii="Times New Roman" w:hAnsi="Times New Roman" w:cs="Times New Roman"/>
          <w:lang w:val="en-GB"/>
        </w:rPr>
        <w:t xml:space="preserve"> me to</w:t>
      </w:r>
      <w:r w:rsidR="00834A06">
        <w:rPr>
          <w:rFonts w:ascii="Times New Roman" w:hAnsi="Times New Roman" w:cs="Times New Roman"/>
          <w:lang w:val="en-GB"/>
        </w:rPr>
        <w:t xml:space="preserve"> investigate their individual </w:t>
      </w:r>
      <w:r w:rsidR="000F4159">
        <w:rPr>
          <w:rFonts w:ascii="Times New Roman" w:hAnsi="Times New Roman" w:cs="Times New Roman"/>
          <w:lang w:val="en-GB"/>
        </w:rPr>
        <w:t xml:space="preserve">and combined </w:t>
      </w:r>
      <w:r w:rsidR="00834A06">
        <w:rPr>
          <w:rFonts w:ascii="Times New Roman" w:hAnsi="Times New Roman" w:cs="Times New Roman"/>
          <w:lang w:val="en-GB"/>
        </w:rPr>
        <w:t>contributions to life expectancy stagnation and divergence, in line with the main research question of this dissertation</w:t>
      </w:r>
      <w:r w:rsidR="00586C25">
        <w:rPr>
          <w:rFonts w:ascii="Times New Roman" w:hAnsi="Times New Roman" w:cs="Times New Roman"/>
          <w:lang w:val="en-GB"/>
        </w:rPr>
        <w:t>.</w:t>
      </w:r>
    </w:p>
    <w:p w14:paraId="22BA3A07" w14:textId="77777777" w:rsidR="003E23A9" w:rsidRDefault="003E23A9" w:rsidP="00733774">
      <w:pPr>
        <w:spacing w:after="0" w:line="480" w:lineRule="auto"/>
        <w:jc w:val="both"/>
        <w:rPr>
          <w:rFonts w:ascii="Times New Roman" w:hAnsi="Times New Roman" w:cs="Times New Roman"/>
          <w:lang w:val="en-GB"/>
        </w:rPr>
      </w:pPr>
    </w:p>
    <w:p w14:paraId="3711A858" w14:textId="384F0D7A" w:rsidR="00317BD7" w:rsidRDefault="003E23A9" w:rsidP="000E0F20">
      <w:pPr>
        <w:spacing w:after="0" w:line="480" w:lineRule="auto"/>
        <w:jc w:val="both"/>
        <w:rPr>
          <w:rFonts w:ascii="Times New Roman" w:hAnsi="Times New Roman" w:cs="Times New Roman"/>
          <w:lang w:val="en-GB"/>
        </w:rPr>
      </w:pPr>
      <w:r>
        <w:rPr>
          <w:rFonts w:ascii="Times New Roman" w:hAnsi="Times New Roman" w:cs="Times New Roman"/>
          <w:lang w:val="en-GB"/>
        </w:rPr>
        <w:t xml:space="preserve">According to Figure 3-add-1, changes in </w:t>
      </w:r>
      <w:r w:rsidR="00834A06">
        <w:rPr>
          <w:rFonts w:ascii="Times New Roman" w:hAnsi="Times New Roman" w:cs="Times New Roman"/>
          <w:lang w:val="en-GB"/>
        </w:rPr>
        <w:t xml:space="preserve">CVD mortality during 2015–2019 added an average of </w:t>
      </w:r>
      <w:r w:rsidR="00CA37D4">
        <w:rPr>
          <w:rFonts w:ascii="Times New Roman" w:hAnsi="Times New Roman" w:cs="Times New Roman"/>
          <w:lang w:val="en-GB"/>
        </w:rPr>
        <w:t>around</w:t>
      </w:r>
      <w:r w:rsidR="00E4483D">
        <w:rPr>
          <w:rFonts w:ascii="Times New Roman" w:hAnsi="Times New Roman" w:cs="Times New Roman"/>
          <w:lang w:val="en-GB"/>
        </w:rPr>
        <w:t xml:space="preserve"> </w:t>
      </w:r>
      <w:r w:rsidR="00CA37D4">
        <w:rPr>
          <w:rFonts w:ascii="Times New Roman" w:hAnsi="Times New Roman" w:cs="Times New Roman"/>
          <w:lang w:val="en-GB"/>
        </w:rPr>
        <w:t xml:space="preserve">one </w:t>
      </w:r>
      <w:r w:rsidR="00E4483D">
        <w:rPr>
          <w:rFonts w:ascii="Times New Roman" w:hAnsi="Times New Roman" w:cs="Times New Roman"/>
          <w:lang w:val="en-GB"/>
        </w:rPr>
        <w:t>month</w:t>
      </w:r>
      <w:r w:rsidR="00264928">
        <w:rPr>
          <w:rFonts w:ascii="Times New Roman" w:hAnsi="Times New Roman" w:cs="Times New Roman"/>
          <w:lang w:val="en-GB"/>
        </w:rPr>
        <w:t xml:space="preserve"> per </w:t>
      </w:r>
      <w:r w:rsidR="00361FA2">
        <w:rPr>
          <w:rFonts w:ascii="Times New Roman" w:hAnsi="Times New Roman" w:cs="Times New Roman"/>
          <w:lang w:val="en-GB"/>
        </w:rPr>
        <w:t>annum</w:t>
      </w:r>
      <w:r w:rsidR="00E4483D">
        <w:rPr>
          <w:rFonts w:ascii="Times New Roman" w:hAnsi="Times New Roman" w:cs="Times New Roman"/>
          <w:lang w:val="en-GB"/>
        </w:rPr>
        <w:t xml:space="preserve"> </w:t>
      </w:r>
      <w:r w:rsidR="00264928">
        <w:rPr>
          <w:rFonts w:ascii="Times New Roman" w:hAnsi="Times New Roman" w:cs="Times New Roman"/>
          <w:lang w:val="en-GB"/>
        </w:rPr>
        <w:t>to female</w:t>
      </w:r>
      <w:r w:rsidR="00CA37D4">
        <w:rPr>
          <w:rFonts w:ascii="Times New Roman" w:hAnsi="Times New Roman" w:cs="Times New Roman"/>
          <w:lang w:val="en-GB"/>
        </w:rPr>
        <w:t xml:space="preserve"> life expectancy</w:t>
      </w:r>
      <w:r w:rsidR="00264928">
        <w:rPr>
          <w:rFonts w:ascii="Times New Roman" w:hAnsi="Times New Roman" w:cs="Times New Roman"/>
          <w:lang w:val="en-GB"/>
        </w:rPr>
        <w:t xml:space="preserve"> in England and Wales</w:t>
      </w:r>
      <w:r w:rsidR="00401A28">
        <w:rPr>
          <w:rFonts w:ascii="Times New Roman" w:hAnsi="Times New Roman" w:cs="Times New Roman"/>
          <w:lang w:val="en-GB"/>
        </w:rPr>
        <w:t xml:space="preserve"> (circle)</w:t>
      </w:r>
      <w:r w:rsidR="00CA37D4">
        <w:rPr>
          <w:rFonts w:ascii="Times New Roman" w:hAnsi="Times New Roman" w:cs="Times New Roman"/>
          <w:lang w:val="en-GB"/>
        </w:rPr>
        <w:t>.</w:t>
      </w:r>
      <w:r w:rsidR="00264928">
        <w:rPr>
          <w:rFonts w:ascii="Times New Roman" w:hAnsi="Times New Roman" w:cs="Times New Roman"/>
          <w:lang w:val="en-GB"/>
        </w:rPr>
        <w:t xml:space="preserve"> However, across 2019–2022, changes in CVD mortality resulted in an average life expectancy loss of </w:t>
      </w:r>
      <w:r w:rsidR="00E03C01">
        <w:rPr>
          <w:rFonts w:ascii="Times New Roman" w:hAnsi="Times New Roman" w:cs="Times New Roman"/>
          <w:lang w:val="en-GB"/>
        </w:rPr>
        <w:t xml:space="preserve">around </w:t>
      </w:r>
      <w:r w:rsidR="00971890">
        <w:rPr>
          <w:rFonts w:ascii="Times New Roman" w:hAnsi="Times New Roman" w:cs="Times New Roman"/>
          <w:lang w:val="en-GB"/>
        </w:rPr>
        <w:t xml:space="preserve">half a </w:t>
      </w:r>
      <w:r w:rsidR="00264928">
        <w:rPr>
          <w:rFonts w:ascii="Times New Roman" w:hAnsi="Times New Roman" w:cs="Times New Roman"/>
          <w:lang w:val="en-GB"/>
        </w:rPr>
        <w:t xml:space="preserve">month per </w:t>
      </w:r>
      <w:r w:rsidR="00361FA2">
        <w:rPr>
          <w:rFonts w:ascii="Times New Roman" w:hAnsi="Times New Roman" w:cs="Times New Roman"/>
          <w:lang w:val="en-GB"/>
        </w:rPr>
        <w:t>annum</w:t>
      </w:r>
      <w:r w:rsidR="00401A28">
        <w:rPr>
          <w:rFonts w:ascii="Times New Roman" w:hAnsi="Times New Roman" w:cs="Times New Roman"/>
          <w:lang w:val="en-GB"/>
        </w:rPr>
        <w:t xml:space="preserve"> (triangle)</w:t>
      </w:r>
      <w:r w:rsidR="00264928">
        <w:rPr>
          <w:rFonts w:ascii="Times New Roman" w:hAnsi="Times New Roman" w:cs="Times New Roman"/>
          <w:lang w:val="en-GB"/>
        </w:rPr>
        <w:t xml:space="preserve">. </w:t>
      </w:r>
      <w:r w:rsidR="00643CB6">
        <w:rPr>
          <w:rFonts w:ascii="Times New Roman" w:hAnsi="Times New Roman" w:cs="Times New Roman"/>
          <w:lang w:val="en-GB"/>
        </w:rPr>
        <w:t xml:space="preserve">Thus, </w:t>
      </w:r>
      <w:r w:rsidR="00F04454">
        <w:rPr>
          <w:rFonts w:ascii="Times New Roman" w:hAnsi="Times New Roman" w:cs="Times New Roman"/>
          <w:lang w:val="en-GB"/>
        </w:rPr>
        <w:t xml:space="preserve">for each pandemic year, </w:t>
      </w:r>
      <w:r w:rsidR="00C835F1">
        <w:rPr>
          <w:rFonts w:ascii="Times New Roman" w:hAnsi="Times New Roman" w:cs="Times New Roman"/>
          <w:lang w:val="en-GB"/>
        </w:rPr>
        <w:t>deviation from the pre-pandemic CVD mortality trend</w:t>
      </w:r>
      <w:r w:rsidR="00D17F3E">
        <w:rPr>
          <w:rFonts w:ascii="Times New Roman" w:hAnsi="Times New Roman" w:cs="Times New Roman"/>
          <w:lang w:val="en-GB"/>
        </w:rPr>
        <w:t xml:space="preserve"> </w:t>
      </w:r>
      <w:r w:rsidR="00576321">
        <w:rPr>
          <w:rFonts w:ascii="Times New Roman" w:hAnsi="Times New Roman" w:cs="Times New Roman"/>
          <w:lang w:val="en-GB"/>
        </w:rPr>
        <w:t>contributed</w:t>
      </w:r>
      <w:r w:rsidR="00C835F1">
        <w:rPr>
          <w:rFonts w:ascii="Times New Roman" w:hAnsi="Times New Roman" w:cs="Times New Roman"/>
          <w:lang w:val="en-GB"/>
        </w:rPr>
        <w:t xml:space="preserve"> </w:t>
      </w:r>
      <w:r w:rsidR="007321C0">
        <w:rPr>
          <w:rFonts w:ascii="Times New Roman" w:hAnsi="Times New Roman" w:cs="Times New Roman"/>
          <w:lang w:val="en-GB"/>
        </w:rPr>
        <w:t>-</w:t>
      </w:r>
      <w:r w:rsidR="00DA62B9">
        <w:rPr>
          <w:rFonts w:ascii="Times New Roman" w:hAnsi="Times New Roman" w:cs="Times New Roman"/>
          <w:lang w:val="en-GB"/>
        </w:rPr>
        <w:t>1.5 months</w:t>
      </w:r>
      <w:r w:rsidR="00B87227">
        <w:rPr>
          <w:rFonts w:ascii="Times New Roman" w:hAnsi="Times New Roman" w:cs="Times New Roman"/>
          <w:lang w:val="en-GB"/>
        </w:rPr>
        <w:t xml:space="preserve"> </w:t>
      </w:r>
      <w:r w:rsidR="00576321">
        <w:rPr>
          <w:rFonts w:ascii="Times New Roman" w:hAnsi="Times New Roman" w:cs="Times New Roman"/>
          <w:lang w:val="en-GB"/>
        </w:rPr>
        <w:t>to</w:t>
      </w:r>
      <w:r w:rsidR="00B87227">
        <w:rPr>
          <w:rFonts w:ascii="Times New Roman" w:hAnsi="Times New Roman" w:cs="Times New Roman"/>
          <w:lang w:val="en-GB"/>
        </w:rPr>
        <w:t xml:space="preserve"> </w:t>
      </w:r>
      <w:r w:rsidR="00317BD7">
        <w:rPr>
          <w:rFonts w:ascii="Times New Roman" w:hAnsi="Times New Roman" w:cs="Times New Roman"/>
          <w:lang w:val="en-GB"/>
        </w:rPr>
        <w:t xml:space="preserve">the total stagnation of </w:t>
      </w:r>
      <w:r w:rsidR="00857004">
        <w:rPr>
          <w:rFonts w:ascii="Times New Roman" w:hAnsi="Times New Roman" w:cs="Times New Roman"/>
          <w:lang w:val="en-GB"/>
        </w:rPr>
        <w:t xml:space="preserve">around </w:t>
      </w:r>
      <w:r w:rsidR="00DE1E72">
        <w:rPr>
          <w:rFonts w:ascii="Times New Roman" w:hAnsi="Times New Roman" w:cs="Times New Roman"/>
          <w:lang w:val="en-GB"/>
        </w:rPr>
        <w:t>-</w:t>
      </w:r>
      <w:r w:rsidR="00B6269E">
        <w:rPr>
          <w:rFonts w:ascii="Times New Roman" w:hAnsi="Times New Roman" w:cs="Times New Roman"/>
          <w:lang w:val="en-GB"/>
        </w:rPr>
        <w:t>4</w:t>
      </w:r>
      <w:r w:rsidR="00857004">
        <w:rPr>
          <w:rFonts w:ascii="Times New Roman" w:hAnsi="Times New Roman" w:cs="Times New Roman"/>
          <w:lang w:val="en-GB"/>
        </w:rPr>
        <w:t xml:space="preserve"> months</w:t>
      </w:r>
      <w:r w:rsidR="00DE1E72">
        <w:rPr>
          <w:rFonts w:ascii="Times New Roman" w:hAnsi="Times New Roman" w:cs="Times New Roman"/>
          <w:lang w:val="en-GB"/>
        </w:rPr>
        <w:t xml:space="preserve"> per annum</w:t>
      </w:r>
      <w:r w:rsidR="00401A28">
        <w:rPr>
          <w:rFonts w:ascii="Times New Roman" w:hAnsi="Times New Roman" w:cs="Times New Roman"/>
          <w:lang w:val="en-GB"/>
        </w:rPr>
        <w:t>, as represented by the blue bar</w:t>
      </w:r>
      <w:r w:rsidR="00C51AE1">
        <w:rPr>
          <w:rFonts w:ascii="Times New Roman" w:hAnsi="Times New Roman" w:cs="Times New Roman"/>
          <w:lang w:val="en-GB"/>
        </w:rPr>
        <w:t xml:space="preserve"> (see also Table 3-add-</w:t>
      </w:r>
      <w:r w:rsidR="007D7A40">
        <w:rPr>
          <w:rFonts w:ascii="Times New Roman" w:hAnsi="Times New Roman" w:cs="Times New Roman"/>
          <w:lang w:val="en-GB"/>
        </w:rPr>
        <w:t>S</w:t>
      </w:r>
      <w:r w:rsidR="00C51AE1">
        <w:rPr>
          <w:rFonts w:ascii="Times New Roman" w:hAnsi="Times New Roman" w:cs="Times New Roman"/>
          <w:lang w:val="en-GB"/>
        </w:rPr>
        <w:t xml:space="preserve">1 in the </w:t>
      </w:r>
      <w:r w:rsidR="007D7A40">
        <w:rPr>
          <w:rFonts w:ascii="Times New Roman" w:hAnsi="Times New Roman" w:cs="Times New Roman"/>
          <w:lang w:val="en-GB"/>
        </w:rPr>
        <w:t>Supplementary Information</w:t>
      </w:r>
      <w:r w:rsidR="00C51AE1">
        <w:rPr>
          <w:rFonts w:ascii="Times New Roman" w:hAnsi="Times New Roman" w:cs="Times New Roman"/>
          <w:lang w:val="en-GB"/>
        </w:rPr>
        <w:t>)</w:t>
      </w:r>
      <w:r w:rsidR="00317BD7">
        <w:rPr>
          <w:rFonts w:ascii="Times New Roman" w:hAnsi="Times New Roman" w:cs="Times New Roman"/>
          <w:lang w:val="en-GB"/>
        </w:rPr>
        <w:t>.</w:t>
      </w:r>
      <w:r w:rsidR="00E13BEF">
        <w:rPr>
          <w:rFonts w:ascii="Times New Roman" w:hAnsi="Times New Roman" w:cs="Times New Roman"/>
          <w:lang w:val="en-GB"/>
        </w:rPr>
        <w:t xml:space="preserve"> </w:t>
      </w:r>
      <w:r w:rsidR="00F30D68">
        <w:rPr>
          <w:rFonts w:ascii="Times New Roman" w:hAnsi="Times New Roman" w:cs="Times New Roman"/>
          <w:lang w:val="en-GB"/>
        </w:rPr>
        <w:t xml:space="preserve">This </w:t>
      </w:r>
      <w:r w:rsidR="00AD6564">
        <w:rPr>
          <w:rFonts w:ascii="Times New Roman" w:hAnsi="Times New Roman" w:cs="Times New Roman"/>
          <w:lang w:val="en-GB"/>
        </w:rPr>
        <w:t xml:space="preserve">even </w:t>
      </w:r>
      <w:r w:rsidR="00F30D68">
        <w:rPr>
          <w:rFonts w:ascii="Times New Roman" w:hAnsi="Times New Roman" w:cs="Times New Roman"/>
          <w:lang w:val="en-GB"/>
        </w:rPr>
        <w:t>slightly exceeded the contribution from COVID-19 to the total life expectancy stagnation</w:t>
      </w:r>
      <w:r w:rsidR="0004748F">
        <w:rPr>
          <w:rFonts w:ascii="Times New Roman" w:hAnsi="Times New Roman" w:cs="Times New Roman"/>
          <w:lang w:val="en-GB"/>
        </w:rPr>
        <w:t>. This is because</w:t>
      </w:r>
      <w:r w:rsidR="00F30D68">
        <w:rPr>
          <w:rFonts w:ascii="Times New Roman" w:hAnsi="Times New Roman" w:cs="Times New Roman"/>
          <w:lang w:val="en-GB"/>
        </w:rPr>
        <w:t xml:space="preserve"> we would </w:t>
      </w:r>
      <w:r w:rsidR="0004748F">
        <w:rPr>
          <w:rFonts w:ascii="Times New Roman" w:hAnsi="Times New Roman" w:cs="Times New Roman"/>
          <w:lang w:val="en-GB"/>
        </w:rPr>
        <w:t xml:space="preserve">not </w:t>
      </w:r>
      <w:r w:rsidR="00F3695C">
        <w:rPr>
          <w:rFonts w:ascii="Times New Roman" w:hAnsi="Times New Roman" w:cs="Times New Roman"/>
          <w:lang w:val="en-GB"/>
        </w:rPr>
        <w:t xml:space="preserve">have </w:t>
      </w:r>
      <w:r w:rsidR="00F30D68">
        <w:rPr>
          <w:rFonts w:ascii="Times New Roman" w:hAnsi="Times New Roman" w:cs="Times New Roman"/>
          <w:lang w:val="en-GB"/>
        </w:rPr>
        <w:t>expect</w:t>
      </w:r>
      <w:r w:rsidR="0004748F">
        <w:rPr>
          <w:rFonts w:ascii="Times New Roman" w:hAnsi="Times New Roman" w:cs="Times New Roman"/>
          <w:lang w:val="en-GB"/>
        </w:rPr>
        <w:t>ed any</w:t>
      </w:r>
      <w:r w:rsidR="00AD6564">
        <w:rPr>
          <w:rFonts w:ascii="Times New Roman" w:hAnsi="Times New Roman" w:cs="Times New Roman"/>
          <w:lang w:val="en-GB"/>
        </w:rPr>
        <w:t xml:space="preserve"> </w:t>
      </w:r>
      <w:r w:rsidR="00F600EF">
        <w:rPr>
          <w:rFonts w:ascii="Times New Roman" w:hAnsi="Times New Roman" w:cs="Times New Roman"/>
          <w:lang w:val="en-GB"/>
        </w:rPr>
        <w:t xml:space="preserve">(positive or negative) </w:t>
      </w:r>
      <w:r w:rsidR="00AD6564">
        <w:rPr>
          <w:rFonts w:ascii="Times New Roman" w:hAnsi="Times New Roman" w:cs="Times New Roman"/>
          <w:lang w:val="en-GB"/>
        </w:rPr>
        <w:t>contribution</w:t>
      </w:r>
      <w:r w:rsidR="0004748F">
        <w:rPr>
          <w:rFonts w:ascii="Times New Roman" w:hAnsi="Times New Roman" w:cs="Times New Roman"/>
          <w:lang w:val="en-GB"/>
        </w:rPr>
        <w:t>s from COVID-19</w:t>
      </w:r>
      <w:r w:rsidR="00AD6564">
        <w:rPr>
          <w:rFonts w:ascii="Times New Roman" w:hAnsi="Times New Roman" w:cs="Times New Roman"/>
          <w:lang w:val="en-GB"/>
        </w:rPr>
        <w:t xml:space="preserve"> to life expectancy changes based on pre-pandemic trends, </w:t>
      </w:r>
      <w:r w:rsidR="0004748F">
        <w:rPr>
          <w:rFonts w:ascii="Times New Roman" w:hAnsi="Times New Roman" w:cs="Times New Roman"/>
          <w:lang w:val="en-GB"/>
        </w:rPr>
        <w:t>because th</w:t>
      </w:r>
      <w:r w:rsidR="00E55D7B">
        <w:rPr>
          <w:rFonts w:ascii="Times New Roman" w:hAnsi="Times New Roman" w:cs="Times New Roman"/>
          <w:lang w:val="en-GB"/>
        </w:rPr>
        <w:t>is</w:t>
      </w:r>
      <w:r w:rsidR="00F600EF">
        <w:rPr>
          <w:rFonts w:ascii="Times New Roman" w:hAnsi="Times New Roman" w:cs="Times New Roman"/>
          <w:lang w:val="en-GB"/>
        </w:rPr>
        <w:t xml:space="preserve"> cause of death</w:t>
      </w:r>
      <w:r w:rsidR="00AD6564">
        <w:rPr>
          <w:rFonts w:ascii="Times New Roman" w:hAnsi="Times New Roman" w:cs="Times New Roman"/>
          <w:lang w:val="en-GB"/>
        </w:rPr>
        <w:t xml:space="preserve"> did not exist. </w:t>
      </w:r>
      <w:r w:rsidR="005C40E6">
        <w:rPr>
          <w:rFonts w:ascii="Times New Roman" w:hAnsi="Times New Roman" w:cs="Times New Roman"/>
          <w:lang w:val="en-GB"/>
        </w:rPr>
        <w:t xml:space="preserve">Thus, </w:t>
      </w:r>
      <w:r w:rsidR="00613ECE">
        <w:rPr>
          <w:rFonts w:ascii="Times New Roman" w:hAnsi="Times New Roman" w:cs="Times New Roman"/>
          <w:lang w:val="en-GB"/>
        </w:rPr>
        <w:t xml:space="preserve">even though COVID-19 </w:t>
      </w:r>
      <w:r w:rsidR="005C660A">
        <w:rPr>
          <w:rFonts w:ascii="Times New Roman" w:hAnsi="Times New Roman" w:cs="Times New Roman"/>
          <w:lang w:val="en-GB"/>
        </w:rPr>
        <w:t>was responsible for</w:t>
      </w:r>
      <w:r w:rsidR="00613ECE">
        <w:rPr>
          <w:rFonts w:ascii="Times New Roman" w:hAnsi="Times New Roman" w:cs="Times New Roman"/>
          <w:lang w:val="en-GB"/>
        </w:rPr>
        <w:t xml:space="preserve"> the largest </w:t>
      </w:r>
      <w:r w:rsidR="005C660A">
        <w:rPr>
          <w:rFonts w:ascii="Times New Roman" w:hAnsi="Times New Roman" w:cs="Times New Roman"/>
          <w:lang w:val="en-GB"/>
        </w:rPr>
        <w:t xml:space="preserve">share of the </w:t>
      </w:r>
      <w:r w:rsidR="00613ECE">
        <w:rPr>
          <w:rFonts w:ascii="Times New Roman" w:hAnsi="Times New Roman" w:cs="Times New Roman"/>
          <w:lang w:val="en-GB"/>
        </w:rPr>
        <w:t>life expectancy loss in 2019–2022</w:t>
      </w:r>
      <w:r w:rsidR="005A5279">
        <w:rPr>
          <w:rFonts w:ascii="Times New Roman" w:hAnsi="Times New Roman" w:cs="Times New Roman"/>
          <w:lang w:val="en-GB"/>
        </w:rPr>
        <w:t xml:space="preserve"> (see Figure 3-add-</w:t>
      </w:r>
      <w:r w:rsidR="00242554">
        <w:rPr>
          <w:rFonts w:ascii="Times New Roman" w:hAnsi="Times New Roman" w:cs="Times New Roman"/>
          <w:lang w:val="en-GB"/>
        </w:rPr>
        <w:t>S</w:t>
      </w:r>
      <w:r w:rsidR="005A5279">
        <w:rPr>
          <w:rFonts w:ascii="Times New Roman" w:hAnsi="Times New Roman" w:cs="Times New Roman"/>
          <w:lang w:val="en-GB"/>
        </w:rPr>
        <w:t>1)</w:t>
      </w:r>
      <w:r w:rsidR="00613ECE">
        <w:rPr>
          <w:rFonts w:ascii="Times New Roman" w:hAnsi="Times New Roman" w:cs="Times New Roman"/>
          <w:lang w:val="en-GB"/>
        </w:rPr>
        <w:t xml:space="preserve">, </w:t>
      </w:r>
      <w:r w:rsidR="005C40E6">
        <w:rPr>
          <w:rFonts w:ascii="Times New Roman" w:hAnsi="Times New Roman" w:cs="Times New Roman"/>
          <w:lang w:val="en-GB"/>
        </w:rPr>
        <w:t xml:space="preserve">the </w:t>
      </w:r>
      <w:r w:rsidR="005C40E6" w:rsidRPr="005C40E6">
        <w:rPr>
          <w:rFonts w:ascii="Times New Roman" w:hAnsi="Times New Roman" w:cs="Times New Roman"/>
          <w:i/>
          <w:lang w:val="en-GB"/>
        </w:rPr>
        <w:t>stagnation</w:t>
      </w:r>
      <w:r w:rsidR="005C40E6">
        <w:rPr>
          <w:rFonts w:ascii="Times New Roman" w:hAnsi="Times New Roman" w:cs="Times New Roman"/>
          <w:lang w:val="en-GB"/>
        </w:rPr>
        <w:t xml:space="preserve"> perspective</w:t>
      </w:r>
      <w:r w:rsidR="00F30D68">
        <w:rPr>
          <w:rFonts w:ascii="Times New Roman" w:hAnsi="Times New Roman" w:cs="Times New Roman"/>
          <w:lang w:val="en-GB"/>
        </w:rPr>
        <w:t xml:space="preserve"> </w:t>
      </w:r>
      <w:r w:rsidR="00603E1E">
        <w:rPr>
          <w:rFonts w:ascii="Times New Roman" w:hAnsi="Times New Roman" w:cs="Times New Roman"/>
          <w:lang w:val="en-GB"/>
        </w:rPr>
        <w:t>would conclude that</w:t>
      </w:r>
      <w:r w:rsidR="00604A2D">
        <w:rPr>
          <w:rFonts w:ascii="Times New Roman" w:hAnsi="Times New Roman" w:cs="Times New Roman"/>
          <w:lang w:val="en-GB"/>
        </w:rPr>
        <w:t xml:space="preserve"> changes in CVD morta</w:t>
      </w:r>
      <w:r w:rsidR="00B703AC">
        <w:rPr>
          <w:rFonts w:ascii="Times New Roman" w:hAnsi="Times New Roman" w:cs="Times New Roman"/>
          <w:lang w:val="en-GB"/>
        </w:rPr>
        <w:t xml:space="preserve">lity </w:t>
      </w:r>
      <w:r w:rsidR="009D063F">
        <w:rPr>
          <w:rFonts w:ascii="Times New Roman" w:hAnsi="Times New Roman" w:cs="Times New Roman"/>
          <w:lang w:val="en-GB"/>
        </w:rPr>
        <w:t>were</w:t>
      </w:r>
      <w:r w:rsidR="00604A2D">
        <w:rPr>
          <w:rFonts w:ascii="Times New Roman" w:hAnsi="Times New Roman" w:cs="Times New Roman"/>
          <w:lang w:val="en-GB"/>
        </w:rPr>
        <w:t xml:space="preserve"> </w:t>
      </w:r>
      <w:r w:rsidR="00712C1B">
        <w:rPr>
          <w:rFonts w:ascii="Times New Roman" w:hAnsi="Times New Roman" w:cs="Times New Roman"/>
          <w:lang w:val="en-GB"/>
        </w:rPr>
        <w:t>more</w:t>
      </w:r>
      <w:r w:rsidR="00604A2D">
        <w:rPr>
          <w:rFonts w:ascii="Times New Roman" w:hAnsi="Times New Roman" w:cs="Times New Roman"/>
          <w:lang w:val="en-GB"/>
        </w:rPr>
        <w:t xml:space="preserve"> consequential for </w:t>
      </w:r>
      <w:r w:rsidR="00B703AC">
        <w:rPr>
          <w:rFonts w:ascii="Times New Roman" w:hAnsi="Times New Roman" w:cs="Times New Roman"/>
          <w:lang w:val="en-GB"/>
        </w:rPr>
        <w:t xml:space="preserve">the </w:t>
      </w:r>
      <w:r w:rsidR="00753798">
        <w:rPr>
          <w:rFonts w:ascii="Times New Roman" w:hAnsi="Times New Roman" w:cs="Times New Roman"/>
          <w:lang w:val="en-GB"/>
        </w:rPr>
        <w:t>deviation</w:t>
      </w:r>
      <w:r w:rsidR="00604A2D">
        <w:rPr>
          <w:rFonts w:ascii="Times New Roman" w:hAnsi="Times New Roman" w:cs="Times New Roman"/>
          <w:lang w:val="en-GB"/>
        </w:rPr>
        <w:t xml:space="preserve"> </w:t>
      </w:r>
      <w:r w:rsidR="000B3596">
        <w:rPr>
          <w:rFonts w:ascii="Times New Roman" w:hAnsi="Times New Roman" w:cs="Times New Roman"/>
          <w:lang w:val="en-GB"/>
        </w:rPr>
        <w:t xml:space="preserve">of England and Wales females </w:t>
      </w:r>
      <w:r w:rsidR="004C20B6">
        <w:rPr>
          <w:rFonts w:ascii="Times New Roman" w:hAnsi="Times New Roman" w:cs="Times New Roman"/>
          <w:lang w:val="en-GB"/>
        </w:rPr>
        <w:t xml:space="preserve">from </w:t>
      </w:r>
      <w:r w:rsidR="00B703AC">
        <w:rPr>
          <w:rFonts w:ascii="Times New Roman" w:hAnsi="Times New Roman" w:cs="Times New Roman"/>
          <w:lang w:val="en-GB"/>
        </w:rPr>
        <w:t>the</w:t>
      </w:r>
      <w:r w:rsidR="000B3596">
        <w:rPr>
          <w:rFonts w:ascii="Times New Roman" w:hAnsi="Times New Roman" w:cs="Times New Roman"/>
          <w:lang w:val="en-GB"/>
        </w:rPr>
        <w:t>ir</w:t>
      </w:r>
      <w:r w:rsidR="00B703AC">
        <w:rPr>
          <w:rFonts w:ascii="Times New Roman" w:hAnsi="Times New Roman" w:cs="Times New Roman"/>
          <w:lang w:val="en-GB"/>
        </w:rPr>
        <w:t xml:space="preserve"> </w:t>
      </w:r>
      <w:r w:rsidR="004C20B6">
        <w:rPr>
          <w:rFonts w:ascii="Times New Roman" w:hAnsi="Times New Roman" w:cs="Times New Roman"/>
          <w:lang w:val="en-GB"/>
        </w:rPr>
        <w:t xml:space="preserve">pre-pandemic </w:t>
      </w:r>
      <w:r w:rsidR="00B703AC">
        <w:rPr>
          <w:rFonts w:ascii="Times New Roman" w:hAnsi="Times New Roman" w:cs="Times New Roman"/>
          <w:lang w:val="en-GB"/>
        </w:rPr>
        <w:t>life expectancy trajectory</w:t>
      </w:r>
      <w:r w:rsidR="00712C1B">
        <w:rPr>
          <w:rFonts w:ascii="Times New Roman" w:hAnsi="Times New Roman" w:cs="Times New Roman"/>
          <w:lang w:val="en-GB"/>
        </w:rPr>
        <w:t xml:space="preserve">. This </w:t>
      </w:r>
      <w:r w:rsidR="00065396">
        <w:rPr>
          <w:rFonts w:ascii="Times New Roman" w:hAnsi="Times New Roman" w:cs="Times New Roman"/>
          <w:lang w:val="en-GB"/>
        </w:rPr>
        <w:t>illustrates</w:t>
      </w:r>
      <w:r w:rsidR="00712C1B">
        <w:rPr>
          <w:rFonts w:ascii="Times New Roman" w:hAnsi="Times New Roman" w:cs="Times New Roman"/>
          <w:lang w:val="en-GB"/>
        </w:rPr>
        <w:t xml:space="preserve"> </w:t>
      </w:r>
      <w:r w:rsidR="00C95FE0">
        <w:rPr>
          <w:rFonts w:ascii="Times New Roman" w:hAnsi="Times New Roman" w:cs="Times New Roman"/>
          <w:lang w:val="en-GB"/>
        </w:rPr>
        <w:t xml:space="preserve">the difference between </w:t>
      </w:r>
      <w:r w:rsidR="00C81C5A">
        <w:rPr>
          <w:rFonts w:ascii="Times New Roman" w:hAnsi="Times New Roman" w:cs="Times New Roman"/>
          <w:lang w:val="en-GB"/>
        </w:rPr>
        <w:t xml:space="preserve">the descriptive decomposition approach applied in Chapter 3 and </w:t>
      </w:r>
      <w:r w:rsidR="00C95FE0">
        <w:rPr>
          <w:rFonts w:ascii="Times New Roman" w:hAnsi="Times New Roman" w:cs="Times New Roman"/>
          <w:lang w:val="en-GB"/>
        </w:rPr>
        <w:t xml:space="preserve">the counterfactual </w:t>
      </w:r>
      <w:r w:rsidR="00C95FE0" w:rsidRPr="00C95FE0">
        <w:rPr>
          <w:rFonts w:ascii="Times New Roman" w:hAnsi="Times New Roman" w:cs="Times New Roman"/>
          <w:i/>
          <w:lang w:val="en-GB"/>
        </w:rPr>
        <w:t>stagnation</w:t>
      </w:r>
      <w:r w:rsidR="00C95FE0">
        <w:rPr>
          <w:rFonts w:ascii="Times New Roman" w:hAnsi="Times New Roman" w:cs="Times New Roman"/>
          <w:lang w:val="en-GB"/>
        </w:rPr>
        <w:t xml:space="preserve"> approach</w:t>
      </w:r>
      <w:r w:rsidR="00C81C5A">
        <w:rPr>
          <w:rFonts w:ascii="Times New Roman" w:hAnsi="Times New Roman" w:cs="Times New Roman"/>
          <w:lang w:val="en-GB"/>
        </w:rPr>
        <w:t xml:space="preserve"> applied in this </w:t>
      </w:r>
      <w:r w:rsidR="00CB3006">
        <w:rPr>
          <w:rFonts w:ascii="Times New Roman" w:hAnsi="Times New Roman" w:cs="Times New Roman"/>
          <w:lang w:val="en-GB"/>
        </w:rPr>
        <w:t>A</w:t>
      </w:r>
      <w:r w:rsidR="00C81C5A">
        <w:rPr>
          <w:rFonts w:ascii="Times New Roman" w:hAnsi="Times New Roman" w:cs="Times New Roman"/>
          <w:lang w:val="en-GB"/>
        </w:rPr>
        <w:t xml:space="preserve">ddendum and elsewhere </w:t>
      </w:r>
      <w:r w:rsidR="00A835D4">
        <w:rPr>
          <w:rFonts w:ascii="Times New Roman" w:hAnsi="Times New Roman" w:cs="Times New Roman"/>
          <w:lang w:val="en-GB"/>
        </w:rPr>
        <w:fldChar w:fldCharType="begin"/>
      </w:r>
      <w:r w:rsidR="00A835D4">
        <w:rPr>
          <w:rFonts w:ascii="Times New Roman" w:hAnsi="Times New Roman" w:cs="Times New Roman"/>
          <w:lang w:val="en-GB"/>
        </w:rPr>
        <w:instrText xml:space="preserve"> ADDIN ZOTERO_ITEM CSL_CITATION {"citationID":"b1PVdYqG","properties":{"formattedCitation":"(Ramsay et al., 2020)","plainCitation":"(Ramsay et al., 2020)","noteIndex":0},"citationItems":[{"id":2580,"uris":["http://zotero.org/users/5659841/items/YZ9C765B"],"itemData":{"id":2580,"type":"article-journal","container-title":"BMJ Open","DOI":"10.1136/bmjopen-2019-036529","issue":"10","language":"en","page":"e036529","title":"How have changes in death by cause and age group contributed to the recent stalling of life expectancy gains in Scotland? Comparative decomposition analysis of mortality data, 2000–2002 to 2015–2017","volume":"10","author":[{"family":"Ramsay","given":"Julie"},{"family":"Minton","given":"Jon"},{"family":"Fischbacher","given":"Colin"},{"family":"Fenton","given":"Lynda"},{"family":"Kaye-Bardgett","given":"Maria"},{"family":"Wyper","given":"Grant M A"},{"family":"Richardson","given":"Elizabeth"},{"family":"McCartney","given":"Gerry"}],"issued":{"date-parts":[["2020"]]}}}],"schema":"https://github.com/citation-style-language/schema/raw/master/csl-citation.json"} </w:instrText>
      </w:r>
      <w:r w:rsidR="00A835D4">
        <w:rPr>
          <w:rFonts w:ascii="Times New Roman" w:hAnsi="Times New Roman" w:cs="Times New Roman"/>
          <w:lang w:val="en-GB"/>
        </w:rPr>
        <w:fldChar w:fldCharType="separate"/>
      </w:r>
      <w:r w:rsidR="00A835D4" w:rsidRPr="00A835D4">
        <w:rPr>
          <w:rFonts w:ascii="Times New Roman" w:hAnsi="Times New Roman" w:cs="Times New Roman"/>
          <w:lang w:val="en-GB"/>
        </w:rPr>
        <w:t>(Ramsay et al., 2020)</w:t>
      </w:r>
      <w:r w:rsidR="00A835D4">
        <w:rPr>
          <w:rFonts w:ascii="Times New Roman" w:hAnsi="Times New Roman" w:cs="Times New Roman"/>
          <w:lang w:val="en-GB"/>
        </w:rPr>
        <w:fldChar w:fldCharType="end"/>
      </w:r>
      <w:r w:rsidR="00C95FE0">
        <w:rPr>
          <w:rFonts w:ascii="Times New Roman" w:hAnsi="Times New Roman" w:cs="Times New Roman"/>
          <w:lang w:val="en-GB"/>
        </w:rPr>
        <w:t>.</w:t>
      </w:r>
    </w:p>
    <w:p w14:paraId="38827A47" w14:textId="721293D0" w:rsidR="003604B0" w:rsidRDefault="003604B0" w:rsidP="000E0F20">
      <w:pPr>
        <w:spacing w:after="0" w:line="480" w:lineRule="auto"/>
        <w:jc w:val="both"/>
        <w:rPr>
          <w:rFonts w:ascii="Times New Roman" w:hAnsi="Times New Roman" w:cs="Times New Roman"/>
          <w:lang w:val="en-GB"/>
        </w:rPr>
      </w:pPr>
    </w:p>
    <w:p w14:paraId="270D138B" w14:textId="119237E9" w:rsidR="003604B0" w:rsidRPr="00C95FE0" w:rsidRDefault="00A821C1" w:rsidP="000E0F20">
      <w:pPr>
        <w:spacing w:after="0" w:line="480" w:lineRule="auto"/>
        <w:jc w:val="both"/>
        <w:rPr>
          <w:rFonts w:ascii="Times New Roman" w:hAnsi="Times New Roman" w:cs="Times New Roman"/>
          <w:lang w:val="en-GB"/>
        </w:rPr>
      </w:pPr>
      <w:r w:rsidRPr="00A821C1">
        <w:rPr>
          <w:rFonts w:ascii="Times New Roman" w:hAnsi="Times New Roman" w:cs="Times New Roman"/>
          <w:lang w:val="en-GB"/>
        </w:rPr>
        <w:lastRenderedPageBreak/>
        <w:t>The residual category also contributed to the stagnation in female life expectancy in England and Wales during 2019</w:t>
      </w:r>
      <w:r w:rsidR="004038BD">
        <w:rPr>
          <w:rFonts w:ascii="Times New Roman" w:hAnsi="Times New Roman" w:cs="Times New Roman"/>
          <w:lang w:val="en-GB"/>
        </w:rPr>
        <w:t>–</w:t>
      </w:r>
      <w:r w:rsidRPr="00A821C1">
        <w:rPr>
          <w:rFonts w:ascii="Times New Roman" w:hAnsi="Times New Roman" w:cs="Times New Roman"/>
          <w:lang w:val="en-GB"/>
        </w:rPr>
        <w:t>2022</w:t>
      </w:r>
      <w:r>
        <w:rPr>
          <w:rFonts w:ascii="Times New Roman" w:hAnsi="Times New Roman" w:cs="Times New Roman"/>
          <w:lang w:val="en-GB"/>
        </w:rPr>
        <w:t>—</w:t>
      </w:r>
      <w:r w:rsidRPr="00A821C1">
        <w:rPr>
          <w:rFonts w:ascii="Times New Roman" w:hAnsi="Times New Roman" w:cs="Times New Roman"/>
          <w:lang w:val="en-GB"/>
        </w:rPr>
        <w:t>around -0.5 months per annum</w:t>
      </w:r>
      <w:r>
        <w:rPr>
          <w:rFonts w:ascii="Times New Roman" w:hAnsi="Times New Roman" w:cs="Times New Roman"/>
          <w:lang w:val="en-GB"/>
        </w:rPr>
        <w:t>—</w:t>
      </w:r>
      <w:r w:rsidRPr="00A821C1">
        <w:rPr>
          <w:rFonts w:ascii="Times New Roman" w:hAnsi="Times New Roman" w:cs="Times New Roman"/>
          <w:lang w:val="en-GB"/>
        </w:rPr>
        <w:t xml:space="preserve">due to smaller </w:t>
      </w:r>
      <w:r w:rsidR="004038BD">
        <w:rPr>
          <w:rFonts w:ascii="Times New Roman" w:hAnsi="Times New Roman" w:cs="Times New Roman"/>
          <w:lang w:val="en-GB"/>
        </w:rPr>
        <w:t xml:space="preserve">mortality </w:t>
      </w:r>
      <w:r w:rsidRPr="00A821C1">
        <w:rPr>
          <w:rFonts w:ascii="Times New Roman" w:hAnsi="Times New Roman" w:cs="Times New Roman"/>
          <w:lang w:val="en-GB"/>
        </w:rPr>
        <w:t xml:space="preserve">improvements than would have been expected based on pre-pandemic trends. Alcohol-related mortality increased during the pandemic, whereas we would </w:t>
      </w:r>
      <w:r w:rsidRPr="00B15C9B">
        <w:rPr>
          <w:rFonts w:ascii="Times New Roman" w:hAnsi="Times New Roman" w:cs="Times New Roman"/>
          <w:lang w:val="en-GB"/>
        </w:rPr>
        <w:t xml:space="preserve">have expected no </w:t>
      </w:r>
      <w:r w:rsidR="00BC3775" w:rsidRPr="00B15C9B">
        <w:rPr>
          <w:rFonts w:ascii="Times New Roman" w:hAnsi="Times New Roman" w:cs="Times New Roman"/>
          <w:lang w:val="en-GB"/>
        </w:rPr>
        <w:t xml:space="preserve">mortality </w:t>
      </w:r>
      <w:r w:rsidRPr="00B15C9B">
        <w:rPr>
          <w:rFonts w:ascii="Times New Roman" w:hAnsi="Times New Roman" w:cs="Times New Roman"/>
          <w:lang w:val="en-GB"/>
        </w:rPr>
        <w:t xml:space="preserve">change based on pre-pandemic trends, contributing about a quarter of a month per </w:t>
      </w:r>
      <w:r w:rsidR="003352DD" w:rsidRPr="00B15C9B">
        <w:rPr>
          <w:rFonts w:ascii="Times New Roman" w:hAnsi="Times New Roman" w:cs="Times New Roman"/>
          <w:lang w:val="en-GB"/>
        </w:rPr>
        <w:t>annum</w:t>
      </w:r>
      <w:r w:rsidRPr="00B15C9B">
        <w:rPr>
          <w:rFonts w:ascii="Times New Roman" w:hAnsi="Times New Roman" w:cs="Times New Roman"/>
          <w:lang w:val="en-GB"/>
        </w:rPr>
        <w:t xml:space="preserve"> to life expectancy</w:t>
      </w:r>
      <w:r w:rsidR="007E6CAC" w:rsidRPr="00B15C9B">
        <w:rPr>
          <w:rFonts w:ascii="Times New Roman" w:hAnsi="Times New Roman" w:cs="Times New Roman"/>
          <w:lang w:val="en-GB"/>
        </w:rPr>
        <w:t xml:space="preserve"> stagnation. The remaining</w:t>
      </w:r>
      <w:r w:rsidRPr="00B15C9B">
        <w:rPr>
          <w:rFonts w:ascii="Times New Roman" w:hAnsi="Times New Roman" w:cs="Times New Roman"/>
          <w:lang w:val="en-GB"/>
        </w:rPr>
        <w:t xml:space="preserve"> external and substance</w:t>
      </w:r>
      <w:r w:rsidRPr="00A821C1">
        <w:rPr>
          <w:rFonts w:ascii="Times New Roman" w:hAnsi="Times New Roman" w:cs="Times New Roman"/>
          <w:lang w:val="en-GB"/>
        </w:rPr>
        <w:t xml:space="preserve">-related </w:t>
      </w:r>
      <w:r w:rsidR="007E6CAC">
        <w:rPr>
          <w:rFonts w:ascii="Times New Roman" w:hAnsi="Times New Roman" w:cs="Times New Roman"/>
          <w:lang w:val="en-GB"/>
        </w:rPr>
        <w:t xml:space="preserve">categories </w:t>
      </w:r>
      <w:r w:rsidRPr="00A821C1">
        <w:rPr>
          <w:rFonts w:ascii="Times New Roman" w:hAnsi="Times New Roman" w:cs="Times New Roman"/>
          <w:lang w:val="en-GB"/>
        </w:rPr>
        <w:t>contributed little to life expectancy stagnation during 2019</w:t>
      </w:r>
      <w:r w:rsidR="007E6CAC">
        <w:rPr>
          <w:rFonts w:ascii="Times New Roman" w:hAnsi="Times New Roman" w:cs="Times New Roman"/>
          <w:lang w:val="en-GB"/>
        </w:rPr>
        <w:t>–</w:t>
      </w:r>
      <w:r w:rsidRPr="00A821C1">
        <w:rPr>
          <w:rFonts w:ascii="Times New Roman" w:hAnsi="Times New Roman" w:cs="Times New Roman"/>
          <w:lang w:val="en-GB"/>
        </w:rPr>
        <w:t xml:space="preserve">2022, as </w:t>
      </w:r>
      <w:r w:rsidR="007E6CAC">
        <w:rPr>
          <w:rFonts w:ascii="Times New Roman" w:hAnsi="Times New Roman" w:cs="Times New Roman"/>
          <w:lang w:val="en-GB"/>
        </w:rPr>
        <w:t xml:space="preserve">mortality from these </w:t>
      </w:r>
      <w:r w:rsidRPr="00A821C1">
        <w:rPr>
          <w:rFonts w:ascii="Times New Roman" w:hAnsi="Times New Roman" w:cs="Times New Roman"/>
          <w:lang w:val="en-GB"/>
        </w:rPr>
        <w:t xml:space="preserve">causes </w:t>
      </w:r>
      <w:r w:rsidR="007E6CAC">
        <w:rPr>
          <w:rFonts w:ascii="Times New Roman" w:hAnsi="Times New Roman" w:cs="Times New Roman"/>
          <w:lang w:val="en-GB"/>
        </w:rPr>
        <w:t>was</w:t>
      </w:r>
      <w:r w:rsidRPr="00A821C1">
        <w:rPr>
          <w:rFonts w:ascii="Times New Roman" w:hAnsi="Times New Roman" w:cs="Times New Roman"/>
          <w:lang w:val="en-GB"/>
        </w:rPr>
        <w:t xml:space="preserve"> relatively stable during the pre-pandemic and pandemic periods.</w:t>
      </w:r>
      <w:r w:rsidR="000603E5" w:rsidRPr="000603E5">
        <w:rPr>
          <w:rFonts w:ascii="Times New Roman" w:hAnsi="Times New Roman" w:cs="Times New Roman"/>
          <w:lang w:val="en-GB"/>
        </w:rPr>
        <w:t xml:space="preserve"> </w:t>
      </w:r>
    </w:p>
    <w:p w14:paraId="6FDEB83B" w14:textId="77777777" w:rsidR="00317BD7" w:rsidRDefault="00317BD7" w:rsidP="000E0F20">
      <w:pPr>
        <w:spacing w:after="0" w:line="480" w:lineRule="auto"/>
        <w:jc w:val="both"/>
        <w:rPr>
          <w:rFonts w:ascii="Times New Roman" w:hAnsi="Times New Roman" w:cs="Times New Roman"/>
          <w:lang w:val="en-GB"/>
        </w:rPr>
      </w:pPr>
    </w:p>
    <w:p w14:paraId="1FD7329E" w14:textId="3096DCC2" w:rsidR="003B4644" w:rsidRDefault="00CF3570" w:rsidP="000E0F20">
      <w:pPr>
        <w:spacing w:after="0" w:line="480" w:lineRule="auto"/>
        <w:jc w:val="both"/>
        <w:rPr>
          <w:rFonts w:ascii="Times New Roman" w:hAnsi="Times New Roman" w:cs="Times New Roman"/>
          <w:lang w:val="en-GB"/>
        </w:rPr>
      </w:pPr>
      <w:r>
        <w:rPr>
          <w:rFonts w:ascii="Times New Roman" w:hAnsi="Times New Roman" w:cs="Times New Roman"/>
          <w:lang w:val="en-GB"/>
        </w:rPr>
        <w:t>A similar</w:t>
      </w:r>
      <w:r w:rsidR="00877589" w:rsidRPr="00877589">
        <w:rPr>
          <w:rFonts w:ascii="Times New Roman" w:hAnsi="Times New Roman" w:cs="Times New Roman"/>
          <w:lang w:val="en-GB"/>
        </w:rPr>
        <w:t xml:space="preserve"> pattern of life expectancy stagnation during the COVID-19 pandemic </w:t>
      </w:r>
      <w:r>
        <w:rPr>
          <w:rFonts w:ascii="Times New Roman" w:hAnsi="Times New Roman" w:cs="Times New Roman"/>
          <w:lang w:val="en-GB"/>
        </w:rPr>
        <w:t xml:space="preserve">was visible </w:t>
      </w:r>
      <w:r w:rsidRPr="00877589">
        <w:rPr>
          <w:rFonts w:ascii="Times New Roman" w:hAnsi="Times New Roman" w:cs="Times New Roman"/>
          <w:lang w:val="en-GB"/>
        </w:rPr>
        <w:t>for m</w:t>
      </w:r>
      <w:r>
        <w:rPr>
          <w:rFonts w:ascii="Times New Roman" w:hAnsi="Times New Roman" w:cs="Times New Roman"/>
          <w:lang w:val="en-GB"/>
        </w:rPr>
        <w:t>ales</w:t>
      </w:r>
      <w:r w:rsidRPr="00877589">
        <w:rPr>
          <w:rFonts w:ascii="Times New Roman" w:hAnsi="Times New Roman" w:cs="Times New Roman"/>
          <w:lang w:val="en-GB"/>
        </w:rPr>
        <w:t xml:space="preserve"> in England and Wales</w:t>
      </w:r>
      <w:r w:rsidR="00877589" w:rsidRPr="00877589">
        <w:rPr>
          <w:rFonts w:ascii="Times New Roman" w:hAnsi="Times New Roman" w:cs="Times New Roman"/>
          <w:lang w:val="en-GB"/>
        </w:rPr>
        <w:t>, except for an offsetting effect from suicide mortality. Averaged over 2019</w:t>
      </w:r>
      <w:r w:rsidR="002B0E20">
        <w:rPr>
          <w:rFonts w:ascii="Times New Roman" w:hAnsi="Times New Roman" w:cs="Times New Roman"/>
          <w:lang w:val="en-GB"/>
        </w:rPr>
        <w:t>–</w:t>
      </w:r>
      <w:r w:rsidR="00877589" w:rsidRPr="00877589">
        <w:rPr>
          <w:rFonts w:ascii="Times New Roman" w:hAnsi="Times New Roman" w:cs="Times New Roman"/>
          <w:lang w:val="en-GB"/>
        </w:rPr>
        <w:t xml:space="preserve">2022, male suicide mortality remained stable, </w:t>
      </w:r>
      <w:r w:rsidR="001B4D47">
        <w:rPr>
          <w:rFonts w:ascii="Times New Roman" w:hAnsi="Times New Roman" w:cs="Times New Roman"/>
          <w:lang w:val="en-GB"/>
        </w:rPr>
        <w:t>while</w:t>
      </w:r>
      <w:r w:rsidR="00877589" w:rsidRPr="00877589">
        <w:rPr>
          <w:rFonts w:ascii="Times New Roman" w:hAnsi="Times New Roman" w:cs="Times New Roman"/>
          <w:lang w:val="en-GB"/>
        </w:rPr>
        <w:t xml:space="preserve"> we would have expected an increase</w:t>
      </w:r>
      <w:r w:rsidR="002B0E20">
        <w:rPr>
          <w:rFonts w:ascii="Times New Roman" w:hAnsi="Times New Roman" w:cs="Times New Roman"/>
          <w:lang w:val="en-GB"/>
        </w:rPr>
        <w:t>—</w:t>
      </w:r>
      <w:r w:rsidR="00877589" w:rsidRPr="00877589">
        <w:rPr>
          <w:rFonts w:ascii="Times New Roman" w:hAnsi="Times New Roman" w:cs="Times New Roman"/>
          <w:lang w:val="en-GB"/>
        </w:rPr>
        <w:t>and a negative contribution to changes in life expectancy</w:t>
      </w:r>
      <w:r w:rsidR="002B0E20">
        <w:rPr>
          <w:rFonts w:ascii="Times New Roman" w:hAnsi="Times New Roman" w:cs="Times New Roman"/>
          <w:lang w:val="en-GB"/>
        </w:rPr>
        <w:t>—</w:t>
      </w:r>
      <w:r w:rsidR="00877589" w:rsidRPr="00877589">
        <w:rPr>
          <w:rFonts w:ascii="Times New Roman" w:hAnsi="Times New Roman" w:cs="Times New Roman"/>
          <w:lang w:val="en-GB"/>
        </w:rPr>
        <w:t>based on pre-pandemic trends.</w:t>
      </w:r>
    </w:p>
    <w:p w14:paraId="070A3F73" w14:textId="77777777" w:rsidR="00877589" w:rsidRDefault="00877589" w:rsidP="000E0F20">
      <w:pPr>
        <w:spacing w:after="0" w:line="480" w:lineRule="auto"/>
        <w:jc w:val="both"/>
        <w:rPr>
          <w:rFonts w:ascii="Times New Roman" w:hAnsi="Times New Roman" w:cs="Times New Roman"/>
          <w:lang w:val="en-GB"/>
        </w:rPr>
      </w:pPr>
    </w:p>
    <w:p w14:paraId="46850D72" w14:textId="1AE31E4A" w:rsidR="001D508D" w:rsidRDefault="00795FD8" w:rsidP="000E0F20">
      <w:pPr>
        <w:spacing w:after="0" w:line="480" w:lineRule="auto"/>
        <w:jc w:val="both"/>
        <w:rPr>
          <w:rFonts w:ascii="Times New Roman" w:hAnsi="Times New Roman" w:cs="Times New Roman"/>
          <w:lang w:val="en-GB"/>
        </w:rPr>
      </w:pPr>
      <w:r w:rsidRPr="00795FD8">
        <w:rPr>
          <w:rFonts w:ascii="Times New Roman" w:hAnsi="Times New Roman" w:cs="Times New Roman"/>
          <w:lang w:val="en-GB"/>
        </w:rPr>
        <w:t>In the US</w:t>
      </w:r>
      <w:r>
        <w:rPr>
          <w:rFonts w:ascii="Times New Roman" w:hAnsi="Times New Roman" w:cs="Times New Roman"/>
          <w:lang w:val="en-GB"/>
        </w:rPr>
        <w:t>A</w:t>
      </w:r>
      <w:r w:rsidRPr="00795FD8">
        <w:rPr>
          <w:rFonts w:ascii="Times New Roman" w:hAnsi="Times New Roman" w:cs="Times New Roman"/>
          <w:lang w:val="en-GB"/>
        </w:rPr>
        <w:t>, the pattern</w:t>
      </w:r>
      <w:r w:rsidR="0008546C">
        <w:rPr>
          <w:rFonts w:ascii="Times New Roman" w:hAnsi="Times New Roman" w:cs="Times New Roman"/>
          <w:lang w:val="en-GB"/>
        </w:rPr>
        <w:t>s</w:t>
      </w:r>
      <w:r w:rsidRPr="00795FD8">
        <w:rPr>
          <w:rFonts w:ascii="Times New Roman" w:hAnsi="Times New Roman" w:cs="Times New Roman"/>
          <w:lang w:val="en-GB"/>
        </w:rPr>
        <w:t xml:space="preserve"> of life expectancy stagnation w</w:t>
      </w:r>
      <w:r w:rsidR="0008546C">
        <w:rPr>
          <w:rFonts w:ascii="Times New Roman" w:hAnsi="Times New Roman" w:cs="Times New Roman"/>
          <w:lang w:val="en-GB"/>
        </w:rPr>
        <w:t>ere</w:t>
      </w:r>
      <w:r w:rsidRPr="00795FD8">
        <w:rPr>
          <w:rFonts w:ascii="Times New Roman" w:hAnsi="Times New Roman" w:cs="Times New Roman"/>
          <w:lang w:val="en-GB"/>
        </w:rPr>
        <w:t xml:space="preserve"> also broadly similar for </w:t>
      </w:r>
      <w:r>
        <w:rPr>
          <w:rFonts w:ascii="Times New Roman" w:hAnsi="Times New Roman" w:cs="Times New Roman"/>
          <w:lang w:val="en-GB"/>
        </w:rPr>
        <w:t>males</w:t>
      </w:r>
      <w:r w:rsidRPr="00795FD8">
        <w:rPr>
          <w:rFonts w:ascii="Times New Roman" w:hAnsi="Times New Roman" w:cs="Times New Roman"/>
          <w:lang w:val="en-GB"/>
        </w:rPr>
        <w:t xml:space="preserve"> and </w:t>
      </w:r>
      <w:r>
        <w:rPr>
          <w:rFonts w:ascii="Times New Roman" w:hAnsi="Times New Roman" w:cs="Times New Roman"/>
          <w:lang w:val="en-GB"/>
        </w:rPr>
        <w:t>females</w:t>
      </w:r>
      <w:r w:rsidRPr="00795FD8">
        <w:rPr>
          <w:rFonts w:ascii="Times New Roman" w:hAnsi="Times New Roman" w:cs="Times New Roman"/>
          <w:lang w:val="en-GB"/>
        </w:rPr>
        <w:t xml:space="preserve">. As in England and Wales, CVD mortality increased on average during the pandemic, whereas we would have expected an improvement based on pre-pandemic trends. Thus, CVD mortality also contributed to life expectancy </w:t>
      </w:r>
      <w:r>
        <w:rPr>
          <w:rFonts w:ascii="Times New Roman" w:hAnsi="Times New Roman" w:cs="Times New Roman"/>
          <w:lang w:val="en-GB"/>
        </w:rPr>
        <w:t xml:space="preserve">stagnation </w:t>
      </w:r>
      <w:r w:rsidRPr="00795FD8">
        <w:rPr>
          <w:rFonts w:ascii="Times New Roman" w:hAnsi="Times New Roman" w:cs="Times New Roman"/>
          <w:lang w:val="en-GB"/>
        </w:rPr>
        <w:t>in the US</w:t>
      </w:r>
      <w:r>
        <w:rPr>
          <w:rFonts w:ascii="Times New Roman" w:hAnsi="Times New Roman" w:cs="Times New Roman"/>
          <w:lang w:val="en-GB"/>
        </w:rPr>
        <w:t>A</w:t>
      </w:r>
      <w:r w:rsidRPr="00795FD8">
        <w:rPr>
          <w:rFonts w:ascii="Times New Roman" w:hAnsi="Times New Roman" w:cs="Times New Roman"/>
          <w:lang w:val="en-GB"/>
        </w:rPr>
        <w:t>. However, in contrast to England and Wales, the contribution of CVD mortality did not exceed that of COVID-19 because of the much higher recorded COVID-19 mortality in the USA</w:t>
      </w:r>
      <w:r w:rsidR="00C4697E">
        <w:rPr>
          <w:rFonts w:ascii="Times New Roman" w:hAnsi="Times New Roman" w:cs="Times New Roman"/>
          <w:lang w:val="en-GB"/>
        </w:rPr>
        <w:t>, as well as the smaller pre-pandemic CVD mortality improvements</w:t>
      </w:r>
      <w:r w:rsidRPr="00795FD8">
        <w:rPr>
          <w:rFonts w:ascii="Times New Roman" w:hAnsi="Times New Roman" w:cs="Times New Roman"/>
          <w:lang w:val="en-GB"/>
        </w:rPr>
        <w:t>. As in England and Wales, male mortality from residual causes improved less during the pandemic than would have been expected based on pre-pandemic trends, contributing to life expectancy</w:t>
      </w:r>
      <w:r>
        <w:rPr>
          <w:rFonts w:ascii="Times New Roman" w:hAnsi="Times New Roman" w:cs="Times New Roman"/>
          <w:lang w:val="en-GB"/>
        </w:rPr>
        <w:t xml:space="preserve"> </w:t>
      </w:r>
      <w:r w:rsidRPr="00795FD8">
        <w:rPr>
          <w:rFonts w:ascii="Times New Roman" w:hAnsi="Times New Roman" w:cs="Times New Roman"/>
          <w:lang w:val="en-GB"/>
        </w:rPr>
        <w:t>stagnation. For US</w:t>
      </w:r>
      <w:r>
        <w:rPr>
          <w:rFonts w:ascii="Times New Roman" w:hAnsi="Times New Roman" w:cs="Times New Roman"/>
          <w:lang w:val="en-GB"/>
        </w:rPr>
        <w:t>A</w:t>
      </w:r>
      <w:r w:rsidRPr="00795FD8">
        <w:rPr>
          <w:rFonts w:ascii="Times New Roman" w:hAnsi="Times New Roman" w:cs="Times New Roman"/>
          <w:lang w:val="en-GB"/>
        </w:rPr>
        <w:t xml:space="preserve"> </w:t>
      </w:r>
      <w:r>
        <w:rPr>
          <w:rFonts w:ascii="Times New Roman" w:hAnsi="Times New Roman" w:cs="Times New Roman"/>
          <w:lang w:val="en-GB"/>
        </w:rPr>
        <w:t>females</w:t>
      </w:r>
      <w:r w:rsidRPr="00795FD8">
        <w:rPr>
          <w:rFonts w:ascii="Times New Roman" w:hAnsi="Times New Roman" w:cs="Times New Roman"/>
          <w:lang w:val="en-GB"/>
        </w:rPr>
        <w:t xml:space="preserve">, mortality from residual causes actually increased slightly on </w:t>
      </w:r>
      <w:r w:rsidRPr="00795FD8">
        <w:rPr>
          <w:rFonts w:ascii="Times New Roman" w:hAnsi="Times New Roman" w:cs="Times New Roman"/>
          <w:lang w:val="en-GB"/>
        </w:rPr>
        <w:lastRenderedPageBreak/>
        <w:t xml:space="preserve">average during the pandemic. </w:t>
      </w:r>
      <w:r>
        <w:rPr>
          <w:rFonts w:ascii="Times New Roman" w:hAnsi="Times New Roman" w:cs="Times New Roman"/>
          <w:lang w:val="en-GB"/>
        </w:rPr>
        <w:t>Turning to</w:t>
      </w:r>
      <w:r w:rsidRPr="00795FD8">
        <w:rPr>
          <w:rFonts w:ascii="Times New Roman" w:hAnsi="Times New Roman" w:cs="Times New Roman"/>
          <w:lang w:val="en-GB"/>
        </w:rPr>
        <w:t xml:space="preserve"> mortality from external and substance-related causes, all causes of death increased more during the pandemic than would have been expected based on pre-pandemic trends, except for suicide mortality, which did not change much </w:t>
      </w:r>
      <w:r w:rsidR="00A435CF">
        <w:rPr>
          <w:rFonts w:ascii="Times New Roman" w:hAnsi="Times New Roman" w:cs="Times New Roman"/>
          <w:lang w:val="en-GB"/>
        </w:rPr>
        <w:t>across</w:t>
      </w:r>
      <w:r w:rsidRPr="00795FD8">
        <w:rPr>
          <w:rFonts w:ascii="Times New Roman" w:hAnsi="Times New Roman" w:cs="Times New Roman"/>
          <w:lang w:val="en-GB"/>
        </w:rPr>
        <w:t xml:space="preserve"> the pre-pandemic and pandemic periods. Thus, </w:t>
      </w:r>
      <w:r w:rsidR="00C36CA9">
        <w:rPr>
          <w:rFonts w:ascii="Times New Roman" w:hAnsi="Times New Roman" w:cs="Times New Roman"/>
          <w:lang w:val="en-GB"/>
        </w:rPr>
        <w:t xml:space="preserve">alcohol- and </w:t>
      </w:r>
      <w:r w:rsidRPr="00795FD8">
        <w:rPr>
          <w:rFonts w:ascii="Times New Roman" w:hAnsi="Times New Roman" w:cs="Times New Roman"/>
          <w:lang w:val="en-GB"/>
        </w:rPr>
        <w:t>drug-related mortality</w:t>
      </w:r>
      <w:r w:rsidR="00C36CA9">
        <w:rPr>
          <w:rFonts w:ascii="Times New Roman" w:hAnsi="Times New Roman" w:cs="Times New Roman"/>
          <w:lang w:val="en-GB"/>
        </w:rPr>
        <w:t xml:space="preserve"> as well as</w:t>
      </w:r>
      <w:r w:rsidRPr="00795FD8">
        <w:rPr>
          <w:rFonts w:ascii="Times New Roman" w:hAnsi="Times New Roman" w:cs="Times New Roman"/>
          <w:lang w:val="en-GB"/>
        </w:rPr>
        <w:t xml:space="preserve"> </w:t>
      </w:r>
      <w:r w:rsidR="006508C6">
        <w:rPr>
          <w:rFonts w:ascii="Times New Roman" w:hAnsi="Times New Roman" w:cs="Times New Roman"/>
          <w:lang w:val="en-GB"/>
        </w:rPr>
        <w:t xml:space="preserve">mortality from </w:t>
      </w:r>
      <w:r w:rsidRPr="00795FD8">
        <w:rPr>
          <w:rFonts w:ascii="Times New Roman" w:hAnsi="Times New Roman" w:cs="Times New Roman"/>
          <w:lang w:val="en-GB"/>
        </w:rPr>
        <w:t>other external causes</w:t>
      </w:r>
      <w:r w:rsidR="00C36CA9">
        <w:rPr>
          <w:rFonts w:ascii="Times New Roman" w:hAnsi="Times New Roman" w:cs="Times New Roman"/>
          <w:lang w:val="en-GB"/>
        </w:rPr>
        <w:t xml:space="preserve"> of death</w:t>
      </w:r>
      <w:r w:rsidR="00A435CF">
        <w:rPr>
          <w:rFonts w:ascii="Times New Roman" w:hAnsi="Times New Roman" w:cs="Times New Roman"/>
          <w:lang w:val="en-GB"/>
        </w:rPr>
        <w:t>—</w:t>
      </w:r>
      <w:r w:rsidRPr="00795FD8">
        <w:rPr>
          <w:rFonts w:ascii="Times New Roman" w:hAnsi="Times New Roman" w:cs="Times New Roman"/>
          <w:lang w:val="en-GB"/>
        </w:rPr>
        <w:t>such as accidents</w:t>
      </w:r>
      <w:r w:rsidR="00A435CF">
        <w:rPr>
          <w:rFonts w:ascii="Times New Roman" w:hAnsi="Times New Roman" w:cs="Times New Roman"/>
          <w:lang w:val="en-GB"/>
        </w:rPr>
        <w:t>—</w:t>
      </w:r>
      <w:r w:rsidRPr="00795FD8">
        <w:rPr>
          <w:rFonts w:ascii="Times New Roman" w:hAnsi="Times New Roman" w:cs="Times New Roman"/>
          <w:lang w:val="en-GB"/>
        </w:rPr>
        <w:t xml:space="preserve">all contributed to life expectancy </w:t>
      </w:r>
      <w:r w:rsidR="008717A8" w:rsidRPr="00795FD8">
        <w:rPr>
          <w:rFonts w:ascii="Times New Roman" w:hAnsi="Times New Roman" w:cs="Times New Roman"/>
          <w:lang w:val="en-GB"/>
        </w:rPr>
        <w:t xml:space="preserve">stagnation </w:t>
      </w:r>
      <w:r w:rsidRPr="00795FD8">
        <w:rPr>
          <w:rFonts w:ascii="Times New Roman" w:hAnsi="Times New Roman" w:cs="Times New Roman"/>
          <w:lang w:val="en-GB"/>
        </w:rPr>
        <w:t>among U</w:t>
      </w:r>
      <w:r w:rsidR="008717A8">
        <w:rPr>
          <w:rFonts w:ascii="Times New Roman" w:hAnsi="Times New Roman" w:cs="Times New Roman"/>
          <w:lang w:val="en-GB"/>
        </w:rPr>
        <w:t>SA</w:t>
      </w:r>
      <w:r w:rsidRPr="00795FD8">
        <w:rPr>
          <w:rFonts w:ascii="Times New Roman" w:hAnsi="Times New Roman" w:cs="Times New Roman"/>
          <w:lang w:val="en-GB"/>
        </w:rPr>
        <w:t xml:space="preserve"> </w:t>
      </w:r>
      <w:r w:rsidR="008717A8">
        <w:rPr>
          <w:rFonts w:ascii="Times New Roman" w:hAnsi="Times New Roman" w:cs="Times New Roman"/>
          <w:lang w:val="en-GB"/>
        </w:rPr>
        <w:t>females</w:t>
      </w:r>
      <w:r w:rsidRPr="00795FD8">
        <w:rPr>
          <w:rFonts w:ascii="Times New Roman" w:hAnsi="Times New Roman" w:cs="Times New Roman"/>
          <w:lang w:val="en-GB"/>
        </w:rPr>
        <w:t xml:space="preserve"> and m</w:t>
      </w:r>
      <w:r w:rsidR="008717A8">
        <w:rPr>
          <w:rFonts w:ascii="Times New Roman" w:hAnsi="Times New Roman" w:cs="Times New Roman"/>
          <w:lang w:val="en-GB"/>
        </w:rPr>
        <w:t>ales</w:t>
      </w:r>
      <w:r w:rsidR="001D3EC6">
        <w:rPr>
          <w:rFonts w:ascii="Times New Roman" w:hAnsi="Times New Roman" w:cs="Times New Roman"/>
          <w:lang w:val="en-GB"/>
        </w:rPr>
        <w:t xml:space="preserve"> during the COVID-19 pandemic</w:t>
      </w:r>
      <w:r w:rsidRPr="00795FD8">
        <w:rPr>
          <w:rFonts w:ascii="Times New Roman" w:hAnsi="Times New Roman" w:cs="Times New Roman"/>
          <w:lang w:val="en-GB"/>
        </w:rPr>
        <w:t xml:space="preserve">. For </w:t>
      </w:r>
      <w:r w:rsidR="008717A8">
        <w:rPr>
          <w:rFonts w:ascii="Times New Roman" w:hAnsi="Times New Roman" w:cs="Times New Roman"/>
          <w:lang w:val="en-GB"/>
        </w:rPr>
        <w:t>males</w:t>
      </w:r>
      <w:r w:rsidRPr="00795FD8">
        <w:rPr>
          <w:rFonts w:ascii="Times New Roman" w:hAnsi="Times New Roman" w:cs="Times New Roman"/>
          <w:lang w:val="en-GB"/>
        </w:rPr>
        <w:t>, the combined contributions of external and substance-related causes to life expectancy stagnation even exceeded those of CVD mortality.</w:t>
      </w:r>
    </w:p>
    <w:p w14:paraId="30AB5B82" w14:textId="77777777" w:rsidR="001D508D" w:rsidRDefault="001D508D" w:rsidP="000E0F20">
      <w:pPr>
        <w:spacing w:after="0" w:line="480" w:lineRule="auto"/>
        <w:jc w:val="both"/>
        <w:rPr>
          <w:rFonts w:ascii="Times New Roman" w:hAnsi="Times New Roman" w:cs="Times New Roman"/>
          <w:lang w:val="en-GB"/>
        </w:rPr>
      </w:pPr>
    </w:p>
    <w:p w14:paraId="75D9953F" w14:textId="46A507E5" w:rsidR="00DA578F" w:rsidRPr="00DA578F" w:rsidRDefault="00DA578F" w:rsidP="000E0F20">
      <w:pPr>
        <w:spacing w:after="0" w:line="480" w:lineRule="auto"/>
        <w:jc w:val="both"/>
        <w:rPr>
          <w:rFonts w:ascii="Times New Roman" w:hAnsi="Times New Roman" w:cs="Times New Roman"/>
          <w:b/>
          <w:lang w:val="en-GB"/>
        </w:rPr>
      </w:pPr>
      <w:r w:rsidRPr="00DA578F">
        <w:rPr>
          <w:rFonts w:ascii="Times New Roman" w:hAnsi="Times New Roman" w:cs="Times New Roman"/>
          <w:b/>
          <w:lang w:val="en-GB"/>
        </w:rPr>
        <w:t>3</w:t>
      </w:r>
      <w:r w:rsidR="00C47056">
        <w:rPr>
          <w:rFonts w:ascii="Times New Roman" w:hAnsi="Times New Roman" w:cs="Times New Roman"/>
          <w:b/>
          <w:lang w:val="en-GB"/>
        </w:rPr>
        <w:t>-</w:t>
      </w:r>
      <w:r w:rsidRPr="00DA578F">
        <w:rPr>
          <w:rFonts w:ascii="Times New Roman" w:hAnsi="Times New Roman" w:cs="Times New Roman"/>
          <w:b/>
          <w:lang w:val="en-GB"/>
        </w:rPr>
        <w:t>add.</w:t>
      </w:r>
      <w:r>
        <w:rPr>
          <w:rFonts w:ascii="Times New Roman" w:hAnsi="Times New Roman" w:cs="Times New Roman"/>
          <w:b/>
          <w:lang w:val="en-GB"/>
        </w:rPr>
        <w:t>2</w:t>
      </w:r>
      <w:r w:rsidRPr="00DA578F">
        <w:rPr>
          <w:rFonts w:ascii="Times New Roman" w:hAnsi="Times New Roman" w:cs="Times New Roman"/>
          <w:b/>
          <w:lang w:val="en-GB"/>
        </w:rPr>
        <w:t xml:space="preserve">. Life expectancy </w:t>
      </w:r>
      <w:r>
        <w:rPr>
          <w:rFonts w:ascii="Times New Roman" w:hAnsi="Times New Roman" w:cs="Times New Roman"/>
          <w:b/>
          <w:lang w:val="en-GB"/>
        </w:rPr>
        <w:t>divergence</w:t>
      </w:r>
      <w:r w:rsidRPr="00DA578F">
        <w:rPr>
          <w:rFonts w:ascii="Times New Roman" w:hAnsi="Times New Roman" w:cs="Times New Roman"/>
          <w:b/>
          <w:lang w:val="en-GB"/>
        </w:rPr>
        <w:t xml:space="preserve"> </w:t>
      </w:r>
      <w:r w:rsidR="001B6FDE">
        <w:rPr>
          <w:rFonts w:ascii="Times New Roman" w:hAnsi="Times New Roman" w:cs="Times New Roman"/>
          <w:b/>
          <w:lang w:val="en-GB"/>
        </w:rPr>
        <w:t xml:space="preserve">before and </w:t>
      </w:r>
      <w:r w:rsidRPr="00DA578F">
        <w:rPr>
          <w:rFonts w:ascii="Times New Roman" w:hAnsi="Times New Roman" w:cs="Times New Roman"/>
          <w:b/>
          <w:lang w:val="en-GB"/>
        </w:rPr>
        <w:t>during the COVID-19 pandemic</w:t>
      </w:r>
    </w:p>
    <w:p w14:paraId="47C6D4E9" w14:textId="7B16BD9D" w:rsidR="009347A9" w:rsidRDefault="00712C6F" w:rsidP="00733774">
      <w:pPr>
        <w:spacing w:after="0" w:line="480" w:lineRule="auto"/>
        <w:jc w:val="both"/>
        <w:rPr>
          <w:rFonts w:ascii="Times New Roman" w:hAnsi="Times New Roman" w:cs="Times New Roman"/>
          <w:lang w:val="en-GB"/>
        </w:rPr>
      </w:pPr>
      <w:r>
        <w:rPr>
          <w:rFonts w:ascii="Times New Roman" w:hAnsi="Times New Roman" w:cs="Times New Roman"/>
          <w:lang w:val="en-GB"/>
        </w:rPr>
        <w:t xml:space="preserve">As I argued above, the </w:t>
      </w:r>
      <w:r w:rsidR="00567F71" w:rsidRPr="00E03086">
        <w:rPr>
          <w:rFonts w:ascii="Times New Roman" w:hAnsi="Times New Roman" w:cs="Times New Roman"/>
          <w:i/>
          <w:lang w:val="en-GB"/>
        </w:rPr>
        <w:t>stagnation</w:t>
      </w:r>
      <w:r w:rsidR="00567F71">
        <w:rPr>
          <w:rFonts w:ascii="Times New Roman" w:hAnsi="Times New Roman" w:cs="Times New Roman"/>
          <w:lang w:val="en-GB"/>
        </w:rPr>
        <w:t xml:space="preserve"> perspective is usually based in counterfactual analysis, </w:t>
      </w:r>
      <w:r w:rsidR="009038F7">
        <w:rPr>
          <w:rFonts w:ascii="Times New Roman" w:hAnsi="Times New Roman" w:cs="Times New Roman"/>
          <w:lang w:val="en-GB"/>
        </w:rPr>
        <w:t xml:space="preserve">where </w:t>
      </w:r>
      <w:r w:rsidR="00567F71">
        <w:rPr>
          <w:rFonts w:ascii="Times New Roman" w:hAnsi="Times New Roman" w:cs="Times New Roman"/>
          <w:lang w:val="en-GB"/>
        </w:rPr>
        <w:t xml:space="preserve">the actual mortality trajectory in a population </w:t>
      </w:r>
      <w:r w:rsidR="009038F7">
        <w:rPr>
          <w:rFonts w:ascii="Times New Roman" w:hAnsi="Times New Roman" w:cs="Times New Roman"/>
          <w:lang w:val="en-GB"/>
        </w:rPr>
        <w:t xml:space="preserve">is compared </w:t>
      </w:r>
      <w:r w:rsidR="00567F71">
        <w:rPr>
          <w:rFonts w:ascii="Times New Roman" w:hAnsi="Times New Roman" w:cs="Times New Roman"/>
          <w:lang w:val="en-GB"/>
        </w:rPr>
        <w:t>to the trajectory that would have been observed if mortality dynamics at an earlier period had persisted</w:t>
      </w:r>
      <w:r w:rsidR="009038F7">
        <w:rPr>
          <w:rFonts w:ascii="Times New Roman" w:hAnsi="Times New Roman" w:cs="Times New Roman"/>
          <w:lang w:val="en-GB"/>
        </w:rPr>
        <w:t xml:space="preserve">. </w:t>
      </w:r>
      <w:r w:rsidR="0068195B">
        <w:rPr>
          <w:rFonts w:ascii="Times New Roman" w:hAnsi="Times New Roman" w:cs="Times New Roman"/>
          <w:lang w:val="en-GB"/>
        </w:rPr>
        <w:t xml:space="preserve">In contrast, </w:t>
      </w:r>
      <w:r w:rsidR="00776BEE">
        <w:rPr>
          <w:rFonts w:ascii="Times New Roman" w:hAnsi="Times New Roman" w:cs="Times New Roman"/>
          <w:lang w:val="en-GB"/>
        </w:rPr>
        <w:t xml:space="preserve">the </w:t>
      </w:r>
      <w:r w:rsidR="00984892">
        <w:rPr>
          <w:rFonts w:ascii="Times New Roman" w:hAnsi="Times New Roman" w:cs="Times New Roman"/>
          <w:lang w:val="en-GB"/>
        </w:rPr>
        <w:t xml:space="preserve">study by </w:t>
      </w:r>
      <w:r w:rsidR="00A835D4">
        <w:rPr>
          <w:rFonts w:ascii="Times New Roman" w:hAnsi="Times New Roman" w:cs="Times New Roman"/>
          <w:lang w:val="en-GB"/>
        </w:rPr>
        <w:t xml:space="preserve">Polizzi and Dowd </w:t>
      </w:r>
      <w:r w:rsidR="00A835D4">
        <w:rPr>
          <w:rFonts w:ascii="Times New Roman" w:hAnsi="Times New Roman" w:cs="Times New Roman"/>
          <w:lang w:val="en-GB"/>
        </w:rPr>
        <w:fldChar w:fldCharType="begin"/>
      </w:r>
      <w:r w:rsidR="00603EC3">
        <w:rPr>
          <w:rFonts w:ascii="Times New Roman" w:hAnsi="Times New Roman" w:cs="Times New Roman"/>
          <w:lang w:val="en-GB"/>
        </w:rPr>
        <w:instrText xml:space="preserve"> ADDIN ZOTERO_ITEM CSL_CITATION {"citationID":"Qsnx0Cdh","properties":{"formattedCitation":"(2024)","plainCitation":"(2024)","noteIndex":0},"citationItems":[{"id":2538,"uris":["http://zotero.org/users/5659841/items/H5XN2CKL"],"itemData":{"id":2538,"type":"article-journal","container-title":"Proceedings of the National Academy of Sciences","DOI":"10.1073/pnas.2318276121","issue":"4","language":"en","page":"e2318276121","title":"Working-age mortality is still an important driver of stagnating life expectancy in the United States","volume":"121","author":[{"family":"Polizzi","given":"Antonino"},{"family":"Dowd","given":"Jennifer Beam"}],"issued":{"date-parts":[["2024"]]}},"label":"page","suppress-author":true}],"schema":"https://github.com/citation-style-language/schema/raw/master/csl-citation.json"} </w:instrText>
      </w:r>
      <w:r w:rsidR="00A835D4">
        <w:rPr>
          <w:rFonts w:ascii="Times New Roman" w:hAnsi="Times New Roman" w:cs="Times New Roman"/>
          <w:lang w:val="en-GB"/>
        </w:rPr>
        <w:fldChar w:fldCharType="separate"/>
      </w:r>
      <w:r w:rsidR="00603EC3" w:rsidRPr="00603EC3">
        <w:rPr>
          <w:rFonts w:ascii="Times New Roman" w:hAnsi="Times New Roman" w:cs="Times New Roman"/>
          <w:lang w:val="en-GB"/>
        </w:rPr>
        <w:t>(2024)</w:t>
      </w:r>
      <w:r w:rsidR="00A835D4">
        <w:rPr>
          <w:rFonts w:ascii="Times New Roman" w:hAnsi="Times New Roman" w:cs="Times New Roman"/>
          <w:lang w:val="en-GB"/>
        </w:rPr>
        <w:fldChar w:fldCharType="end"/>
      </w:r>
      <w:r w:rsidR="00984892">
        <w:rPr>
          <w:rFonts w:ascii="Times New Roman" w:hAnsi="Times New Roman" w:cs="Times New Roman"/>
          <w:lang w:val="en-GB"/>
        </w:rPr>
        <w:t xml:space="preserve"> reviewed in the Introduction</w:t>
      </w:r>
      <w:r w:rsidR="00CA7F9A">
        <w:rPr>
          <w:rFonts w:ascii="Times New Roman" w:hAnsi="Times New Roman" w:cs="Times New Roman"/>
          <w:lang w:val="en-GB"/>
        </w:rPr>
        <w:t>,</w:t>
      </w:r>
      <w:r w:rsidR="00984892">
        <w:rPr>
          <w:rFonts w:ascii="Times New Roman" w:hAnsi="Times New Roman" w:cs="Times New Roman"/>
          <w:lang w:val="en-GB"/>
        </w:rPr>
        <w:t xml:space="preserve"> and the analysis in Chapter 2 have illustrated that </w:t>
      </w:r>
      <w:r w:rsidR="00592F65">
        <w:rPr>
          <w:rFonts w:ascii="Times New Roman" w:hAnsi="Times New Roman" w:cs="Times New Roman"/>
          <w:lang w:val="en-GB"/>
        </w:rPr>
        <w:t xml:space="preserve">the </w:t>
      </w:r>
      <w:r w:rsidR="00592F65">
        <w:rPr>
          <w:rFonts w:ascii="Times New Roman" w:hAnsi="Times New Roman" w:cs="Times New Roman"/>
          <w:i/>
          <w:lang w:val="en-GB"/>
        </w:rPr>
        <w:t>divergence</w:t>
      </w:r>
      <w:r w:rsidR="00592F65">
        <w:rPr>
          <w:rFonts w:ascii="Times New Roman" w:hAnsi="Times New Roman" w:cs="Times New Roman"/>
          <w:lang w:val="en-GB"/>
        </w:rPr>
        <w:t xml:space="preserve"> perspective can be rooted in </w:t>
      </w:r>
      <w:r w:rsidR="004379C0">
        <w:rPr>
          <w:rFonts w:ascii="Times New Roman" w:hAnsi="Times New Roman" w:cs="Times New Roman"/>
          <w:lang w:val="en-GB"/>
        </w:rPr>
        <w:t>either</w:t>
      </w:r>
      <w:r w:rsidR="00592F65">
        <w:rPr>
          <w:rFonts w:ascii="Times New Roman" w:hAnsi="Times New Roman" w:cs="Times New Roman"/>
          <w:lang w:val="en-GB"/>
        </w:rPr>
        <w:t xml:space="preserve"> </w:t>
      </w:r>
      <w:r w:rsidR="00D76C5C">
        <w:rPr>
          <w:rFonts w:ascii="Times New Roman" w:hAnsi="Times New Roman" w:cs="Times New Roman"/>
          <w:lang w:val="en-GB"/>
        </w:rPr>
        <w:t>counterfactual analysis—where mortality dynamics of a different population are assumed to apply—</w:t>
      </w:r>
      <w:r w:rsidR="00D67899">
        <w:rPr>
          <w:rFonts w:ascii="Times New Roman" w:hAnsi="Times New Roman" w:cs="Times New Roman"/>
          <w:lang w:val="en-GB"/>
        </w:rPr>
        <w:t xml:space="preserve">or in decomposition analysis—where country-specific contributions to life expectancy changes over time are compared. </w:t>
      </w:r>
      <w:r w:rsidR="004F064C">
        <w:rPr>
          <w:rFonts w:ascii="Times New Roman" w:hAnsi="Times New Roman" w:cs="Times New Roman"/>
          <w:lang w:val="en-GB"/>
        </w:rPr>
        <w:t xml:space="preserve">In what follows, I examine </w:t>
      </w:r>
      <w:r w:rsidR="009347A9">
        <w:rPr>
          <w:rFonts w:ascii="Times New Roman" w:hAnsi="Times New Roman" w:cs="Times New Roman"/>
          <w:lang w:val="en-GB"/>
        </w:rPr>
        <w:t xml:space="preserve">changes in life expectancy shortfalls of England and Wales and the USA before and during the COVID-19 pandemic using a decomposition approach. </w:t>
      </w:r>
      <w:r w:rsidR="00477C72">
        <w:rPr>
          <w:rFonts w:ascii="Times New Roman" w:hAnsi="Times New Roman" w:cs="Times New Roman"/>
          <w:lang w:val="en-GB"/>
        </w:rPr>
        <w:t>Based on the findings produced in Chapter 3, I examine which causes of death contributed most to widening life expectancy gaps between England and Wales and the USA, on the one hand, and Sweden, on the other hand. I</w:t>
      </w:r>
      <w:r w:rsidR="00C71795">
        <w:rPr>
          <w:rFonts w:ascii="Times New Roman" w:hAnsi="Times New Roman" w:cs="Times New Roman"/>
          <w:lang w:val="en-GB"/>
        </w:rPr>
        <w:t xml:space="preserve"> use </w:t>
      </w:r>
      <w:r w:rsidR="00477C72">
        <w:rPr>
          <w:rFonts w:ascii="Times New Roman" w:hAnsi="Times New Roman" w:cs="Times New Roman"/>
          <w:lang w:val="en-GB"/>
        </w:rPr>
        <w:t xml:space="preserve">Sweden </w:t>
      </w:r>
      <w:r w:rsidR="00C71795">
        <w:rPr>
          <w:rFonts w:ascii="Times New Roman" w:hAnsi="Times New Roman" w:cs="Times New Roman"/>
          <w:lang w:val="en-GB"/>
        </w:rPr>
        <w:t>as a benchmark, since it was the only country with available data through 2022 whose life expectancy had fully returned to pre-pandemic levels</w:t>
      </w:r>
      <w:r w:rsidR="00EE3421">
        <w:rPr>
          <w:rFonts w:ascii="Times New Roman" w:hAnsi="Times New Roman" w:cs="Times New Roman"/>
          <w:lang w:val="en-GB"/>
        </w:rPr>
        <w:t xml:space="preserve"> by 2022</w:t>
      </w:r>
      <w:r w:rsidR="00C71795">
        <w:rPr>
          <w:rFonts w:ascii="Times New Roman" w:hAnsi="Times New Roman" w:cs="Times New Roman"/>
          <w:lang w:val="en-GB"/>
        </w:rPr>
        <w:t xml:space="preserve">. </w:t>
      </w:r>
    </w:p>
    <w:p w14:paraId="200C9882" w14:textId="77777777" w:rsidR="00400B72" w:rsidRDefault="00400B72" w:rsidP="00733774">
      <w:pPr>
        <w:spacing w:after="0" w:line="480" w:lineRule="auto"/>
        <w:jc w:val="both"/>
        <w:rPr>
          <w:rFonts w:ascii="Times New Roman" w:hAnsi="Times New Roman" w:cs="Times New Roman"/>
          <w:lang w:val="en-GB"/>
        </w:rPr>
      </w:pPr>
    </w:p>
    <w:p w14:paraId="69862E6A" w14:textId="379D4108" w:rsidR="00A24B51" w:rsidRDefault="00983540" w:rsidP="00A24B51">
      <w:pPr>
        <w:spacing w:after="0" w:line="480" w:lineRule="auto"/>
        <w:jc w:val="both"/>
        <w:rPr>
          <w:rFonts w:ascii="Times New Roman" w:hAnsi="Times New Roman" w:cs="Times New Roman"/>
          <w:lang w:val="en-GB"/>
        </w:rPr>
      </w:pPr>
      <w:r>
        <w:rPr>
          <w:rFonts w:ascii="Times New Roman" w:hAnsi="Times New Roman" w:cs="Times New Roman"/>
          <w:lang w:val="en-GB"/>
        </w:rPr>
        <w:lastRenderedPageBreak/>
        <w:t xml:space="preserve">In 2015, male life expectancy in </w:t>
      </w:r>
      <w:r w:rsidRPr="00722135">
        <w:rPr>
          <w:rFonts w:ascii="Times New Roman" w:hAnsi="Times New Roman" w:cs="Times New Roman"/>
          <w:lang w:val="en-GB"/>
        </w:rPr>
        <w:t xml:space="preserve">England and Wales was </w:t>
      </w:r>
      <w:r w:rsidR="00726B33" w:rsidRPr="00722135">
        <w:rPr>
          <w:rFonts w:ascii="Times New Roman" w:hAnsi="Times New Roman" w:cs="Times New Roman"/>
          <w:lang w:val="en-GB"/>
        </w:rPr>
        <w:t xml:space="preserve">79.4 </w:t>
      </w:r>
      <w:r w:rsidRPr="00722135">
        <w:rPr>
          <w:rFonts w:ascii="Times New Roman" w:hAnsi="Times New Roman" w:cs="Times New Roman"/>
          <w:lang w:val="en-GB"/>
        </w:rPr>
        <w:t>years (see Table 3-</w:t>
      </w:r>
      <w:r w:rsidR="00A900E6" w:rsidRPr="00722135">
        <w:rPr>
          <w:rFonts w:ascii="Times New Roman" w:hAnsi="Times New Roman" w:cs="Times New Roman"/>
          <w:lang w:val="en-GB"/>
        </w:rPr>
        <w:t>2</w:t>
      </w:r>
      <w:r w:rsidRPr="00722135">
        <w:rPr>
          <w:rFonts w:ascii="Times New Roman" w:hAnsi="Times New Roman" w:cs="Times New Roman"/>
          <w:lang w:val="en-GB"/>
        </w:rPr>
        <w:t xml:space="preserve">), whereas male life expectancy in Sweden was </w:t>
      </w:r>
      <w:r w:rsidR="008A7D81" w:rsidRPr="00722135">
        <w:rPr>
          <w:rFonts w:ascii="Times New Roman" w:hAnsi="Times New Roman" w:cs="Times New Roman"/>
          <w:lang w:val="en-GB"/>
        </w:rPr>
        <w:t>80.2</w:t>
      </w:r>
      <w:r w:rsidRPr="00722135">
        <w:rPr>
          <w:rFonts w:ascii="Times New Roman" w:hAnsi="Times New Roman" w:cs="Times New Roman"/>
          <w:lang w:val="en-GB"/>
        </w:rPr>
        <w:t xml:space="preserve"> years, resulting in a gap of </w:t>
      </w:r>
      <w:r w:rsidR="008A7D81" w:rsidRPr="00722135">
        <w:rPr>
          <w:rFonts w:ascii="Times New Roman" w:hAnsi="Times New Roman" w:cs="Times New Roman"/>
          <w:lang w:val="en-GB"/>
        </w:rPr>
        <w:t>-0.8</w:t>
      </w:r>
      <w:r w:rsidRPr="00722135">
        <w:rPr>
          <w:rFonts w:ascii="Times New Roman" w:hAnsi="Times New Roman" w:cs="Times New Roman"/>
          <w:lang w:val="en-GB"/>
        </w:rPr>
        <w:t xml:space="preserve"> years. By 2019, </w:t>
      </w:r>
      <w:r w:rsidR="005C385E" w:rsidRPr="00722135">
        <w:rPr>
          <w:rFonts w:ascii="Times New Roman" w:hAnsi="Times New Roman" w:cs="Times New Roman"/>
          <w:lang w:val="en-GB"/>
        </w:rPr>
        <w:t>male life expectancy had increased to</w:t>
      </w:r>
      <w:r w:rsidR="008A7D81" w:rsidRPr="00722135">
        <w:rPr>
          <w:lang w:val="en-GB"/>
        </w:rPr>
        <w:t xml:space="preserve"> </w:t>
      </w:r>
      <w:r w:rsidR="008A7D81" w:rsidRPr="00722135">
        <w:rPr>
          <w:rFonts w:ascii="Times New Roman" w:hAnsi="Times New Roman" w:cs="Times New Roman"/>
          <w:lang w:val="en-GB"/>
        </w:rPr>
        <w:t>80.0</w:t>
      </w:r>
      <w:r w:rsidR="005C385E" w:rsidRPr="00722135">
        <w:rPr>
          <w:rFonts w:ascii="Times New Roman" w:hAnsi="Times New Roman" w:cs="Times New Roman"/>
          <w:lang w:val="en-GB"/>
        </w:rPr>
        <w:t xml:space="preserve"> years and </w:t>
      </w:r>
      <w:r w:rsidR="008A7D81" w:rsidRPr="00722135">
        <w:rPr>
          <w:rFonts w:ascii="Times New Roman" w:hAnsi="Times New Roman" w:cs="Times New Roman"/>
          <w:lang w:val="en-GB"/>
        </w:rPr>
        <w:t>81.2</w:t>
      </w:r>
      <w:r w:rsidR="005C385E" w:rsidRPr="00722135">
        <w:rPr>
          <w:rFonts w:ascii="Times New Roman" w:hAnsi="Times New Roman" w:cs="Times New Roman"/>
          <w:lang w:val="en-GB"/>
        </w:rPr>
        <w:t xml:space="preserve"> years in England and Wales and Sweden, respectively, </w:t>
      </w:r>
      <w:r w:rsidR="00E53073" w:rsidRPr="00722135">
        <w:rPr>
          <w:rFonts w:ascii="Times New Roman" w:hAnsi="Times New Roman" w:cs="Times New Roman"/>
          <w:lang w:val="en-GB"/>
        </w:rPr>
        <w:t xml:space="preserve">resulting in a gap of </w:t>
      </w:r>
      <w:r w:rsidR="002C6B03" w:rsidRPr="00722135">
        <w:rPr>
          <w:rFonts w:ascii="Times New Roman" w:hAnsi="Times New Roman" w:cs="Times New Roman"/>
          <w:lang w:val="en-GB"/>
        </w:rPr>
        <w:t>-1.2</w:t>
      </w:r>
      <w:r w:rsidR="00E53073" w:rsidRPr="00722135">
        <w:rPr>
          <w:rFonts w:ascii="Times New Roman" w:hAnsi="Times New Roman" w:cs="Times New Roman"/>
          <w:lang w:val="en-GB"/>
        </w:rPr>
        <w:t xml:space="preserve"> years. Thus</w:t>
      </w:r>
      <w:r w:rsidR="00E53073" w:rsidRPr="00B575E1">
        <w:rPr>
          <w:rFonts w:ascii="Times New Roman" w:hAnsi="Times New Roman" w:cs="Times New Roman"/>
          <w:lang w:val="en-GB"/>
        </w:rPr>
        <w:t xml:space="preserve">, the added shortfall during 2015–2019 was </w:t>
      </w:r>
      <w:r w:rsidR="002C6B03" w:rsidRPr="00B575E1">
        <w:rPr>
          <w:rFonts w:ascii="Times New Roman" w:hAnsi="Times New Roman" w:cs="Times New Roman"/>
          <w:lang w:val="en-GB"/>
        </w:rPr>
        <w:t>(-1.2)</w:t>
      </w:r>
      <w:r w:rsidR="00E53073" w:rsidRPr="00B575E1">
        <w:rPr>
          <w:rFonts w:ascii="Times New Roman" w:hAnsi="Times New Roman" w:cs="Times New Roman"/>
          <w:lang w:val="en-GB"/>
        </w:rPr>
        <w:t xml:space="preserve"> – (</w:t>
      </w:r>
      <w:r w:rsidR="002C6B03" w:rsidRPr="00B575E1">
        <w:rPr>
          <w:rFonts w:ascii="Times New Roman" w:hAnsi="Times New Roman" w:cs="Times New Roman"/>
          <w:lang w:val="en-GB"/>
        </w:rPr>
        <w:t>-0.8</w:t>
      </w:r>
      <w:r w:rsidR="00E53073" w:rsidRPr="00B575E1">
        <w:rPr>
          <w:rFonts w:ascii="Times New Roman" w:hAnsi="Times New Roman" w:cs="Times New Roman"/>
          <w:lang w:val="en-GB"/>
        </w:rPr>
        <w:t xml:space="preserve">) = </w:t>
      </w:r>
      <w:r w:rsidR="002C6B03" w:rsidRPr="00B575E1">
        <w:rPr>
          <w:rFonts w:ascii="Times New Roman" w:hAnsi="Times New Roman" w:cs="Times New Roman"/>
          <w:lang w:val="en-GB"/>
        </w:rPr>
        <w:t>-0.4</w:t>
      </w:r>
      <w:r w:rsidR="00E53073" w:rsidRPr="00B575E1">
        <w:rPr>
          <w:rFonts w:ascii="Times New Roman" w:hAnsi="Times New Roman" w:cs="Times New Roman"/>
          <w:lang w:val="en-GB"/>
        </w:rPr>
        <w:t xml:space="preserve"> years</w:t>
      </w:r>
      <w:r w:rsidR="00FA2D90" w:rsidRPr="00B575E1">
        <w:rPr>
          <w:rFonts w:ascii="Times New Roman" w:hAnsi="Times New Roman" w:cs="Times New Roman"/>
          <w:lang w:val="en-GB"/>
        </w:rPr>
        <w:t>—</w:t>
      </w:r>
      <w:r w:rsidR="00D11601" w:rsidRPr="00B575E1">
        <w:rPr>
          <w:rFonts w:ascii="Times New Roman" w:hAnsi="Times New Roman" w:cs="Times New Roman"/>
          <w:lang w:val="en-GB"/>
        </w:rPr>
        <w:t>or -</w:t>
      </w:r>
      <w:r w:rsidR="00062E98" w:rsidRPr="00B575E1">
        <w:rPr>
          <w:rFonts w:ascii="Times New Roman" w:hAnsi="Times New Roman" w:cs="Times New Roman"/>
          <w:lang w:val="en-GB"/>
        </w:rPr>
        <w:t>0</w:t>
      </w:r>
      <w:r w:rsidR="00D11601" w:rsidRPr="00B575E1">
        <w:rPr>
          <w:rFonts w:ascii="Times New Roman" w:hAnsi="Times New Roman" w:cs="Times New Roman"/>
          <w:lang w:val="en-GB"/>
        </w:rPr>
        <w:t>.</w:t>
      </w:r>
      <w:r w:rsidR="00062E98" w:rsidRPr="00B575E1">
        <w:rPr>
          <w:rFonts w:ascii="Times New Roman" w:hAnsi="Times New Roman" w:cs="Times New Roman"/>
          <w:lang w:val="en-GB"/>
        </w:rPr>
        <w:t>2</w:t>
      </w:r>
      <w:r w:rsidR="00D11601" w:rsidRPr="00B575E1">
        <w:rPr>
          <w:rFonts w:ascii="Times New Roman" w:hAnsi="Times New Roman" w:cs="Times New Roman"/>
          <w:lang w:val="en-GB"/>
        </w:rPr>
        <w:t xml:space="preserve">8 years </w:t>
      </w:r>
      <w:r w:rsidR="00FE3B6A" w:rsidRPr="00B575E1">
        <w:rPr>
          <w:rFonts w:ascii="Times New Roman" w:hAnsi="Times New Roman" w:cs="Times New Roman"/>
          <w:lang w:val="en-GB"/>
        </w:rPr>
        <w:t>(-3</w:t>
      </w:r>
      <w:r w:rsidR="00062E98" w:rsidRPr="00B575E1">
        <w:rPr>
          <w:rFonts w:ascii="Times New Roman" w:hAnsi="Times New Roman" w:cs="Times New Roman"/>
          <w:lang w:val="en-GB"/>
        </w:rPr>
        <w:t>.</w:t>
      </w:r>
      <w:r w:rsidR="00FE3B6A" w:rsidRPr="00B575E1">
        <w:rPr>
          <w:rFonts w:ascii="Times New Roman" w:hAnsi="Times New Roman" w:cs="Times New Roman"/>
          <w:lang w:val="en-GB"/>
        </w:rPr>
        <w:t>3 months) without rounding errors</w:t>
      </w:r>
      <w:r w:rsidR="00A5650B" w:rsidRPr="00B575E1">
        <w:rPr>
          <w:rFonts w:ascii="Times New Roman" w:hAnsi="Times New Roman" w:cs="Times New Roman"/>
          <w:lang w:val="en-GB"/>
        </w:rPr>
        <w:t>.</w:t>
      </w:r>
      <w:r w:rsidR="00E53073" w:rsidRPr="00B575E1">
        <w:rPr>
          <w:rFonts w:ascii="Times New Roman" w:hAnsi="Times New Roman" w:cs="Times New Roman"/>
          <w:lang w:val="en-GB"/>
        </w:rPr>
        <w:t xml:space="preserve"> </w:t>
      </w:r>
      <w:r w:rsidR="001559C2" w:rsidRPr="00B575E1">
        <w:rPr>
          <w:rFonts w:ascii="Times New Roman" w:hAnsi="Times New Roman" w:cs="Times New Roman"/>
          <w:lang w:val="en-GB"/>
        </w:rPr>
        <w:t>By 2022, the gap had widened to</w:t>
      </w:r>
      <w:r w:rsidR="0014328C" w:rsidRPr="00B575E1">
        <w:rPr>
          <w:rFonts w:ascii="Times New Roman" w:hAnsi="Times New Roman" w:cs="Times New Roman"/>
          <w:lang w:val="en-GB"/>
        </w:rPr>
        <w:t xml:space="preserve"> -1.7</w:t>
      </w:r>
      <w:r w:rsidR="001559C2" w:rsidRPr="00B575E1">
        <w:rPr>
          <w:rFonts w:ascii="Times New Roman" w:hAnsi="Times New Roman" w:cs="Times New Roman"/>
          <w:lang w:val="en-GB"/>
        </w:rPr>
        <w:t xml:space="preserve"> years, for an added shortfall of </w:t>
      </w:r>
      <w:r w:rsidR="000B2C51" w:rsidRPr="00B575E1">
        <w:rPr>
          <w:rFonts w:ascii="Times New Roman" w:hAnsi="Times New Roman" w:cs="Times New Roman"/>
          <w:lang w:val="en-GB"/>
        </w:rPr>
        <w:t>(</w:t>
      </w:r>
      <w:r w:rsidR="0014328C" w:rsidRPr="00B575E1">
        <w:rPr>
          <w:rFonts w:ascii="Times New Roman" w:hAnsi="Times New Roman" w:cs="Times New Roman"/>
          <w:lang w:val="en-GB"/>
        </w:rPr>
        <w:t>-1.7</w:t>
      </w:r>
      <w:r w:rsidR="000B2C51" w:rsidRPr="00B575E1">
        <w:rPr>
          <w:rFonts w:ascii="Times New Roman" w:hAnsi="Times New Roman" w:cs="Times New Roman"/>
          <w:lang w:val="en-GB"/>
        </w:rPr>
        <w:t>) – (</w:t>
      </w:r>
      <w:r w:rsidR="0014328C" w:rsidRPr="00B575E1">
        <w:rPr>
          <w:rFonts w:ascii="Times New Roman" w:hAnsi="Times New Roman" w:cs="Times New Roman"/>
          <w:lang w:val="en-GB"/>
        </w:rPr>
        <w:t>-1.2</w:t>
      </w:r>
      <w:r w:rsidR="000B2C51" w:rsidRPr="00B575E1">
        <w:rPr>
          <w:rFonts w:ascii="Times New Roman" w:hAnsi="Times New Roman" w:cs="Times New Roman"/>
          <w:lang w:val="en-GB"/>
        </w:rPr>
        <w:t xml:space="preserve">) = </w:t>
      </w:r>
      <w:r w:rsidR="0014328C" w:rsidRPr="00B575E1">
        <w:rPr>
          <w:rFonts w:ascii="Times New Roman" w:hAnsi="Times New Roman" w:cs="Times New Roman"/>
          <w:lang w:val="en-GB"/>
        </w:rPr>
        <w:t>-0.5</w:t>
      </w:r>
      <w:r w:rsidR="000B2C51" w:rsidRPr="00B575E1">
        <w:rPr>
          <w:rFonts w:ascii="Times New Roman" w:hAnsi="Times New Roman" w:cs="Times New Roman"/>
          <w:lang w:val="en-GB"/>
        </w:rPr>
        <w:t xml:space="preserve"> years compared to 2019</w:t>
      </w:r>
      <w:r w:rsidR="00FA2D90" w:rsidRPr="00B575E1">
        <w:rPr>
          <w:rFonts w:ascii="Times New Roman" w:hAnsi="Times New Roman" w:cs="Times New Roman"/>
          <w:lang w:val="en-GB"/>
        </w:rPr>
        <w:t>—</w:t>
      </w:r>
      <w:r w:rsidR="00805606" w:rsidRPr="00B575E1">
        <w:rPr>
          <w:rFonts w:ascii="Times New Roman" w:hAnsi="Times New Roman" w:cs="Times New Roman"/>
          <w:lang w:val="en-GB"/>
        </w:rPr>
        <w:t xml:space="preserve">or </w:t>
      </w:r>
      <w:r w:rsidR="00F73BFE" w:rsidRPr="00B575E1">
        <w:rPr>
          <w:rFonts w:ascii="Times New Roman" w:hAnsi="Times New Roman" w:cs="Times New Roman"/>
          <w:lang w:val="en-GB"/>
        </w:rPr>
        <w:t>-</w:t>
      </w:r>
      <w:r w:rsidR="00805606" w:rsidRPr="00B575E1">
        <w:rPr>
          <w:rFonts w:ascii="Times New Roman" w:hAnsi="Times New Roman" w:cs="Times New Roman"/>
          <w:lang w:val="en-GB"/>
        </w:rPr>
        <w:t>0.5</w:t>
      </w:r>
      <w:r w:rsidR="002F3532" w:rsidRPr="00B575E1">
        <w:rPr>
          <w:rFonts w:ascii="Times New Roman" w:hAnsi="Times New Roman" w:cs="Times New Roman"/>
          <w:lang w:val="en-GB"/>
        </w:rPr>
        <w:t>9</w:t>
      </w:r>
      <w:r w:rsidR="00805606" w:rsidRPr="00B575E1">
        <w:rPr>
          <w:rFonts w:ascii="Times New Roman" w:hAnsi="Times New Roman" w:cs="Times New Roman"/>
          <w:lang w:val="en-GB"/>
        </w:rPr>
        <w:t xml:space="preserve"> years </w:t>
      </w:r>
      <w:r w:rsidR="00F73BFE" w:rsidRPr="00B575E1">
        <w:rPr>
          <w:rFonts w:ascii="Times New Roman" w:hAnsi="Times New Roman" w:cs="Times New Roman"/>
          <w:lang w:val="en-GB"/>
        </w:rPr>
        <w:t>(-7.1 months) without rounding errors</w:t>
      </w:r>
      <w:r w:rsidR="000B2C51" w:rsidRPr="00B575E1">
        <w:rPr>
          <w:rFonts w:ascii="Times New Roman" w:hAnsi="Times New Roman" w:cs="Times New Roman"/>
          <w:lang w:val="en-GB"/>
        </w:rPr>
        <w:t xml:space="preserve">. </w:t>
      </w:r>
      <w:r w:rsidR="00CB2CC3" w:rsidRPr="00B575E1">
        <w:rPr>
          <w:rFonts w:ascii="Times New Roman" w:hAnsi="Times New Roman" w:cs="Times New Roman"/>
          <w:lang w:val="en-GB"/>
        </w:rPr>
        <w:t xml:space="preserve">To obtain the </w:t>
      </w:r>
      <w:r w:rsidR="00E56124" w:rsidRPr="00B575E1">
        <w:rPr>
          <w:rFonts w:ascii="Times New Roman" w:hAnsi="Times New Roman" w:cs="Times New Roman"/>
          <w:lang w:val="en-GB"/>
        </w:rPr>
        <w:t>cause-specific contributions to the pre-pandemic</w:t>
      </w:r>
      <w:r w:rsidR="00E56124">
        <w:rPr>
          <w:rFonts w:ascii="Times New Roman" w:hAnsi="Times New Roman" w:cs="Times New Roman"/>
          <w:lang w:val="en-GB"/>
        </w:rPr>
        <w:t xml:space="preserve"> and pandemic life expectancy divergence, </w:t>
      </w:r>
      <w:r w:rsidR="00E56124" w:rsidRPr="00460292">
        <w:rPr>
          <w:rFonts w:ascii="Times New Roman" w:hAnsi="Times New Roman" w:cs="Times New Roman"/>
          <w:lang w:val="en-GB"/>
        </w:rPr>
        <w:t xml:space="preserve">we can </w:t>
      </w:r>
      <w:r w:rsidR="002F3532" w:rsidRPr="00460292">
        <w:rPr>
          <w:rFonts w:ascii="Times New Roman" w:hAnsi="Times New Roman" w:cs="Times New Roman"/>
          <w:lang w:val="en-GB"/>
        </w:rPr>
        <w:t xml:space="preserve">similarly </w:t>
      </w:r>
      <w:r w:rsidR="00826D38" w:rsidRPr="00460292">
        <w:rPr>
          <w:rFonts w:ascii="Times New Roman" w:hAnsi="Times New Roman" w:cs="Times New Roman"/>
          <w:lang w:val="en-GB"/>
        </w:rPr>
        <w:t xml:space="preserve">compare the country- and cause-specific contributions to life expectancy changes over time. Between 2015–2019 CVD mortality contributed </w:t>
      </w:r>
      <w:r w:rsidR="00000295" w:rsidRPr="00460292">
        <w:rPr>
          <w:rFonts w:ascii="Times New Roman" w:hAnsi="Times New Roman" w:cs="Times New Roman"/>
          <w:lang w:val="en-GB"/>
        </w:rPr>
        <w:t>3.8</w:t>
      </w:r>
      <w:r w:rsidR="00826D38" w:rsidRPr="00460292">
        <w:rPr>
          <w:rFonts w:ascii="Times New Roman" w:hAnsi="Times New Roman" w:cs="Times New Roman"/>
          <w:lang w:val="en-GB"/>
        </w:rPr>
        <w:t xml:space="preserve"> months to the change in male life expectancy in England and Wales, but</w:t>
      </w:r>
      <w:r w:rsidR="002C3505" w:rsidRPr="00460292">
        <w:rPr>
          <w:rFonts w:ascii="Times New Roman" w:hAnsi="Times New Roman" w:cs="Times New Roman"/>
          <w:lang w:val="en-GB"/>
        </w:rPr>
        <w:t xml:space="preserve"> 6.2</w:t>
      </w:r>
      <w:r w:rsidR="00826D38" w:rsidRPr="00460292">
        <w:rPr>
          <w:rFonts w:ascii="Times New Roman" w:hAnsi="Times New Roman" w:cs="Times New Roman"/>
          <w:lang w:val="en-GB"/>
        </w:rPr>
        <w:t xml:space="preserve"> months in Sweden. Thus, CVD mortality contributed </w:t>
      </w:r>
      <w:r w:rsidR="002C3505" w:rsidRPr="00460292">
        <w:rPr>
          <w:rFonts w:ascii="Times New Roman" w:hAnsi="Times New Roman" w:cs="Times New Roman"/>
          <w:lang w:val="en-GB"/>
        </w:rPr>
        <w:t xml:space="preserve">3.8 – 6.2 = </w:t>
      </w:r>
      <w:r w:rsidR="00354CC3" w:rsidRPr="00460292">
        <w:rPr>
          <w:rFonts w:ascii="Times New Roman" w:hAnsi="Times New Roman" w:cs="Times New Roman"/>
          <w:lang w:val="en-GB"/>
        </w:rPr>
        <w:t>-</w:t>
      </w:r>
      <w:r w:rsidR="002C3505" w:rsidRPr="00460292">
        <w:rPr>
          <w:rFonts w:ascii="Times New Roman" w:hAnsi="Times New Roman" w:cs="Times New Roman"/>
          <w:lang w:val="en-GB"/>
        </w:rPr>
        <w:t xml:space="preserve">2.4 </w:t>
      </w:r>
      <w:r w:rsidR="00826D38" w:rsidRPr="00460292">
        <w:rPr>
          <w:rFonts w:ascii="Times New Roman" w:hAnsi="Times New Roman" w:cs="Times New Roman"/>
          <w:lang w:val="en-GB"/>
        </w:rPr>
        <w:t>months to the added shortfall of</w:t>
      </w:r>
      <w:r w:rsidR="00BC54FA" w:rsidRPr="00460292">
        <w:rPr>
          <w:rFonts w:ascii="Times New Roman" w:hAnsi="Times New Roman" w:cs="Times New Roman"/>
          <w:lang w:val="en-GB"/>
        </w:rPr>
        <w:t xml:space="preserve"> -</w:t>
      </w:r>
      <w:r w:rsidR="00354CC3" w:rsidRPr="00460292">
        <w:rPr>
          <w:rFonts w:ascii="Times New Roman" w:hAnsi="Times New Roman" w:cs="Times New Roman"/>
          <w:lang w:val="en-GB"/>
        </w:rPr>
        <w:t>3</w:t>
      </w:r>
      <w:r w:rsidR="00BC54FA" w:rsidRPr="00460292">
        <w:rPr>
          <w:rFonts w:ascii="Times New Roman" w:hAnsi="Times New Roman" w:cs="Times New Roman"/>
          <w:lang w:val="en-GB"/>
        </w:rPr>
        <w:t>.</w:t>
      </w:r>
      <w:r w:rsidR="00354CC3" w:rsidRPr="00460292">
        <w:rPr>
          <w:rFonts w:ascii="Times New Roman" w:hAnsi="Times New Roman" w:cs="Times New Roman"/>
          <w:lang w:val="en-GB"/>
        </w:rPr>
        <w:t>3</w:t>
      </w:r>
      <w:r w:rsidR="00BC54FA" w:rsidRPr="00460292">
        <w:rPr>
          <w:rFonts w:ascii="Times New Roman" w:hAnsi="Times New Roman" w:cs="Times New Roman"/>
          <w:lang w:val="en-GB"/>
        </w:rPr>
        <w:t xml:space="preserve"> </w:t>
      </w:r>
      <w:r w:rsidR="00826D38" w:rsidRPr="00460292">
        <w:rPr>
          <w:rFonts w:ascii="Times New Roman" w:hAnsi="Times New Roman" w:cs="Times New Roman"/>
          <w:lang w:val="en-GB"/>
        </w:rPr>
        <w:t xml:space="preserve">months during </w:t>
      </w:r>
      <w:r w:rsidR="00826D38" w:rsidRPr="007C595F">
        <w:rPr>
          <w:rFonts w:ascii="Times New Roman" w:hAnsi="Times New Roman" w:cs="Times New Roman"/>
          <w:lang w:val="en-GB"/>
        </w:rPr>
        <w:t xml:space="preserve">the pre-pandemic period, or </w:t>
      </w:r>
      <w:r w:rsidR="007D333E" w:rsidRPr="007C595F">
        <w:rPr>
          <w:rFonts w:ascii="Times New Roman" w:hAnsi="Times New Roman" w:cs="Times New Roman"/>
          <w:lang w:val="en-GB"/>
        </w:rPr>
        <w:t>around 70</w:t>
      </w:r>
      <w:r w:rsidR="00826D38" w:rsidRPr="007C595F">
        <w:rPr>
          <w:rFonts w:ascii="Times New Roman" w:hAnsi="Times New Roman" w:cs="Times New Roman"/>
          <w:lang w:val="en-GB"/>
        </w:rPr>
        <w:t xml:space="preserve">%. </w:t>
      </w:r>
      <w:r w:rsidR="00496465" w:rsidRPr="007C595F">
        <w:rPr>
          <w:rFonts w:ascii="Times New Roman" w:hAnsi="Times New Roman" w:cs="Times New Roman"/>
          <w:lang w:val="en-GB"/>
        </w:rPr>
        <w:t>Over</w:t>
      </w:r>
      <w:r w:rsidR="00826D38" w:rsidRPr="007C595F">
        <w:rPr>
          <w:rFonts w:ascii="Times New Roman" w:hAnsi="Times New Roman" w:cs="Times New Roman"/>
          <w:lang w:val="en-GB"/>
        </w:rPr>
        <w:t xml:space="preserve"> 2019–2022, England and Wales males lost</w:t>
      </w:r>
      <w:r w:rsidR="002A2519" w:rsidRPr="007C595F">
        <w:rPr>
          <w:rFonts w:ascii="Times New Roman" w:hAnsi="Times New Roman" w:cs="Times New Roman"/>
          <w:lang w:val="en-GB"/>
        </w:rPr>
        <w:t xml:space="preserve"> 2.8</w:t>
      </w:r>
      <w:r w:rsidR="00826D38" w:rsidRPr="007C595F">
        <w:rPr>
          <w:rFonts w:ascii="Times New Roman" w:hAnsi="Times New Roman" w:cs="Times New Roman"/>
          <w:lang w:val="en-GB"/>
        </w:rPr>
        <w:t xml:space="preserve"> months of life expectancy </w:t>
      </w:r>
      <w:r w:rsidR="00496465" w:rsidRPr="007C595F">
        <w:rPr>
          <w:rFonts w:ascii="Times New Roman" w:hAnsi="Times New Roman" w:cs="Times New Roman"/>
          <w:lang w:val="en-GB"/>
        </w:rPr>
        <w:t xml:space="preserve">due to changes in CVD mortality, compared to </w:t>
      </w:r>
      <w:r w:rsidR="00514288" w:rsidRPr="007C595F">
        <w:rPr>
          <w:rFonts w:ascii="Times New Roman" w:hAnsi="Times New Roman" w:cs="Times New Roman"/>
          <w:lang w:val="en-GB"/>
        </w:rPr>
        <w:t>gains of 2</w:t>
      </w:r>
      <w:r w:rsidR="008C4739" w:rsidRPr="007C595F">
        <w:rPr>
          <w:rFonts w:ascii="Times New Roman" w:hAnsi="Times New Roman" w:cs="Times New Roman"/>
          <w:lang w:val="en-GB"/>
        </w:rPr>
        <w:t xml:space="preserve"> </w:t>
      </w:r>
      <w:r w:rsidR="00496465" w:rsidRPr="007C595F">
        <w:rPr>
          <w:rFonts w:ascii="Times New Roman" w:hAnsi="Times New Roman" w:cs="Times New Roman"/>
          <w:lang w:val="en-GB"/>
        </w:rPr>
        <w:t xml:space="preserve">months in Sweden, resulting in a contribution of </w:t>
      </w:r>
      <w:r w:rsidR="008C4739" w:rsidRPr="007C595F">
        <w:rPr>
          <w:rFonts w:ascii="Times New Roman" w:hAnsi="Times New Roman" w:cs="Times New Roman"/>
          <w:lang w:val="en-GB"/>
        </w:rPr>
        <w:t>(-2.8) – 2 = -4.8</w:t>
      </w:r>
      <w:r w:rsidR="00496465" w:rsidRPr="007C595F">
        <w:rPr>
          <w:rFonts w:ascii="Times New Roman" w:hAnsi="Times New Roman" w:cs="Times New Roman"/>
          <w:lang w:val="en-GB"/>
        </w:rPr>
        <w:t xml:space="preserve"> months</w:t>
      </w:r>
      <w:r w:rsidR="00A24B51" w:rsidRPr="007C595F">
        <w:rPr>
          <w:rFonts w:ascii="Times New Roman" w:hAnsi="Times New Roman" w:cs="Times New Roman"/>
          <w:lang w:val="en-GB"/>
        </w:rPr>
        <w:t xml:space="preserve"> (or</w:t>
      </w:r>
      <w:r w:rsidR="000102CE" w:rsidRPr="007C595F">
        <w:rPr>
          <w:rFonts w:ascii="Times New Roman" w:hAnsi="Times New Roman" w:cs="Times New Roman"/>
          <w:lang w:val="en-GB"/>
        </w:rPr>
        <w:t xml:space="preserve"> around 70</w:t>
      </w:r>
      <w:r w:rsidR="00A24B51" w:rsidRPr="007C595F">
        <w:rPr>
          <w:rFonts w:ascii="Times New Roman" w:hAnsi="Times New Roman" w:cs="Times New Roman"/>
          <w:lang w:val="en-GB"/>
        </w:rPr>
        <w:t xml:space="preserve">%) to the life expectancy divergence during the pandemic. This method of obtaining cause-specific contributions to </w:t>
      </w:r>
      <w:r w:rsidR="002244D9" w:rsidRPr="007C595F">
        <w:rPr>
          <w:rFonts w:ascii="Times New Roman" w:hAnsi="Times New Roman" w:cs="Times New Roman"/>
          <w:lang w:val="en-GB"/>
        </w:rPr>
        <w:t xml:space="preserve">life expectancy divergences represents a </w:t>
      </w:r>
      <w:r w:rsidR="00A24B51" w:rsidRPr="007C595F">
        <w:rPr>
          <w:rFonts w:ascii="Times New Roman" w:hAnsi="Times New Roman" w:cs="Times New Roman"/>
          <w:lang w:val="en-GB"/>
        </w:rPr>
        <w:t>simplified version of the contour decomposition</w:t>
      </w:r>
      <w:r w:rsidR="00A24B51">
        <w:rPr>
          <w:rFonts w:ascii="Times New Roman" w:hAnsi="Times New Roman" w:cs="Times New Roman"/>
          <w:lang w:val="en-GB"/>
        </w:rPr>
        <w:t xml:space="preserve"> approach used in Chapter 2</w:t>
      </w:r>
      <w:r w:rsidR="00F243F4">
        <w:rPr>
          <w:rFonts w:ascii="Times New Roman" w:hAnsi="Times New Roman" w:cs="Times New Roman"/>
          <w:lang w:val="en-GB"/>
        </w:rPr>
        <w:t xml:space="preserve"> and </w:t>
      </w:r>
      <w:r w:rsidR="002244D9">
        <w:rPr>
          <w:rFonts w:ascii="Times New Roman" w:hAnsi="Times New Roman" w:cs="Times New Roman"/>
          <w:lang w:val="en-GB"/>
        </w:rPr>
        <w:t xml:space="preserve">focuses on the trend component only. </w:t>
      </w:r>
      <w:r w:rsidR="006E4A4F">
        <w:rPr>
          <w:rFonts w:ascii="Times New Roman" w:hAnsi="Times New Roman" w:cs="Times New Roman"/>
          <w:lang w:val="en-GB"/>
        </w:rPr>
        <w:t>A similar method</w:t>
      </w:r>
      <w:r w:rsidR="002244D9">
        <w:rPr>
          <w:rFonts w:ascii="Times New Roman" w:hAnsi="Times New Roman" w:cs="Times New Roman"/>
          <w:lang w:val="en-GB"/>
        </w:rPr>
        <w:t xml:space="preserve"> has previously </w:t>
      </w:r>
      <w:r w:rsidR="00603EC3">
        <w:rPr>
          <w:rFonts w:ascii="Times New Roman" w:hAnsi="Times New Roman" w:cs="Times New Roman"/>
          <w:lang w:val="en-GB"/>
        </w:rPr>
        <w:t xml:space="preserve">been </w:t>
      </w:r>
      <w:r w:rsidR="002244D9">
        <w:rPr>
          <w:rFonts w:ascii="Times New Roman" w:hAnsi="Times New Roman" w:cs="Times New Roman"/>
          <w:lang w:val="en-GB"/>
        </w:rPr>
        <w:t xml:space="preserve">applied by Ho </w:t>
      </w:r>
      <w:r w:rsidR="00896009">
        <w:rPr>
          <w:rFonts w:ascii="Times New Roman" w:hAnsi="Times New Roman" w:cs="Times New Roman"/>
          <w:lang w:val="en-GB"/>
        </w:rPr>
        <w:fldChar w:fldCharType="begin"/>
      </w:r>
      <w:r w:rsidR="00896009">
        <w:rPr>
          <w:rFonts w:ascii="Times New Roman" w:hAnsi="Times New Roman" w:cs="Times New Roman"/>
          <w:lang w:val="en-GB"/>
        </w:rPr>
        <w:instrText xml:space="preserve"> ADDIN ZOTERO_ITEM CSL_CITATION {"citationID":"6vAr5Ib2","properties":{"formattedCitation":"(2019)","plainCitation":"(2019)","noteIndex":0},"citationItems":[{"id":216,"uris":["http://zotero.org/users/5659841/items/G3QJT888"],"itemData":{"id":216,"type":"article-journal","container-title":"Population and Development Review","DOI":"10.1111/padr.12228","language":"en","note":"10.1111/padr.12228","page":"7-40","title":"The contemporary American drug overdose epidemic in international perspective","volume":"45","author":[{"family":"Ho","given":"Jessica Y."}],"issued":{"date-parts":[["2019"]]}},"label":"page","suppress-author":true}],"schema":"https://github.com/citation-style-language/schema/raw/master/csl-citation.json"} </w:instrText>
      </w:r>
      <w:r w:rsidR="00896009">
        <w:rPr>
          <w:rFonts w:ascii="Times New Roman" w:hAnsi="Times New Roman" w:cs="Times New Roman"/>
          <w:lang w:val="en-GB"/>
        </w:rPr>
        <w:fldChar w:fldCharType="separate"/>
      </w:r>
      <w:r w:rsidR="00896009" w:rsidRPr="00896009">
        <w:rPr>
          <w:rFonts w:ascii="Times New Roman" w:hAnsi="Times New Roman" w:cs="Times New Roman"/>
          <w:lang w:val="en-GB"/>
        </w:rPr>
        <w:t>(2019)</w:t>
      </w:r>
      <w:r w:rsidR="00896009">
        <w:rPr>
          <w:rFonts w:ascii="Times New Roman" w:hAnsi="Times New Roman" w:cs="Times New Roman"/>
          <w:lang w:val="en-GB"/>
        </w:rPr>
        <w:fldChar w:fldCharType="end"/>
      </w:r>
      <w:r w:rsidR="00894FD8">
        <w:rPr>
          <w:rFonts w:ascii="Times New Roman" w:hAnsi="Times New Roman" w:cs="Times New Roman"/>
          <w:lang w:val="en-GB"/>
        </w:rPr>
        <w:t xml:space="preserve"> to estimate the contribution of drug-related mortality to USA life expectancy divergence during the period 2003–2013.</w:t>
      </w:r>
    </w:p>
    <w:p w14:paraId="0A70A5DD" w14:textId="77777777" w:rsidR="001033BC" w:rsidRDefault="001033BC" w:rsidP="00A24B51">
      <w:pPr>
        <w:spacing w:after="0" w:line="480" w:lineRule="auto"/>
        <w:jc w:val="both"/>
        <w:rPr>
          <w:rFonts w:ascii="Times New Roman" w:hAnsi="Times New Roman" w:cs="Times New Roman"/>
          <w:lang w:val="en-GB"/>
        </w:rPr>
      </w:pPr>
    </w:p>
    <w:p w14:paraId="7AE54BDE" w14:textId="77549536" w:rsidR="002244D9" w:rsidRDefault="008F478E" w:rsidP="00A24B51">
      <w:pPr>
        <w:spacing w:after="0" w:line="480" w:lineRule="auto"/>
        <w:jc w:val="both"/>
        <w:rPr>
          <w:rFonts w:ascii="Times New Roman" w:hAnsi="Times New Roman" w:cs="Times New Roman"/>
          <w:lang w:val="en-GB"/>
        </w:rPr>
      </w:pPr>
      <w:r>
        <w:rPr>
          <w:rFonts w:ascii="Times New Roman" w:hAnsi="Times New Roman" w:cs="Times New Roman"/>
          <w:lang w:val="en-GB"/>
        </w:rPr>
        <w:t xml:space="preserve">Figure 3-add-2 shows the </w:t>
      </w:r>
      <w:r w:rsidR="000E1F0D">
        <w:rPr>
          <w:rFonts w:ascii="Times New Roman" w:hAnsi="Times New Roman" w:cs="Times New Roman"/>
          <w:lang w:val="en-GB"/>
        </w:rPr>
        <w:t xml:space="preserve">percent contributions of different causes of death to life expectancy divergences of England and Wales and the USA from Sweden during the pre-pandemic (2015–2019) and the pandemic (2019–2022) periods. </w:t>
      </w:r>
      <w:r w:rsidR="00A61B79">
        <w:rPr>
          <w:rFonts w:ascii="Times New Roman" w:hAnsi="Times New Roman" w:cs="Times New Roman"/>
          <w:lang w:val="en-GB"/>
        </w:rPr>
        <w:t>Like before</w:t>
      </w:r>
      <w:r w:rsidR="00017B47">
        <w:rPr>
          <w:rFonts w:ascii="Times New Roman" w:hAnsi="Times New Roman" w:cs="Times New Roman"/>
          <w:lang w:val="en-GB"/>
        </w:rPr>
        <w:t>,</w:t>
      </w:r>
      <w:r w:rsidR="00A61B79">
        <w:rPr>
          <w:rFonts w:ascii="Times New Roman" w:hAnsi="Times New Roman" w:cs="Times New Roman"/>
          <w:lang w:val="en-GB"/>
        </w:rPr>
        <w:t xml:space="preserve"> I distinguish </w:t>
      </w:r>
      <w:r w:rsidR="00A61B79">
        <w:rPr>
          <w:rFonts w:ascii="Times New Roman" w:hAnsi="Times New Roman" w:cs="Times New Roman"/>
          <w:lang w:val="en-GB"/>
        </w:rPr>
        <w:lastRenderedPageBreak/>
        <w:t>between (a) CVD mortality</w:t>
      </w:r>
      <w:r w:rsidR="00634A3C">
        <w:rPr>
          <w:rFonts w:ascii="Times New Roman" w:hAnsi="Times New Roman" w:cs="Times New Roman"/>
          <w:lang w:val="en-GB"/>
        </w:rPr>
        <w:t>;</w:t>
      </w:r>
      <w:r w:rsidR="00A61B79">
        <w:rPr>
          <w:rFonts w:ascii="Times New Roman" w:hAnsi="Times New Roman" w:cs="Times New Roman"/>
          <w:lang w:val="en-GB"/>
        </w:rPr>
        <w:t xml:space="preserve"> (b) mortality from alcohol, drugs, suicide, and other external causes</w:t>
      </w:r>
      <w:r w:rsidR="00634A3C">
        <w:rPr>
          <w:rFonts w:ascii="Times New Roman" w:hAnsi="Times New Roman" w:cs="Times New Roman"/>
          <w:lang w:val="en-GB"/>
        </w:rPr>
        <w:t>;</w:t>
      </w:r>
      <w:r w:rsidR="00A61B79">
        <w:rPr>
          <w:rFonts w:ascii="Times New Roman" w:hAnsi="Times New Roman" w:cs="Times New Roman"/>
          <w:lang w:val="en-GB"/>
        </w:rPr>
        <w:t xml:space="preserve"> (c) COVID-19 mortality</w:t>
      </w:r>
      <w:r w:rsidR="00634A3C">
        <w:rPr>
          <w:rFonts w:ascii="Times New Roman" w:hAnsi="Times New Roman" w:cs="Times New Roman"/>
          <w:lang w:val="en-GB"/>
        </w:rPr>
        <w:t>;</w:t>
      </w:r>
      <w:r w:rsidR="00A61B79">
        <w:rPr>
          <w:rFonts w:ascii="Times New Roman" w:hAnsi="Times New Roman" w:cs="Times New Roman"/>
          <w:lang w:val="en-GB"/>
        </w:rPr>
        <w:t xml:space="preserve"> and</w:t>
      </w:r>
      <w:r w:rsidR="0098083D">
        <w:rPr>
          <w:rFonts w:ascii="Times New Roman" w:hAnsi="Times New Roman" w:cs="Times New Roman"/>
          <w:lang w:val="en-GB"/>
        </w:rPr>
        <w:t xml:space="preserve"> (d) mortality from all other causes combined (</w:t>
      </w:r>
      <w:r w:rsidR="002456B1">
        <w:rPr>
          <w:rFonts w:ascii="Times New Roman" w:hAnsi="Times New Roman" w:cs="Times New Roman"/>
          <w:lang w:val="en-GB"/>
        </w:rPr>
        <w:t>“R</w:t>
      </w:r>
      <w:r w:rsidR="0098083D">
        <w:rPr>
          <w:rFonts w:ascii="Times New Roman" w:hAnsi="Times New Roman" w:cs="Times New Roman"/>
          <w:lang w:val="en-GB"/>
        </w:rPr>
        <w:t>esidual</w:t>
      </w:r>
      <w:r w:rsidR="002456B1">
        <w:rPr>
          <w:rFonts w:ascii="Times New Roman" w:hAnsi="Times New Roman" w:cs="Times New Roman"/>
          <w:lang w:val="en-GB"/>
        </w:rPr>
        <w:t>”</w:t>
      </w:r>
      <w:r w:rsidR="0098083D">
        <w:rPr>
          <w:rFonts w:ascii="Times New Roman" w:hAnsi="Times New Roman" w:cs="Times New Roman"/>
          <w:lang w:val="en-GB"/>
        </w:rPr>
        <w:t xml:space="preserve">). </w:t>
      </w:r>
    </w:p>
    <w:p w14:paraId="1A903D5A" w14:textId="77777777" w:rsidR="002D45B0" w:rsidRDefault="002D45B0" w:rsidP="00733774">
      <w:pPr>
        <w:spacing w:after="0" w:line="480" w:lineRule="auto"/>
        <w:jc w:val="both"/>
        <w:rPr>
          <w:rFonts w:ascii="Times New Roman" w:hAnsi="Times New Roman" w:cs="Times New Roman"/>
          <w:lang w:val="en-GB"/>
        </w:rPr>
      </w:pPr>
    </w:p>
    <w:p w14:paraId="4C04D324" w14:textId="19F1713A" w:rsidR="006811EA" w:rsidRDefault="002456B1" w:rsidP="00733774">
      <w:pPr>
        <w:spacing w:after="0" w:line="480" w:lineRule="auto"/>
        <w:jc w:val="both"/>
        <w:rPr>
          <w:rFonts w:ascii="Times New Roman" w:hAnsi="Times New Roman" w:cs="Times New Roman"/>
          <w:lang w:val="en-GB"/>
        </w:rPr>
      </w:pPr>
      <w:r w:rsidRPr="002456B1">
        <w:rPr>
          <w:rFonts w:ascii="Times New Roman" w:hAnsi="Times New Roman" w:cs="Times New Roman"/>
          <w:noProof/>
          <w:lang w:val="en-GB"/>
        </w:rPr>
        <w:drawing>
          <wp:inline distT="0" distB="0" distL="0" distR="0" wp14:anchorId="5E918553" wp14:editId="471F6F69">
            <wp:extent cx="5731510" cy="3820795"/>
            <wp:effectExtent l="0" t="0" r="2540" b="8255"/>
            <wp:docPr id="92249994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499943" name=""/>
                    <pic:cNvPicPr/>
                  </pic:nvPicPr>
                  <pic:blipFill>
                    <a:blip r:embed="rId8">
                      <a:extLst>
                        <a:ext uri="{96DAC541-7B7A-43D3-8B79-37D633B846F1}">
                          <asvg:svgBlip xmlns:asvg="http://schemas.microsoft.com/office/drawing/2016/SVG/main" r:embed="rId9"/>
                        </a:ext>
                      </a:extLst>
                    </a:blip>
                    <a:stretch>
                      <a:fillRect/>
                    </a:stretch>
                  </pic:blipFill>
                  <pic:spPr>
                    <a:xfrm>
                      <a:off x="0" y="0"/>
                      <a:ext cx="5731510" cy="3820795"/>
                    </a:xfrm>
                    <a:prstGeom prst="rect">
                      <a:avLst/>
                    </a:prstGeom>
                  </pic:spPr>
                </pic:pic>
              </a:graphicData>
            </a:graphic>
          </wp:inline>
        </w:drawing>
      </w:r>
    </w:p>
    <w:p w14:paraId="774CFD6F" w14:textId="74B4D34F" w:rsidR="006B62CF" w:rsidRDefault="006B62CF" w:rsidP="00FE2DCD">
      <w:pPr>
        <w:spacing w:after="0" w:line="240" w:lineRule="auto"/>
        <w:jc w:val="both"/>
        <w:rPr>
          <w:rFonts w:ascii="Times New Roman" w:hAnsi="Times New Roman" w:cs="Times New Roman"/>
          <w:lang w:val="en-GB"/>
        </w:rPr>
      </w:pPr>
      <w:r w:rsidRPr="002D45B0">
        <w:rPr>
          <w:rFonts w:ascii="Times New Roman" w:hAnsi="Times New Roman" w:cs="Times New Roman"/>
          <w:b/>
          <w:lang w:val="en-GB"/>
        </w:rPr>
        <w:t>Figure 3-add-</w:t>
      </w:r>
      <w:r w:rsidR="002E7DAE">
        <w:rPr>
          <w:rFonts w:ascii="Times New Roman" w:hAnsi="Times New Roman" w:cs="Times New Roman"/>
          <w:b/>
          <w:lang w:val="en-GB"/>
        </w:rPr>
        <w:t>2</w:t>
      </w:r>
      <w:r w:rsidRPr="002D45B0">
        <w:rPr>
          <w:rFonts w:ascii="Times New Roman" w:hAnsi="Times New Roman" w:cs="Times New Roman"/>
          <w:b/>
          <w:lang w:val="en-GB"/>
        </w:rPr>
        <w:t>.</w:t>
      </w:r>
      <w:r>
        <w:rPr>
          <w:rFonts w:ascii="Times New Roman" w:hAnsi="Times New Roman" w:cs="Times New Roman"/>
          <w:b/>
          <w:lang w:val="en-GB"/>
        </w:rPr>
        <w:t xml:space="preserve"> </w:t>
      </w:r>
      <w:r w:rsidRPr="000D7A24">
        <w:rPr>
          <w:rFonts w:ascii="Times New Roman" w:hAnsi="Times New Roman" w:cs="Times New Roman"/>
          <w:lang w:val="en-GB"/>
        </w:rPr>
        <w:t xml:space="preserve">Contribution of seven causes of death to </w:t>
      </w:r>
      <w:r w:rsidR="0029604F" w:rsidRPr="000D7A24">
        <w:rPr>
          <w:rFonts w:ascii="Times New Roman" w:hAnsi="Times New Roman" w:cs="Times New Roman"/>
          <w:lang w:val="en-GB"/>
        </w:rPr>
        <w:t>increasing</w:t>
      </w:r>
      <w:r w:rsidR="00D236E9" w:rsidRPr="000D7A24">
        <w:rPr>
          <w:rFonts w:ascii="Times New Roman" w:hAnsi="Times New Roman" w:cs="Times New Roman"/>
          <w:lang w:val="en-GB"/>
        </w:rPr>
        <w:t xml:space="preserve"> </w:t>
      </w:r>
      <w:r w:rsidRPr="000D7A24">
        <w:rPr>
          <w:rFonts w:ascii="Times New Roman" w:hAnsi="Times New Roman" w:cs="Times New Roman"/>
          <w:lang w:val="en-GB"/>
        </w:rPr>
        <w:t xml:space="preserve">life expectancy </w:t>
      </w:r>
      <w:r w:rsidR="0029604F" w:rsidRPr="000D7A24">
        <w:rPr>
          <w:rFonts w:ascii="Times New Roman" w:hAnsi="Times New Roman" w:cs="Times New Roman"/>
          <w:lang w:val="en-GB"/>
        </w:rPr>
        <w:t>disadvantage</w:t>
      </w:r>
      <w:r w:rsidR="00293B2C" w:rsidRPr="000D7A24">
        <w:rPr>
          <w:rFonts w:ascii="Times New Roman" w:hAnsi="Times New Roman" w:cs="Times New Roman"/>
          <w:lang w:val="en-GB"/>
        </w:rPr>
        <w:t xml:space="preserve"> </w:t>
      </w:r>
      <w:r w:rsidR="0029604F" w:rsidRPr="000D7A24">
        <w:rPr>
          <w:rFonts w:ascii="Times New Roman" w:hAnsi="Times New Roman" w:cs="Times New Roman"/>
          <w:lang w:val="en-GB"/>
        </w:rPr>
        <w:t>of</w:t>
      </w:r>
      <w:r w:rsidRPr="000D7A24">
        <w:rPr>
          <w:rFonts w:ascii="Times New Roman" w:hAnsi="Times New Roman" w:cs="Times New Roman"/>
          <w:lang w:val="en-GB"/>
        </w:rPr>
        <w:t xml:space="preserve"> England and Wales </w:t>
      </w:r>
      <w:r w:rsidR="0029604F" w:rsidRPr="000D7A24">
        <w:rPr>
          <w:rFonts w:ascii="Times New Roman" w:hAnsi="Times New Roman" w:cs="Times New Roman"/>
          <w:lang w:val="en-GB"/>
        </w:rPr>
        <w:t>vs.</w:t>
      </w:r>
      <w:r w:rsidRPr="000D7A24">
        <w:rPr>
          <w:rFonts w:ascii="Times New Roman" w:hAnsi="Times New Roman" w:cs="Times New Roman"/>
          <w:lang w:val="en-GB"/>
        </w:rPr>
        <w:t xml:space="preserve"> Sweden and the USA </w:t>
      </w:r>
      <w:r w:rsidR="0029604F" w:rsidRPr="000D7A24">
        <w:rPr>
          <w:rFonts w:ascii="Times New Roman" w:hAnsi="Times New Roman" w:cs="Times New Roman"/>
          <w:lang w:val="en-GB"/>
        </w:rPr>
        <w:t>vs.</w:t>
      </w:r>
      <w:r w:rsidRPr="000D7A24">
        <w:rPr>
          <w:rFonts w:ascii="Times New Roman" w:hAnsi="Times New Roman" w:cs="Times New Roman"/>
          <w:lang w:val="en-GB"/>
        </w:rPr>
        <w:t xml:space="preserve"> Sweden in 2015–2019 and 2019–2022.</w:t>
      </w:r>
      <w:r>
        <w:rPr>
          <w:rFonts w:ascii="Times New Roman" w:hAnsi="Times New Roman" w:cs="Times New Roman"/>
          <w:b/>
          <w:lang w:val="en-GB"/>
        </w:rPr>
        <w:t xml:space="preserve"> </w:t>
      </w:r>
      <w:r w:rsidRPr="00661506">
        <w:rPr>
          <w:rFonts w:ascii="Times New Roman" w:hAnsi="Times New Roman" w:cs="Times New Roman"/>
          <w:i/>
          <w:lang w:val="en-GB"/>
        </w:rPr>
        <w:t>Note:</w:t>
      </w:r>
      <w:r>
        <w:rPr>
          <w:rFonts w:ascii="Times New Roman" w:hAnsi="Times New Roman" w:cs="Times New Roman"/>
          <w:i/>
          <w:lang w:val="en-GB"/>
        </w:rPr>
        <w:t xml:space="preserve"> </w:t>
      </w:r>
      <w:r w:rsidR="00B15850">
        <w:rPr>
          <w:rFonts w:ascii="Times New Roman" w:hAnsi="Times New Roman" w:cs="Times New Roman"/>
          <w:lang w:val="en-GB"/>
        </w:rPr>
        <w:t>n</w:t>
      </w:r>
      <w:r w:rsidR="00E6222E">
        <w:rPr>
          <w:rFonts w:ascii="Times New Roman" w:hAnsi="Times New Roman" w:cs="Times New Roman"/>
          <w:lang w:val="en-GB"/>
        </w:rPr>
        <w:t xml:space="preserve">umbers in upper-left corner show </w:t>
      </w:r>
      <w:r w:rsidR="00B10F44">
        <w:rPr>
          <w:rFonts w:ascii="Times New Roman" w:hAnsi="Times New Roman" w:cs="Times New Roman"/>
          <w:lang w:val="en-GB"/>
        </w:rPr>
        <w:t>rise</w:t>
      </w:r>
      <w:r w:rsidR="00E6222E">
        <w:rPr>
          <w:rFonts w:ascii="Times New Roman" w:hAnsi="Times New Roman" w:cs="Times New Roman"/>
          <w:lang w:val="en-GB"/>
        </w:rPr>
        <w:t xml:space="preserve"> in life expectancy </w:t>
      </w:r>
      <w:r w:rsidR="002477B1">
        <w:rPr>
          <w:rFonts w:ascii="Times New Roman" w:hAnsi="Times New Roman" w:cs="Times New Roman"/>
          <w:lang w:val="en-GB"/>
        </w:rPr>
        <w:t>disadvantage</w:t>
      </w:r>
      <w:r w:rsidR="00E6222E">
        <w:rPr>
          <w:rFonts w:ascii="Times New Roman" w:hAnsi="Times New Roman" w:cs="Times New Roman"/>
          <w:lang w:val="en-GB"/>
        </w:rPr>
        <w:t xml:space="preserve"> in months. B</w:t>
      </w:r>
      <w:r>
        <w:rPr>
          <w:rFonts w:ascii="Times New Roman" w:hAnsi="Times New Roman" w:cs="Times New Roman"/>
          <w:lang w:val="en-GB"/>
        </w:rPr>
        <w:t>ars represent percent contribution</w:t>
      </w:r>
      <w:r w:rsidR="004357AF">
        <w:rPr>
          <w:rFonts w:ascii="Times New Roman" w:hAnsi="Times New Roman" w:cs="Times New Roman"/>
          <w:lang w:val="en-GB"/>
        </w:rPr>
        <w:t>s</w:t>
      </w:r>
      <w:r>
        <w:rPr>
          <w:rFonts w:ascii="Times New Roman" w:hAnsi="Times New Roman" w:cs="Times New Roman"/>
          <w:lang w:val="en-GB"/>
        </w:rPr>
        <w:t xml:space="preserve"> to </w:t>
      </w:r>
      <w:r w:rsidR="00B10F44">
        <w:rPr>
          <w:rFonts w:ascii="Times New Roman" w:hAnsi="Times New Roman" w:cs="Times New Roman"/>
          <w:lang w:val="en-GB"/>
        </w:rPr>
        <w:t>increasing</w:t>
      </w:r>
      <w:r w:rsidR="00320FBA">
        <w:rPr>
          <w:rFonts w:ascii="Times New Roman" w:hAnsi="Times New Roman" w:cs="Times New Roman"/>
          <w:lang w:val="en-GB"/>
        </w:rPr>
        <w:t xml:space="preserve"> life expectancy </w:t>
      </w:r>
      <w:r w:rsidR="002477B1">
        <w:rPr>
          <w:rFonts w:ascii="Times New Roman" w:hAnsi="Times New Roman" w:cs="Times New Roman"/>
          <w:lang w:val="en-GB"/>
        </w:rPr>
        <w:t>disadvantage</w:t>
      </w:r>
      <w:r w:rsidR="00320FBA">
        <w:rPr>
          <w:rFonts w:ascii="Times New Roman" w:hAnsi="Times New Roman" w:cs="Times New Roman"/>
          <w:lang w:val="en-GB"/>
        </w:rPr>
        <w:t xml:space="preserve">. </w:t>
      </w:r>
      <w:r w:rsidR="00DF1D6F" w:rsidRPr="00DF1D6F">
        <w:rPr>
          <w:rFonts w:ascii="Times New Roman" w:hAnsi="Times New Roman" w:cs="Times New Roman"/>
          <w:lang w:val="en-GB"/>
        </w:rPr>
        <w:t xml:space="preserve">Positive </w:t>
      </w:r>
      <w:r w:rsidR="001F0FED">
        <w:rPr>
          <w:rFonts w:ascii="Times New Roman" w:hAnsi="Times New Roman" w:cs="Times New Roman"/>
          <w:lang w:val="en-GB"/>
        </w:rPr>
        <w:t>bars</w:t>
      </w:r>
      <w:r w:rsidR="00DF1D6F" w:rsidRPr="00DF1D6F">
        <w:rPr>
          <w:rFonts w:ascii="Times New Roman" w:hAnsi="Times New Roman" w:cs="Times New Roman"/>
          <w:lang w:val="en-GB"/>
        </w:rPr>
        <w:t xml:space="preserve"> = cause of death contributed to </w:t>
      </w:r>
      <w:r w:rsidR="00B10F44">
        <w:rPr>
          <w:rFonts w:ascii="Times New Roman" w:hAnsi="Times New Roman" w:cs="Times New Roman"/>
          <w:lang w:val="en-GB"/>
        </w:rPr>
        <w:t xml:space="preserve">increasing </w:t>
      </w:r>
      <w:r w:rsidR="00DF1D6F" w:rsidRPr="00DF1D6F">
        <w:rPr>
          <w:rFonts w:ascii="Times New Roman" w:hAnsi="Times New Roman" w:cs="Times New Roman"/>
          <w:lang w:val="en-GB"/>
        </w:rPr>
        <w:t>life expectancy di</w:t>
      </w:r>
      <w:r w:rsidR="00B10F44">
        <w:rPr>
          <w:rFonts w:ascii="Times New Roman" w:hAnsi="Times New Roman" w:cs="Times New Roman"/>
          <w:lang w:val="en-GB"/>
        </w:rPr>
        <w:t>sadvantage</w:t>
      </w:r>
      <w:r w:rsidR="00DF1D6F" w:rsidRPr="00DF1D6F">
        <w:rPr>
          <w:rFonts w:ascii="Times New Roman" w:hAnsi="Times New Roman" w:cs="Times New Roman"/>
          <w:lang w:val="en-GB"/>
        </w:rPr>
        <w:t>.</w:t>
      </w:r>
      <w:r w:rsidR="00DF1D6F">
        <w:rPr>
          <w:rFonts w:ascii="Times New Roman" w:hAnsi="Times New Roman" w:cs="Times New Roman"/>
          <w:lang w:val="en-GB"/>
        </w:rPr>
        <w:t xml:space="preserve"> </w:t>
      </w:r>
      <w:r w:rsidR="00DF1D6F" w:rsidRPr="00DF1D6F">
        <w:rPr>
          <w:rFonts w:ascii="Times New Roman" w:hAnsi="Times New Roman" w:cs="Times New Roman"/>
          <w:lang w:val="en-GB"/>
        </w:rPr>
        <w:t xml:space="preserve">Negative </w:t>
      </w:r>
      <w:r w:rsidR="001F0FED">
        <w:rPr>
          <w:rFonts w:ascii="Times New Roman" w:hAnsi="Times New Roman" w:cs="Times New Roman"/>
          <w:lang w:val="en-GB"/>
        </w:rPr>
        <w:t>bars</w:t>
      </w:r>
      <w:r w:rsidR="00DF1D6F" w:rsidRPr="00DF1D6F">
        <w:rPr>
          <w:rFonts w:ascii="Times New Roman" w:hAnsi="Times New Roman" w:cs="Times New Roman"/>
          <w:lang w:val="en-GB"/>
        </w:rPr>
        <w:t xml:space="preserve"> = cause of death offset </w:t>
      </w:r>
      <w:r w:rsidR="00B10F44">
        <w:rPr>
          <w:rFonts w:ascii="Times New Roman" w:hAnsi="Times New Roman" w:cs="Times New Roman"/>
          <w:lang w:val="en-GB"/>
        </w:rPr>
        <w:t xml:space="preserve">increasing </w:t>
      </w:r>
      <w:r w:rsidR="00DF1D6F" w:rsidRPr="00DF1D6F">
        <w:rPr>
          <w:rFonts w:ascii="Times New Roman" w:hAnsi="Times New Roman" w:cs="Times New Roman"/>
          <w:lang w:val="en-GB"/>
        </w:rPr>
        <w:t xml:space="preserve">life expectancy </w:t>
      </w:r>
      <w:r w:rsidR="00B10F44">
        <w:rPr>
          <w:rFonts w:ascii="Times New Roman" w:hAnsi="Times New Roman" w:cs="Times New Roman"/>
          <w:lang w:val="en-GB"/>
        </w:rPr>
        <w:t>disadvantage</w:t>
      </w:r>
      <w:r w:rsidR="00DF1D6F" w:rsidRPr="00DF1D6F">
        <w:rPr>
          <w:rFonts w:ascii="Times New Roman" w:hAnsi="Times New Roman" w:cs="Times New Roman"/>
          <w:lang w:val="en-GB"/>
        </w:rPr>
        <w:t>.</w:t>
      </w:r>
      <w:r w:rsidR="00DF1D6F">
        <w:rPr>
          <w:rFonts w:ascii="Times New Roman" w:hAnsi="Times New Roman" w:cs="Times New Roman"/>
          <w:lang w:val="en-GB"/>
        </w:rPr>
        <w:t xml:space="preserve"> </w:t>
      </w:r>
      <w:r>
        <w:rPr>
          <w:rFonts w:ascii="Times New Roman" w:hAnsi="Times New Roman" w:cs="Times New Roman"/>
          <w:lang w:val="en-GB"/>
        </w:rPr>
        <w:t xml:space="preserve">Sum of bars equals </w:t>
      </w:r>
      <w:r w:rsidR="00DF1D6F">
        <w:rPr>
          <w:rFonts w:ascii="Times New Roman" w:hAnsi="Times New Roman" w:cs="Times New Roman"/>
          <w:lang w:val="en-GB"/>
        </w:rPr>
        <w:t>100%.</w:t>
      </w:r>
      <w:r w:rsidR="002A4197">
        <w:rPr>
          <w:rFonts w:ascii="Times New Roman" w:hAnsi="Times New Roman" w:cs="Times New Roman"/>
          <w:lang w:val="en-GB"/>
        </w:rPr>
        <w:t xml:space="preserve"> </w:t>
      </w:r>
      <w:r w:rsidRPr="001942CF">
        <w:rPr>
          <w:rFonts w:ascii="Times New Roman" w:hAnsi="Times New Roman" w:cs="Times New Roman"/>
          <w:i/>
          <w:lang w:val="en-GB"/>
        </w:rPr>
        <w:t>Source</w:t>
      </w:r>
      <w:r>
        <w:rPr>
          <w:rFonts w:ascii="Times New Roman" w:hAnsi="Times New Roman" w:cs="Times New Roman"/>
          <w:i/>
          <w:lang w:val="en-GB"/>
        </w:rPr>
        <w:t xml:space="preserve">: </w:t>
      </w:r>
      <w:r>
        <w:rPr>
          <w:rFonts w:ascii="Times New Roman" w:hAnsi="Times New Roman" w:cs="Times New Roman"/>
          <w:lang w:val="en-GB"/>
        </w:rPr>
        <w:t>see Chapter 3.</w:t>
      </w:r>
    </w:p>
    <w:p w14:paraId="490DB5CB" w14:textId="77777777" w:rsidR="001942CF" w:rsidRDefault="001942CF" w:rsidP="00733774">
      <w:pPr>
        <w:spacing w:after="0" w:line="480" w:lineRule="auto"/>
        <w:jc w:val="both"/>
        <w:rPr>
          <w:rFonts w:ascii="Times New Roman" w:hAnsi="Times New Roman" w:cs="Times New Roman"/>
          <w:lang w:val="en-GB"/>
        </w:rPr>
      </w:pPr>
    </w:p>
    <w:p w14:paraId="206CE050" w14:textId="576D5AA3" w:rsidR="00975F71" w:rsidRDefault="00CA2736" w:rsidP="00733774">
      <w:pPr>
        <w:spacing w:after="0" w:line="480" w:lineRule="auto"/>
        <w:jc w:val="both"/>
        <w:rPr>
          <w:rFonts w:ascii="Times New Roman" w:hAnsi="Times New Roman" w:cs="Times New Roman"/>
          <w:lang w:val="en-GB"/>
        </w:rPr>
      </w:pPr>
      <w:r>
        <w:rPr>
          <w:rFonts w:ascii="Times New Roman" w:hAnsi="Times New Roman" w:cs="Times New Roman"/>
          <w:lang w:val="en-GB"/>
        </w:rPr>
        <w:t xml:space="preserve">The </w:t>
      </w:r>
      <w:r w:rsidR="002E1244">
        <w:rPr>
          <w:rFonts w:ascii="Times New Roman" w:hAnsi="Times New Roman" w:cs="Times New Roman"/>
          <w:lang w:val="en-GB"/>
        </w:rPr>
        <w:t>values in the upper-left corner of each panel</w:t>
      </w:r>
      <w:r w:rsidR="009475B8">
        <w:rPr>
          <w:rFonts w:ascii="Times New Roman" w:hAnsi="Times New Roman" w:cs="Times New Roman"/>
          <w:lang w:val="en-GB"/>
        </w:rPr>
        <w:t xml:space="preserve"> in Figure 3-add-2</w:t>
      </w:r>
      <w:r w:rsidR="002E1244">
        <w:rPr>
          <w:rFonts w:ascii="Times New Roman" w:hAnsi="Times New Roman" w:cs="Times New Roman"/>
          <w:lang w:val="en-GB"/>
        </w:rPr>
        <w:t xml:space="preserve"> represent t</w:t>
      </w:r>
      <w:r w:rsidR="009475B8">
        <w:rPr>
          <w:rFonts w:ascii="Times New Roman" w:hAnsi="Times New Roman" w:cs="Times New Roman"/>
          <w:lang w:val="en-GB"/>
        </w:rPr>
        <w:t>he</w:t>
      </w:r>
      <w:r w:rsidR="002E1244">
        <w:rPr>
          <w:rFonts w:ascii="Times New Roman" w:hAnsi="Times New Roman" w:cs="Times New Roman"/>
          <w:lang w:val="en-GB"/>
        </w:rPr>
        <w:t xml:space="preserve"> total life expectancy divergence during the corresponding period</w:t>
      </w:r>
      <w:r w:rsidR="004A2E66">
        <w:rPr>
          <w:rFonts w:ascii="Times New Roman" w:hAnsi="Times New Roman" w:cs="Times New Roman"/>
          <w:lang w:val="en-GB"/>
        </w:rPr>
        <w:t xml:space="preserve"> in months</w:t>
      </w:r>
      <w:r w:rsidR="002E1244">
        <w:rPr>
          <w:rFonts w:ascii="Times New Roman" w:hAnsi="Times New Roman" w:cs="Times New Roman"/>
          <w:lang w:val="en-GB"/>
        </w:rPr>
        <w:t xml:space="preserve">. </w:t>
      </w:r>
      <w:r w:rsidR="00F05228">
        <w:rPr>
          <w:rFonts w:ascii="Times New Roman" w:hAnsi="Times New Roman" w:cs="Times New Roman"/>
          <w:lang w:val="en-GB"/>
        </w:rPr>
        <w:t>A n</w:t>
      </w:r>
      <w:r w:rsidR="002E1244">
        <w:rPr>
          <w:rFonts w:ascii="Times New Roman" w:hAnsi="Times New Roman" w:cs="Times New Roman"/>
          <w:lang w:val="en-GB"/>
        </w:rPr>
        <w:t>egative value indicate</w:t>
      </w:r>
      <w:r w:rsidR="00F05228">
        <w:rPr>
          <w:rFonts w:ascii="Times New Roman" w:hAnsi="Times New Roman" w:cs="Times New Roman"/>
          <w:lang w:val="en-GB"/>
        </w:rPr>
        <w:t>s</w:t>
      </w:r>
      <w:r w:rsidR="002E1244">
        <w:rPr>
          <w:rFonts w:ascii="Times New Roman" w:hAnsi="Times New Roman" w:cs="Times New Roman"/>
          <w:lang w:val="en-GB"/>
        </w:rPr>
        <w:t xml:space="preserve"> that </w:t>
      </w:r>
      <w:r w:rsidR="00166D29">
        <w:rPr>
          <w:rFonts w:ascii="Times New Roman" w:hAnsi="Times New Roman" w:cs="Times New Roman"/>
          <w:lang w:val="en-GB"/>
        </w:rPr>
        <w:t xml:space="preserve">the life expectancy </w:t>
      </w:r>
      <w:r w:rsidR="00881BC6">
        <w:rPr>
          <w:rFonts w:ascii="Times New Roman" w:hAnsi="Times New Roman" w:cs="Times New Roman"/>
          <w:lang w:val="en-GB"/>
        </w:rPr>
        <w:t>shortfall compared to</w:t>
      </w:r>
      <w:r w:rsidR="00166D29">
        <w:rPr>
          <w:rFonts w:ascii="Times New Roman" w:hAnsi="Times New Roman" w:cs="Times New Roman"/>
          <w:lang w:val="en-GB"/>
        </w:rPr>
        <w:t xml:space="preserve"> Sweden</w:t>
      </w:r>
      <w:r w:rsidR="00881BC6">
        <w:rPr>
          <w:rFonts w:ascii="Times New Roman" w:hAnsi="Times New Roman" w:cs="Times New Roman"/>
          <w:lang w:val="en-GB"/>
        </w:rPr>
        <w:t xml:space="preserve"> increased</w:t>
      </w:r>
      <w:r w:rsidR="00166D29">
        <w:rPr>
          <w:rFonts w:ascii="Times New Roman" w:hAnsi="Times New Roman" w:cs="Times New Roman"/>
          <w:lang w:val="en-GB"/>
        </w:rPr>
        <w:t xml:space="preserve"> further</w:t>
      </w:r>
      <w:r w:rsidR="004360B2">
        <w:rPr>
          <w:rFonts w:ascii="Times New Roman" w:hAnsi="Times New Roman" w:cs="Times New Roman"/>
          <w:lang w:val="en-GB"/>
        </w:rPr>
        <w:t>.</w:t>
      </w:r>
      <w:r w:rsidR="00C8728A">
        <w:rPr>
          <w:rFonts w:ascii="Times New Roman" w:hAnsi="Times New Roman" w:cs="Times New Roman"/>
          <w:lang w:val="en-GB"/>
        </w:rPr>
        <w:t xml:space="preserve"> </w:t>
      </w:r>
      <w:r w:rsidR="00157065">
        <w:rPr>
          <w:rFonts w:ascii="Times New Roman" w:hAnsi="Times New Roman" w:cs="Times New Roman"/>
          <w:lang w:val="en-GB"/>
        </w:rPr>
        <w:t xml:space="preserve">This was </w:t>
      </w:r>
      <w:r w:rsidR="00EF1600">
        <w:rPr>
          <w:rFonts w:ascii="Times New Roman" w:hAnsi="Times New Roman" w:cs="Times New Roman"/>
          <w:lang w:val="en-GB"/>
        </w:rPr>
        <w:t>seen for all</w:t>
      </w:r>
      <w:r w:rsidR="00C8728A">
        <w:rPr>
          <w:rFonts w:ascii="Times New Roman" w:hAnsi="Times New Roman" w:cs="Times New Roman"/>
          <w:lang w:val="en-GB"/>
        </w:rPr>
        <w:t xml:space="preserve"> life expectancy </w:t>
      </w:r>
      <w:r w:rsidR="00EF1600">
        <w:rPr>
          <w:rFonts w:ascii="Times New Roman" w:hAnsi="Times New Roman" w:cs="Times New Roman"/>
          <w:lang w:val="en-GB"/>
        </w:rPr>
        <w:t>shortfalls</w:t>
      </w:r>
      <w:r w:rsidR="00C8728A">
        <w:rPr>
          <w:rFonts w:ascii="Times New Roman" w:hAnsi="Times New Roman" w:cs="Times New Roman"/>
          <w:lang w:val="en-GB"/>
        </w:rPr>
        <w:t xml:space="preserve">, with the exception of the female life expectancy gap between England and Wales and Sweden during the pre-pandemic period, which narrowed </w:t>
      </w:r>
      <w:r w:rsidR="00C8728A">
        <w:rPr>
          <w:rFonts w:ascii="Times New Roman" w:hAnsi="Times New Roman" w:cs="Times New Roman"/>
          <w:lang w:val="en-GB"/>
        </w:rPr>
        <w:lastRenderedPageBreak/>
        <w:t xml:space="preserve">by </w:t>
      </w:r>
      <w:r w:rsidR="00772419" w:rsidRPr="006501C2">
        <w:rPr>
          <w:rFonts w:ascii="Times New Roman" w:hAnsi="Times New Roman" w:cs="Times New Roman"/>
          <w:lang w:val="en-GB"/>
        </w:rPr>
        <w:t>0.</w:t>
      </w:r>
      <w:r w:rsidR="00C8728A" w:rsidRPr="006501C2">
        <w:rPr>
          <w:rFonts w:ascii="Times New Roman" w:hAnsi="Times New Roman" w:cs="Times New Roman"/>
          <w:lang w:val="en-GB"/>
        </w:rPr>
        <w:t xml:space="preserve">1 </w:t>
      </w:r>
      <w:r w:rsidR="00772419" w:rsidRPr="006501C2">
        <w:rPr>
          <w:rFonts w:ascii="Times New Roman" w:hAnsi="Times New Roman" w:cs="Times New Roman"/>
          <w:lang w:val="en-GB"/>
        </w:rPr>
        <w:t>years</w:t>
      </w:r>
      <w:r w:rsidR="004A2E66" w:rsidRPr="006501C2">
        <w:rPr>
          <w:rFonts w:ascii="Times New Roman" w:hAnsi="Times New Roman" w:cs="Times New Roman"/>
          <w:lang w:val="en-GB"/>
        </w:rPr>
        <w:t xml:space="preserve"> (</w:t>
      </w:r>
      <w:r w:rsidR="00DF7B93" w:rsidRPr="006501C2">
        <w:rPr>
          <w:rFonts w:ascii="Times New Roman" w:hAnsi="Times New Roman" w:cs="Times New Roman"/>
          <w:lang w:val="en-GB"/>
        </w:rPr>
        <w:t>or one month</w:t>
      </w:r>
      <w:r w:rsidR="004A2E66">
        <w:rPr>
          <w:rFonts w:ascii="Times New Roman" w:hAnsi="Times New Roman" w:cs="Times New Roman"/>
          <w:lang w:val="en-GB"/>
        </w:rPr>
        <w:t>)</w:t>
      </w:r>
      <w:r w:rsidR="00772419">
        <w:rPr>
          <w:rFonts w:ascii="Times New Roman" w:hAnsi="Times New Roman" w:cs="Times New Roman"/>
          <w:lang w:val="en-GB"/>
        </w:rPr>
        <w:t xml:space="preserve"> (see Table</w:t>
      </w:r>
      <w:r w:rsidR="00796AE3">
        <w:rPr>
          <w:rFonts w:ascii="Times New Roman" w:hAnsi="Times New Roman" w:cs="Times New Roman"/>
          <w:lang w:val="en-GB"/>
        </w:rPr>
        <w:t xml:space="preserve"> </w:t>
      </w:r>
      <w:r w:rsidR="00772419">
        <w:rPr>
          <w:rFonts w:ascii="Times New Roman" w:hAnsi="Times New Roman" w:cs="Times New Roman"/>
          <w:lang w:val="en-GB"/>
        </w:rPr>
        <w:t>3-1)</w:t>
      </w:r>
      <w:r w:rsidR="00C8728A">
        <w:rPr>
          <w:rFonts w:ascii="Times New Roman" w:hAnsi="Times New Roman" w:cs="Times New Roman"/>
          <w:lang w:val="en-GB"/>
        </w:rPr>
        <w:t xml:space="preserve">. </w:t>
      </w:r>
      <w:r w:rsidR="006A4C4F">
        <w:rPr>
          <w:rFonts w:ascii="Times New Roman" w:hAnsi="Times New Roman" w:cs="Times New Roman"/>
          <w:lang w:val="en-GB"/>
        </w:rPr>
        <w:t>Therefore, I do not show results for England and Wales females in Figure 3-add-2</w:t>
      </w:r>
      <w:r w:rsidR="001D7BBD">
        <w:rPr>
          <w:rFonts w:ascii="Times New Roman" w:hAnsi="Times New Roman" w:cs="Times New Roman"/>
          <w:lang w:val="en-GB"/>
        </w:rPr>
        <w:t xml:space="preserve">. In the remaining </w:t>
      </w:r>
      <w:r w:rsidR="00E63179">
        <w:rPr>
          <w:rFonts w:ascii="Times New Roman" w:hAnsi="Times New Roman" w:cs="Times New Roman"/>
          <w:lang w:val="en-GB"/>
        </w:rPr>
        <w:t>seven panels, p</w:t>
      </w:r>
      <w:r w:rsidR="00F83EB3">
        <w:rPr>
          <w:rFonts w:ascii="Times New Roman" w:hAnsi="Times New Roman" w:cs="Times New Roman"/>
          <w:lang w:val="en-GB"/>
        </w:rPr>
        <w:t xml:space="preserve">ositive values for a given cause of death indicate that it contributed to </w:t>
      </w:r>
      <w:r w:rsidR="003031A2">
        <w:rPr>
          <w:rFonts w:ascii="Times New Roman" w:hAnsi="Times New Roman" w:cs="Times New Roman"/>
          <w:lang w:val="en-GB"/>
        </w:rPr>
        <w:t xml:space="preserve">the </w:t>
      </w:r>
      <w:r w:rsidR="00F83EB3">
        <w:rPr>
          <w:rFonts w:ascii="Times New Roman" w:hAnsi="Times New Roman" w:cs="Times New Roman"/>
          <w:lang w:val="en-GB"/>
        </w:rPr>
        <w:t>life expectancy divergence</w:t>
      </w:r>
      <w:r w:rsidR="00E63179">
        <w:rPr>
          <w:rFonts w:ascii="Times New Roman" w:hAnsi="Times New Roman" w:cs="Times New Roman"/>
          <w:lang w:val="en-GB"/>
        </w:rPr>
        <w:t xml:space="preserve"> from Sweden</w:t>
      </w:r>
      <w:r w:rsidR="00F83EB3">
        <w:rPr>
          <w:rFonts w:ascii="Times New Roman" w:hAnsi="Times New Roman" w:cs="Times New Roman"/>
          <w:lang w:val="en-GB"/>
        </w:rPr>
        <w:t>, wh</w:t>
      </w:r>
      <w:r w:rsidR="003031A2">
        <w:rPr>
          <w:rFonts w:ascii="Times New Roman" w:hAnsi="Times New Roman" w:cs="Times New Roman"/>
          <w:lang w:val="en-GB"/>
        </w:rPr>
        <w:t xml:space="preserve">ile </w:t>
      </w:r>
      <w:r w:rsidR="00E041B2">
        <w:rPr>
          <w:rFonts w:ascii="Times New Roman" w:hAnsi="Times New Roman" w:cs="Times New Roman"/>
          <w:lang w:val="en-GB"/>
        </w:rPr>
        <w:t>nega</w:t>
      </w:r>
      <w:r w:rsidR="003031A2">
        <w:rPr>
          <w:rFonts w:ascii="Times New Roman" w:hAnsi="Times New Roman" w:cs="Times New Roman"/>
          <w:lang w:val="en-GB"/>
        </w:rPr>
        <w:t xml:space="preserve">tive values indicate that the cause of death counteracted life expectancy divergence. </w:t>
      </w:r>
      <w:r w:rsidR="00F241AE">
        <w:rPr>
          <w:rFonts w:ascii="Times New Roman" w:hAnsi="Times New Roman" w:cs="Times New Roman"/>
          <w:lang w:val="en-GB"/>
        </w:rPr>
        <w:t>The bars in each panel sum to 100%, represented by the dashed grey line in each panel.</w:t>
      </w:r>
    </w:p>
    <w:p w14:paraId="18E0B896" w14:textId="77777777" w:rsidR="00975F71" w:rsidRDefault="00975F71" w:rsidP="00733774">
      <w:pPr>
        <w:spacing w:after="0" w:line="480" w:lineRule="auto"/>
        <w:jc w:val="both"/>
        <w:rPr>
          <w:rFonts w:ascii="Times New Roman" w:hAnsi="Times New Roman" w:cs="Times New Roman"/>
          <w:lang w:val="en-GB"/>
        </w:rPr>
      </w:pPr>
    </w:p>
    <w:p w14:paraId="43179A85" w14:textId="7FA32F34" w:rsidR="00CD0987" w:rsidRDefault="00DA4F85" w:rsidP="00733774">
      <w:pPr>
        <w:spacing w:after="0" w:line="480" w:lineRule="auto"/>
        <w:jc w:val="both"/>
        <w:rPr>
          <w:rFonts w:ascii="Times New Roman" w:hAnsi="Times New Roman" w:cs="Times New Roman"/>
          <w:lang w:val="en-GB"/>
        </w:rPr>
      </w:pPr>
      <w:r>
        <w:rPr>
          <w:rFonts w:ascii="Times New Roman" w:hAnsi="Times New Roman" w:cs="Times New Roman"/>
          <w:lang w:val="en-GB"/>
        </w:rPr>
        <w:t>I</w:t>
      </w:r>
      <w:r w:rsidR="00975F71">
        <w:rPr>
          <w:rFonts w:ascii="Times New Roman" w:hAnsi="Times New Roman" w:cs="Times New Roman"/>
          <w:lang w:val="en-GB"/>
        </w:rPr>
        <w:t xml:space="preserve">n the pre-pandemic period, CVD mortality improved less </w:t>
      </w:r>
      <w:r w:rsidR="00C00889">
        <w:rPr>
          <w:rFonts w:ascii="Times New Roman" w:hAnsi="Times New Roman" w:cs="Times New Roman"/>
          <w:lang w:val="en-GB"/>
        </w:rPr>
        <w:t>among</w:t>
      </w:r>
      <w:r w:rsidR="00975F71">
        <w:rPr>
          <w:rFonts w:ascii="Times New Roman" w:hAnsi="Times New Roman" w:cs="Times New Roman"/>
          <w:lang w:val="en-GB"/>
        </w:rPr>
        <w:t xml:space="preserve"> England and Wales</w:t>
      </w:r>
      <w:r w:rsidR="00F83EB3">
        <w:rPr>
          <w:rFonts w:ascii="Times New Roman" w:hAnsi="Times New Roman" w:cs="Times New Roman"/>
          <w:lang w:val="en-GB"/>
        </w:rPr>
        <w:t xml:space="preserve"> </w:t>
      </w:r>
      <w:r w:rsidR="00C00889">
        <w:rPr>
          <w:rFonts w:ascii="Times New Roman" w:hAnsi="Times New Roman" w:cs="Times New Roman"/>
          <w:lang w:val="en-GB"/>
        </w:rPr>
        <w:t xml:space="preserve">males </w:t>
      </w:r>
      <w:r w:rsidR="00975F71">
        <w:rPr>
          <w:rFonts w:ascii="Times New Roman" w:hAnsi="Times New Roman" w:cs="Times New Roman"/>
          <w:lang w:val="en-GB"/>
        </w:rPr>
        <w:t xml:space="preserve">than </w:t>
      </w:r>
      <w:r w:rsidR="00C00889">
        <w:rPr>
          <w:rFonts w:ascii="Times New Roman" w:hAnsi="Times New Roman" w:cs="Times New Roman"/>
          <w:lang w:val="en-GB"/>
        </w:rPr>
        <w:t>among their</w:t>
      </w:r>
      <w:r w:rsidR="00975F71">
        <w:rPr>
          <w:rFonts w:ascii="Times New Roman" w:hAnsi="Times New Roman" w:cs="Times New Roman"/>
          <w:lang w:val="en-GB"/>
        </w:rPr>
        <w:t xml:space="preserve"> Swed</w:t>
      </w:r>
      <w:r w:rsidR="00C00889">
        <w:rPr>
          <w:rFonts w:ascii="Times New Roman" w:hAnsi="Times New Roman" w:cs="Times New Roman"/>
          <w:lang w:val="en-GB"/>
        </w:rPr>
        <w:t>ish counterparts</w:t>
      </w:r>
      <w:r w:rsidR="00975F71">
        <w:rPr>
          <w:rFonts w:ascii="Times New Roman" w:hAnsi="Times New Roman" w:cs="Times New Roman"/>
          <w:lang w:val="en-GB"/>
        </w:rPr>
        <w:t>,</w:t>
      </w:r>
      <w:r w:rsidR="00975F71" w:rsidRPr="00975F71">
        <w:rPr>
          <w:rFonts w:ascii="Times New Roman" w:hAnsi="Times New Roman" w:cs="Times New Roman"/>
          <w:lang w:val="en-GB"/>
        </w:rPr>
        <w:t xml:space="preserve"> </w:t>
      </w:r>
      <w:r w:rsidR="00975F71">
        <w:rPr>
          <w:rFonts w:ascii="Times New Roman" w:hAnsi="Times New Roman" w:cs="Times New Roman"/>
          <w:lang w:val="en-GB"/>
        </w:rPr>
        <w:t xml:space="preserve">as already discussed above. </w:t>
      </w:r>
      <w:r>
        <w:rPr>
          <w:rFonts w:ascii="Times New Roman" w:hAnsi="Times New Roman" w:cs="Times New Roman"/>
          <w:lang w:val="en-GB"/>
        </w:rPr>
        <w:t>As mentioned before, t</w:t>
      </w:r>
      <w:r w:rsidR="004A3D2D">
        <w:rPr>
          <w:rFonts w:ascii="Times New Roman" w:hAnsi="Times New Roman" w:cs="Times New Roman"/>
          <w:lang w:val="en-GB"/>
        </w:rPr>
        <w:t xml:space="preserve">his divergence in CVD mortality trends </w:t>
      </w:r>
      <w:r w:rsidR="004A3D2D" w:rsidRPr="003217A4">
        <w:rPr>
          <w:rFonts w:ascii="Times New Roman" w:hAnsi="Times New Roman" w:cs="Times New Roman"/>
          <w:lang w:val="en-GB"/>
        </w:rPr>
        <w:t xml:space="preserve">contributed </w:t>
      </w:r>
      <w:r w:rsidRPr="003217A4">
        <w:rPr>
          <w:rFonts w:ascii="Times New Roman" w:hAnsi="Times New Roman" w:cs="Times New Roman"/>
          <w:lang w:val="en-GB"/>
        </w:rPr>
        <w:t>around 70</w:t>
      </w:r>
      <w:r w:rsidR="004A3D2D" w:rsidRPr="003217A4">
        <w:rPr>
          <w:rFonts w:ascii="Times New Roman" w:hAnsi="Times New Roman" w:cs="Times New Roman"/>
          <w:lang w:val="en-GB"/>
        </w:rPr>
        <w:t>% of the total life expectancy divergence of -3.3 months in that period</w:t>
      </w:r>
      <w:r w:rsidR="00FC43CF" w:rsidRPr="003217A4">
        <w:rPr>
          <w:rFonts w:ascii="Times New Roman" w:hAnsi="Times New Roman" w:cs="Times New Roman"/>
          <w:lang w:val="en-GB"/>
        </w:rPr>
        <w:t xml:space="preserve"> (see also</w:t>
      </w:r>
      <w:r w:rsidR="00FC43CF">
        <w:rPr>
          <w:rFonts w:ascii="Times New Roman" w:hAnsi="Times New Roman" w:cs="Times New Roman"/>
          <w:lang w:val="en-GB"/>
        </w:rPr>
        <w:t xml:space="preserve"> Table 3-add-</w:t>
      </w:r>
      <w:r w:rsidR="00C6446D">
        <w:rPr>
          <w:rFonts w:ascii="Times New Roman" w:hAnsi="Times New Roman" w:cs="Times New Roman"/>
          <w:lang w:val="en-GB"/>
        </w:rPr>
        <w:t>S</w:t>
      </w:r>
      <w:r w:rsidR="00FC43CF">
        <w:rPr>
          <w:rFonts w:ascii="Times New Roman" w:hAnsi="Times New Roman" w:cs="Times New Roman"/>
          <w:lang w:val="en-GB"/>
        </w:rPr>
        <w:t xml:space="preserve">2 in the </w:t>
      </w:r>
      <w:r w:rsidR="00C6446D">
        <w:rPr>
          <w:rFonts w:ascii="Times New Roman" w:hAnsi="Times New Roman" w:cs="Times New Roman"/>
          <w:lang w:val="en-GB"/>
        </w:rPr>
        <w:t>Supplementary Information</w:t>
      </w:r>
      <w:r w:rsidR="00FC43CF">
        <w:rPr>
          <w:rFonts w:ascii="Times New Roman" w:hAnsi="Times New Roman" w:cs="Times New Roman"/>
          <w:lang w:val="en-GB"/>
        </w:rPr>
        <w:t>)</w:t>
      </w:r>
      <w:r w:rsidR="004A3D2D">
        <w:rPr>
          <w:rFonts w:ascii="Times New Roman" w:hAnsi="Times New Roman" w:cs="Times New Roman"/>
          <w:lang w:val="en-GB"/>
        </w:rPr>
        <w:t xml:space="preserve">. </w:t>
      </w:r>
      <w:r w:rsidR="004A6533">
        <w:rPr>
          <w:rFonts w:ascii="Times New Roman" w:hAnsi="Times New Roman" w:cs="Times New Roman"/>
          <w:lang w:val="en-GB"/>
        </w:rPr>
        <w:t xml:space="preserve">On </w:t>
      </w:r>
      <w:r w:rsidR="004A6533" w:rsidRPr="00823EE4">
        <w:rPr>
          <w:rFonts w:ascii="Times New Roman" w:hAnsi="Times New Roman" w:cs="Times New Roman"/>
          <w:lang w:val="en-GB"/>
        </w:rPr>
        <w:t>the other hand, d</w:t>
      </w:r>
      <w:r w:rsidR="0085019A" w:rsidRPr="00823EE4">
        <w:rPr>
          <w:rFonts w:ascii="Times New Roman" w:hAnsi="Times New Roman" w:cs="Times New Roman"/>
          <w:lang w:val="en-GB"/>
        </w:rPr>
        <w:t xml:space="preserve">rug-related mortality increased in England and Wales but declined in Sweden, </w:t>
      </w:r>
      <w:r w:rsidR="00825B3F" w:rsidRPr="00823EE4">
        <w:rPr>
          <w:rFonts w:ascii="Times New Roman" w:hAnsi="Times New Roman" w:cs="Times New Roman"/>
          <w:lang w:val="en-GB"/>
        </w:rPr>
        <w:t>making this cause of death responsible for</w:t>
      </w:r>
      <w:r w:rsidR="007B2ED8" w:rsidRPr="00823EE4">
        <w:rPr>
          <w:rFonts w:ascii="Times New Roman" w:hAnsi="Times New Roman" w:cs="Times New Roman"/>
          <w:lang w:val="en-GB"/>
        </w:rPr>
        <w:t xml:space="preserve"> around 40</w:t>
      </w:r>
      <w:r w:rsidR="00825B3F" w:rsidRPr="00823EE4">
        <w:rPr>
          <w:rFonts w:ascii="Times New Roman" w:hAnsi="Times New Roman" w:cs="Times New Roman"/>
          <w:lang w:val="en-GB"/>
        </w:rPr>
        <w:t xml:space="preserve">% of the total pre-pandemic life expectancy divergence. </w:t>
      </w:r>
      <w:r w:rsidR="00186521" w:rsidRPr="00823EE4">
        <w:rPr>
          <w:rFonts w:ascii="Times New Roman" w:hAnsi="Times New Roman" w:cs="Times New Roman"/>
          <w:lang w:val="en-GB"/>
        </w:rPr>
        <w:t>In contrast, mortality from residual causes improved more in</w:t>
      </w:r>
      <w:r w:rsidR="00186521">
        <w:rPr>
          <w:rFonts w:ascii="Times New Roman" w:hAnsi="Times New Roman" w:cs="Times New Roman"/>
          <w:lang w:val="en-GB"/>
        </w:rPr>
        <w:t xml:space="preserve"> England and Wales than in Sweden, offsetting the widening life expectancy gap </w:t>
      </w:r>
      <w:r w:rsidR="002B7CCD">
        <w:rPr>
          <w:rFonts w:ascii="Times New Roman" w:hAnsi="Times New Roman" w:cs="Times New Roman"/>
          <w:lang w:val="en-GB"/>
        </w:rPr>
        <w:t>before</w:t>
      </w:r>
      <w:r w:rsidR="00186521">
        <w:rPr>
          <w:rFonts w:ascii="Times New Roman" w:hAnsi="Times New Roman" w:cs="Times New Roman"/>
          <w:lang w:val="en-GB"/>
        </w:rPr>
        <w:t xml:space="preserve"> the pandemic, as represented by the negative contribution for this cause of death. </w:t>
      </w:r>
      <w:r w:rsidR="008553B9">
        <w:rPr>
          <w:rFonts w:ascii="Times New Roman" w:hAnsi="Times New Roman" w:cs="Times New Roman"/>
          <w:lang w:val="en-GB"/>
        </w:rPr>
        <w:t xml:space="preserve">Mortality from alcohol, suicide, and other external causes only contributed little to the </w:t>
      </w:r>
      <w:r w:rsidR="00670A6F">
        <w:rPr>
          <w:rFonts w:ascii="Times New Roman" w:hAnsi="Times New Roman" w:cs="Times New Roman"/>
          <w:lang w:val="en-GB"/>
        </w:rPr>
        <w:t xml:space="preserve">pre-pandemic </w:t>
      </w:r>
      <w:r w:rsidR="008553B9">
        <w:rPr>
          <w:rFonts w:ascii="Times New Roman" w:hAnsi="Times New Roman" w:cs="Times New Roman"/>
          <w:lang w:val="en-GB"/>
        </w:rPr>
        <w:t xml:space="preserve">life expectancy divergence between males </w:t>
      </w:r>
      <w:r w:rsidR="00670A6F">
        <w:rPr>
          <w:rFonts w:ascii="Times New Roman" w:hAnsi="Times New Roman" w:cs="Times New Roman"/>
          <w:lang w:val="en-GB"/>
        </w:rPr>
        <w:t xml:space="preserve">in England and Wales and Sweden. </w:t>
      </w:r>
    </w:p>
    <w:p w14:paraId="53446972" w14:textId="77777777" w:rsidR="00CD0987" w:rsidRDefault="00CD0987" w:rsidP="00733774">
      <w:pPr>
        <w:spacing w:after="0" w:line="480" w:lineRule="auto"/>
        <w:jc w:val="both"/>
        <w:rPr>
          <w:rFonts w:ascii="Times New Roman" w:hAnsi="Times New Roman" w:cs="Times New Roman"/>
          <w:lang w:val="en-GB"/>
        </w:rPr>
      </w:pPr>
    </w:p>
    <w:p w14:paraId="57FC8935" w14:textId="755F6933" w:rsidR="00670A6F" w:rsidRDefault="008209E5" w:rsidP="00733774">
      <w:pPr>
        <w:spacing w:after="0" w:line="480" w:lineRule="auto"/>
        <w:jc w:val="both"/>
        <w:rPr>
          <w:rFonts w:ascii="Times New Roman" w:hAnsi="Times New Roman" w:cs="Times New Roman"/>
          <w:lang w:val="en-GB"/>
        </w:rPr>
      </w:pPr>
      <w:r>
        <w:rPr>
          <w:rFonts w:ascii="Times New Roman" w:hAnsi="Times New Roman" w:cs="Times New Roman"/>
          <w:lang w:val="en-GB"/>
        </w:rPr>
        <w:t xml:space="preserve">Patterns for male life expectancy divergence during the pandemic were roughly similar, </w:t>
      </w:r>
      <w:r w:rsidR="00A27E4E">
        <w:rPr>
          <w:rFonts w:ascii="Times New Roman" w:hAnsi="Times New Roman" w:cs="Times New Roman"/>
          <w:lang w:val="en-GB"/>
        </w:rPr>
        <w:t xml:space="preserve">with three exceptions: (a) increases in alcohol mortality in England and Wales contributed to the country’s life expectancy divergence; (b) </w:t>
      </w:r>
      <w:r w:rsidR="008F05BF">
        <w:rPr>
          <w:rFonts w:ascii="Times New Roman" w:hAnsi="Times New Roman" w:cs="Times New Roman"/>
          <w:lang w:val="en-GB"/>
        </w:rPr>
        <w:t xml:space="preserve">contributions from drug-related mortality to the life expectancy divergence were smaller than before the pandemic; (c) </w:t>
      </w:r>
      <w:r w:rsidR="001C5850">
        <w:rPr>
          <w:rFonts w:ascii="Times New Roman" w:hAnsi="Times New Roman" w:cs="Times New Roman"/>
          <w:lang w:val="en-GB"/>
        </w:rPr>
        <w:t xml:space="preserve">COVID-19 mortality was higher in England and Wales than </w:t>
      </w:r>
      <w:r w:rsidR="00180C43">
        <w:rPr>
          <w:rFonts w:ascii="Times New Roman" w:hAnsi="Times New Roman" w:cs="Times New Roman"/>
          <w:lang w:val="en-GB"/>
        </w:rPr>
        <w:t xml:space="preserve">in </w:t>
      </w:r>
      <w:r w:rsidR="001C5850">
        <w:rPr>
          <w:rFonts w:ascii="Times New Roman" w:hAnsi="Times New Roman" w:cs="Times New Roman"/>
          <w:lang w:val="en-GB"/>
        </w:rPr>
        <w:t xml:space="preserve">Sweden, making COVID-19 a </w:t>
      </w:r>
      <w:r w:rsidR="001C5850">
        <w:rPr>
          <w:rFonts w:ascii="Times New Roman" w:hAnsi="Times New Roman" w:cs="Times New Roman"/>
          <w:lang w:val="en-GB"/>
        </w:rPr>
        <w:lastRenderedPageBreak/>
        <w:t xml:space="preserve">contributor to </w:t>
      </w:r>
      <w:r w:rsidR="00886705">
        <w:rPr>
          <w:rFonts w:ascii="Times New Roman" w:hAnsi="Times New Roman" w:cs="Times New Roman"/>
          <w:lang w:val="en-GB"/>
        </w:rPr>
        <w:t xml:space="preserve">the </w:t>
      </w:r>
      <w:r w:rsidR="005448D7">
        <w:rPr>
          <w:rFonts w:ascii="Times New Roman" w:hAnsi="Times New Roman" w:cs="Times New Roman"/>
          <w:lang w:val="en-GB"/>
        </w:rPr>
        <w:t xml:space="preserve">life expectancy divergence of England and Wales from Sweden. </w:t>
      </w:r>
      <w:r w:rsidR="00516695">
        <w:rPr>
          <w:rFonts w:ascii="Times New Roman" w:hAnsi="Times New Roman" w:cs="Times New Roman"/>
          <w:lang w:val="en-GB"/>
        </w:rPr>
        <w:t xml:space="preserve">Patterns for England and Wales females during the pandemic were similar, except that suicide mortality played a larger role for divergence than alcohol-related mortality. </w:t>
      </w:r>
      <w:r w:rsidR="001F5558">
        <w:rPr>
          <w:rFonts w:ascii="Times New Roman" w:hAnsi="Times New Roman" w:cs="Times New Roman"/>
          <w:lang w:val="en-GB"/>
        </w:rPr>
        <w:t>Taken together</w:t>
      </w:r>
      <w:r w:rsidR="00516695">
        <w:rPr>
          <w:rFonts w:ascii="Times New Roman" w:hAnsi="Times New Roman" w:cs="Times New Roman"/>
          <w:lang w:val="en-GB"/>
        </w:rPr>
        <w:t>, CVD mortality played the most important role for life expectancy divergence between males in England and Wales and males in Sweden before and during the COVID-19 pandemic; as well as for life expectancy divergence between females in England and Wales and females in Sweden during the COVID-19 pandemic.</w:t>
      </w:r>
    </w:p>
    <w:p w14:paraId="502898EE" w14:textId="77777777" w:rsidR="00516695" w:rsidRDefault="00516695" w:rsidP="00733774">
      <w:pPr>
        <w:spacing w:after="0" w:line="480" w:lineRule="auto"/>
        <w:jc w:val="both"/>
        <w:rPr>
          <w:rFonts w:ascii="Times New Roman" w:hAnsi="Times New Roman" w:cs="Times New Roman"/>
          <w:lang w:val="en-GB"/>
        </w:rPr>
      </w:pPr>
    </w:p>
    <w:p w14:paraId="7F95A592" w14:textId="6B36ADC7" w:rsidR="00516695" w:rsidRDefault="00803677" w:rsidP="00733774">
      <w:pPr>
        <w:spacing w:after="0" w:line="480" w:lineRule="auto"/>
        <w:jc w:val="both"/>
        <w:rPr>
          <w:rFonts w:ascii="Times New Roman" w:hAnsi="Times New Roman" w:cs="Times New Roman"/>
          <w:lang w:val="en-GB"/>
        </w:rPr>
      </w:pPr>
      <w:r>
        <w:rPr>
          <w:rFonts w:ascii="Times New Roman" w:hAnsi="Times New Roman" w:cs="Times New Roman"/>
          <w:lang w:val="en-GB"/>
        </w:rPr>
        <w:t xml:space="preserve">Moving to the results for the USA, </w:t>
      </w:r>
      <w:r w:rsidR="002741A3">
        <w:rPr>
          <w:rFonts w:ascii="Times New Roman" w:hAnsi="Times New Roman" w:cs="Times New Roman"/>
          <w:lang w:val="en-GB"/>
        </w:rPr>
        <w:t xml:space="preserve">USA females saw smaller CVD mortality improvements </w:t>
      </w:r>
      <w:r w:rsidR="00491628">
        <w:rPr>
          <w:rFonts w:ascii="Times New Roman" w:hAnsi="Times New Roman" w:cs="Times New Roman"/>
          <w:lang w:val="en-GB"/>
        </w:rPr>
        <w:t xml:space="preserve">before the COVID-19 pandemic </w:t>
      </w:r>
      <w:r w:rsidR="002D103E">
        <w:rPr>
          <w:rFonts w:ascii="Times New Roman" w:hAnsi="Times New Roman" w:cs="Times New Roman"/>
          <w:lang w:val="en-GB"/>
        </w:rPr>
        <w:t xml:space="preserve">than </w:t>
      </w:r>
      <w:r w:rsidR="00491628">
        <w:rPr>
          <w:rFonts w:ascii="Times New Roman" w:hAnsi="Times New Roman" w:cs="Times New Roman"/>
          <w:lang w:val="en-GB"/>
        </w:rPr>
        <w:t xml:space="preserve">their </w:t>
      </w:r>
      <w:r w:rsidR="002D103E">
        <w:rPr>
          <w:rFonts w:ascii="Times New Roman" w:hAnsi="Times New Roman" w:cs="Times New Roman"/>
          <w:lang w:val="en-GB"/>
        </w:rPr>
        <w:t xml:space="preserve">Swedish </w:t>
      </w:r>
      <w:r w:rsidR="00491628">
        <w:rPr>
          <w:rFonts w:ascii="Times New Roman" w:hAnsi="Times New Roman" w:cs="Times New Roman"/>
          <w:lang w:val="en-GB"/>
        </w:rPr>
        <w:t>counterparts</w:t>
      </w:r>
      <w:r w:rsidR="002D103E">
        <w:rPr>
          <w:rFonts w:ascii="Times New Roman" w:hAnsi="Times New Roman" w:cs="Times New Roman"/>
          <w:lang w:val="en-GB"/>
        </w:rPr>
        <w:t xml:space="preserve">, making CVD the most important cause of death for life expectancy divergence. </w:t>
      </w:r>
      <w:r w:rsidR="00074B63">
        <w:rPr>
          <w:rFonts w:ascii="Times New Roman" w:hAnsi="Times New Roman" w:cs="Times New Roman"/>
          <w:lang w:val="en-GB"/>
        </w:rPr>
        <w:t xml:space="preserve">Rising mortality from drugs and other external causes </w:t>
      </w:r>
      <w:r w:rsidR="009F7596">
        <w:rPr>
          <w:rFonts w:ascii="Times New Roman" w:hAnsi="Times New Roman" w:cs="Times New Roman"/>
          <w:lang w:val="en-GB"/>
        </w:rPr>
        <w:t xml:space="preserve">in the USA </w:t>
      </w:r>
      <w:r w:rsidR="00074B63">
        <w:rPr>
          <w:rFonts w:ascii="Times New Roman" w:hAnsi="Times New Roman" w:cs="Times New Roman"/>
          <w:lang w:val="en-GB"/>
        </w:rPr>
        <w:t xml:space="preserve">also contributed </w:t>
      </w:r>
      <w:r w:rsidR="000A28F7">
        <w:rPr>
          <w:rFonts w:ascii="Times New Roman" w:hAnsi="Times New Roman" w:cs="Times New Roman"/>
          <w:lang w:val="en-GB"/>
        </w:rPr>
        <w:t xml:space="preserve">to </w:t>
      </w:r>
      <w:r w:rsidR="009F7596">
        <w:rPr>
          <w:rFonts w:ascii="Times New Roman" w:hAnsi="Times New Roman" w:cs="Times New Roman"/>
          <w:lang w:val="en-GB"/>
        </w:rPr>
        <w:t xml:space="preserve">the country’s </w:t>
      </w:r>
      <w:r w:rsidR="000A28F7">
        <w:rPr>
          <w:rFonts w:ascii="Times New Roman" w:hAnsi="Times New Roman" w:cs="Times New Roman"/>
          <w:lang w:val="en-GB"/>
        </w:rPr>
        <w:t>life expectance divergence</w:t>
      </w:r>
      <w:r w:rsidR="009F7596">
        <w:rPr>
          <w:rFonts w:ascii="Times New Roman" w:hAnsi="Times New Roman" w:cs="Times New Roman"/>
          <w:lang w:val="en-GB"/>
        </w:rPr>
        <w:t xml:space="preserve">, albeit at a lower percentage than CVD mortality. </w:t>
      </w:r>
      <w:r w:rsidR="00087679">
        <w:rPr>
          <w:rFonts w:ascii="Times New Roman" w:hAnsi="Times New Roman" w:cs="Times New Roman"/>
          <w:lang w:val="en-GB"/>
        </w:rPr>
        <w:t xml:space="preserve">In contrast, </w:t>
      </w:r>
      <w:r w:rsidR="00B454C2">
        <w:rPr>
          <w:rFonts w:ascii="Times New Roman" w:hAnsi="Times New Roman" w:cs="Times New Roman"/>
          <w:lang w:val="en-GB"/>
        </w:rPr>
        <w:t xml:space="preserve">suicide mortality increased </w:t>
      </w:r>
      <w:r w:rsidR="00210280">
        <w:rPr>
          <w:rFonts w:ascii="Times New Roman" w:hAnsi="Times New Roman" w:cs="Times New Roman"/>
          <w:lang w:val="en-GB"/>
        </w:rPr>
        <w:t>among</w:t>
      </w:r>
      <w:r w:rsidR="00B454C2">
        <w:rPr>
          <w:rFonts w:ascii="Times New Roman" w:hAnsi="Times New Roman" w:cs="Times New Roman"/>
          <w:lang w:val="en-GB"/>
        </w:rPr>
        <w:t xml:space="preserve"> Swed</w:t>
      </w:r>
      <w:r w:rsidR="00210280">
        <w:rPr>
          <w:rFonts w:ascii="Times New Roman" w:hAnsi="Times New Roman" w:cs="Times New Roman"/>
          <w:lang w:val="en-GB"/>
        </w:rPr>
        <w:t>ish females</w:t>
      </w:r>
      <w:r w:rsidR="00B454C2">
        <w:rPr>
          <w:rFonts w:ascii="Times New Roman" w:hAnsi="Times New Roman" w:cs="Times New Roman"/>
          <w:lang w:val="en-GB"/>
        </w:rPr>
        <w:t xml:space="preserve"> ahead of the pandemic, </w:t>
      </w:r>
      <w:r w:rsidR="00A45D32">
        <w:rPr>
          <w:rFonts w:ascii="Times New Roman" w:hAnsi="Times New Roman" w:cs="Times New Roman"/>
          <w:lang w:val="en-GB"/>
        </w:rPr>
        <w:t xml:space="preserve">creating some offsetting effects on life expectancy divergence. </w:t>
      </w:r>
      <w:r w:rsidR="00460EE4">
        <w:rPr>
          <w:rFonts w:ascii="Times New Roman" w:hAnsi="Times New Roman" w:cs="Times New Roman"/>
          <w:lang w:val="en-GB"/>
        </w:rPr>
        <w:t xml:space="preserve">Among males, CVD mortality “only” contributed about 50% to the pre-pandemic life expectancy divergence between the USA and Sweden, followed by drug-related mortality </w:t>
      </w:r>
      <w:r w:rsidR="0055533A">
        <w:rPr>
          <w:rFonts w:ascii="Times New Roman" w:hAnsi="Times New Roman" w:cs="Times New Roman"/>
          <w:lang w:val="en-GB"/>
        </w:rPr>
        <w:t xml:space="preserve">at </w:t>
      </w:r>
      <w:r w:rsidR="00485221">
        <w:rPr>
          <w:rFonts w:ascii="Times New Roman" w:hAnsi="Times New Roman" w:cs="Times New Roman"/>
          <w:lang w:val="en-GB"/>
        </w:rPr>
        <w:t xml:space="preserve">around </w:t>
      </w:r>
      <w:r w:rsidR="00EE5B2D">
        <w:rPr>
          <w:rFonts w:ascii="Times New Roman" w:hAnsi="Times New Roman" w:cs="Times New Roman"/>
          <w:lang w:val="en-GB"/>
        </w:rPr>
        <w:t>40</w:t>
      </w:r>
      <w:r w:rsidR="0055533A">
        <w:rPr>
          <w:rFonts w:ascii="Times New Roman" w:hAnsi="Times New Roman" w:cs="Times New Roman"/>
          <w:lang w:val="en-GB"/>
        </w:rPr>
        <w:t>%</w:t>
      </w:r>
      <w:r w:rsidR="005165C5">
        <w:rPr>
          <w:rFonts w:ascii="Times New Roman" w:hAnsi="Times New Roman" w:cs="Times New Roman"/>
          <w:lang w:val="en-GB"/>
        </w:rPr>
        <w:t xml:space="preserve"> and mortality from other external causes at </w:t>
      </w:r>
      <w:r w:rsidR="00485221">
        <w:rPr>
          <w:rFonts w:ascii="Times New Roman" w:hAnsi="Times New Roman" w:cs="Times New Roman"/>
          <w:lang w:val="en-GB"/>
        </w:rPr>
        <w:t xml:space="preserve">around </w:t>
      </w:r>
      <w:r w:rsidR="00D0764D">
        <w:rPr>
          <w:rFonts w:ascii="Times New Roman" w:hAnsi="Times New Roman" w:cs="Times New Roman"/>
          <w:lang w:val="en-GB"/>
        </w:rPr>
        <w:t>10</w:t>
      </w:r>
      <w:r w:rsidR="005165C5">
        <w:rPr>
          <w:rFonts w:ascii="Times New Roman" w:hAnsi="Times New Roman" w:cs="Times New Roman"/>
          <w:lang w:val="en-GB"/>
        </w:rPr>
        <w:t>%</w:t>
      </w:r>
      <w:r w:rsidR="0055533A">
        <w:rPr>
          <w:rFonts w:ascii="Times New Roman" w:hAnsi="Times New Roman" w:cs="Times New Roman"/>
          <w:lang w:val="en-GB"/>
        </w:rPr>
        <w:t>.</w:t>
      </w:r>
      <w:r w:rsidR="005165C5">
        <w:rPr>
          <w:rFonts w:ascii="Times New Roman" w:hAnsi="Times New Roman" w:cs="Times New Roman"/>
          <w:lang w:val="en-GB"/>
        </w:rPr>
        <w:t xml:space="preserve"> </w:t>
      </w:r>
      <w:r w:rsidR="0055533A">
        <w:rPr>
          <w:rFonts w:ascii="Times New Roman" w:hAnsi="Times New Roman" w:cs="Times New Roman"/>
          <w:lang w:val="en-GB"/>
        </w:rPr>
        <w:t xml:space="preserve"> </w:t>
      </w:r>
    </w:p>
    <w:p w14:paraId="6804146C" w14:textId="297B5DD8" w:rsidR="00516695" w:rsidRDefault="00516695" w:rsidP="00733774">
      <w:pPr>
        <w:spacing w:after="0" w:line="480" w:lineRule="auto"/>
        <w:jc w:val="both"/>
        <w:rPr>
          <w:rFonts w:ascii="Times New Roman" w:hAnsi="Times New Roman" w:cs="Times New Roman"/>
          <w:lang w:val="en-GB"/>
        </w:rPr>
      </w:pPr>
    </w:p>
    <w:p w14:paraId="5A342456" w14:textId="5F46E014" w:rsidR="00731C10" w:rsidRDefault="00C77B6D" w:rsidP="00733774">
      <w:pPr>
        <w:spacing w:after="0" w:line="480" w:lineRule="auto"/>
        <w:jc w:val="both"/>
        <w:rPr>
          <w:rFonts w:ascii="Times New Roman" w:hAnsi="Times New Roman" w:cs="Times New Roman"/>
          <w:lang w:val="en-GB"/>
        </w:rPr>
      </w:pPr>
      <w:r>
        <w:rPr>
          <w:rFonts w:ascii="Times New Roman" w:hAnsi="Times New Roman" w:cs="Times New Roman"/>
          <w:lang w:val="en-GB"/>
        </w:rPr>
        <w:t xml:space="preserve">During the pandemic, all causes of death contributed to the life expectancy divergence of USA males and females from their Swedish counterparts. </w:t>
      </w:r>
      <w:r w:rsidR="009078C3">
        <w:rPr>
          <w:rFonts w:ascii="Times New Roman" w:hAnsi="Times New Roman" w:cs="Times New Roman"/>
          <w:lang w:val="en-GB"/>
        </w:rPr>
        <w:t>In both cases, t</w:t>
      </w:r>
      <w:r w:rsidR="00580AE7">
        <w:rPr>
          <w:rFonts w:ascii="Times New Roman" w:hAnsi="Times New Roman" w:cs="Times New Roman"/>
          <w:lang w:val="en-GB"/>
        </w:rPr>
        <w:t xml:space="preserve">he roughly equal contributions </w:t>
      </w:r>
      <w:r w:rsidR="00FA0A02">
        <w:rPr>
          <w:rFonts w:ascii="Times New Roman" w:hAnsi="Times New Roman" w:cs="Times New Roman"/>
          <w:lang w:val="en-GB"/>
        </w:rPr>
        <w:t>of</w:t>
      </w:r>
      <w:r w:rsidR="00580AE7">
        <w:rPr>
          <w:rFonts w:ascii="Times New Roman" w:hAnsi="Times New Roman" w:cs="Times New Roman"/>
          <w:lang w:val="en-GB"/>
        </w:rPr>
        <w:t xml:space="preserve"> CVD an</w:t>
      </w:r>
      <w:r w:rsidR="00861D79">
        <w:rPr>
          <w:rFonts w:ascii="Times New Roman" w:hAnsi="Times New Roman" w:cs="Times New Roman"/>
          <w:lang w:val="en-GB"/>
        </w:rPr>
        <w:t>d</w:t>
      </w:r>
      <w:r w:rsidR="00580AE7">
        <w:rPr>
          <w:rFonts w:ascii="Times New Roman" w:hAnsi="Times New Roman" w:cs="Times New Roman"/>
          <w:lang w:val="en-GB"/>
        </w:rPr>
        <w:t xml:space="preserve"> drug-related mortality stand out. Among females, these contributions were only slightly exceeded by those from COVID-19 mortality, while among males, CVD, drug-related, and COVID-19 mortality </w:t>
      </w:r>
      <w:r w:rsidR="006E2C8C">
        <w:rPr>
          <w:rFonts w:ascii="Times New Roman" w:hAnsi="Times New Roman" w:cs="Times New Roman"/>
          <w:lang w:val="en-GB"/>
        </w:rPr>
        <w:t>made</w:t>
      </w:r>
      <w:r w:rsidR="00580AE7">
        <w:rPr>
          <w:rFonts w:ascii="Times New Roman" w:hAnsi="Times New Roman" w:cs="Times New Roman"/>
          <w:lang w:val="en-GB"/>
        </w:rPr>
        <w:t xml:space="preserve"> roughly equal contributions</w:t>
      </w:r>
      <w:r w:rsidR="00731C10">
        <w:rPr>
          <w:rFonts w:ascii="Times New Roman" w:hAnsi="Times New Roman" w:cs="Times New Roman"/>
          <w:lang w:val="en-GB"/>
        </w:rPr>
        <w:t xml:space="preserve"> to the life expectancy divergence of the USA. </w:t>
      </w:r>
      <w:r w:rsidR="00CB44E1">
        <w:rPr>
          <w:rFonts w:ascii="Times New Roman" w:hAnsi="Times New Roman" w:cs="Times New Roman"/>
          <w:lang w:val="en-GB"/>
        </w:rPr>
        <w:t>However</w:t>
      </w:r>
      <w:r w:rsidR="00E466A3">
        <w:rPr>
          <w:rFonts w:ascii="Times New Roman" w:hAnsi="Times New Roman" w:cs="Times New Roman"/>
          <w:lang w:val="en-GB"/>
        </w:rPr>
        <w:t>, when combined,</w:t>
      </w:r>
      <w:r w:rsidR="00CB44E1">
        <w:rPr>
          <w:rFonts w:ascii="Times New Roman" w:hAnsi="Times New Roman" w:cs="Times New Roman"/>
          <w:lang w:val="en-GB"/>
        </w:rPr>
        <w:t xml:space="preserve"> </w:t>
      </w:r>
      <w:r w:rsidR="00A67077">
        <w:rPr>
          <w:rFonts w:ascii="Times New Roman" w:hAnsi="Times New Roman" w:cs="Times New Roman"/>
          <w:lang w:val="en-GB"/>
        </w:rPr>
        <w:lastRenderedPageBreak/>
        <w:t>external and substance-related mortality w</w:t>
      </w:r>
      <w:r w:rsidR="00CB44E1">
        <w:rPr>
          <w:rFonts w:ascii="Times New Roman" w:hAnsi="Times New Roman" w:cs="Times New Roman"/>
          <w:lang w:val="en-GB"/>
        </w:rPr>
        <w:t>ere</w:t>
      </w:r>
      <w:r w:rsidR="00A67077">
        <w:rPr>
          <w:rFonts w:ascii="Times New Roman" w:hAnsi="Times New Roman" w:cs="Times New Roman"/>
          <w:lang w:val="en-GB"/>
        </w:rPr>
        <w:t xml:space="preserve"> the most important contributor to</w:t>
      </w:r>
      <w:r w:rsidR="00CB44E1">
        <w:rPr>
          <w:rFonts w:ascii="Times New Roman" w:hAnsi="Times New Roman" w:cs="Times New Roman"/>
          <w:lang w:val="en-GB"/>
        </w:rPr>
        <w:t xml:space="preserve"> the</w:t>
      </w:r>
      <w:r w:rsidR="00A67077">
        <w:rPr>
          <w:rFonts w:ascii="Times New Roman" w:hAnsi="Times New Roman" w:cs="Times New Roman"/>
          <w:lang w:val="en-GB"/>
        </w:rPr>
        <w:t xml:space="preserve"> </w:t>
      </w:r>
      <w:r w:rsidR="00CB44E1">
        <w:rPr>
          <w:rFonts w:ascii="Times New Roman" w:hAnsi="Times New Roman" w:cs="Times New Roman"/>
          <w:lang w:val="en-GB"/>
        </w:rPr>
        <w:t xml:space="preserve">life expectancy divergence of USA </w:t>
      </w:r>
      <w:r w:rsidR="00D929FE">
        <w:rPr>
          <w:rFonts w:ascii="Times New Roman" w:hAnsi="Times New Roman" w:cs="Times New Roman"/>
          <w:lang w:val="en-GB"/>
        </w:rPr>
        <w:t xml:space="preserve">males </w:t>
      </w:r>
      <w:r w:rsidR="00CB44E1">
        <w:rPr>
          <w:rFonts w:ascii="Times New Roman" w:hAnsi="Times New Roman" w:cs="Times New Roman"/>
          <w:lang w:val="en-GB"/>
        </w:rPr>
        <w:t xml:space="preserve">from </w:t>
      </w:r>
      <w:r w:rsidR="00D929FE">
        <w:rPr>
          <w:rFonts w:ascii="Times New Roman" w:hAnsi="Times New Roman" w:cs="Times New Roman"/>
          <w:lang w:val="en-GB"/>
        </w:rPr>
        <w:t xml:space="preserve">their </w:t>
      </w:r>
      <w:r w:rsidR="00CB44E1">
        <w:rPr>
          <w:rFonts w:ascii="Times New Roman" w:hAnsi="Times New Roman" w:cs="Times New Roman"/>
          <w:lang w:val="en-GB"/>
        </w:rPr>
        <w:t>Swed</w:t>
      </w:r>
      <w:r w:rsidR="00D929FE">
        <w:rPr>
          <w:rFonts w:ascii="Times New Roman" w:hAnsi="Times New Roman" w:cs="Times New Roman"/>
          <w:lang w:val="en-GB"/>
        </w:rPr>
        <w:t>ish counterparts</w:t>
      </w:r>
      <w:r w:rsidR="00DF58F7">
        <w:rPr>
          <w:rFonts w:ascii="Times New Roman" w:hAnsi="Times New Roman" w:cs="Times New Roman"/>
          <w:lang w:val="en-GB"/>
        </w:rPr>
        <w:t xml:space="preserve">, at </w:t>
      </w:r>
      <w:r w:rsidR="000648CF">
        <w:rPr>
          <w:rFonts w:ascii="Times New Roman" w:hAnsi="Times New Roman" w:cs="Times New Roman"/>
          <w:lang w:val="en-GB"/>
        </w:rPr>
        <w:t>close to</w:t>
      </w:r>
      <w:r w:rsidR="00DF58F7">
        <w:rPr>
          <w:rFonts w:ascii="Times New Roman" w:hAnsi="Times New Roman" w:cs="Times New Roman"/>
          <w:lang w:val="en-GB"/>
        </w:rPr>
        <w:t xml:space="preserve"> 50%</w:t>
      </w:r>
      <w:r w:rsidR="00CB44E1">
        <w:rPr>
          <w:rFonts w:ascii="Times New Roman" w:hAnsi="Times New Roman" w:cs="Times New Roman"/>
          <w:lang w:val="en-GB"/>
        </w:rPr>
        <w:t>.</w:t>
      </w:r>
    </w:p>
    <w:p w14:paraId="592A8771" w14:textId="77777777" w:rsidR="004227D9" w:rsidRDefault="004227D9" w:rsidP="00733774">
      <w:pPr>
        <w:spacing w:after="0" w:line="480" w:lineRule="auto"/>
        <w:jc w:val="both"/>
        <w:rPr>
          <w:rFonts w:ascii="Times New Roman" w:hAnsi="Times New Roman" w:cs="Times New Roman"/>
          <w:lang w:val="en-GB"/>
        </w:rPr>
      </w:pPr>
    </w:p>
    <w:p w14:paraId="042C8792" w14:textId="01675DE1" w:rsidR="004227D9" w:rsidRPr="004227D9" w:rsidRDefault="004227D9" w:rsidP="00733774">
      <w:pPr>
        <w:spacing w:after="0" w:line="480" w:lineRule="auto"/>
        <w:jc w:val="both"/>
        <w:rPr>
          <w:rFonts w:ascii="Times New Roman" w:hAnsi="Times New Roman" w:cs="Times New Roman"/>
          <w:b/>
          <w:lang w:val="en-GB"/>
        </w:rPr>
      </w:pPr>
      <w:r>
        <w:rPr>
          <w:rFonts w:ascii="Times New Roman" w:hAnsi="Times New Roman" w:cs="Times New Roman"/>
          <w:b/>
          <w:lang w:val="en-GB"/>
        </w:rPr>
        <w:t>3</w:t>
      </w:r>
      <w:r w:rsidR="00C47056">
        <w:rPr>
          <w:rFonts w:ascii="Times New Roman" w:hAnsi="Times New Roman" w:cs="Times New Roman"/>
          <w:b/>
          <w:lang w:val="en-GB"/>
        </w:rPr>
        <w:t>-</w:t>
      </w:r>
      <w:r>
        <w:rPr>
          <w:rFonts w:ascii="Times New Roman" w:hAnsi="Times New Roman" w:cs="Times New Roman"/>
          <w:b/>
          <w:lang w:val="en-GB"/>
        </w:rPr>
        <w:t xml:space="preserve">add.3. </w:t>
      </w:r>
      <w:r w:rsidR="00B85B56">
        <w:rPr>
          <w:rFonts w:ascii="Times New Roman" w:hAnsi="Times New Roman" w:cs="Times New Roman"/>
          <w:b/>
          <w:lang w:val="en-GB"/>
        </w:rPr>
        <w:t>Discussion</w:t>
      </w:r>
    </w:p>
    <w:p w14:paraId="079A3A08" w14:textId="5F9CC740" w:rsidR="00731C10" w:rsidRDefault="001F2EAD" w:rsidP="00733774">
      <w:pPr>
        <w:spacing w:after="0" w:line="480" w:lineRule="auto"/>
        <w:jc w:val="both"/>
        <w:rPr>
          <w:rFonts w:ascii="Times New Roman" w:hAnsi="Times New Roman" w:cs="Times New Roman"/>
          <w:lang w:val="en-GB"/>
        </w:rPr>
      </w:pPr>
      <w:r w:rsidRPr="001F2EAD">
        <w:rPr>
          <w:rFonts w:ascii="Times New Roman" w:hAnsi="Times New Roman" w:cs="Times New Roman"/>
          <w:lang w:val="en-GB"/>
        </w:rPr>
        <w:t>In Chapter 3, COVID-19 generally emerged as the main driver of life expectancy change over the period 2019</w:t>
      </w:r>
      <w:r>
        <w:rPr>
          <w:rFonts w:ascii="Times New Roman" w:hAnsi="Times New Roman" w:cs="Times New Roman"/>
          <w:lang w:val="en-GB"/>
        </w:rPr>
        <w:t>–</w:t>
      </w:r>
      <w:r w:rsidRPr="001F2EAD">
        <w:rPr>
          <w:rFonts w:ascii="Times New Roman" w:hAnsi="Times New Roman" w:cs="Times New Roman"/>
          <w:lang w:val="en-GB"/>
        </w:rPr>
        <w:t xml:space="preserve">2022. The </w:t>
      </w:r>
      <w:r w:rsidRPr="001F2EAD">
        <w:rPr>
          <w:rFonts w:ascii="Times New Roman" w:hAnsi="Times New Roman" w:cs="Times New Roman"/>
          <w:i/>
          <w:lang w:val="en-GB"/>
        </w:rPr>
        <w:t>stagnation</w:t>
      </w:r>
      <w:r w:rsidRPr="001F2EAD">
        <w:rPr>
          <w:rFonts w:ascii="Times New Roman" w:hAnsi="Times New Roman" w:cs="Times New Roman"/>
          <w:lang w:val="en-GB"/>
        </w:rPr>
        <w:t xml:space="preserve"> analysis for England and Wales in this </w:t>
      </w:r>
      <w:r w:rsidR="003E17BA">
        <w:rPr>
          <w:rFonts w:ascii="Times New Roman" w:hAnsi="Times New Roman" w:cs="Times New Roman"/>
          <w:lang w:val="en-GB"/>
        </w:rPr>
        <w:t>A</w:t>
      </w:r>
      <w:r w:rsidRPr="001F2EAD">
        <w:rPr>
          <w:rFonts w:ascii="Times New Roman" w:hAnsi="Times New Roman" w:cs="Times New Roman"/>
          <w:lang w:val="en-GB"/>
        </w:rPr>
        <w:t>ddendum showed that COVID-19 was also relevant in explaining the deviation of England and Wales from its pre-pandemic life expectancy trajectory. However, CVD mortality was relatively more important in explaining life expectancy stagnation, because we would have expected further life expectancy gains from this cause based on pre-pandemic trends, but the country experienced life expectancy losses from CVD mortality during the pandemic.</w:t>
      </w:r>
      <w:r>
        <w:rPr>
          <w:rFonts w:ascii="Times New Roman" w:hAnsi="Times New Roman" w:cs="Times New Roman"/>
          <w:lang w:val="en-GB"/>
        </w:rPr>
        <w:t xml:space="preserve"> </w:t>
      </w:r>
      <w:r w:rsidR="002E6B28">
        <w:rPr>
          <w:rFonts w:ascii="Times New Roman" w:hAnsi="Times New Roman" w:cs="Times New Roman"/>
          <w:lang w:val="en-GB"/>
        </w:rPr>
        <w:t>Among</w:t>
      </w:r>
      <w:r w:rsidR="00937FBF">
        <w:rPr>
          <w:rFonts w:ascii="Times New Roman" w:hAnsi="Times New Roman" w:cs="Times New Roman"/>
          <w:lang w:val="en-GB"/>
        </w:rPr>
        <w:t xml:space="preserve"> USA</w:t>
      </w:r>
      <w:r w:rsidR="002E6B28">
        <w:rPr>
          <w:rFonts w:ascii="Times New Roman" w:hAnsi="Times New Roman" w:cs="Times New Roman"/>
          <w:lang w:val="en-GB"/>
        </w:rPr>
        <w:t xml:space="preserve"> females and males</w:t>
      </w:r>
      <w:r w:rsidR="00937FBF">
        <w:rPr>
          <w:rFonts w:ascii="Times New Roman" w:hAnsi="Times New Roman" w:cs="Times New Roman"/>
          <w:lang w:val="en-GB"/>
        </w:rPr>
        <w:t>,</w:t>
      </w:r>
      <w:r w:rsidR="00EE74B5">
        <w:rPr>
          <w:rFonts w:ascii="Times New Roman" w:hAnsi="Times New Roman" w:cs="Times New Roman"/>
          <w:lang w:val="en-GB"/>
        </w:rPr>
        <w:t xml:space="preserve"> COVID-19 </w:t>
      </w:r>
      <w:r w:rsidR="00205740">
        <w:rPr>
          <w:rFonts w:ascii="Times New Roman" w:hAnsi="Times New Roman" w:cs="Times New Roman"/>
          <w:lang w:val="en-GB"/>
        </w:rPr>
        <w:t xml:space="preserve">remained </w:t>
      </w:r>
      <w:r w:rsidR="00466134">
        <w:rPr>
          <w:rFonts w:ascii="Times New Roman" w:hAnsi="Times New Roman" w:cs="Times New Roman"/>
          <w:lang w:val="en-GB"/>
        </w:rPr>
        <w:t xml:space="preserve">the most important cause of death </w:t>
      </w:r>
      <w:r>
        <w:rPr>
          <w:rFonts w:ascii="Times New Roman" w:hAnsi="Times New Roman" w:cs="Times New Roman"/>
          <w:lang w:val="en-GB"/>
        </w:rPr>
        <w:t xml:space="preserve">for </w:t>
      </w:r>
      <w:r w:rsidR="00466134">
        <w:rPr>
          <w:rFonts w:ascii="Times New Roman" w:hAnsi="Times New Roman" w:cs="Times New Roman"/>
          <w:lang w:val="en-GB"/>
        </w:rPr>
        <w:t>life expectancy stagnation</w:t>
      </w:r>
      <w:r w:rsidR="007E7183">
        <w:rPr>
          <w:rFonts w:ascii="Times New Roman" w:hAnsi="Times New Roman" w:cs="Times New Roman"/>
          <w:lang w:val="en-GB"/>
        </w:rPr>
        <w:t xml:space="preserve">. </w:t>
      </w:r>
      <w:r w:rsidR="00155DE2">
        <w:rPr>
          <w:rFonts w:ascii="Times New Roman" w:hAnsi="Times New Roman" w:cs="Times New Roman"/>
          <w:lang w:val="en-GB"/>
        </w:rPr>
        <w:t>A</w:t>
      </w:r>
      <w:r w:rsidR="007E7183">
        <w:rPr>
          <w:rFonts w:ascii="Times New Roman" w:hAnsi="Times New Roman" w:cs="Times New Roman"/>
          <w:lang w:val="en-GB"/>
        </w:rPr>
        <w:t>mong males</w:t>
      </w:r>
      <w:r w:rsidR="00261BE0">
        <w:rPr>
          <w:rFonts w:ascii="Times New Roman" w:hAnsi="Times New Roman" w:cs="Times New Roman"/>
          <w:lang w:val="en-GB"/>
        </w:rPr>
        <w:t>, the combined contribution of all external and substance-related mortality exceeded the contribution from CVD mortality</w:t>
      </w:r>
      <w:r w:rsidR="00155DE2">
        <w:rPr>
          <w:rFonts w:ascii="Times New Roman" w:hAnsi="Times New Roman" w:cs="Times New Roman"/>
          <w:lang w:val="en-GB"/>
        </w:rPr>
        <w:t xml:space="preserve"> to life expectancy stagnation</w:t>
      </w:r>
      <w:r w:rsidR="00261BE0">
        <w:rPr>
          <w:rFonts w:ascii="Times New Roman" w:hAnsi="Times New Roman" w:cs="Times New Roman"/>
          <w:lang w:val="en-GB"/>
        </w:rPr>
        <w:t>.</w:t>
      </w:r>
    </w:p>
    <w:p w14:paraId="5EC9E124" w14:textId="72CA534B" w:rsidR="00BD7896" w:rsidRDefault="00BD7896" w:rsidP="00733774">
      <w:pPr>
        <w:spacing w:after="0" w:line="480" w:lineRule="auto"/>
        <w:jc w:val="both"/>
        <w:rPr>
          <w:rFonts w:ascii="Times New Roman" w:hAnsi="Times New Roman" w:cs="Times New Roman"/>
          <w:lang w:val="en-GB"/>
        </w:rPr>
      </w:pPr>
    </w:p>
    <w:p w14:paraId="4A53DA9C" w14:textId="62A150A9" w:rsidR="00D67899" w:rsidRDefault="00E137DD" w:rsidP="00733774">
      <w:pPr>
        <w:spacing w:after="0" w:line="480" w:lineRule="auto"/>
        <w:jc w:val="both"/>
        <w:rPr>
          <w:rFonts w:ascii="Times New Roman" w:hAnsi="Times New Roman" w:cs="Times New Roman"/>
          <w:lang w:val="en-GB"/>
        </w:rPr>
      </w:pPr>
      <w:r w:rsidRPr="00E137DD">
        <w:rPr>
          <w:rFonts w:ascii="Times New Roman" w:hAnsi="Times New Roman" w:cs="Times New Roman"/>
          <w:lang w:val="en-GB"/>
        </w:rPr>
        <w:t xml:space="preserve">In England and Wales </w:t>
      </w:r>
      <w:r w:rsidR="00B52137">
        <w:rPr>
          <w:rFonts w:ascii="Times New Roman" w:hAnsi="Times New Roman" w:cs="Times New Roman"/>
          <w:lang w:val="en-GB"/>
        </w:rPr>
        <w:t xml:space="preserve">before and during the pandemic </w:t>
      </w:r>
      <w:r w:rsidRPr="00E137DD">
        <w:rPr>
          <w:rFonts w:ascii="Times New Roman" w:hAnsi="Times New Roman" w:cs="Times New Roman"/>
          <w:lang w:val="en-GB"/>
        </w:rPr>
        <w:t>and the USA</w:t>
      </w:r>
      <w:r w:rsidR="00B52137">
        <w:rPr>
          <w:rFonts w:ascii="Times New Roman" w:hAnsi="Times New Roman" w:cs="Times New Roman"/>
          <w:lang w:val="en-GB"/>
        </w:rPr>
        <w:t xml:space="preserve"> before the pandemic</w:t>
      </w:r>
      <w:r w:rsidRPr="00E137DD">
        <w:rPr>
          <w:rFonts w:ascii="Times New Roman" w:hAnsi="Times New Roman" w:cs="Times New Roman"/>
          <w:lang w:val="en-GB"/>
        </w:rPr>
        <w:t xml:space="preserve">, CVD mortality was the largest contributor to the </w:t>
      </w:r>
      <w:r w:rsidRPr="00E137DD">
        <w:rPr>
          <w:rFonts w:ascii="Times New Roman" w:hAnsi="Times New Roman" w:cs="Times New Roman"/>
          <w:i/>
          <w:lang w:val="en-GB"/>
        </w:rPr>
        <w:t>divergence</w:t>
      </w:r>
      <w:r w:rsidRPr="00E137DD">
        <w:rPr>
          <w:rFonts w:ascii="Times New Roman" w:hAnsi="Times New Roman" w:cs="Times New Roman"/>
          <w:lang w:val="en-GB"/>
        </w:rPr>
        <w:t xml:space="preserve"> in life expectancy from Sweden. In the USA</w:t>
      </w:r>
      <w:r w:rsidR="00912473">
        <w:rPr>
          <w:rFonts w:ascii="Times New Roman" w:hAnsi="Times New Roman" w:cs="Times New Roman"/>
          <w:lang w:val="en-GB"/>
        </w:rPr>
        <w:t xml:space="preserve"> during the pandemic</w:t>
      </w:r>
      <w:r w:rsidRPr="00E137DD">
        <w:rPr>
          <w:rFonts w:ascii="Times New Roman" w:hAnsi="Times New Roman" w:cs="Times New Roman"/>
          <w:lang w:val="en-GB"/>
        </w:rPr>
        <w:t xml:space="preserve">, however, the contributions of CVD, drug-related mortality, and COVID-19 were </w:t>
      </w:r>
      <w:r w:rsidR="003F6DE5">
        <w:rPr>
          <w:rFonts w:ascii="Times New Roman" w:hAnsi="Times New Roman" w:cs="Times New Roman"/>
          <w:lang w:val="en-GB"/>
        </w:rPr>
        <w:t>more</w:t>
      </w:r>
      <w:r w:rsidRPr="00E137DD">
        <w:rPr>
          <w:rFonts w:ascii="Times New Roman" w:hAnsi="Times New Roman" w:cs="Times New Roman"/>
          <w:lang w:val="en-GB"/>
        </w:rPr>
        <w:t xml:space="preserve"> similar. Among men, external and </w:t>
      </w:r>
      <w:r w:rsidR="00E041B2">
        <w:rPr>
          <w:rFonts w:ascii="Times New Roman" w:hAnsi="Times New Roman" w:cs="Times New Roman"/>
          <w:lang w:val="en-GB"/>
        </w:rPr>
        <w:t>substance</w:t>
      </w:r>
      <w:r w:rsidRPr="00E137DD">
        <w:rPr>
          <w:rFonts w:ascii="Times New Roman" w:hAnsi="Times New Roman" w:cs="Times New Roman"/>
          <w:lang w:val="en-GB"/>
        </w:rPr>
        <w:t>-related mortality together were the most important contributor to the divergence of US</w:t>
      </w:r>
      <w:r>
        <w:rPr>
          <w:rFonts w:ascii="Times New Roman" w:hAnsi="Times New Roman" w:cs="Times New Roman"/>
          <w:lang w:val="en-GB"/>
        </w:rPr>
        <w:t>A</w:t>
      </w:r>
      <w:r w:rsidRPr="00E137DD">
        <w:rPr>
          <w:rFonts w:ascii="Times New Roman" w:hAnsi="Times New Roman" w:cs="Times New Roman"/>
          <w:lang w:val="en-GB"/>
        </w:rPr>
        <w:t xml:space="preserve"> life expectancy from that of Sweden, exceeding even the contributions of COVID-19 mortality.</w:t>
      </w:r>
    </w:p>
    <w:p w14:paraId="5F5B526B" w14:textId="77777777" w:rsidR="00E137DD" w:rsidRDefault="00E137DD" w:rsidP="00733774">
      <w:pPr>
        <w:spacing w:after="0" w:line="480" w:lineRule="auto"/>
        <w:jc w:val="both"/>
        <w:rPr>
          <w:rFonts w:ascii="Times New Roman" w:hAnsi="Times New Roman" w:cs="Times New Roman"/>
          <w:lang w:val="en-GB"/>
        </w:rPr>
      </w:pPr>
    </w:p>
    <w:p w14:paraId="28070453" w14:textId="19BADC97" w:rsidR="0013669B" w:rsidRDefault="00B84FFD" w:rsidP="00733774">
      <w:pPr>
        <w:spacing w:after="0" w:line="480" w:lineRule="auto"/>
        <w:jc w:val="both"/>
        <w:rPr>
          <w:rFonts w:ascii="Times New Roman" w:hAnsi="Times New Roman" w:cs="Times New Roman"/>
          <w:lang w:val="en-GB"/>
        </w:rPr>
      </w:pPr>
      <w:r w:rsidRPr="00B84FFD">
        <w:rPr>
          <w:rFonts w:ascii="Times New Roman" w:hAnsi="Times New Roman" w:cs="Times New Roman"/>
          <w:lang w:val="en-GB"/>
        </w:rPr>
        <w:t xml:space="preserve">Thus, consistent with the </w:t>
      </w:r>
      <w:r w:rsidR="00C85922">
        <w:rPr>
          <w:rFonts w:ascii="Times New Roman" w:hAnsi="Times New Roman" w:cs="Times New Roman"/>
          <w:lang w:val="en-GB"/>
        </w:rPr>
        <w:t>I</w:t>
      </w:r>
      <w:r w:rsidRPr="00B84FFD">
        <w:rPr>
          <w:rFonts w:ascii="Times New Roman" w:hAnsi="Times New Roman" w:cs="Times New Roman"/>
          <w:lang w:val="en-GB"/>
        </w:rPr>
        <w:t xml:space="preserve">ntroduction and </w:t>
      </w:r>
      <w:r>
        <w:rPr>
          <w:rFonts w:ascii="Times New Roman" w:hAnsi="Times New Roman" w:cs="Times New Roman"/>
          <w:lang w:val="en-GB"/>
        </w:rPr>
        <w:t>C</w:t>
      </w:r>
      <w:r w:rsidRPr="00B84FFD">
        <w:rPr>
          <w:rFonts w:ascii="Times New Roman" w:hAnsi="Times New Roman" w:cs="Times New Roman"/>
          <w:lang w:val="en-GB"/>
        </w:rPr>
        <w:t xml:space="preserve">hapter 2 of this dissertation, the analysis in this </w:t>
      </w:r>
      <w:r w:rsidR="003E17BA">
        <w:rPr>
          <w:rFonts w:ascii="Times New Roman" w:hAnsi="Times New Roman" w:cs="Times New Roman"/>
          <w:lang w:val="en-GB"/>
        </w:rPr>
        <w:t>A</w:t>
      </w:r>
      <w:r w:rsidRPr="00B84FFD">
        <w:rPr>
          <w:rFonts w:ascii="Times New Roman" w:hAnsi="Times New Roman" w:cs="Times New Roman"/>
          <w:lang w:val="en-GB"/>
        </w:rPr>
        <w:t xml:space="preserve">ddendum has once again demonstrated the value of considering analyses of life </w:t>
      </w:r>
      <w:r w:rsidRPr="00B84FFD">
        <w:rPr>
          <w:rFonts w:ascii="Times New Roman" w:hAnsi="Times New Roman" w:cs="Times New Roman"/>
          <w:lang w:val="en-GB"/>
        </w:rPr>
        <w:lastRenderedPageBreak/>
        <w:t xml:space="preserve">expectancy </w:t>
      </w:r>
      <w:r w:rsidRPr="00B84FFD">
        <w:rPr>
          <w:rFonts w:ascii="Times New Roman" w:hAnsi="Times New Roman" w:cs="Times New Roman"/>
          <w:i/>
          <w:lang w:val="en-GB"/>
        </w:rPr>
        <w:t>stagnation</w:t>
      </w:r>
      <w:r w:rsidRPr="00B84FFD">
        <w:rPr>
          <w:rFonts w:ascii="Times New Roman" w:hAnsi="Times New Roman" w:cs="Times New Roman"/>
          <w:lang w:val="en-GB"/>
        </w:rPr>
        <w:t xml:space="preserve"> and </w:t>
      </w:r>
      <w:r w:rsidRPr="00B84FFD">
        <w:rPr>
          <w:rFonts w:ascii="Times New Roman" w:hAnsi="Times New Roman" w:cs="Times New Roman"/>
          <w:i/>
          <w:lang w:val="en-GB"/>
        </w:rPr>
        <w:t>divergence</w:t>
      </w:r>
      <w:r w:rsidRPr="00B84FFD">
        <w:rPr>
          <w:rFonts w:ascii="Times New Roman" w:hAnsi="Times New Roman" w:cs="Times New Roman"/>
          <w:lang w:val="en-GB"/>
        </w:rPr>
        <w:t xml:space="preserve"> together. Even in the presence of such strong causes of death as COVID-19, </w:t>
      </w:r>
      <w:r w:rsidR="007F0ADD">
        <w:rPr>
          <w:rFonts w:ascii="Times New Roman" w:hAnsi="Times New Roman" w:cs="Times New Roman"/>
          <w:lang w:val="en-GB"/>
        </w:rPr>
        <w:t>deteriorations in other</w:t>
      </w:r>
      <w:r w:rsidRPr="00B84FFD">
        <w:rPr>
          <w:rFonts w:ascii="Times New Roman" w:hAnsi="Times New Roman" w:cs="Times New Roman"/>
          <w:lang w:val="en-GB"/>
        </w:rPr>
        <w:t xml:space="preserve"> causes of death can emerge as more important drivers of stagnation</w:t>
      </w:r>
      <w:r w:rsidR="007F0ADD">
        <w:rPr>
          <w:rFonts w:ascii="Times New Roman" w:hAnsi="Times New Roman" w:cs="Times New Roman"/>
          <w:lang w:val="en-GB"/>
        </w:rPr>
        <w:t>—</w:t>
      </w:r>
      <w:r w:rsidRPr="00B84FFD">
        <w:rPr>
          <w:rFonts w:ascii="Times New Roman" w:hAnsi="Times New Roman" w:cs="Times New Roman"/>
          <w:lang w:val="en-GB"/>
        </w:rPr>
        <w:t>because we would have expected further improvements</w:t>
      </w:r>
      <w:r w:rsidR="007F0ADD">
        <w:rPr>
          <w:rFonts w:ascii="Times New Roman" w:hAnsi="Times New Roman" w:cs="Times New Roman"/>
          <w:lang w:val="en-GB"/>
        </w:rPr>
        <w:t>—</w:t>
      </w:r>
      <w:r w:rsidRPr="00B84FFD">
        <w:rPr>
          <w:rFonts w:ascii="Times New Roman" w:hAnsi="Times New Roman" w:cs="Times New Roman"/>
          <w:lang w:val="en-GB"/>
        </w:rPr>
        <w:t>and divergence</w:t>
      </w:r>
      <w:r w:rsidR="007F0ADD">
        <w:rPr>
          <w:rFonts w:ascii="Times New Roman" w:hAnsi="Times New Roman" w:cs="Times New Roman"/>
          <w:lang w:val="en-GB"/>
        </w:rPr>
        <w:t>—</w:t>
      </w:r>
      <w:r w:rsidRPr="00B84FFD">
        <w:rPr>
          <w:rFonts w:ascii="Times New Roman" w:hAnsi="Times New Roman" w:cs="Times New Roman"/>
          <w:lang w:val="en-GB"/>
        </w:rPr>
        <w:t xml:space="preserve">because high COVID-19 mortality affected almost all countries. </w:t>
      </w:r>
      <w:r w:rsidR="00CD0FD5">
        <w:rPr>
          <w:rFonts w:ascii="Times New Roman" w:hAnsi="Times New Roman" w:cs="Times New Roman"/>
          <w:lang w:val="en-GB"/>
        </w:rPr>
        <w:t>In addition, by 2022, COVID-19 mortality recovered in many countries</w:t>
      </w:r>
      <w:r w:rsidR="005004CB">
        <w:rPr>
          <w:rFonts w:ascii="Times New Roman" w:hAnsi="Times New Roman" w:cs="Times New Roman"/>
          <w:lang w:val="en-GB"/>
        </w:rPr>
        <w:t>, weakening its importance for life expectancy stagnation and divergence in the long term.</w:t>
      </w:r>
      <w:r w:rsidR="00CD0FD5">
        <w:rPr>
          <w:rFonts w:ascii="Times New Roman" w:hAnsi="Times New Roman" w:cs="Times New Roman"/>
          <w:lang w:val="en-GB"/>
        </w:rPr>
        <w:t xml:space="preserve"> </w:t>
      </w:r>
      <w:r w:rsidR="005004CB">
        <w:rPr>
          <w:rFonts w:ascii="Times New Roman" w:hAnsi="Times New Roman" w:cs="Times New Roman"/>
          <w:lang w:val="en-GB"/>
        </w:rPr>
        <w:t xml:space="preserve">Despite these recoveries, </w:t>
      </w:r>
      <w:r w:rsidR="00FC31A2">
        <w:rPr>
          <w:rFonts w:ascii="Times New Roman" w:hAnsi="Times New Roman" w:cs="Times New Roman"/>
          <w:lang w:val="en-GB"/>
        </w:rPr>
        <w:t xml:space="preserve">the remaining large contributions of COVID-19 mortality to life expectancy stagnation and divergence by the third pandemic year are </w:t>
      </w:r>
      <w:r w:rsidR="005004CB">
        <w:rPr>
          <w:rFonts w:ascii="Times New Roman" w:hAnsi="Times New Roman" w:cs="Times New Roman"/>
          <w:lang w:val="en-GB"/>
        </w:rPr>
        <w:t>striking</w:t>
      </w:r>
      <w:r w:rsidR="00FC31A2">
        <w:rPr>
          <w:rFonts w:ascii="Times New Roman" w:hAnsi="Times New Roman" w:cs="Times New Roman"/>
          <w:lang w:val="en-GB"/>
        </w:rPr>
        <w:t>.</w:t>
      </w:r>
      <w:r w:rsidR="006F6FD4">
        <w:rPr>
          <w:rFonts w:ascii="Times New Roman" w:hAnsi="Times New Roman" w:cs="Times New Roman"/>
          <w:lang w:val="en-GB"/>
        </w:rPr>
        <w:t xml:space="preserve"> </w:t>
      </w:r>
      <w:r w:rsidRPr="00B84FFD">
        <w:rPr>
          <w:rFonts w:ascii="Times New Roman" w:hAnsi="Times New Roman" w:cs="Times New Roman"/>
          <w:lang w:val="en-GB"/>
        </w:rPr>
        <w:t xml:space="preserve">Although the data used in this analysis are subject to potential misclassification of COVID-19 </w:t>
      </w:r>
      <w:r w:rsidR="00990718">
        <w:rPr>
          <w:rFonts w:ascii="Times New Roman" w:hAnsi="Times New Roman" w:cs="Times New Roman"/>
          <w:lang w:val="en-GB"/>
        </w:rPr>
        <w:t>mortality as CVD deaths</w:t>
      </w:r>
      <w:r w:rsidRPr="00B84FFD">
        <w:rPr>
          <w:rFonts w:ascii="Times New Roman" w:hAnsi="Times New Roman" w:cs="Times New Roman"/>
          <w:lang w:val="en-GB"/>
        </w:rPr>
        <w:t>, and although the dynamics in the causes of death considered in this analysis may have common underlying drivers, such as the introduction of non-pharmaceutical interventions</w:t>
      </w:r>
      <w:r w:rsidR="0092490B">
        <w:rPr>
          <w:rFonts w:ascii="Times New Roman" w:hAnsi="Times New Roman" w:cs="Times New Roman"/>
          <w:lang w:val="en-GB"/>
        </w:rPr>
        <w:t xml:space="preserve"> to prevent the spread of SARS-CoV-2</w:t>
      </w:r>
      <w:r w:rsidRPr="00B84FFD">
        <w:rPr>
          <w:rFonts w:ascii="Times New Roman" w:hAnsi="Times New Roman" w:cs="Times New Roman"/>
          <w:lang w:val="en-GB"/>
        </w:rPr>
        <w:t xml:space="preserve">, this </w:t>
      </w:r>
      <w:r w:rsidR="003E17BA">
        <w:rPr>
          <w:rFonts w:ascii="Times New Roman" w:hAnsi="Times New Roman" w:cs="Times New Roman"/>
          <w:lang w:val="en-GB"/>
        </w:rPr>
        <w:t>A</w:t>
      </w:r>
      <w:r w:rsidRPr="00B84FFD">
        <w:rPr>
          <w:rFonts w:ascii="Times New Roman" w:hAnsi="Times New Roman" w:cs="Times New Roman"/>
          <w:lang w:val="en-GB"/>
        </w:rPr>
        <w:t xml:space="preserve">ddendum highlights the importance of a cause-specific analysis of life expectancy stagnation </w:t>
      </w:r>
      <w:r w:rsidRPr="004B24A6">
        <w:rPr>
          <w:rFonts w:ascii="Times New Roman" w:hAnsi="Times New Roman" w:cs="Times New Roman"/>
          <w:i/>
          <w:lang w:val="en-GB"/>
        </w:rPr>
        <w:t>and</w:t>
      </w:r>
      <w:r w:rsidRPr="00B84FFD">
        <w:rPr>
          <w:rFonts w:ascii="Times New Roman" w:hAnsi="Times New Roman" w:cs="Times New Roman"/>
          <w:lang w:val="en-GB"/>
        </w:rPr>
        <w:t xml:space="preserve"> divergence to avoid a narrow focus on SARS-CoV-2 mortality as an explanation for </w:t>
      </w:r>
      <w:r w:rsidR="007F0ADD">
        <w:rPr>
          <w:rFonts w:ascii="Times New Roman" w:hAnsi="Times New Roman" w:cs="Times New Roman"/>
          <w:lang w:val="en-GB"/>
        </w:rPr>
        <w:t xml:space="preserve">all </w:t>
      </w:r>
      <w:r w:rsidRPr="00B84FFD">
        <w:rPr>
          <w:rFonts w:ascii="Times New Roman" w:hAnsi="Times New Roman" w:cs="Times New Roman"/>
          <w:lang w:val="en-GB"/>
        </w:rPr>
        <w:t>life expectancy dynamics during the COVID-19 pandemic.</w:t>
      </w:r>
    </w:p>
    <w:p w14:paraId="2D11AA5D" w14:textId="62158120" w:rsidR="001942CF" w:rsidRDefault="001942CF">
      <w:pPr>
        <w:rPr>
          <w:rFonts w:ascii="Times New Roman" w:hAnsi="Times New Roman" w:cs="Times New Roman"/>
          <w:b/>
          <w:lang w:val="en-GB"/>
        </w:rPr>
      </w:pPr>
    </w:p>
    <w:p w14:paraId="1698C32D" w14:textId="77777777" w:rsidR="005176EF" w:rsidRDefault="005176EF">
      <w:pPr>
        <w:rPr>
          <w:rFonts w:ascii="Times New Roman" w:hAnsi="Times New Roman" w:cs="Times New Roman"/>
          <w:b/>
          <w:lang w:val="en-GB"/>
        </w:rPr>
      </w:pPr>
      <w:r>
        <w:rPr>
          <w:rFonts w:ascii="Times New Roman" w:hAnsi="Times New Roman" w:cs="Times New Roman"/>
          <w:b/>
          <w:lang w:val="en-GB"/>
        </w:rPr>
        <w:br w:type="page"/>
      </w:r>
    </w:p>
    <w:p w14:paraId="375F48D5" w14:textId="184E8032" w:rsidR="00D71788" w:rsidRDefault="00325777" w:rsidP="00733774">
      <w:pPr>
        <w:spacing w:after="0" w:line="480" w:lineRule="auto"/>
        <w:jc w:val="both"/>
        <w:rPr>
          <w:rFonts w:ascii="Times New Roman" w:hAnsi="Times New Roman" w:cs="Times New Roman"/>
          <w:b/>
          <w:lang w:val="en-GB"/>
        </w:rPr>
      </w:pPr>
      <w:r>
        <w:rPr>
          <w:rFonts w:ascii="Times New Roman" w:hAnsi="Times New Roman" w:cs="Times New Roman"/>
          <w:b/>
          <w:lang w:val="en-GB"/>
        </w:rPr>
        <w:lastRenderedPageBreak/>
        <w:t>3</w:t>
      </w:r>
      <w:r w:rsidR="005176EF">
        <w:rPr>
          <w:rFonts w:ascii="Times New Roman" w:hAnsi="Times New Roman" w:cs="Times New Roman"/>
          <w:b/>
          <w:lang w:val="en-GB"/>
        </w:rPr>
        <w:t>-add</w:t>
      </w:r>
      <w:r>
        <w:rPr>
          <w:rFonts w:ascii="Times New Roman" w:hAnsi="Times New Roman" w:cs="Times New Roman"/>
          <w:b/>
          <w:lang w:val="en-GB"/>
        </w:rPr>
        <w:t xml:space="preserve">.4. </w:t>
      </w:r>
      <w:r w:rsidR="00FE2DCD">
        <w:rPr>
          <w:rFonts w:ascii="Times New Roman" w:hAnsi="Times New Roman" w:cs="Times New Roman"/>
          <w:b/>
          <w:lang w:val="en-GB"/>
        </w:rPr>
        <w:t>Supplementary Information</w:t>
      </w:r>
    </w:p>
    <w:p w14:paraId="3580E6B5" w14:textId="0CBBB655" w:rsidR="00FE2DCD" w:rsidRPr="00FE2DCD" w:rsidRDefault="00325777" w:rsidP="00733774">
      <w:pPr>
        <w:spacing w:after="0" w:line="480" w:lineRule="auto"/>
        <w:jc w:val="both"/>
        <w:rPr>
          <w:rFonts w:ascii="Times New Roman" w:hAnsi="Times New Roman" w:cs="Times New Roman"/>
          <w:i/>
          <w:lang w:val="en-GB"/>
        </w:rPr>
      </w:pPr>
      <w:r w:rsidRPr="005176EF">
        <w:rPr>
          <w:rFonts w:ascii="Times New Roman" w:hAnsi="Times New Roman" w:cs="Times New Roman"/>
          <w:i/>
          <w:lang w:val="en-GB"/>
        </w:rPr>
        <w:t>3</w:t>
      </w:r>
      <w:r w:rsidR="005176EF" w:rsidRPr="005176EF">
        <w:rPr>
          <w:rFonts w:ascii="Times New Roman" w:hAnsi="Times New Roman" w:cs="Times New Roman"/>
          <w:i/>
          <w:lang w:val="en-GB"/>
        </w:rPr>
        <w:t>-add</w:t>
      </w:r>
      <w:r w:rsidRPr="005176EF">
        <w:rPr>
          <w:rFonts w:ascii="Times New Roman" w:hAnsi="Times New Roman" w:cs="Times New Roman"/>
          <w:i/>
          <w:lang w:val="en-GB"/>
        </w:rPr>
        <w:t>.4.1.</w:t>
      </w:r>
      <w:r>
        <w:rPr>
          <w:rFonts w:ascii="Times New Roman" w:hAnsi="Times New Roman" w:cs="Times New Roman"/>
          <w:i/>
          <w:lang w:val="en-GB"/>
        </w:rPr>
        <w:t xml:space="preserve"> </w:t>
      </w:r>
      <w:r w:rsidR="00FE2DCD" w:rsidRPr="00FE2DCD">
        <w:rPr>
          <w:rFonts w:ascii="Times New Roman" w:hAnsi="Times New Roman" w:cs="Times New Roman"/>
          <w:i/>
          <w:lang w:val="en-GB"/>
        </w:rPr>
        <w:t>Figures</w:t>
      </w:r>
    </w:p>
    <w:p w14:paraId="61B0111C" w14:textId="6CEF830E" w:rsidR="005D13A3" w:rsidRDefault="00F847F9" w:rsidP="00733774">
      <w:pPr>
        <w:spacing w:after="0" w:line="480" w:lineRule="auto"/>
        <w:jc w:val="both"/>
        <w:rPr>
          <w:rFonts w:ascii="Times New Roman" w:hAnsi="Times New Roman" w:cs="Times New Roman"/>
          <w:b/>
          <w:lang w:val="en-GB"/>
        </w:rPr>
      </w:pPr>
      <w:r w:rsidRPr="00F847F9">
        <w:rPr>
          <w:rFonts w:ascii="Times New Roman" w:hAnsi="Times New Roman" w:cs="Times New Roman"/>
          <w:b/>
          <w:noProof/>
          <w:lang w:val="en-GB"/>
        </w:rPr>
        <w:drawing>
          <wp:inline distT="0" distB="0" distL="0" distR="0" wp14:anchorId="3B838FC5" wp14:editId="17A4332C">
            <wp:extent cx="5731510" cy="2456180"/>
            <wp:effectExtent l="0" t="0" r="2540" b="1270"/>
            <wp:docPr id="194465014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650148" name=""/>
                    <pic:cNvPicPr/>
                  </pic:nvPicPr>
                  <pic:blipFill>
                    <a:blip r:embed="rId10">
                      <a:extLst>
                        <a:ext uri="{96DAC541-7B7A-43D3-8B79-37D633B846F1}">
                          <asvg:svgBlip xmlns:asvg="http://schemas.microsoft.com/office/drawing/2016/SVG/main" r:embed="rId11"/>
                        </a:ext>
                      </a:extLst>
                    </a:blip>
                    <a:stretch>
                      <a:fillRect/>
                    </a:stretch>
                  </pic:blipFill>
                  <pic:spPr>
                    <a:xfrm>
                      <a:off x="0" y="0"/>
                      <a:ext cx="5731510" cy="2456180"/>
                    </a:xfrm>
                    <a:prstGeom prst="rect">
                      <a:avLst/>
                    </a:prstGeom>
                  </pic:spPr>
                </pic:pic>
              </a:graphicData>
            </a:graphic>
          </wp:inline>
        </w:drawing>
      </w:r>
    </w:p>
    <w:p w14:paraId="2429DCCA" w14:textId="6F554A32" w:rsidR="001942CF" w:rsidRPr="001942CF" w:rsidRDefault="001942CF" w:rsidP="00FE2DCD">
      <w:pPr>
        <w:spacing w:after="0" w:line="240" w:lineRule="auto"/>
        <w:jc w:val="both"/>
        <w:rPr>
          <w:rFonts w:ascii="Times New Roman" w:hAnsi="Times New Roman" w:cs="Times New Roman"/>
          <w:lang w:val="en-GB"/>
        </w:rPr>
      </w:pPr>
      <w:r w:rsidRPr="00D71788">
        <w:rPr>
          <w:rFonts w:ascii="Times New Roman" w:hAnsi="Times New Roman" w:cs="Times New Roman"/>
          <w:b/>
          <w:lang w:val="en-GB"/>
        </w:rPr>
        <w:t>Figure 3-add-</w:t>
      </w:r>
      <w:r w:rsidR="00FE2DCD">
        <w:rPr>
          <w:rFonts w:ascii="Times New Roman" w:hAnsi="Times New Roman" w:cs="Times New Roman"/>
          <w:b/>
          <w:lang w:val="en-GB"/>
        </w:rPr>
        <w:t>S</w:t>
      </w:r>
      <w:r w:rsidRPr="00D71788">
        <w:rPr>
          <w:rFonts w:ascii="Times New Roman" w:hAnsi="Times New Roman" w:cs="Times New Roman"/>
          <w:b/>
          <w:lang w:val="en-GB"/>
        </w:rPr>
        <w:t>1.</w:t>
      </w:r>
      <w:r w:rsidR="00E432EA">
        <w:rPr>
          <w:rFonts w:ascii="Times New Roman" w:hAnsi="Times New Roman" w:cs="Times New Roman"/>
          <w:b/>
          <w:lang w:val="en-GB"/>
        </w:rPr>
        <w:t xml:space="preserve"> </w:t>
      </w:r>
      <w:r w:rsidR="00E432EA" w:rsidRPr="000D7A24">
        <w:rPr>
          <w:rFonts w:ascii="Times New Roman" w:hAnsi="Times New Roman" w:cs="Times New Roman"/>
          <w:lang w:val="en-GB"/>
        </w:rPr>
        <w:t>Contribution of seven causes of death to life expectancy change in 2015–2019 and 2019–2022 in England and Wales, Sweden, and the USA.</w:t>
      </w:r>
      <w:r w:rsidR="00E432EA">
        <w:rPr>
          <w:rFonts w:ascii="Times New Roman" w:hAnsi="Times New Roman" w:cs="Times New Roman"/>
          <w:b/>
          <w:lang w:val="en-GB"/>
        </w:rPr>
        <w:t xml:space="preserve"> </w:t>
      </w:r>
      <w:r w:rsidRPr="001942CF">
        <w:rPr>
          <w:rFonts w:ascii="Times New Roman" w:hAnsi="Times New Roman" w:cs="Times New Roman"/>
          <w:i/>
          <w:lang w:val="en-GB"/>
        </w:rPr>
        <w:t>Source</w:t>
      </w:r>
      <w:r>
        <w:rPr>
          <w:rFonts w:ascii="Times New Roman" w:hAnsi="Times New Roman" w:cs="Times New Roman"/>
          <w:i/>
          <w:lang w:val="en-GB"/>
        </w:rPr>
        <w:t xml:space="preserve">: </w:t>
      </w:r>
      <w:r w:rsidR="00661506">
        <w:rPr>
          <w:rFonts w:ascii="Times New Roman" w:hAnsi="Times New Roman" w:cs="Times New Roman"/>
          <w:lang w:val="en-GB"/>
        </w:rPr>
        <w:t>s</w:t>
      </w:r>
      <w:r>
        <w:rPr>
          <w:rFonts w:ascii="Times New Roman" w:hAnsi="Times New Roman" w:cs="Times New Roman"/>
          <w:lang w:val="en-GB"/>
        </w:rPr>
        <w:t>ee Chapter 3.</w:t>
      </w:r>
    </w:p>
    <w:p w14:paraId="68C68D5B" w14:textId="77777777" w:rsidR="001942CF" w:rsidRDefault="001942CF" w:rsidP="00147E41">
      <w:pPr>
        <w:spacing w:after="0" w:line="480" w:lineRule="auto"/>
        <w:jc w:val="both"/>
        <w:rPr>
          <w:rFonts w:ascii="Times New Roman" w:hAnsi="Times New Roman" w:cs="Times New Roman"/>
          <w:b/>
          <w:lang w:val="en-GB"/>
        </w:rPr>
      </w:pPr>
    </w:p>
    <w:p w14:paraId="35E561FC" w14:textId="77777777" w:rsidR="00325777" w:rsidRDefault="00325777">
      <w:pPr>
        <w:rPr>
          <w:rFonts w:ascii="Times New Roman" w:hAnsi="Times New Roman" w:cs="Times New Roman"/>
          <w:i/>
          <w:lang w:val="en-GB"/>
        </w:rPr>
      </w:pPr>
      <w:r>
        <w:rPr>
          <w:rFonts w:ascii="Times New Roman" w:hAnsi="Times New Roman" w:cs="Times New Roman"/>
          <w:i/>
          <w:lang w:val="en-GB"/>
        </w:rPr>
        <w:br w:type="page"/>
      </w:r>
    </w:p>
    <w:p w14:paraId="48DC1774" w14:textId="77FE0DCD" w:rsidR="00835266" w:rsidRPr="00FE2DCD" w:rsidRDefault="00325777">
      <w:pPr>
        <w:rPr>
          <w:rFonts w:ascii="Times New Roman" w:hAnsi="Times New Roman" w:cs="Times New Roman"/>
          <w:i/>
          <w:lang w:val="en-GB"/>
        </w:rPr>
      </w:pPr>
      <w:r>
        <w:rPr>
          <w:rFonts w:ascii="Times New Roman" w:hAnsi="Times New Roman" w:cs="Times New Roman"/>
          <w:i/>
          <w:lang w:val="en-GB"/>
        </w:rPr>
        <w:lastRenderedPageBreak/>
        <w:t>3</w:t>
      </w:r>
      <w:r w:rsidR="005176EF">
        <w:rPr>
          <w:rFonts w:ascii="Times New Roman" w:hAnsi="Times New Roman" w:cs="Times New Roman"/>
          <w:i/>
          <w:lang w:val="en-GB"/>
        </w:rPr>
        <w:t>-add</w:t>
      </w:r>
      <w:r>
        <w:rPr>
          <w:rFonts w:ascii="Times New Roman" w:hAnsi="Times New Roman" w:cs="Times New Roman"/>
          <w:i/>
          <w:lang w:val="en-GB"/>
        </w:rPr>
        <w:t xml:space="preserve">.4.2. </w:t>
      </w:r>
      <w:r w:rsidR="00FE2DCD" w:rsidRPr="00FE2DCD">
        <w:rPr>
          <w:rFonts w:ascii="Times New Roman" w:hAnsi="Times New Roman" w:cs="Times New Roman"/>
          <w:i/>
          <w:lang w:val="en-GB"/>
        </w:rPr>
        <w:t>Tables</w:t>
      </w:r>
    </w:p>
    <w:p w14:paraId="3C0B5423" w14:textId="4B88B567" w:rsidR="00147E41" w:rsidRPr="00D71788" w:rsidRDefault="00147E41" w:rsidP="00FE2DCD">
      <w:pPr>
        <w:spacing w:after="0" w:line="240" w:lineRule="auto"/>
        <w:jc w:val="both"/>
        <w:rPr>
          <w:rFonts w:ascii="Times New Roman" w:hAnsi="Times New Roman" w:cs="Times New Roman"/>
          <w:b/>
          <w:lang w:val="en-GB"/>
        </w:rPr>
      </w:pPr>
      <w:r>
        <w:rPr>
          <w:rFonts w:ascii="Times New Roman" w:hAnsi="Times New Roman" w:cs="Times New Roman"/>
          <w:b/>
          <w:lang w:val="en-GB"/>
        </w:rPr>
        <w:t>Table</w:t>
      </w:r>
      <w:r w:rsidRPr="00D71788">
        <w:rPr>
          <w:rFonts w:ascii="Times New Roman" w:hAnsi="Times New Roman" w:cs="Times New Roman"/>
          <w:b/>
          <w:lang w:val="en-GB"/>
        </w:rPr>
        <w:t xml:space="preserve"> 3-add-</w:t>
      </w:r>
      <w:r w:rsidR="00FE2DCD">
        <w:rPr>
          <w:rFonts w:ascii="Times New Roman" w:hAnsi="Times New Roman" w:cs="Times New Roman"/>
          <w:b/>
          <w:lang w:val="en-GB"/>
        </w:rPr>
        <w:t>S</w:t>
      </w:r>
      <w:r w:rsidRPr="00D71788">
        <w:rPr>
          <w:rFonts w:ascii="Times New Roman" w:hAnsi="Times New Roman" w:cs="Times New Roman"/>
          <w:b/>
          <w:lang w:val="en-GB"/>
        </w:rPr>
        <w:t>1.</w:t>
      </w:r>
      <w:r w:rsidR="005F5EDE" w:rsidRPr="005F5EDE">
        <w:rPr>
          <w:rFonts w:ascii="Times New Roman" w:hAnsi="Times New Roman" w:cs="Times New Roman"/>
          <w:b/>
          <w:lang w:val="en-GB"/>
        </w:rPr>
        <w:t xml:space="preserve"> </w:t>
      </w:r>
      <w:r w:rsidR="005F5EDE" w:rsidRPr="000D7A24">
        <w:rPr>
          <w:rFonts w:ascii="Times New Roman" w:hAnsi="Times New Roman" w:cs="Times New Roman"/>
          <w:lang w:val="en-GB"/>
        </w:rPr>
        <w:t>Contribution of seven causes of death to life expectancy stagnation in England and Wales and the USA in 2019–2022.</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60"/>
        <w:gridCol w:w="837"/>
        <w:gridCol w:w="635"/>
        <w:gridCol w:w="924"/>
        <w:gridCol w:w="649"/>
        <w:gridCol w:w="881"/>
        <w:gridCol w:w="1205"/>
        <w:gridCol w:w="1106"/>
        <w:gridCol w:w="1055"/>
      </w:tblGrid>
      <w:tr w:rsidR="00B50A59" w:rsidRPr="00B50A59" w14:paraId="408D22DC" w14:textId="77777777" w:rsidTr="00F4206D">
        <w:trPr>
          <w:tblHeader/>
          <w:tblCellSpacing w:w="15" w:type="dxa"/>
        </w:trPr>
        <w:tc>
          <w:tcPr>
            <w:tcW w:w="0" w:type="auto"/>
            <w:vAlign w:val="center"/>
            <w:hideMark/>
          </w:tcPr>
          <w:p w14:paraId="40302D43" w14:textId="77777777" w:rsidR="003114A5" w:rsidRPr="00B50A59" w:rsidRDefault="003114A5" w:rsidP="00FE2DCD">
            <w:pPr>
              <w:spacing w:line="240" w:lineRule="auto"/>
              <w:jc w:val="center"/>
              <w:rPr>
                <w:rFonts w:ascii="Times New Roman" w:eastAsia="Times New Roman" w:hAnsi="Times New Roman" w:cs="Times New Roman"/>
                <w:b/>
                <w:bCs/>
                <w:color w:val="000000"/>
                <w:sz w:val="20"/>
                <w:szCs w:val="20"/>
              </w:rPr>
            </w:pPr>
            <w:r w:rsidRPr="00B50A59">
              <w:rPr>
                <w:rFonts w:ascii="Times New Roman" w:eastAsia="Times New Roman" w:hAnsi="Times New Roman" w:cs="Times New Roman"/>
                <w:b/>
                <w:bCs/>
                <w:color w:val="000000"/>
                <w:sz w:val="20"/>
                <w:szCs w:val="20"/>
              </w:rPr>
              <w:t>Country</w:t>
            </w:r>
          </w:p>
        </w:tc>
        <w:tc>
          <w:tcPr>
            <w:tcW w:w="0" w:type="auto"/>
            <w:vAlign w:val="center"/>
            <w:hideMark/>
          </w:tcPr>
          <w:p w14:paraId="1345475F" w14:textId="77777777" w:rsidR="003114A5" w:rsidRPr="00B50A59" w:rsidRDefault="003114A5" w:rsidP="00FE2DCD">
            <w:pPr>
              <w:spacing w:line="240" w:lineRule="auto"/>
              <w:jc w:val="center"/>
              <w:rPr>
                <w:rFonts w:ascii="Times New Roman" w:eastAsia="Times New Roman" w:hAnsi="Times New Roman" w:cs="Times New Roman"/>
                <w:b/>
                <w:bCs/>
                <w:color w:val="000000"/>
                <w:sz w:val="20"/>
                <w:szCs w:val="20"/>
              </w:rPr>
            </w:pPr>
            <w:r w:rsidRPr="00B50A59">
              <w:rPr>
                <w:rFonts w:ascii="Times New Roman" w:eastAsia="Times New Roman" w:hAnsi="Times New Roman" w:cs="Times New Roman"/>
                <w:b/>
                <w:bCs/>
                <w:color w:val="000000"/>
                <w:sz w:val="20"/>
                <w:szCs w:val="20"/>
              </w:rPr>
              <w:t>Sex</w:t>
            </w:r>
          </w:p>
        </w:tc>
        <w:tc>
          <w:tcPr>
            <w:tcW w:w="0" w:type="auto"/>
            <w:vAlign w:val="center"/>
            <w:hideMark/>
          </w:tcPr>
          <w:p w14:paraId="63CFCDCB" w14:textId="77777777" w:rsidR="003114A5" w:rsidRPr="00B50A59" w:rsidRDefault="003114A5" w:rsidP="00FE2DCD">
            <w:pPr>
              <w:spacing w:line="240" w:lineRule="auto"/>
              <w:jc w:val="center"/>
              <w:rPr>
                <w:rFonts w:ascii="Times New Roman" w:eastAsia="Times New Roman" w:hAnsi="Times New Roman" w:cs="Times New Roman"/>
                <w:b/>
                <w:bCs/>
                <w:color w:val="000000"/>
                <w:sz w:val="20"/>
                <w:szCs w:val="20"/>
              </w:rPr>
            </w:pPr>
            <w:r w:rsidRPr="00B50A59">
              <w:rPr>
                <w:rFonts w:ascii="Times New Roman" w:eastAsia="Times New Roman" w:hAnsi="Times New Roman" w:cs="Times New Roman"/>
                <w:b/>
                <w:bCs/>
                <w:color w:val="000000"/>
                <w:sz w:val="20"/>
                <w:szCs w:val="20"/>
              </w:rPr>
              <w:t>CVD</w:t>
            </w:r>
          </w:p>
        </w:tc>
        <w:tc>
          <w:tcPr>
            <w:tcW w:w="0" w:type="auto"/>
            <w:vAlign w:val="center"/>
            <w:hideMark/>
          </w:tcPr>
          <w:p w14:paraId="3616CD1F" w14:textId="77777777" w:rsidR="003114A5" w:rsidRPr="00B50A59" w:rsidRDefault="003114A5" w:rsidP="00FE2DCD">
            <w:pPr>
              <w:spacing w:line="240" w:lineRule="auto"/>
              <w:jc w:val="center"/>
              <w:rPr>
                <w:rFonts w:ascii="Times New Roman" w:eastAsia="Times New Roman" w:hAnsi="Times New Roman" w:cs="Times New Roman"/>
                <w:b/>
                <w:bCs/>
                <w:color w:val="000000"/>
                <w:sz w:val="20"/>
                <w:szCs w:val="20"/>
              </w:rPr>
            </w:pPr>
            <w:r w:rsidRPr="00B50A59">
              <w:rPr>
                <w:rFonts w:ascii="Times New Roman" w:eastAsia="Times New Roman" w:hAnsi="Times New Roman" w:cs="Times New Roman"/>
                <w:b/>
                <w:bCs/>
                <w:color w:val="000000"/>
                <w:sz w:val="20"/>
                <w:szCs w:val="20"/>
              </w:rPr>
              <w:t>Alcohol</w:t>
            </w:r>
          </w:p>
        </w:tc>
        <w:tc>
          <w:tcPr>
            <w:tcW w:w="0" w:type="auto"/>
            <w:vAlign w:val="center"/>
            <w:hideMark/>
          </w:tcPr>
          <w:p w14:paraId="23C7F914" w14:textId="77777777" w:rsidR="003114A5" w:rsidRPr="00B50A59" w:rsidRDefault="003114A5" w:rsidP="00FE2DCD">
            <w:pPr>
              <w:spacing w:line="240" w:lineRule="auto"/>
              <w:jc w:val="center"/>
              <w:rPr>
                <w:rFonts w:ascii="Times New Roman" w:eastAsia="Times New Roman" w:hAnsi="Times New Roman" w:cs="Times New Roman"/>
                <w:b/>
                <w:bCs/>
                <w:color w:val="000000"/>
                <w:sz w:val="20"/>
                <w:szCs w:val="20"/>
              </w:rPr>
            </w:pPr>
            <w:r w:rsidRPr="00B50A59">
              <w:rPr>
                <w:rFonts w:ascii="Times New Roman" w:eastAsia="Times New Roman" w:hAnsi="Times New Roman" w:cs="Times New Roman"/>
                <w:b/>
                <w:bCs/>
                <w:color w:val="000000"/>
                <w:sz w:val="20"/>
                <w:szCs w:val="20"/>
              </w:rPr>
              <w:t>Drug</w:t>
            </w:r>
          </w:p>
        </w:tc>
        <w:tc>
          <w:tcPr>
            <w:tcW w:w="0" w:type="auto"/>
            <w:vAlign w:val="center"/>
            <w:hideMark/>
          </w:tcPr>
          <w:p w14:paraId="49AB2D70" w14:textId="77777777" w:rsidR="003114A5" w:rsidRPr="00B50A59" w:rsidRDefault="003114A5" w:rsidP="00FE2DCD">
            <w:pPr>
              <w:spacing w:line="240" w:lineRule="auto"/>
              <w:jc w:val="center"/>
              <w:rPr>
                <w:rFonts w:ascii="Times New Roman" w:eastAsia="Times New Roman" w:hAnsi="Times New Roman" w:cs="Times New Roman"/>
                <w:b/>
                <w:bCs/>
                <w:color w:val="000000"/>
                <w:sz w:val="20"/>
                <w:szCs w:val="20"/>
              </w:rPr>
            </w:pPr>
            <w:r w:rsidRPr="00B50A59">
              <w:rPr>
                <w:rFonts w:ascii="Times New Roman" w:eastAsia="Times New Roman" w:hAnsi="Times New Roman" w:cs="Times New Roman"/>
                <w:b/>
                <w:bCs/>
                <w:color w:val="000000"/>
                <w:sz w:val="20"/>
                <w:szCs w:val="20"/>
              </w:rPr>
              <w:t>Suicide</w:t>
            </w:r>
          </w:p>
        </w:tc>
        <w:tc>
          <w:tcPr>
            <w:tcW w:w="0" w:type="auto"/>
            <w:vAlign w:val="center"/>
            <w:hideMark/>
          </w:tcPr>
          <w:p w14:paraId="46FAEBDE" w14:textId="77777777" w:rsidR="003114A5" w:rsidRPr="00B50A59" w:rsidRDefault="003114A5" w:rsidP="00FE2DCD">
            <w:pPr>
              <w:spacing w:line="240" w:lineRule="auto"/>
              <w:jc w:val="center"/>
              <w:rPr>
                <w:rFonts w:ascii="Times New Roman" w:eastAsia="Times New Roman" w:hAnsi="Times New Roman" w:cs="Times New Roman"/>
                <w:b/>
                <w:bCs/>
                <w:color w:val="000000"/>
                <w:sz w:val="20"/>
                <w:szCs w:val="20"/>
              </w:rPr>
            </w:pPr>
            <w:r w:rsidRPr="00B50A59">
              <w:rPr>
                <w:rFonts w:ascii="Times New Roman" w:eastAsia="Times New Roman" w:hAnsi="Times New Roman" w:cs="Times New Roman"/>
                <w:b/>
                <w:bCs/>
                <w:color w:val="000000"/>
                <w:sz w:val="20"/>
                <w:szCs w:val="20"/>
              </w:rPr>
              <w:t>Other external</w:t>
            </w:r>
          </w:p>
        </w:tc>
        <w:tc>
          <w:tcPr>
            <w:tcW w:w="0" w:type="auto"/>
            <w:vAlign w:val="center"/>
            <w:hideMark/>
          </w:tcPr>
          <w:p w14:paraId="233776BF" w14:textId="77777777" w:rsidR="003114A5" w:rsidRPr="00B50A59" w:rsidRDefault="003114A5" w:rsidP="00FE2DCD">
            <w:pPr>
              <w:spacing w:line="240" w:lineRule="auto"/>
              <w:jc w:val="center"/>
              <w:rPr>
                <w:rFonts w:ascii="Times New Roman" w:eastAsia="Times New Roman" w:hAnsi="Times New Roman" w:cs="Times New Roman"/>
                <w:b/>
                <w:bCs/>
                <w:color w:val="000000"/>
                <w:sz w:val="20"/>
                <w:szCs w:val="20"/>
              </w:rPr>
            </w:pPr>
            <w:r w:rsidRPr="00B50A59">
              <w:rPr>
                <w:rFonts w:ascii="Times New Roman" w:eastAsia="Times New Roman" w:hAnsi="Times New Roman" w:cs="Times New Roman"/>
                <w:b/>
                <w:bCs/>
                <w:color w:val="000000"/>
                <w:sz w:val="20"/>
                <w:szCs w:val="20"/>
              </w:rPr>
              <w:t>COVID-19</w:t>
            </w:r>
          </w:p>
        </w:tc>
        <w:tc>
          <w:tcPr>
            <w:tcW w:w="0" w:type="auto"/>
            <w:vAlign w:val="center"/>
            <w:hideMark/>
          </w:tcPr>
          <w:p w14:paraId="21D341B9" w14:textId="77777777" w:rsidR="003114A5" w:rsidRPr="00B50A59" w:rsidRDefault="003114A5" w:rsidP="00FE2DCD">
            <w:pPr>
              <w:spacing w:line="240" w:lineRule="auto"/>
              <w:jc w:val="center"/>
              <w:rPr>
                <w:rFonts w:ascii="Times New Roman" w:eastAsia="Times New Roman" w:hAnsi="Times New Roman" w:cs="Times New Roman"/>
                <w:b/>
                <w:bCs/>
                <w:color w:val="000000"/>
                <w:sz w:val="20"/>
                <w:szCs w:val="20"/>
              </w:rPr>
            </w:pPr>
            <w:r w:rsidRPr="00B50A59">
              <w:rPr>
                <w:rFonts w:ascii="Times New Roman" w:eastAsia="Times New Roman" w:hAnsi="Times New Roman" w:cs="Times New Roman"/>
                <w:b/>
                <w:bCs/>
                <w:color w:val="000000"/>
                <w:sz w:val="20"/>
                <w:szCs w:val="20"/>
              </w:rPr>
              <w:t>Residual</w:t>
            </w:r>
          </w:p>
        </w:tc>
      </w:tr>
      <w:tr w:rsidR="00B50A59" w:rsidRPr="00B50A59" w14:paraId="4EDA2A4A" w14:textId="77777777" w:rsidTr="00F4206D">
        <w:trPr>
          <w:tblCellSpacing w:w="15" w:type="dxa"/>
        </w:trPr>
        <w:tc>
          <w:tcPr>
            <w:tcW w:w="0" w:type="auto"/>
            <w:tcBorders>
              <w:top w:val="single" w:sz="2" w:space="0" w:color="000000"/>
            </w:tcBorders>
            <w:vAlign w:val="center"/>
            <w:hideMark/>
          </w:tcPr>
          <w:p w14:paraId="017F24CC" w14:textId="77777777" w:rsidR="003114A5" w:rsidRPr="00B50A59" w:rsidRDefault="003114A5" w:rsidP="00FE2DCD">
            <w:pPr>
              <w:spacing w:line="240" w:lineRule="auto"/>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England and Wales</w:t>
            </w:r>
          </w:p>
        </w:tc>
        <w:tc>
          <w:tcPr>
            <w:tcW w:w="0" w:type="auto"/>
            <w:tcBorders>
              <w:top w:val="single" w:sz="2" w:space="0" w:color="000000"/>
            </w:tcBorders>
            <w:vAlign w:val="center"/>
            <w:hideMark/>
          </w:tcPr>
          <w:p w14:paraId="05B3558B" w14:textId="77777777" w:rsidR="003114A5" w:rsidRPr="00B50A59" w:rsidRDefault="003114A5" w:rsidP="00FE2DCD">
            <w:pPr>
              <w:spacing w:line="240" w:lineRule="auto"/>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Female</w:t>
            </w:r>
          </w:p>
        </w:tc>
        <w:tc>
          <w:tcPr>
            <w:tcW w:w="0" w:type="auto"/>
            <w:tcBorders>
              <w:top w:val="single" w:sz="2" w:space="0" w:color="000000"/>
            </w:tcBorders>
            <w:vAlign w:val="center"/>
            <w:hideMark/>
          </w:tcPr>
          <w:p w14:paraId="4BE56826" w14:textId="77777777" w:rsidR="003114A5" w:rsidRPr="00B50A59" w:rsidRDefault="003114A5"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−1.6</w:t>
            </w:r>
          </w:p>
        </w:tc>
        <w:tc>
          <w:tcPr>
            <w:tcW w:w="0" w:type="auto"/>
            <w:tcBorders>
              <w:top w:val="single" w:sz="2" w:space="0" w:color="000000"/>
            </w:tcBorders>
            <w:vAlign w:val="center"/>
            <w:hideMark/>
          </w:tcPr>
          <w:p w14:paraId="3AD9570D" w14:textId="77777777" w:rsidR="003114A5" w:rsidRPr="00B50A59" w:rsidRDefault="003114A5"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−0.2</w:t>
            </w:r>
          </w:p>
        </w:tc>
        <w:tc>
          <w:tcPr>
            <w:tcW w:w="0" w:type="auto"/>
            <w:tcBorders>
              <w:top w:val="single" w:sz="2" w:space="0" w:color="000000"/>
            </w:tcBorders>
            <w:vAlign w:val="center"/>
            <w:hideMark/>
          </w:tcPr>
          <w:p w14:paraId="3EED4EC3" w14:textId="77777777" w:rsidR="003114A5" w:rsidRPr="00B50A59" w:rsidRDefault="003114A5"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0.0</w:t>
            </w:r>
          </w:p>
        </w:tc>
        <w:tc>
          <w:tcPr>
            <w:tcW w:w="0" w:type="auto"/>
            <w:tcBorders>
              <w:top w:val="single" w:sz="2" w:space="0" w:color="000000"/>
            </w:tcBorders>
            <w:vAlign w:val="center"/>
            <w:hideMark/>
          </w:tcPr>
          <w:p w14:paraId="30F35BCB" w14:textId="77777777" w:rsidR="003114A5" w:rsidRPr="00B50A59" w:rsidRDefault="003114A5"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0.0</w:t>
            </w:r>
          </w:p>
        </w:tc>
        <w:tc>
          <w:tcPr>
            <w:tcW w:w="0" w:type="auto"/>
            <w:tcBorders>
              <w:top w:val="single" w:sz="2" w:space="0" w:color="000000"/>
            </w:tcBorders>
            <w:vAlign w:val="center"/>
            <w:hideMark/>
          </w:tcPr>
          <w:p w14:paraId="03154322" w14:textId="77777777" w:rsidR="003114A5" w:rsidRPr="00B50A59" w:rsidRDefault="003114A5"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0.0</w:t>
            </w:r>
          </w:p>
        </w:tc>
        <w:tc>
          <w:tcPr>
            <w:tcW w:w="0" w:type="auto"/>
            <w:tcBorders>
              <w:top w:val="single" w:sz="2" w:space="0" w:color="000000"/>
            </w:tcBorders>
            <w:vAlign w:val="center"/>
            <w:hideMark/>
          </w:tcPr>
          <w:p w14:paraId="61BD0E4C" w14:textId="77777777" w:rsidR="003114A5" w:rsidRPr="00B50A59" w:rsidRDefault="003114A5"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−1.5</w:t>
            </w:r>
          </w:p>
        </w:tc>
        <w:tc>
          <w:tcPr>
            <w:tcW w:w="0" w:type="auto"/>
            <w:tcBorders>
              <w:top w:val="single" w:sz="2" w:space="0" w:color="000000"/>
            </w:tcBorders>
            <w:vAlign w:val="center"/>
            <w:hideMark/>
          </w:tcPr>
          <w:p w14:paraId="2CDA5420" w14:textId="77777777" w:rsidR="003114A5" w:rsidRPr="00B50A59" w:rsidRDefault="003114A5"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−0.5</w:t>
            </w:r>
          </w:p>
        </w:tc>
      </w:tr>
      <w:tr w:rsidR="00B50A59" w:rsidRPr="00B50A59" w14:paraId="285714CA" w14:textId="77777777" w:rsidTr="00F4206D">
        <w:trPr>
          <w:tblCellSpacing w:w="15" w:type="dxa"/>
        </w:trPr>
        <w:tc>
          <w:tcPr>
            <w:tcW w:w="0" w:type="auto"/>
            <w:tcBorders>
              <w:bottom w:val="single" w:sz="2" w:space="0" w:color="000000"/>
            </w:tcBorders>
            <w:vAlign w:val="center"/>
            <w:hideMark/>
          </w:tcPr>
          <w:p w14:paraId="22952A7B" w14:textId="77777777" w:rsidR="003114A5" w:rsidRPr="00B50A59" w:rsidRDefault="003114A5" w:rsidP="00FE2DCD">
            <w:pPr>
              <w:spacing w:line="240" w:lineRule="auto"/>
              <w:rPr>
                <w:rFonts w:ascii="Times New Roman" w:eastAsia="Times New Roman" w:hAnsi="Times New Roman" w:cs="Times New Roman"/>
                <w:sz w:val="20"/>
                <w:szCs w:val="20"/>
              </w:rPr>
            </w:pPr>
          </w:p>
        </w:tc>
        <w:tc>
          <w:tcPr>
            <w:tcW w:w="0" w:type="auto"/>
            <w:tcBorders>
              <w:bottom w:val="single" w:sz="2" w:space="0" w:color="000000"/>
            </w:tcBorders>
            <w:vAlign w:val="center"/>
            <w:hideMark/>
          </w:tcPr>
          <w:p w14:paraId="4F8B831B" w14:textId="77777777" w:rsidR="003114A5" w:rsidRPr="00B50A59" w:rsidRDefault="003114A5" w:rsidP="00FE2DCD">
            <w:pPr>
              <w:spacing w:line="240" w:lineRule="auto"/>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Male</w:t>
            </w:r>
          </w:p>
        </w:tc>
        <w:tc>
          <w:tcPr>
            <w:tcW w:w="0" w:type="auto"/>
            <w:tcBorders>
              <w:bottom w:val="single" w:sz="2" w:space="0" w:color="000000"/>
            </w:tcBorders>
            <w:vAlign w:val="center"/>
            <w:hideMark/>
          </w:tcPr>
          <w:p w14:paraId="36317528" w14:textId="77777777" w:rsidR="003114A5" w:rsidRPr="00B50A59" w:rsidRDefault="003114A5"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−1.9</w:t>
            </w:r>
          </w:p>
        </w:tc>
        <w:tc>
          <w:tcPr>
            <w:tcW w:w="0" w:type="auto"/>
            <w:tcBorders>
              <w:bottom w:val="single" w:sz="2" w:space="0" w:color="000000"/>
            </w:tcBorders>
            <w:vAlign w:val="center"/>
            <w:hideMark/>
          </w:tcPr>
          <w:p w14:paraId="22684AE9" w14:textId="77777777" w:rsidR="003114A5" w:rsidRPr="00B50A59" w:rsidRDefault="003114A5"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−0.3</w:t>
            </w:r>
          </w:p>
        </w:tc>
        <w:tc>
          <w:tcPr>
            <w:tcW w:w="0" w:type="auto"/>
            <w:tcBorders>
              <w:bottom w:val="single" w:sz="2" w:space="0" w:color="000000"/>
            </w:tcBorders>
            <w:vAlign w:val="center"/>
            <w:hideMark/>
          </w:tcPr>
          <w:p w14:paraId="160E9C25" w14:textId="77777777" w:rsidR="003114A5" w:rsidRPr="00B50A59" w:rsidRDefault="003114A5"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0.0</w:t>
            </w:r>
          </w:p>
        </w:tc>
        <w:tc>
          <w:tcPr>
            <w:tcW w:w="0" w:type="auto"/>
            <w:tcBorders>
              <w:bottom w:val="single" w:sz="2" w:space="0" w:color="000000"/>
            </w:tcBorders>
            <w:vAlign w:val="center"/>
            <w:hideMark/>
          </w:tcPr>
          <w:p w14:paraId="49890691" w14:textId="77777777" w:rsidR="003114A5" w:rsidRPr="00B50A59" w:rsidRDefault="003114A5"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0.1</w:t>
            </w:r>
          </w:p>
        </w:tc>
        <w:tc>
          <w:tcPr>
            <w:tcW w:w="0" w:type="auto"/>
            <w:tcBorders>
              <w:bottom w:val="single" w:sz="2" w:space="0" w:color="000000"/>
            </w:tcBorders>
            <w:vAlign w:val="center"/>
            <w:hideMark/>
          </w:tcPr>
          <w:p w14:paraId="28CDBB53" w14:textId="77777777" w:rsidR="003114A5" w:rsidRPr="00B50A59" w:rsidRDefault="003114A5"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0.0</w:t>
            </w:r>
          </w:p>
        </w:tc>
        <w:tc>
          <w:tcPr>
            <w:tcW w:w="0" w:type="auto"/>
            <w:tcBorders>
              <w:bottom w:val="single" w:sz="2" w:space="0" w:color="000000"/>
            </w:tcBorders>
            <w:vAlign w:val="center"/>
            <w:hideMark/>
          </w:tcPr>
          <w:p w14:paraId="7798200A" w14:textId="77777777" w:rsidR="003114A5" w:rsidRPr="00B50A59" w:rsidRDefault="003114A5"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−1.7</w:t>
            </w:r>
          </w:p>
        </w:tc>
        <w:tc>
          <w:tcPr>
            <w:tcW w:w="0" w:type="auto"/>
            <w:tcBorders>
              <w:bottom w:val="single" w:sz="2" w:space="0" w:color="000000"/>
            </w:tcBorders>
            <w:vAlign w:val="center"/>
            <w:hideMark/>
          </w:tcPr>
          <w:p w14:paraId="22120503" w14:textId="77777777" w:rsidR="003114A5" w:rsidRPr="00B50A59" w:rsidRDefault="003114A5"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−0.1</w:t>
            </w:r>
          </w:p>
        </w:tc>
      </w:tr>
      <w:tr w:rsidR="00B50A59" w:rsidRPr="00B50A59" w14:paraId="1338E514" w14:textId="77777777" w:rsidTr="00F4206D">
        <w:trPr>
          <w:tblCellSpacing w:w="15" w:type="dxa"/>
        </w:trPr>
        <w:tc>
          <w:tcPr>
            <w:tcW w:w="0" w:type="auto"/>
            <w:vAlign w:val="center"/>
            <w:hideMark/>
          </w:tcPr>
          <w:p w14:paraId="2FC554E9" w14:textId="77777777" w:rsidR="003114A5" w:rsidRPr="00B50A59" w:rsidRDefault="003114A5" w:rsidP="00FE2DCD">
            <w:pPr>
              <w:spacing w:line="240" w:lineRule="auto"/>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USA</w:t>
            </w:r>
          </w:p>
        </w:tc>
        <w:tc>
          <w:tcPr>
            <w:tcW w:w="0" w:type="auto"/>
            <w:vAlign w:val="center"/>
            <w:hideMark/>
          </w:tcPr>
          <w:p w14:paraId="40574C15" w14:textId="77777777" w:rsidR="003114A5" w:rsidRPr="00B50A59" w:rsidRDefault="003114A5" w:rsidP="00FE2DCD">
            <w:pPr>
              <w:spacing w:line="240" w:lineRule="auto"/>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Female</w:t>
            </w:r>
          </w:p>
        </w:tc>
        <w:tc>
          <w:tcPr>
            <w:tcW w:w="0" w:type="auto"/>
            <w:vAlign w:val="center"/>
            <w:hideMark/>
          </w:tcPr>
          <w:p w14:paraId="700E8882" w14:textId="77777777" w:rsidR="003114A5" w:rsidRPr="00B50A59" w:rsidRDefault="003114A5"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−1.1</w:t>
            </w:r>
          </w:p>
        </w:tc>
        <w:tc>
          <w:tcPr>
            <w:tcW w:w="0" w:type="auto"/>
            <w:vAlign w:val="center"/>
            <w:hideMark/>
          </w:tcPr>
          <w:p w14:paraId="7897DCFB" w14:textId="77777777" w:rsidR="003114A5" w:rsidRPr="00B50A59" w:rsidRDefault="003114A5"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−0.2</w:t>
            </w:r>
          </w:p>
        </w:tc>
        <w:tc>
          <w:tcPr>
            <w:tcW w:w="0" w:type="auto"/>
            <w:vAlign w:val="center"/>
            <w:hideMark/>
          </w:tcPr>
          <w:p w14:paraId="75058FD4" w14:textId="77777777" w:rsidR="003114A5" w:rsidRPr="00B50A59" w:rsidRDefault="003114A5"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−0.4</w:t>
            </w:r>
          </w:p>
        </w:tc>
        <w:tc>
          <w:tcPr>
            <w:tcW w:w="0" w:type="auto"/>
            <w:vAlign w:val="center"/>
            <w:hideMark/>
          </w:tcPr>
          <w:p w14:paraId="716BA196" w14:textId="77777777" w:rsidR="003114A5" w:rsidRPr="00B50A59" w:rsidRDefault="003114A5"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0.0</w:t>
            </w:r>
          </w:p>
        </w:tc>
        <w:tc>
          <w:tcPr>
            <w:tcW w:w="0" w:type="auto"/>
            <w:vAlign w:val="center"/>
            <w:hideMark/>
          </w:tcPr>
          <w:p w14:paraId="4922F526" w14:textId="77777777" w:rsidR="003114A5" w:rsidRPr="00B50A59" w:rsidRDefault="003114A5"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−0.2</w:t>
            </w:r>
          </w:p>
        </w:tc>
        <w:tc>
          <w:tcPr>
            <w:tcW w:w="0" w:type="auto"/>
            <w:vAlign w:val="center"/>
            <w:hideMark/>
          </w:tcPr>
          <w:p w14:paraId="5D237DCE" w14:textId="77777777" w:rsidR="003114A5" w:rsidRPr="00B50A59" w:rsidRDefault="003114A5"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−2.4</w:t>
            </w:r>
          </w:p>
        </w:tc>
        <w:tc>
          <w:tcPr>
            <w:tcW w:w="0" w:type="auto"/>
            <w:vAlign w:val="center"/>
            <w:hideMark/>
          </w:tcPr>
          <w:p w14:paraId="359E4139" w14:textId="77777777" w:rsidR="003114A5" w:rsidRPr="00B50A59" w:rsidRDefault="003114A5"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−1.0</w:t>
            </w:r>
          </w:p>
        </w:tc>
      </w:tr>
      <w:tr w:rsidR="00B50A59" w:rsidRPr="00B50A59" w14:paraId="1EE8E140" w14:textId="77777777" w:rsidTr="00F4206D">
        <w:trPr>
          <w:tblCellSpacing w:w="15" w:type="dxa"/>
        </w:trPr>
        <w:tc>
          <w:tcPr>
            <w:tcW w:w="0" w:type="auto"/>
            <w:tcBorders>
              <w:bottom w:val="single" w:sz="2" w:space="0" w:color="000000"/>
            </w:tcBorders>
            <w:vAlign w:val="center"/>
            <w:hideMark/>
          </w:tcPr>
          <w:p w14:paraId="08B8DAAE" w14:textId="77777777" w:rsidR="003114A5" w:rsidRPr="00B50A59" w:rsidRDefault="003114A5" w:rsidP="00FE2DCD">
            <w:pPr>
              <w:spacing w:line="240" w:lineRule="auto"/>
              <w:rPr>
                <w:rFonts w:ascii="Times New Roman" w:eastAsia="Times New Roman" w:hAnsi="Times New Roman" w:cs="Times New Roman"/>
                <w:sz w:val="20"/>
                <w:szCs w:val="20"/>
              </w:rPr>
            </w:pPr>
          </w:p>
        </w:tc>
        <w:tc>
          <w:tcPr>
            <w:tcW w:w="0" w:type="auto"/>
            <w:tcBorders>
              <w:bottom w:val="single" w:sz="2" w:space="0" w:color="000000"/>
            </w:tcBorders>
            <w:vAlign w:val="center"/>
            <w:hideMark/>
          </w:tcPr>
          <w:p w14:paraId="36A9F158" w14:textId="77777777" w:rsidR="003114A5" w:rsidRPr="00B50A59" w:rsidRDefault="003114A5" w:rsidP="00FE2DCD">
            <w:pPr>
              <w:spacing w:line="240" w:lineRule="auto"/>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Male</w:t>
            </w:r>
          </w:p>
        </w:tc>
        <w:tc>
          <w:tcPr>
            <w:tcW w:w="0" w:type="auto"/>
            <w:tcBorders>
              <w:bottom w:val="single" w:sz="2" w:space="0" w:color="000000"/>
            </w:tcBorders>
            <w:vAlign w:val="center"/>
            <w:hideMark/>
          </w:tcPr>
          <w:p w14:paraId="309C9649" w14:textId="77777777" w:rsidR="003114A5" w:rsidRPr="00B50A59" w:rsidRDefault="003114A5"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−1.2</w:t>
            </w:r>
          </w:p>
        </w:tc>
        <w:tc>
          <w:tcPr>
            <w:tcW w:w="0" w:type="auto"/>
            <w:tcBorders>
              <w:bottom w:val="single" w:sz="2" w:space="0" w:color="000000"/>
            </w:tcBorders>
            <w:vAlign w:val="center"/>
            <w:hideMark/>
          </w:tcPr>
          <w:p w14:paraId="023E35C8" w14:textId="77777777" w:rsidR="003114A5" w:rsidRPr="00B50A59" w:rsidRDefault="003114A5"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−0.3</w:t>
            </w:r>
          </w:p>
        </w:tc>
        <w:tc>
          <w:tcPr>
            <w:tcW w:w="0" w:type="auto"/>
            <w:tcBorders>
              <w:bottom w:val="single" w:sz="2" w:space="0" w:color="000000"/>
            </w:tcBorders>
            <w:vAlign w:val="center"/>
            <w:hideMark/>
          </w:tcPr>
          <w:p w14:paraId="27A1E32B" w14:textId="77777777" w:rsidR="003114A5" w:rsidRPr="00B50A59" w:rsidRDefault="003114A5"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−0.9</w:t>
            </w:r>
          </w:p>
        </w:tc>
        <w:tc>
          <w:tcPr>
            <w:tcW w:w="0" w:type="auto"/>
            <w:tcBorders>
              <w:bottom w:val="single" w:sz="2" w:space="0" w:color="000000"/>
            </w:tcBorders>
            <w:vAlign w:val="center"/>
            <w:hideMark/>
          </w:tcPr>
          <w:p w14:paraId="0894B43B" w14:textId="77777777" w:rsidR="003114A5" w:rsidRPr="00B50A59" w:rsidRDefault="003114A5"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0.0</w:t>
            </w:r>
          </w:p>
        </w:tc>
        <w:tc>
          <w:tcPr>
            <w:tcW w:w="0" w:type="auto"/>
            <w:tcBorders>
              <w:bottom w:val="single" w:sz="2" w:space="0" w:color="000000"/>
            </w:tcBorders>
            <w:vAlign w:val="center"/>
            <w:hideMark/>
          </w:tcPr>
          <w:p w14:paraId="4BD2EA1D" w14:textId="77777777" w:rsidR="003114A5" w:rsidRPr="00B50A59" w:rsidRDefault="003114A5"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−0.7</w:t>
            </w:r>
          </w:p>
        </w:tc>
        <w:tc>
          <w:tcPr>
            <w:tcW w:w="0" w:type="auto"/>
            <w:tcBorders>
              <w:bottom w:val="single" w:sz="2" w:space="0" w:color="000000"/>
            </w:tcBorders>
            <w:vAlign w:val="center"/>
            <w:hideMark/>
          </w:tcPr>
          <w:p w14:paraId="756C3A97" w14:textId="77777777" w:rsidR="003114A5" w:rsidRPr="00B50A59" w:rsidRDefault="003114A5"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−2.7</w:t>
            </w:r>
          </w:p>
        </w:tc>
        <w:tc>
          <w:tcPr>
            <w:tcW w:w="0" w:type="auto"/>
            <w:tcBorders>
              <w:bottom w:val="single" w:sz="2" w:space="0" w:color="000000"/>
            </w:tcBorders>
            <w:vAlign w:val="center"/>
            <w:hideMark/>
          </w:tcPr>
          <w:p w14:paraId="5410ADD0" w14:textId="77777777" w:rsidR="003114A5" w:rsidRPr="00B50A59" w:rsidRDefault="003114A5"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−0.9</w:t>
            </w:r>
          </w:p>
        </w:tc>
      </w:tr>
      <w:tr w:rsidR="003114A5" w:rsidRPr="00781A18" w14:paraId="5729EE97" w14:textId="77777777" w:rsidTr="00F4206D">
        <w:trPr>
          <w:tblCellSpacing w:w="15" w:type="dxa"/>
        </w:trPr>
        <w:tc>
          <w:tcPr>
            <w:tcW w:w="0" w:type="auto"/>
            <w:gridSpan w:val="9"/>
            <w:vAlign w:val="center"/>
            <w:hideMark/>
          </w:tcPr>
          <w:p w14:paraId="455EA586" w14:textId="7F2D3F50" w:rsidR="005F5EDE" w:rsidRDefault="005F5EDE" w:rsidP="00FE2DCD">
            <w:pPr>
              <w:spacing w:after="0" w:line="240" w:lineRule="auto"/>
              <w:jc w:val="both"/>
              <w:rPr>
                <w:rFonts w:ascii="Times New Roman" w:hAnsi="Times New Roman" w:cs="Times New Roman"/>
                <w:lang w:val="en-GB"/>
              </w:rPr>
            </w:pPr>
            <w:r w:rsidRPr="00661506">
              <w:rPr>
                <w:rFonts w:ascii="Times New Roman" w:hAnsi="Times New Roman" w:cs="Times New Roman"/>
                <w:i/>
                <w:lang w:val="en-GB"/>
              </w:rPr>
              <w:t>Note:</w:t>
            </w:r>
            <w:r>
              <w:rPr>
                <w:rFonts w:ascii="Times New Roman" w:hAnsi="Times New Roman" w:cs="Times New Roman"/>
                <w:i/>
                <w:lang w:val="en-GB"/>
              </w:rPr>
              <w:t xml:space="preserve"> </w:t>
            </w:r>
            <w:r w:rsidRPr="007516ED">
              <w:rPr>
                <w:rFonts w:ascii="Times New Roman" w:hAnsi="Times New Roman" w:cs="Times New Roman"/>
                <w:lang w:val="en-GB"/>
              </w:rPr>
              <w:t>values</w:t>
            </w:r>
            <w:r>
              <w:rPr>
                <w:rFonts w:ascii="Times New Roman" w:hAnsi="Times New Roman" w:cs="Times New Roman"/>
                <w:lang w:val="en-GB"/>
              </w:rPr>
              <w:t xml:space="preserve"> represent difference between average annual contribution to life expectancy change in 2019–2022 and average annual contribution to life expectancy change in 2015–2019</w:t>
            </w:r>
            <w:r w:rsidR="007516ED">
              <w:rPr>
                <w:rFonts w:ascii="Times New Roman" w:hAnsi="Times New Roman" w:cs="Times New Roman"/>
                <w:lang w:val="en-GB"/>
              </w:rPr>
              <w:t xml:space="preserve"> in months</w:t>
            </w:r>
            <w:r>
              <w:rPr>
                <w:rFonts w:ascii="Times New Roman" w:hAnsi="Times New Roman" w:cs="Times New Roman"/>
                <w:lang w:val="en-GB"/>
              </w:rPr>
              <w:t xml:space="preserve">. </w:t>
            </w:r>
            <w:r w:rsidRPr="0025473D">
              <w:rPr>
                <w:rFonts w:ascii="Times New Roman" w:hAnsi="Times New Roman" w:cs="Times New Roman"/>
                <w:lang w:val="en-GB"/>
              </w:rPr>
              <w:t>Negative values = cause of death contributed to life expectancy stagnation.</w:t>
            </w:r>
            <w:r>
              <w:rPr>
                <w:rFonts w:ascii="Times New Roman" w:hAnsi="Times New Roman" w:cs="Times New Roman"/>
                <w:lang w:val="en-GB"/>
              </w:rPr>
              <w:t xml:space="preserve"> </w:t>
            </w:r>
            <w:r w:rsidRPr="0025473D">
              <w:rPr>
                <w:rFonts w:ascii="Times New Roman" w:hAnsi="Times New Roman" w:cs="Times New Roman"/>
                <w:lang w:val="en-GB"/>
              </w:rPr>
              <w:t>Positive values = cause of deaths offset life expectancy stagnation</w:t>
            </w:r>
            <w:r>
              <w:rPr>
                <w:rFonts w:ascii="Times New Roman" w:hAnsi="Times New Roman" w:cs="Times New Roman"/>
                <w:lang w:val="en-GB"/>
              </w:rPr>
              <w:t xml:space="preserve">. Sum </w:t>
            </w:r>
            <w:r w:rsidR="00842DF2">
              <w:rPr>
                <w:rFonts w:ascii="Times New Roman" w:hAnsi="Times New Roman" w:cs="Times New Roman"/>
                <w:lang w:val="en-GB"/>
              </w:rPr>
              <w:t>across causes of death</w:t>
            </w:r>
            <w:r>
              <w:rPr>
                <w:rFonts w:ascii="Times New Roman" w:hAnsi="Times New Roman" w:cs="Times New Roman"/>
                <w:lang w:val="en-GB"/>
              </w:rPr>
              <w:t xml:space="preserve"> equals total</w:t>
            </w:r>
            <w:r w:rsidR="00C471FC">
              <w:rPr>
                <w:rFonts w:ascii="Times New Roman" w:hAnsi="Times New Roman" w:cs="Times New Roman"/>
                <w:lang w:val="en-GB"/>
              </w:rPr>
              <w:t xml:space="preserve"> annual</w:t>
            </w:r>
            <w:r>
              <w:rPr>
                <w:rFonts w:ascii="Times New Roman" w:hAnsi="Times New Roman" w:cs="Times New Roman"/>
                <w:lang w:val="en-GB"/>
              </w:rPr>
              <w:t xml:space="preserve"> life expectancy stagnation</w:t>
            </w:r>
            <w:r w:rsidR="006B1B4B">
              <w:rPr>
                <w:rFonts w:ascii="Times New Roman" w:hAnsi="Times New Roman" w:cs="Times New Roman"/>
                <w:lang w:val="en-GB"/>
              </w:rPr>
              <w:t xml:space="preserve"> in 2019–2022</w:t>
            </w:r>
            <w:r>
              <w:rPr>
                <w:rFonts w:ascii="Times New Roman" w:hAnsi="Times New Roman" w:cs="Times New Roman"/>
                <w:lang w:val="en-GB"/>
              </w:rPr>
              <w:t xml:space="preserve">. </w:t>
            </w:r>
            <w:r w:rsidRPr="001942CF">
              <w:rPr>
                <w:rFonts w:ascii="Times New Roman" w:hAnsi="Times New Roman" w:cs="Times New Roman"/>
                <w:i/>
                <w:lang w:val="en-GB"/>
              </w:rPr>
              <w:t>Source</w:t>
            </w:r>
            <w:r>
              <w:rPr>
                <w:rFonts w:ascii="Times New Roman" w:hAnsi="Times New Roman" w:cs="Times New Roman"/>
                <w:i/>
                <w:lang w:val="en-GB"/>
              </w:rPr>
              <w:t xml:space="preserve">: </w:t>
            </w:r>
            <w:r>
              <w:rPr>
                <w:rFonts w:ascii="Times New Roman" w:hAnsi="Times New Roman" w:cs="Times New Roman"/>
                <w:lang w:val="en-GB"/>
              </w:rPr>
              <w:t>see Chapter 3.</w:t>
            </w:r>
          </w:p>
          <w:p w14:paraId="6716222C" w14:textId="0D064A57" w:rsidR="003114A5" w:rsidRPr="006B1B4B" w:rsidRDefault="003114A5" w:rsidP="00FE2DCD">
            <w:pPr>
              <w:spacing w:line="240" w:lineRule="auto"/>
              <w:rPr>
                <w:rFonts w:ascii="Times New Roman" w:eastAsia="Times New Roman" w:hAnsi="Times New Roman" w:cs="Times New Roman"/>
                <w:sz w:val="20"/>
                <w:szCs w:val="20"/>
                <w:lang w:val="en-GB"/>
              </w:rPr>
            </w:pPr>
          </w:p>
        </w:tc>
      </w:tr>
    </w:tbl>
    <w:p w14:paraId="02D2D1B8" w14:textId="58D809C8" w:rsidR="00F815CC" w:rsidRDefault="00F815CC">
      <w:pPr>
        <w:rPr>
          <w:rFonts w:ascii="Times New Roman" w:hAnsi="Times New Roman" w:cs="Times New Roman"/>
          <w:b/>
          <w:lang w:val="en-GB"/>
        </w:rPr>
      </w:pPr>
    </w:p>
    <w:p w14:paraId="331DFDA3" w14:textId="422A9F82" w:rsidR="00147E41" w:rsidRPr="00D71788" w:rsidRDefault="00147E41" w:rsidP="00FE2DCD">
      <w:pPr>
        <w:spacing w:after="0" w:line="240" w:lineRule="auto"/>
        <w:jc w:val="both"/>
        <w:rPr>
          <w:rFonts w:ascii="Times New Roman" w:hAnsi="Times New Roman" w:cs="Times New Roman"/>
          <w:b/>
          <w:lang w:val="en-GB"/>
        </w:rPr>
      </w:pPr>
      <w:r>
        <w:rPr>
          <w:rFonts w:ascii="Times New Roman" w:hAnsi="Times New Roman" w:cs="Times New Roman"/>
          <w:b/>
          <w:lang w:val="en-GB"/>
        </w:rPr>
        <w:t>Table</w:t>
      </w:r>
      <w:r w:rsidRPr="00D71788">
        <w:rPr>
          <w:rFonts w:ascii="Times New Roman" w:hAnsi="Times New Roman" w:cs="Times New Roman"/>
          <w:b/>
          <w:lang w:val="en-GB"/>
        </w:rPr>
        <w:t xml:space="preserve"> 3-add-</w:t>
      </w:r>
      <w:r w:rsidR="00FE2DCD">
        <w:rPr>
          <w:rFonts w:ascii="Times New Roman" w:hAnsi="Times New Roman" w:cs="Times New Roman"/>
          <w:b/>
          <w:lang w:val="en-GB"/>
        </w:rPr>
        <w:t>S</w:t>
      </w:r>
      <w:r>
        <w:rPr>
          <w:rFonts w:ascii="Times New Roman" w:hAnsi="Times New Roman" w:cs="Times New Roman"/>
          <w:b/>
          <w:lang w:val="en-GB"/>
        </w:rPr>
        <w:t>2</w:t>
      </w:r>
      <w:r w:rsidRPr="00D71788">
        <w:rPr>
          <w:rFonts w:ascii="Times New Roman" w:hAnsi="Times New Roman" w:cs="Times New Roman"/>
          <w:b/>
          <w:lang w:val="en-GB"/>
        </w:rPr>
        <w:t>.</w:t>
      </w:r>
      <w:r w:rsidR="00F815CC">
        <w:rPr>
          <w:rFonts w:ascii="Times New Roman" w:hAnsi="Times New Roman" w:cs="Times New Roman"/>
          <w:b/>
          <w:lang w:val="en-GB"/>
        </w:rPr>
        <w:t xml:space="preserve"> </w:t>
      </w:r>
      <w:r w:rsidR="00F815CC" w:rsidRPr="00835266">
        <w:rPr>
          <w:rFonts w:ascii="Times New Roman" w:hAnsi="Times New Roman" w:cs="Times New Roman"/>
          <w:lang w:val="en-GB"/>
        </w:rPr>
        <w:t>Contribution of seven causes of death to increasing life expectancy disadvantage of England and Wales vs. Sweden and the USA vs. Sweden in 2015–2019 and 2019–2022.</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77"/>
        <w:gridCol w:w="772"/>
        <w:gridCol w:w="827"/>
        <w:gridCol w:w="585"/>
        <w:gridCol w:w="851"/>
        <w:gridCol w:w="598"/>
        <w:gridCol w:w="811"/>
        <w:gridCol w:w="1059"/>
        <w:gridCol w:w="1000"/>
        <w:gridCol w:w="972"/>
      </w:tblGrid>
      <w:tr w:rsidR="005F5343" w:rsidRPr="00B50A59" w14:paraId="006D1020" w14:textId="77777777" w:rsidTr="00F4206D">
        <w:trPr>
          <w:tblHeader/>
          <w:tblCellSpacing w:w="15" w:type="dxa"/>
        </w:trPr>
        <w:tc>
          <w:tcPr>
            <w:tcW w:w="0" w:type="auto"/>
            <w:vAlign w:val="center"/>
            <w:hideMark/>
          </w:tcPr>
          <w:p w14:paraId="6586CA66" w14:textId="77777777" w:rsidR="00B50A59" w:rsidRPr="00B50A59" w:rsidRDefault="00B50A59" w:rsidP="00FE2DCD">
            <w:pPr>
              <w:spacing w:line="240" w:lineRule="auto"/>
              <w:jc w:val="center"/>
              <w:rPr>
                <w:rFonts w:ascii="Times New Roman" w:eastAsia="Times New Roman" w:hAnsi="Times New Roman" w:cs="Times New Roman"/>
                <w:b/>
                <w:bCs/>
                <w:color w:val="000000"/>
                <w:sz w:val="20"/>
                <w:szCs w:val="20"/>
              </w:rPr>
            </w:pPr>
            <w:r w:rsidRPr="00B50A59">
              <w:rPr>
                <w:rFonts w:ascii="Times New Roman" w:eastAsia="Times New Roman" w:hAnsi="Times New Roman" w:cs="Times New Roman"/>
                <w:b/>
                <w:bCs/>
                <w:color w:val="000000"/>
                <w:sz w:val="20"/>
                <w:szCs w:val="20"/>
              </w:rPr>
              <w:t>Country</w:t>
            </w:r>
          </w:p>
        </w:tc>
        <w:tc>
          <w:tcPr>
            <w:tcW w:w="0" w:type="auto"/>
            <w:vAlign w:val="center"/>
            <w:hideMark/>
          </w:tcPr>
          <w:p w14:paraId="7F0F9CA4" w14:textId="77777777" w:rsidR="00B50A59" w:rsidRPr="00B50A59" w:rsidRDefault="00B50A59" w:rsidP="00FE2DCD">
            <w:pPr>
              <w:spacing w:line="240" w:lineRule="auto"/>
              <w:jc w:val="center"/>
              <w:rPr>
                <w:rFonts w:ascii="Times New Roman" w:eastAsia="Times New Roman" w:hAnsi="Times New Roman" w:cs="Times New Roman"/>
                <w:b/>
                <w:bCs/>
                <w:color w:val="000000"/>
                <w:sz w:val="20"/>
                <w:szCs w:val="20"/>
              </w:rPr>
            </w:pPr>
            <w:r w:rsidRPr="00B50A59">
              <w:rPr>
                <w:rFonts w:ascii="Times New Roman" w:eastAsia="Times New Roman" w:hAnsi="Times New Roman" w:cs="Times New Roman"/>
                <w:b/>
                <w:bCs/>
                <w:color w:val="000000"/>
                <w:sz w:val="20"/>
                <w:szCs w:val="20"/>
              </w:rPr>
              <w:t>Sex</w:t>
            </w:r>
          </w:p>
        </w:tc>
        <w:tc>
          <w:tcPr>
            <w:tcW w:w="0" w:type="auto"/>
            <w:vAlign w:val="center"/>
            <w:hideMark/>
          </w:tcPr>
          <w:p w14:paraId="14F94DDF" w14:textId="77777777" w:rsidR="00B50A59" w:rsidRPr="00B50A59" w:rsidRDefault="00B50A59" w:rsidP="00FE2DCD">
            <w:pPr>
              <w:spacing w:line="240" w:lineRule="auto"/>
              <w:jc w:val="center"/>
              <w:rPr>
                <w:rFonts w:ascii="Times New Roman" w:eastAsia="Times New Roman" w:hAnsi="Times New Roman" w:cs="Times New Roman"/>
                <w:b/>
                <w:bCs/>
                <w:color w:val="000000"/>
                <w:sz w:val="20"/>
                <w:szCs w:val="20"/>
              </w:rPr>
            </w:pPr>
            <w:r w:rsidRPr="00B50A59">
              <w:rPr>
                <w:rFonts w:ascii="Times New Roman" w:eastAsia="Times New Roman" w:hAnsi="Times New Roman" w:cs="Times New Roman"/>
                <w:b/>
                <w:bCs/>
                <w:color w:val="000000"/>
                <w:sz w:val="20"/>
                <w:szCs w:val="20"/>
              </w:rPr>
              <w:t>Period</w:t>
            </w:r>
          </w:p>
        </w:tc>
        <w:tc>
          <w:tcPr>
            <w:tcW w:w="0" w:type="auto"/>
            <w:vAlign w:val="center"/>
            <w:hideMark/>
          </w:tcPr>
          <w:p w14:paraId="3B2D1517" w14:textId="77777777" w:rsidR="00B50A59" w:rsidRPr="00B50A59" w:rsidRDefault="00B50A59" w:rsidP="00FE2DCD">
            <w:pPr>
              <w:spacing w:line="240" w:lineRule="auto"/>
              <w:jc w:val="center"/>
              <w:rPr>
                <w:rFonts w:ascii="Times New Roman" w:eastAsia="Times New Roman" w:hAnsi="Times New Roman" w:cs="Times New Roman"/>
                <w:b/>
                <w:bCs/>
                <w:color w:val="000000"/>
                <w:sz w:val="20"/>
                <w:szCs w:val="20"/>
              </w:rPr>
            </w:pPr>
            <w:r w:rsidRPr="00B50A59">
              <w:rPr>
                <w:rFonts w:ascii="Times New Roman" w:eastAsia="Times New Roman" w:hAnsi="Times New Roman" w:cs="Times New Roman"/>
                <w:b/>
                <w:bCs/>
                <w:color w:val="000000"/>
                <w:sz w:val="20"/>
                <w:szCs w:val="20"/>
              </w:rPr>
              <w:t>CVD</w:t>
            </w:r>
          </w:p>
        </w:tc>
        <w:tc>
          <w:tcPr>
            <w:tcW w:w="0" w:type="auto"/>
            <w:vAlign w:val="center"/>
            <w:hideMark/>
          </w:tcPr>
          <w:p w14:paraId="4B8EEC38" w14:textId="77777777" w:rsidR="00B50A59" w:rsidRPr="00B50A59" w:rsidRDefault="00B50A59" w:rsidP="00FE2DCD">
            <w:pPr>
              <w:spacing w:line="240" w:lineRule="auto"/>
              <w:jc w:val="center"/>
              <w:rPr>
                <w:rFonts w:ascii="Times New Roman" w:eastAsia="Times New Roman" w:hAnsi="Times New Roman" w:cs="Times New Roman"/>
                <w:b/>
                <w:bCs/>
                <w:color w:val="000000"/>
                <w:sz w:val="20"/>
                <w:szCs w:val="20"/>
              </w:rPr>
            </w:pPr>
            <w:r w:rsidRPr="00B50A59">
              <w:rPr>
                <w:rFonts w:ascii="Times New Roman" w:eastAsia="Times New Roman" w:hAnsi="Times New Roman" w:cs="Times New Roman"/>
                <w:b/>
                <w:bCs/>
                <w:color w:val="000000"/>
                <w:sz w:val="20"/>
                <w:szCs w:val="20"/>
              </w:rPr>
              <w:t>Alcohol</w:t>
            </w:r>
          </w:p>
        </w:tc>
        <w:tc>
          <w:tcPr>
            <w:tcW w:w="0" w:type="auto"/>
            <w:vAlign w:val="center"/>
            <w:hideMark/>
          </w:tcPr>
          <w:p w14:paraId="45090A84" w14:textId="77777777" w:rsidR="00B50A59" w:rsidRPr="00B50A59" w:rsidRDefault="00B50A59" w:rsidP="00FE2DCD">
            <w:pPr>
              <w:spacing w:line="240" w:lineRule="auto"/>
              <w:jc w:val="center"/>
              <w:rPr>
                <w:rFonts w:ascii="Times New Roman" w:eastAsia="Times New Roman" w:hAnsi="Times New Roman" w:cs="Times New Roman"/>
                <w:b/>
                <w:bCs/>
                <w:color w:val="000000"/>
                <w:sz w:val="20"/>
                <w:szCs w:val="20"/>
              </w:rPr>
            </w:pPr>
            <w:r w:rsidRPr="00B50A59">
              <w:rPr>
                <w:rFonts w:ascii="Times New Roman" w:eastAsia="Times New Roman" w:hAnsi="Times New Roman" w:cs="Times New Roman"/>
                <w:b/>
                <w:bCs/>
                <w:color w:val="000000"/>
                <w:sz w:val="20"/>
                <w:szCs w:val="20"/>
              </w:rPr>
              <w:t>Drug</w:t>
            </w:r>
          </w:p>
        </w:tc>
        <w:tc>
          <w:tcPr>
            <w:tcW w:w="0" w:type="auto"/>
            <w:vAlign w:val="center"/>
            <w:hideMark/>
          </w:tcPr>
          <w:p w14:paraId="06E5528F" w14:textId="77777777" w:rsidR="00B50A59" w:rsidRPr="00B50A59" w:rsidRDefault="00B50A59" w:rsidP="00FE2DCD">
            <w:pPr>
              <w:spacing w:line="240" w:lineRule="auto"/>
              <w:jc w:val="center"/>
              <w:rPr>
                <w:rFonts w:ascii="Times New Roman" w:eastAsia="Times New Roman" w:hAnsi="Times New Roman" w:cs="Times New Roman"/>
                <w:b/>
                <w:bCs/>
                <w:color w:val="000000"/>
                <w:sz w:val="20"/>
                <w:szCs w:val="20"/>
              </w:rPr>
            </w:pPr>
            <w:r w:rsidRPr="00B50A59">
              <w:rPr>
                <w:rFonts w:ascii="Times New Roman" w:eastAsia="Times New Roman" w:hAnsi="Times New Roman" w:cs="Times New Roman"/>
                <w:b/>
                <w:bCs/>
                <w:color w:val="000000"/>
                <w:sz w:val="20"/>
                <w:szCs w:val="20"/>
              </w:rPr>
              <w:t>Suicide</w:t>
            </w:r>
          </w:p>
        </w:tc>
        <w:tc>
          <w:tcPr>
            <w:tcW w:w="0" w:type="auto"/>
            <w:vAlign w:val="center"/>
            <w:hideMark/>
          </w:tcPr>
          <w:p w14:paraId="269CDAF1" w14:textId="77777777" w:rsidR="00B50A59" w:rsidRPr="00B50A59" w:rsidRDefault="00B50A59" w:rsidP="00FE2DCD">
            <w:pPr>
              <w:spacing w:line="240" w:lineRule="auto"/>
              <w:jc w:val="center"/>
              <w:rPr>
                <w:rFonts w:ascii="Times New Roman" w:eastAsia="Times New Roman" w:hAnsi="Times New Roman" w:cs="Times New Roman"/>
                <w:b/>
                <w:bCs/>
                <w:color w:val="000000"/>
                <w:sz w:val="20"/>
                <w:szCs w:val="20"/>
              </w:rPr>
            </w:pPr>
            <w:r w:rsidRPr="00B50A59">
              <w:rPr>
                <w:rFonts w:ascii="Times New Roman" w:eastAsia="Times New Roman" w:hAnsi="Times New Roman" w:cs="Times New Roman"/>
                <w:b/>
                <w:bCs/>
                <w:color w:val="000000"/>
                <w:sz w:val="20"/>
                <w:szCs w:val="20"/>
              </w:rPr>
              <w:t>Other external</w:t>
            </w:r>
          </w:p>
        </w:tc>
        <w:tc>
          <w:tcPr>
            <w:tcW w:w="0" w:type="auto"/>
            <w:vAlign w:val="center"/>
            <w:hideMark/>
          </w:tcPr>
          <w:p w14:paraId="6A8822B8" w14:textId="77777777" w:rsidR="00B50A59" w:rsidRPr="00B50A59" w:rsidRDefault="00B50A59" w:rsidP="00FE2DCD">
            <w:pPr>
              <w:spacing w:line="240" w:lineRule="auto"/>
              <w:jc w:val="center"/>
              <w:rPr>
                <w:rFonts w:ascii="Times New Roman" w:eastAsia="Times New Roman" w:hAnsi="Times New Roman" w:cs="Times New Roman"/>
                <w:b/>
                <w:bCs/>
                <w:color w:val="000000"/>
                <w:sz w:val="20"/>
                <w:szCs w:val="20"/>
              </w:rPr>
            </w:pPr>
            <w:r w:rsidRPr="00B50A59">
              <w:rPr>
                <w:rFonts w:ascii="Times New Roman" w:eastAsia="Times New Roman" w:hAnsi="Times New Roman" w:cs="Times New Roman"/>
                <w:b/>
                <w:bCs/>
                <w:color w:val="000000"/>
                <w:sz w:val="20"/>
                <w:szCs w:val="20"/>
              </w:rPr>
              <w:t>COVID-19</w:t>
            </w:r>
          </w:p>
        </w:tc>
        <w:tc>
          <w:tcPr>
            <w:tcW w:w="0" w:type="auto"/>
            <w:vAlign w:val="center"/>
            <w:hideMark/>
          </w:tcPr>
          <w:p w14:paraId="03A8DE84" w14:textId="77777777" w:rsidR="00B50A59" w:rsidRPr="00B50A59" w:rsidRDefault="00B50A59" w:rsidP="00FE2DCD">
            <w:pPr>
              <w:spacing w:line="240" w:lineRule="auto"/>
              <w:jc w:val="center"/>
              <w:rPr>
                <w:rFonts w:ascii="Times New Roman" w:eastAsia="Times New Roman" w:hAnsi="Times New Roman" w:cs="Times New Roman"/>
                <w:b/>
                <w:bCs/>
                <w:color w:val="000000"/>
                <w:sz w:val="20"/>
                <w:szCs w:val="20"/>
              </w:rPr>
            </w:pPr>
            <w:r w:rsidRPr="00B50A59">
              <w:rPr>
                <w:rFonts w:ascii="Times New Roman" w:eastAsia="Times New Roman" w:hAnsi="Times New Roman" w:cs="Times New Roman"/>
                <w:b/>
                <w:bCs/>
                <w:color w:val="000000"/>
                <w:sz w:val="20"/>
                <w:szCs w:val="20"/>
              </w:rPr>
              <w:t>Residual</w:t>
            </w:r>
          </w:p>
        </w:tc>
      </w:tr>
      <w:tr w:rsidR="005F5343" w:rsidRPr="00B50A59" w14:paraId="45150ED3" w14:textId="77777777" w:rsidTr="00F4206D">
        <w:trPr>
          <w:tblCellSpacing w:w="15" w:type="dxa"/>
        </w:trPr>
        <w:tc>
          <w:tcPr>
            <w:tcW w:w="0" w:type="auto"/>
            <w:tcBorders>
              <w:top w:val="single" w:sz="2" w:space="0" w:color="000000"/>
            </w:tcBorders>
            <w:vAlign w:val="center"/>
            <w:hideMark/>
          </w:tcPr>
          <w:p w14:paraId="73104881" w14:textId="77777777" w:rsidR="00B50A59" w:rsidRPr="00B50A59" w:rsidRDefault="00B50A59" w:rsidP="00FE2DCD">
            <w:pPr>
              <w:spacing w:line="240" w:lineRule="auto"/>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England and Wales</w:t>
            </w:r>
          </w:p>
        </w:tc>
        <w:tc>
          <w:tcPr>
            <w:tcW w:w="0" w:type="auto"/>
            <w:tcBorders>
              <w:top w:val="single" w:sz="2" w:space="0" w:color="000000"/>
            </w:tcBorders>
            <w:vAlign w:val="center"/>
            <w:hideMark/>
          </w:tcPr>
          <w:p w14:paraId="52BA7580" w14:textId="77777777" w:rsidR="00B50A59" w:rsidRPr="00B50A59" w:rsidRDefault="00B50A59" w:rsidP="00FE2DCD">
            <w:pPr>
              <w:spacing w:line="240" w:lineRule="auto"/>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Female</w:t>
            </w:r>
          </w:p>
        </w:tc>
        <w:tc>
          <w:tcPr>
            <w:tcW w:w="0" w:type="auto"/>
            <w:tcBorders>
              <w:top w:val="single" w:sz="2" w:space="0" w:color="000000"/>
            </w:tcBorders>
            <w:vAlign w:val="center"/>
            <w:hideMark/>
          </w:tcPr>
          <w:p w14:paraId="563A7F73" w14:textId="77777777" w:rsidR="00B50A59" w:rsidRPr="00B50A59" w:rsidRDefault="00B50A59" w:rsidP="00FE2DCD">
            <w:pPr>
              <w:spacing w:line="240" w:lineRule="auto"/>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2019-2022</w:t>
            </w:r>
          </w:p>
        </w:tc>
        <w:tc>
          <w:tcPr>
            <w:tcW w:w="0" w:type="auto"/>
            <w:tcBorders>
              <w:top w:val="single" w:sz="2" w:space="0" w:color="000000"/>
            </w:tcBorders>
            <w:vAlign w:val="center"/>
            <w:hideMark/>
          </w:tcPr>
          <w:p w14:paraId="1D38315A"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55.7</w:t>
            </w:r>
          </w:p>
        </w:tc>
        <w:tc>
          <w:tcPr>
            <w:tcW w:w="0" w:type="auto"/>
            <w:tcBorders>
              <w:top w:val="single" w:sz="2" w:space="0" w:color="000000"/>
            </w:tcBorders>
            <w:vAlign w:val="center"/>
            <w:hideMark/>
          </w:tcPr>
          <w:p w14:paraId="0FCA039E"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8.3</w:t>
            </w:r>
          </w:p>
        </w:tc>
        <w:tc>
          <w:tcPr>
            <w:tcW w:w="0" w:type="auto"/>
            <w:tcBorders>
              <w:top w:val="single" w:sz="2" w:space="0" w:color="000000"/>
            </w:tcBorders>
            <w:vAlign w:val="center"/>
            <w:hideMark/>
          </w:tcPr>
          <w:p w14:paraId="53F98789"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9.8</w:t>
            </w:r>
          </w:p>
        </w:tc>
        <w:tc>
          <w:tcPr>
            <w:tcW w:w="0" w:type="auto"/>
            <w:tcBorders>
              <w:top w:val="single" w:sz="2" w:space="0" w:color="000000"/>
            </w:tcBorders>
            <w:vAlign w:val="center"/>
            <w:hideMark/>
          </w:tcPr>
          <w:p w14:paraId="26D16305"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16.6</w:t>
            </w:r>
          </w:p>
        </w:tc>
        <w:tc>
          <w:tcPr>
            <w:tcW w:w="0" w:type="auto"/>
            <w:tcBorders>
              <w:top w:val="single" w:sz="2" w:space="0" w:color="000000"/>
            </w:tcBorders>
            <w:vAlign w:val="center"/>
            <w:hideMark/>
          </w:tcPr>
          <w:p w14:paraId="49D07EE6"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−6.6</w:t>
            </w:r>
          </w:p>
        </w:tc>
        <w:tc>
          <w:tcPr>
            <w:tcW w:w="0" w:type="auto"/>
            <w:tcBorders>
              <w:top w:val="single" w:sz="2" w:space="0" w:color="000000"/>
            </w:tcBorders>
            <w:vAlign w:val="center"/>
            <w:hideMark/>
          </w:tcPr>
          <w:p w14:paraId="5EA10D5A"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34.8</w:t>
            </w:r>
          </w:p>
        </w:tc>
        <w:tc>
          <w:tcPr>
            <w:tcW w:w="0" w:type="auto"/>
            <w:tcBorders>
              <w:top w:val="single" w:sz="2" w:space="0" w:color="000000"/>
            </w:tcBorders>
            <w:vAlign w:val="center"/>
            <w:hideMark/>
          </w:tcPr>
          <w:p w14:paraId="638A20B1"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−18.6</w:t>
            </w:r>
          </w:p>
        </w:tc>
      </w:tr>
      <w:tr w:rsidR="005F5343" w:rsidRPr="00B50A59" w14:paraId="33268D2D" w14:textId="77777777" w:rsidTr="00F4206D">
        <w:trPr>
          <w:tblCellSpacing w:w="15" w:type="dxa"/>
        </w:trPr>
        <w:tc>
          <w:tcPr>
            <w:tcW w:w="0" w:type="auto"/>
            <w:vAlign w:val="center"/>
            <w:hideMark/>
          </w:tcPr>
          <w:p w14:paraId="53E69D67" w14:textId="77777777" w:rsidR="00B50A59" w:rsidRPr="00B50A59" w:rsidRDefault="00B50A59" w:rsidP="00FE2DCD">
            <w:pPr>
              <w:spacing w:line="240" w:lineRule="auto"/>
              <w:rPr>
                <w:rFonts w:ascii="Times New Roman" w:eastAsia="Times New Roman" w:hAnsi="Times New Roman" w:cs="Times New Roman"/>
                <w:sz w:val="20"/>
                <w:szCs w:val="20"/>
              </w:rPr>
            </w:pPr>
          </w:p>
        </w:tc>
        <w:tc>
          <w:tcPr>
            <w:tcW w:w="0" w:type="auto"/>
            <w:vAlign w:val="center"/>
            <w:hideMark/>
          </w:tcPr>
          <w:p w14:paraId="51314FB5" w14:textId="77777777" w:rsidR="00B50A59" w:rsidRPr="00B50A59" w:rsidRDefault="00B50A59" w:rsidP="00FE2DCD">
            <w:pPr>
              <w:spacing w:line="240" w:lineRule="auto"/>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Male</w:t>
            </w:r>
          </w:p>
        </w:tc>
        <w:tc>
          <w:tcPr>
            <w:tcW w:w="0" w:type="auto"/>
            <w:vAlign w:val="center"/>
            <w:hideMark/>
          </w:tcPr>
          <w:p w14:paraId="6BCBC40B" w14:textId="77777777" w:rsidR="00B50A59" w:rsidRPr="00B50A59" w:rsidRDefault="00B50A59" w:rsidP="00FE2DCD">
            <w:pPr>
              <w:spacing w:line="240" w:lineRule="auto"/>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2015-2019</w:t>
            </w:r>
          </w:p>
        </w:tc>
        <w:tc>
          <w:tcPr>
            <w:tcW w:w="0" w:type="auto"/>
            <w:vAlign w:val="center"/>
            <w:hideMark/>
          </w:tcPr>
          <w:p w14:paraId="032CCC6A"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71.7</w:t>
            </w:r>
          </w:p>
        </w:tc>
        <w:tc>
          <w:tcPr>
            <w:tcW w:w="0" w:type="auto"/>
            <w:vAlign w:val="center"/>
            <w:hideMark/>
          </w:tcPr>
          <w:p w14:paraId="68AAC011"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−6.8</w:t>
            </w:r>
          </w:p>
        </w:tc>
        <w:tc>
          <w:tcPr>
            <w:tcW w:w="0" w:type="auto"/>
            <w:vAlign w:val="center"/>
            <w:hideMark/>
          </w:tcPr>
          <w:p w14:paraId="799749E8"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39.4</w:t>
            </w:r>
          </w:p>
        </w:tc>
        <w:tc>
          <w:tcPr>
            <w:tcW w:w="0" w:type="auto"/>
            <w:vAlign w:val="center"/>
            <w:hideMark/>
          </w:tcPr>
          <w:p w14:paraId="3BFB322E"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7.9</w:t>
            </w:r>
          </w:p>
        </w:tc>
        <w:tc>
          <w:tcPr>
            <w:tcW w:w="0" w:type="auto"/>
            <w:vAlign w:val="center"/>
            <w:hideMark/>
          </w:tcPr>
          <w:p w14:paraId="2EC0F3F1"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6.7</w:t>
            </w:r>
          </w:p>
        </w:tc>
        <w:tc>
          <w:tcPr>
            <w:tcW w:w="0" w:type="auto"/>
            <w:vAlign w:val="center"/>
            <w:hideMark/>
          </w:tcPr>
          <w:p w14:paraId="3B5B273D"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w:t>
            </w:r>
          </w:p>
        </w:tc>
        <w:tc>
          <w:tcPr>
            <w:tcW w:w="0" w:type="auto"/>
            <w:vAlign w:val="center"/>
            <w:hideMark/>
          </w:tcPr>
          <w:p w14:paraId="32FD1BF6"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−18.9</w:t>
            </w:r>
          </w:p>
        </w:tc>
      </w:tr>
      <w:tr w:rsidR="005F5343" w:rsidRPr="00B50A59" w14:paraId="10385142" w14:textId="77777777" w:rsidTr="00F4206D">
        <w:trPr>
          <w:tblCellSpacing w:w="15" w:type="dxa"/>
        </w:trPr>
        <w:tc>
          <w:tcPr>
            <w:tcW w:w="0" w:type="auto"/>
            <w:tcBorders>
              <w:bottom w:val="single" w:sz="2" w:space="0" w:color="000000"/>
            </w:tcBorders>
            <w:vAlign w:val="center"/>
            <w:hideMark/>
          </w:tcPr>
          <w:p w14:paraId="6902C4E5" w14:textId="77777777" w:rsidR="00B50A59" w:rsidRPr="00B50A59" w:rsidRDefault="00B50A59" w:rsidP="00FE2DCD">
            <w:pPr>
              <w:spacing w:line="240" w:lineRule="auto"/>
              <w:rPr>
                <w:rFonts w:ascii="Times New Roman" w:eastAsia="Times New Roman" w:hAnsi="Times New Roman" w:cs="Times New Roman"/>
                <w:sz w:val="20"/>
                <w:szCs w:val="20"/>
              </w:rPr>
            </w:pPr>
          </w:p>
        </w:tc>
        <w:tc>
          <w:tcPr>
            <w:tcW w:w="0" w:type="auto"/>
            <w:tcBorders>
              <w:bottom w:val="single" w:sz="2" w:space="0" w:color="000000"/>
            </w:tcBorders>
            <w:vAlign w:val="center"/>
            <w:hideMark/>
          </w:tcPr>
          <w:p w14:paraId="2A488552" w14:textId="77777777" w:rsidR="00B50A59" w:rsidRPr="00B50A59" w:rsidRDefault="00B50A59" w:rsidP="00FE2DCD">
            <w:pPr>
              <w:spacing w:line="240" w:lineRule="auto"/>
              <w:rPr>
                <w:rFonts w:ascii="Times New Roman" w:eastAsia="Times New Roman" w:hAnsi="Times New Roman" w:cs="Times New Roman"/>
                <w:sz w:val="20"/>
                <w:szCs w:val="20"/>
              </w:rPr>
            </w:pPr>
          </w:p>
        </w:tc>
        <w:tc>
          <w:tcPr>
            <w:tcW w:w="0" w:type="auto"/>
            <w:tcBorders>
              <w:bottom w:val="single" w:sz="2" w:space="0" w:color="000000"/>
            </w:tcBorders>
            <w:vAlign w:val="center"/>
            <w:hideMark/>
          </w:tcPr>
          <w:p w14:paraId="3B2F657E" w14:textId="77777777" w:rsidR="00B50A59" w:rsidRPr="00B50A59" w:rsidRDefault="00B50A59" w:rsidP="00FE2DCD">
            <w:pPr>
              <w:spacing w:line="240" w:lineRule="auto"/>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2019-2022</w:t>
            </w:r>
          </w:p>
        </w:tc>
        <w:tc>
          <w:tcPr>
            <w:tcW w:w="0" w:type="auto"/>
            <w:tcBorders>
              <w:bottom w:val="single" w:sz="2" w:space="0" w:color="000000"/>
            </w:tcBorders>
            <w:vAlign w:val="center"/>
            <w:hideMark/>
          </w:tcPr>
          <w:p w14:paraId="24557049"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69.1</w:t>
            </w:r>
          </w:p>
        </w:tc>
        <w:tc>
          <w:tcPr>
            <w:tcW w:w="0" w:type="auto"/>
            <w:tcBorders>
              <w:bottom w:val="single" w:sz="2" w:space="0" w:color="000000"/>
            </w:tcBorders>
            <w:vAlign w:val="center"/>
            <w:hideMark/>
          </w:tcPr>
          <w:p w14:paraId="7CC16E5E"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19.7</w:t>
            </w:r>
          </w:p>
        </w:tc>
        <w:tc>
          <w:tcPr>
            <w:tcW w:w="0" w:type="auto"/>
            <w:tcBorders>
              <w:bottom w:val="single" w:sz="2" w:space="0" w:color="000000"/>
            </w:tcBorders>
            <w:vAlign w:val="center"/>
            <w:hideMark/>
          </w:tcPr>
          <w:p w14:paraId="23B401CA"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7.2</w:t>
            </w:r>
          </w:p>
        </w:tc>
        <w:tc>
          <w:tcPr>
            <w:tcW w:w="0" w:type="auto"/>
            <w:tcBorders>
              <w:bottom w:val="single" w:sz="2" w:space="0" w:color="000000"/>
            </w:tcBorders>
            <w:vAlign w:val="center"/>
            <w:hideMark/>
          </w:tcPr>
          <w:p w14:paraId="4BB55CC0"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5.3</w:t>
            </w:r>
          </w:p>
        </w:tc>
        <w:tc>
          <w:tcPr>
            <w:tcW w:w="0" w:type="auto"/>
            <w:tcBorders>
              <w:bottom w:val="single" w:sz="2" w:space="0" w:color="000000"/>
            </w:tcBorders>
            <w:vAlign w:val="center"/>
            <w:hideMark/>
          </w:tcPr>
          <w:p w14:paraId="07B41EB3"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−3.7</w:t>
            </w:r>
          </w:p>
        </w:tc>
        <w:tc>
          <w:tcPr>
            <w:tcW w:w="0" w:type="auto"/>
            <w:tcBorders>
              <w:bottom w:val="single" w:sz="2" w:space="0" w:color="000000"/>
            </w:tcBorders>
            <w:vAlign w:val="center"/>
            <w:hideMark/>
          </w:tcPr>
          <w:p w14:paraId="240A708D"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21.2</w:t>
            </w:r>
          </w:p>
        </w:tc>
        <w:tc>
          <w:tcPr>
            <w:tcW w:w="0" w:type="auto"/>
            <w:tcBorders>
              <w:bottom w:val="single" w:sz="2" w:space="0" w:color="000000"/>
            </w:tcBorders>
            <w:vAlign w:val="center"/>
            <w:hideMark/>
          </w:tcPr>
          <w:p w14:paraId="3F8C9B8D"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−18.7</w:t>
            </w:r>
          </w:p>
        </w:tc>
      </w:tr>
      <w:tr w:rsidR="005F5343" w:rsidRPr="00B50A59" w14:paraId="32B7F5DD" w14:textId="77777777" w:rsidTr="00F4206D">
        <w:trPr>
          <w:tblCellSpacing w:w="15" w:type="dxa"/>
        </w:trPr>
        <w:tc>
          <w:tcPr>
            <w:tcW w:w="0" w:type="auto"/>
            <w:vAlign w:val="center"/>
            <w:hideMark/>
          </w:tcPr>
          <w:p w14:paraId="5B920D11" w14:textId="77777777" w:rsidR="00B50A59" w:rsidRPr="00B50A59" w:rsidRDefault="00B50A59" w:rsidP="00FE2DCD">
            <w:pPr>
              <w:spacing w:line="240" w:lineRule="auto"/>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USA</w:t>
            </w:r>
          </w:p>
        </w:tc>
        <w:tc>
          <w:tcPr>
            <w:tcW w:w="0" w:type="auto"/>
            <w:vAlign w:val="center"/>
            <w:hideMark/>
          </w:tcPr>
          <w:p w14:paraId="0D0C38F2" w14:textId="77777777" w:rsidR="00B50A59" w:rsidRPr="00B50A59" w:rsidRDefault="00B50A59" w:rsidP="00FE2DCD">
            <w:pPr>
              <w:spacing w:line="240" w:lineRule="auto"/>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Female</w:t>
            </w:r>
          </w:p>
        </w:tc>
        <w:tc>
          <w:tcPr>
            <w:tcW w:w="0" w:type="auto"/>
            <w:vAlign w:val="center"/>
            <w:hideMark/>
          </w:tcPr>
          <w:p w14:paraId="28F14161" w14:textId="77777777" w:rsidR="00B50A59" w:rsidRPr="00B50A59" w:rsidRDefault="00B50A59" w:rsidP="00FE2DCD">
            <w:pPr>
              <w:spacing w:line="240" w:lineRule="auto"/>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2015-2019</w:t>
            </w:r>
          </w:p>
        </w:tc>
        <w:tc>
          <w:tcPr>
            <w:tcW w:w="0" w:type="auto"/>
            <w:vAlign w:val="center"/>
            <w:hideMark/>
          </w:tcPr>
          <w:p w14:paraId="4A65F92F"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80.0</w:t>
            </w:r>
          </w:p>
        </w:tc>
        <w:tc>
          <w:tcPr>
            <w:tcW w:w="0" w:type="auto"/>
            <w:vAlign w:val="center"/>
            <w:hideMark/>
          </w:tcPr>
          <w:p w14:paraId="45155CD6"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4.9</w:t>
            </w:r>
          </w:p>
        </w:tc>
        <w:tc>
          <w:tcPr>
            <w:tcW w:w="0" w:type="auto"/>
            <w:vAlign w:val="center"/>
            <w:hideMark/>
          </w:tcPr>
          <w:p w14:paraId="5F9752A2"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18.0</w:t>
            </w:r>
          </w:p>
        </w:tc>
        <w:tc>
          <w:tcPr>
            <w:tcW w:w="0" w:type="auto"/>
            <w:vAlign w:val="center"/>
            <w:hideMark/>
          </w:tcPr>
          <w:p w14:paraId="4B4A0956"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−14.7</w:t>
            </w:r>
          </w:p>
        </w:tc>
        <w:tc>
          <w:tcPr>
            <w:tcW w:w="0" w:type="auto"/>
            <w:vAlign w:val="center"/>
            <w:hideMark/>
          </w:tcPr>
          <w:p w14:paraId="72550513"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19.3</w:t>
            </w:r>
          </w:p>
        </w:tc>
        <w:tc>
          <w:tcPr>
            <w:tcW w:w="0" w:type="auto"/>
            <w:vAlign w:val="center"/>
            <w:hideMark/>
          </w:tcPr>
          <w:p w14:paraId="42B0AC21"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w:t>
            </w:r>
          </w:p>
        </w:tc>
        <w:tc>
          <w:tcPr>
            <w:tcW w:w="0" w:type="auto"/>
            <w:vAlign w:val="center"/>
            <w:hideMark/>
          </w:tcPr>
          <w:p w14:paraId="0EC83C24"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−7.6</w:t>
            </w:r>
          </w:p>
        </w:tc>
      </w:tr>
      <w:tr w:rsidR="005F5343" w:rsidRPr="00B50A59" w14:paraId="74AA3C9A" w14:textId="77777777" w:rsidTr="00F4206D">
        <w:trPr>
          <w:tblCellSpacing w:w="15" w:type="dxa"/>
        </w:trPr>
        <w:tc>
          <w:tcPr>
            <w:tcW w:w="0" w:type="auto"/>
            <w:vAlign w:val="center"/>
            <w:hideMark/>
          </w:tcPr>
          <w:p w14:paraId="565FEF62" w14:textId="77777777" w:rsidR="00B50A59" w:rsidRPr="00B50A59" w:rsidRDefault="00B50A59" w:rsidP="00FE2DCD">
            <w:pPr>
              <w:spacing w:line="240" w:lineRule="auto"/>
              <w:rPr>
                <w:rFonts w:ascii="Times New Roman" w:eastAsia="Times New Roman" w:hAnsi="Times New Roman" w:cs="Times New Roman"/>
                <w:sz w:val="20"/>
                <w:szCs w:val="20"/>
              </w:rPr>
            </w:pPr>
          </w:p>
        </w:tc>
        <w:tc>
          <w:tcPr>
            <w:tcW w:w="0" w:type="auto"/>
            <w:vAlign w:val="center"/>
            <w:hideMark/>
          </w:tcPr>
          <w:p w14:paraId="396F631C" w14:textId="77777777" w:rsidR="00B50A59" w:rsidRPr="00B50A59" w:rsidRDefault="00B50A59" w:rsidP="00FE2DCD">
            <w:pPr>
              <w:spacing w:line="240" w:lineRule="auto"/>
              <w:rPr>
                <w:rFonts w:ascii="Times New Roman" w:eastAsia="Times New Roman" w:hAnsi="Times New Roman" w:cs="Times New Roman"/>
                <w:sz w:val="20"/>
                <w:szCs w:val="20"/>
              </w:rPr>
            </w:pPr>
          </w:p>
        </w:tc>
        <w:tc>
          <w:tcPr>
            <w:tcW w:w="0" w:type="auto"/>
            <w:vAlign w:val="center"/>
            <w:hideMark/>
          </w:tcPr>
          <w:p w14:paraId="013A0137" w14:textId="77777777" w:rsidR="00B50A59" w:rsidRPr="00B50A59" w:rsidRDefault="00B50A59" w:rsidP="00FE2DCD">
            <w:pPr>
              <w:spacing w:line="240" w:lineRule="auto"/>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2019-2022</w:t>
            </w:r>
          </w:p>
        </w:tc>
        <w:tc>
          <w:tcPr>
            <w:tcW w:w="0" w:type="auto"/>
            <w:vAlign w:val="center"/>
            <w:hideMark/>
          </w:tcPr>
          <w:p w14:paraId="294D5EDE"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22.8</w:t>
            </w:r>
          </w:p>
        </w:tc>
        <w:tc>
          <w:tcPr>
            <w:tcW w:w="0" w:type="auto"/>
            <w:vAlign w:val="center"/>
            <w:hideMark/>
          </w:tcPr>
          <w:p w14:paraId="183D33DB"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3.0</w:t>
            </w:r>
          </w:p>
        </w:tc>
        <w:tc>
          <w:tcPr>
            <w:tcW w:w="0" w:type="auto"/>
            <w:vAlign w:val="center"/>
            <w:hideMark/>
          </w:tcPr>
          <w:p w14:paraId="7EFB294A"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16.2</w:t>
            </w:r>
          </w:p>
        </w:tc>
        <w:tc>
          <w:tcPr>
            <w:tcW w:w="0" w:type="auto"/>
            <w:vAlign w:val="center"/>
            <w:hideMark/>
          </w:tcPr>
          <w:p w14:paraId="046C0472"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5.0</w:t>
            </w:r>
          </w:p>
        </w:tc>
        <w:tc>
          <w:tcPr>
            <w:tcW w:w="0" w:type="auto"/>
            <w:vAlign w:val="center"/>
            <w:hideMark/>
          </w:tcPr>
          <w:p w14:paraId="3EF32B5B"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4.4</w:t>
            </w:r>
          </w:p>
        </w:tc>
        <w:tc>
          <w:tcPr>
            <w:tcW w:w="0" w:type="auto"/>
            <w:vAlign w:val="center"/>
            <w:hideMark/>
          </w:tcPr>
          <w:p w14:paraId="11D326C4"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32.3</w:t>
            </w:r>
          </w:p>
        </w:tc>
        <w:tc>
          <w:tcPr>
            <w:tcW w:w="0" w:type="auto"/>
            <w:vAlign w:val="center"/>
            <w:hideMark/>
          </w:tcPr>
          <w:p w14:paraId="6C82E579"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16.4</w:t>
            </w:r>
          </w:p>
        </w:tc>
      </w:tr>
      <w:tr w:rsidR="005F5343" w:rsidRPr="00B50A59" w14:paraId="4552F544" w14:textId="77777777" w:rsidTr="00F4206D">
        <w:trPr>
          <w:tblCellSpacing w:w="15" w:type="dxa"/>
        </w:trPr>
        <w:tc>
          <w:tcPr>
            <w:tcW w:w="0" w:type="auto"/>
            <w:vAlign w:val="center"/>
            <w:hideMark/>
          </w:tcPr>
          <w:p w14:paraId="41E3E4A5" w14:textId="77777777" w:rsidR="00B50A59" w:rsidRPr="00B50A59" w:rsidRDefault="00B50A59" w:rsidP="00FE2DCD">
            <w:pPr>
              <w:spacing w:line="240" w:lineRule="auto"/>
              <w:rPr>
                <w:rFonts w:ascii="Times New Roman" w:eastAsia="Times New Roman" w:hAnsi="Times New Roman" w:cs="Times New Roman"/>
                <w:sz w:val="20"/>
                <w:szCs w:val="20"/>
              </w:rPr>
            </w:pPr>
          </w:p>
        </w:tc>
        <w:tc>
          <w:tcPr>
            <w:tcW w:w="0" w:type="auto"/>
            <w:vAlign w:val="center"/>
            <w:hideMark/>
          </w:tcPr>
          <w:p w14:paraId="5EC75BCA" w14:textId="77777777" w:rsidR="00B50A59" w:rsidRPr="00B50A59" w:rsidRDefault="00B50A59" w:rsidP="00FE2DCD">
            <w:pPr>
              <w:spacing w:line="240" w:lineRule="auto"/>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Male</w:t>
            </w:r>
          </w:p>
        </w:tc>
        <w:tc>
          <w:tcPr>
            <w:tcW w:w="0" w:type="auto"/>
            <w:vAlign w:val="center"/>
            <w:hideMark/>
          </w:tcPr>
          <w:p w14:paraId="21194A06" w14:textId="77777777" w:rsidR="00B50A59" w:rsidRPr="00B50A59" w:rsidRDefault="00B50A59" w:rsidP="00FE2DCD">
            <w:pPr>
              <w:spacing w:line="240" w:lineRule="auto"/>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2015-2019</w:t>
            </w:r>
          </w:p>
        </w:tc>
        <w:tc>
          <w:tcPr>
            <w:tcW w:w="0" w:type="auto"/>
            <w:vAlign w:val="center"/>
            <w:hideMark/>
          </w:tcPr>
          <w:p w14:paraId="62398266"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49.1</w:t>
            </w:r>
          </w:p>
        </w:tc>
        <w:tc>
          <w:tcPr>
            <w:tcW w:w="0" w:type="auto"/>
            <w:vAlign w:val="center"/>
            <w:hideMark/>
          </w:tcPr>
          <w:p w14:paraId="534C6210"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−0.1</w:t>
            </w:r>
          </w:p>
        </w:tc>
        <w:tc>
          <w:tcPr>
            <w:tcW w:w="0" w:type="auto"/>
            <w:vAlign w:val="center"/>
            <w:hideMark/>
          </w:tcPr>
          <w:p w14:paraId="345AE5F1"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40.7</w:t>
            </w:r>
          </w:p>
        </w:tc>
        <w:tc>
          <w:tcPr>
            <w:tcW w:w="0" w:type="auto"/>
            <w:vAlign w:val="center"/>
            <w:hideMark/>
          </w:tcPr>
          <w:p w14:paraId="1E341822"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0.5</w:t>
            </w:r>
          </w:p>
        </w:tc>
        <w:tc>
          <w:tcPr>
            <w:tcW w:w="0" w:type="auto"/>
            <w:vAlign w:val="center"/>
            <w:hideMark/>
          </w:tcPr>
          <w:p w14:paraId="4F8E9210"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9.6</w:t>
            </w:r>
          </w:p>
        </w:tc>
        <w:tc>
          <w:tcPr>
            <w:tcW w:w="0" w:type="auto"/>
            <w:vAlign w:val="center"/>
            <w:hideMark/>
          </w:tcPr>
          <w:p w14:paraId="2B86551E"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w:t>
            </w:r>
          </w:p>
        </w:tc>
        <w:tc>
          <w:tcPr>
            <w:tcW w:w="0" w:type="auto"/>
            <w:vAlign w:val="center"/>
            <w:hideMark/>
          </w:tcPr>
          <w:p w14:paraId="5B7C298D"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0.2</w:t>
            </w:r>
          </w:p>
        </w:tc>
      </w:tr>
      <w:tr w:rsidR="005F5343" w:rsidRPr="00B50A59" w14:paraId="2A65A6E0" w14:textId="77777777" w:rsidTr="00F4206D">
        <w:trPr>
          <w:tblCellSpacing w:w="15" w:type="dxa"/>
        </w:trPr>
        <w:tc>
          <w:tcPr>
            <w:tcW w:w="0" w:type="auto"/>
            <w:tcBorders>
              <w:bottom w:val="single" w:sz="2" w:space="0" w:color="000000"/>
            </w:tcBorders>
            <w:vAlign w:val="center"/>
            <w:hideMark/>
          </w:tcPr>
          <w:p w14:paraId="1A9812E3" w14:textId="77777777" w:rsidR="00B50A59" w:rsidRPr="00B50A59" w:rsidRDefault="00B50A59" w:rsidP="00FE2DCD">
            <w:pPr>
              <w:spacing w:line="240" w:lineRule="auto"/>
              <w:rPr>
                <w:rFonts w:ascii="Times New Roman" w:eastAsia="Times New Roman" w:hAnsi="Times New Roman" w:cs="Times New Roman"/>
                <w:sz w:val="20"/>
                <w:szCs w:val="20"/>
              </w:rPr>
            </w:pPr>
          </w:p>
        </w:tc>
        <w:tc>
          <w:tcPr>
            <w:tcW w:w="0" w:type="auto"/>
            <w:tcBorders>
              <w:bottom w:val="single" w:sz="2" w:space="0" w:color="000000"/>
            </w:tcBorders>
            <w:vAlign w:val="center"/>
            <w:hideMark/>
          </w:tcPr>
          <w:p w14:paraId="5719587E" w14:textId="77777777" w:rsidR="00B50A59" w:rsidRPr="00B50A59" w:rsidRDefault="00B50A59" w:rsidP="00FE2DCD">
            <w:pPr>
              <w:spacing w:line="240" w:lineRule="auto"/>
              <w:rPr>
                <w:rFonts w:ascii="Times New Roman" w:eastAsia="Times New Roman" w:hAnsi="Times New Roman" w:cs="Times New Roman"/>
                <w:sz w:val="20"/>
                <w:szCs w:val="20"/>
              </w:rPr>
            </w:pPr>
          </w:p>
        </w:tc>
        <w:tc>
          <w:tcPr>
            <w:tcW w:w="0" w:type="auto"/>
            <w:tcBorders>
              <w:bottom w:val="single" w:sz="2" w:space="0" w:color="000000"/>
            </w:tcBorders>
            <w:vAlign w:val="center"/>
            <w:hideMark/>
          </w:tcPr>
          <w:p w14:paraId="0264C54D" w14:textId="77777777" w:rsidR="00B50A59" w:rsidRPr="00B50A59" w:rsidRDefault="00B50A59" w:rsidP="00FE2DCD">
            <w:pPr>
              <w:spacing w:line="240" w:lineRule="auto"/>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2019-2022</w:t>
            </w:r>
          </w:p>
        </w:tc>
        <w:tc>
          <w:tcPr>
            <w:tcW w:w="0" w:type="auto"/>
            <w:tcBorders>
              <w:bottom w:val="single" w:sz="2" w:space="0" w:color="000000"/>
            </w:tcBorders>
            <w:vAlign w:val="center"/>
            <w:hideMark/>
          </w:tcPr>
          <w:p w14:paraId="6EF1C12F"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21.7</w:t>
            </w:r>
          </w:p>
        </w:tc>
        <w:tc>
          <w:tcPr>
            <w:tcW w:w="0" w:type="auto"/>
            <w:tcBorders>
              <w:bottom w:val="single" w:sz="2" w:space="0" w:color="000000"/>
            </w:tcBorders>
            <w:vAlign w:val="center"/>
            <w:hideMark/>
          </w:tcPr>
          <w:p w14:paraId="4B8D1A58"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8.1</w:t>
            </w:r>
          </w:p>
        </w:tc>
        <w:tc>
          <w:tcPr>
            <w:tcW w:w="0" w:type="auto"/>
            <w:tcBorders>
              <w:bottom w:val="single" w:sz="2" w:space="0" w:color="000000"/>
            </w:tcBorders>
            <w:vAlign w:val="center"/>
            <w:hideMark/>
          </w:tcPr>
          <w:p w14:paraId="7F386C85"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24.9</w:t>
            </w:r>
          </w:p>
        </w:tc>
        <w:tc>
          <w:tcPr>
            <w:tcW w:w="0" w:type="auto"/>
            <w:tcBorders>
              <w:bottom w:val="single" w:sz="2" w:space="0" w:color="000000"/>
            </w:tcBorders>
            <w:vAlign w:val="center"/>
            <w:hideMark/>
          </w:tcPr>
          <w:p w14:paraId="32A82041"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2.7</w:t>
            </w:r>
          </w:p>
        </w:tc>
        <w:tc>
          <w:tcPr>
            <w:tcW w:w="0" w:type="auto"/>
            <w:tcBorders>
              <w:bottom w:val="single" w:sz="2" w:space="0" w:color="000000"/>
            </w:tcBorders>
            <w:vAlign w:val="center"/>
            <w:hideMark/>
          </w:tcPr>
          <w:p w14:paraId="76EA33DA"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11.0</w:t>
            </w:r>
          </w:p>
        </w:tc>
        <w:tc>
          <w:tcPr>
            <w:tcW w:w="0" w:type="auto"/>
            <w:tcBorders>
              <w:bottom w:val="single" w:sz="2" w:space="0" w:color="000000"/>
            </w:tcBorders>
            <w:vAlign w:val="center"/>
            <w:hideMark/>
          </w:tcPr>
          <w:p w14:paraId="11D43506"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23.5</w:t>
            </w:r>
          </w:p>
        </w:tc>
        <w:tc>
          <w:tcPr>
            <w:tcW w:w="0" w:type="auto"/>
            <w:tcBorders>
              <w:bottom w:val="single" w:sz="2" w:space="0" w:color="000000"/>
            </w:tcBorders>
            <w:vAlign w:val="center"/>
            <w:hideMark/>
          </w:tcPr>
          <w:p w14:paraId="1502E05A" w14:textId="77777777" w:rsidR="00B50A59" w:rsidRPr="00B50A59" w:rsidRDefault="00B50A59" w:rsidP="00FE2DCD">
            <w:pPr>
              <w:spacing w:line="240" w:lineRule="auto"/>
              <w:jc w:val="right"/>
              <w:rPr>
                <w:rFonts w:ascii="Times New Roman" w:eastAsia="Times New Roman" w:hAnsi="Times New Roman" w:cs="Times New Roman"/>
                <w:sz w:val="20"/>
                <w:szCs w:val="20"/>
              </w:rPr>
            </w:pPr>
            <w:r w:rsidRPr="00B50A59">
              <w:rPr>
                <w:rFonts w:ascii="Times New Roman" w:eastAsia="Times New Roman" w:hAnsi="Times New Roman" w:cs="Times New Roman"/>
                <w:sz w:val="20"/>
                <w:szCs w:val="20"/>
              </w:rPr>
              <w:t>8.1</w:t>
            </w:r>
          </w:p>
        </w:tc>
      </w:tr>
      <w:tr w:rsidR="00B50A59" w:rsidRPr="005F5343" w14:paraId="0D2E904C" w14:textId="77777777" w:rsidTr="00F4206D">
        <w:trPr>
          <w:tblCellSpacing w:w="15" w:type="dxa"/>
        </w:trPr>
        <w:tc>
          <w:tcPr>
            <w:tcW w:w="0" w:type="auto"/>
            <w:gridSpan w:val="10"/>
            <w:vAlign w:val="center"/>
            <w:hideMark/>
          </w:tcPr>
          <w:p w14:paraId="4D1A3290" w14:textId="59FF4C85" w:rsidR="005F5343" w:rsidRDefault="005F5343" w:rsidP="00FE2DCD">
            <w:pPr>
              <w:spacing w:after="0" w:line="240" w:lineRule="auto"/>
              <w:jc w:val="both"/>
              <w:rPr>
                <w:rFonts w:ascii="Times New Roman" w:hAnsi="Times New Roman" w:cs="Times New Roman"/>
                <w:lang w:val="en-GB"/>
              </w:rPr>
            </w:pPr>
            <w:r w:rsidRPr="00661506">
              <w:rPr>
                <w:rFonts w:ascii="Times New Roman" w:hAnsi="Times New Roman" w:cs="Times New Roman"/>
                <w:i/>
                <w:lang w:val="en-GB"/>
              </w:rPr>
              <w:t>Note:</w:t>
            </w:r>
            <w:r>
              <w:rPr>
                <w:rFonts w:ascii="Times New Roman" w:hAnsi="Times New Roman" w:cs="Times New Roman"/>
                <w:i/>
                <w:lang w:val="en-GB"/>
              </w:rPr>
              <w:t xml:space="preserve"> </w:t>
            </w:r>
            <w:r w:rsidR="00D946DA" w:rsidRPr="00F4206D">
              <w:rPr>
                <w:rFonts w:ascii="Times New Roman" w:hAnsi="Times New Roman" w:cs="Times New Roman"/>
                <w:lang w:val="en-GB"/>
              </w:rPr>
              <w:t>p</w:t>
            </w:r>
            <w:r>
              <w:rPr>
                <w:rFonts w:ascii="Times New Roman" w:hAnsi="Times New Roman" w:cs="Times New Roman"/>
                <w:lang w:val="en-GB"/>
              </w:rPr>
              <w:t xml:space="preserve">ercent contributions to increasing life expectancy disadvantage. </w:t>
            </w:r>
            <w:r w:rsidRPr="00DF1D6F">
              <w:rPr>
                <w:rFonts w:ascii="Times New Roman" w:hAnsi="Times New Roman" w:cs="Times New Roman"/>
                <w:lang w:val="en-GB"/>
              </w:rPr>
              <w:t xml:space="preserve">Positive </w:t>
            </w:r>
            <w:r>
              <w:rPr>
                <w:rFonts w:ascii="Times New Roman" w:hAnsi="Times New Roman" w:cs="Times New Roman"/>
                <w:lang w:val="en-GB"/>
              </w:rPr>
              <w:t>values</w:t>
            </w:r>
            <w:r w:rsidRPr="00DF1D6F">
              <w:rPr>
                <w:rFonts w:ascii="Times New Roman" w:hAnsi="Times New Roman" w:cs="Times New Roman"/>
                <w:lang w:val="en-GB"/>
              </w:rPr>
              <w:t xml:space="preserve"> = cause of death contributed to </w:t>
            </w:r>
            <w:r>
              <w:rPr>
                <w:rFonts w:ascii="Times New Roman" w:hAnsi="Times New Roman" w:cs="Times New Roman"/>
                <w:lang w:val="en-GB"/>
              </w:rPr>
              <w:t xml:space="preserve">increasing </w:t>
            </w:r>
            <w:r w:rsidRPr="00DF1D6F">
              <w:rPr>
                <w:rFonts w:ascii="Times New Roman" w:hAnsi="Times New Roman" w:cs="Times New Roman"/>
                <w:lang w:val="en-GB"/>
              </w:rPr>
              <w:t>life expectancy di</w:t>
            </w:r>
            <w:r>
              <w:rPr>
                <w:rFonts w:ascii="Times New Roman" w:hAnsi="Times New Roman" w:cs="Times New Roman"/>
                <w:lang w:val="en-GB"/>
              </w:rPr>
              <w:t>sadvantage</w:t>
            </w:r>
            <w:r w:rsidRPr="00DF1D6F">
              <w:rPr>
                <w:rFonts w:ascii="Times New Roman" w:hAnsi="Times New Roman" w:cs="Times New Roman"/>
                <w:lang w:val="en-GB"/>
              </w:rPr>
              <w:t>.</w:t>
            </w:r>
            <w:r>
              <w:rPr>
                <w:rFonts w:ascii="Times New Roman" w:hAnsi="Times New Roman" w:cs="Times New Roman"/>
                <w:lang w:val="en-GB"/>
              </w:rPr>
              <w:t xml:space="preserve"> </w:t>
            </w:r>
            <w:r w:rsidRPr="00DF1D6F">
              <w:rPr>
                <w:rFonts w:ascii="Times New Roman" w:hAnsi="Times New Roman" w:cs="Times New Roman"/>
                <w:lang w:val="en-GB"/>
              </w:rPr>
              <w:t xml:space="preserve">Negative </w:t>
            </w:r>
            <w:r>
              <w:rPr>
                <w:rFonts w:ascii="Times New Roman" w:hAnsi="Times New Roman" w:cs="Times New Roman"/>
                <w:lang w:val="en-GB"/>
              </w:rPr>
              <w:t>values</w:t>
            </w:r>
            <w:r w:rsidRPr="00DF1D6F">
              <w:rPr>
                <w:rFonts w:ascii="Times New Roman" w:hAnsi="Times New Roman" w:cs="Times New Roman"/>
                <w:lang w:val="en-GB"/>
              </w:rPr>
              <w:t xml:space="preserve"> = cause of death offset </w:t>
            </w:r>
            <w:r>
              <w:rPr>
                <w:rFonts w:ascii="Times New Roman" w:hAnsi="Times New Roman" w:cs="Times New Roman"/>
                <w:lang w:val="en-GB"/>
              </w:rPr>
              <w:t xml:space="preserve">increasing </w:t>
            </w:r>
            <w:r w:rsidRPr="00DF1D6F">
              <w:rPr>
                <w:rFonts w:ascii="Times New Roman" w:hAnsi="Times New Roman" w:cs="Times New Roman"/>
                <w:lang w:val="en-GB"/>
              </w:rPr>
              <w:t xml:space="preserve">life expectancy </w:t>
            </w:r>
            <w:r>
              <w:rPr>
                <w:rFonts w:ascii="Times New Roman" w:hAnsi="Times New Roman" w:cs="Times New Roman"/>
                <w:lang w:val="en-GB"/>
              </w:rPr>
              <w:t>disadvantage</w:t>
            </w:r>
            <w:r w:rsidRPr="00DF1D6F">
              <w:rPr>
                <w:rFonts w:ascii="Times New Roman" w:hAnsi="Times New Roman" w:cs="Times New Roman"/>
                <w:lang w:val="en-GB"/>
              </w:rPr>
              <w:t>.</w:t>
            </w:r>
            <w:r>
              <w:rPr>
                <w:rFonts w:ascii="Times New Roman" w:hAnsi="Times New Roman" w:cs="Times New Roman"/>
                <w:lang w:val="en-GB"/>
              </w:rPr>
              <w:t xml:space="preserve"> Sum across causes of death equals 100%. </w:t>
            </w:r>
            <w:r w:rsidRPr="001942CF">
              <w:rPr>
                <w:rFonts w:ascii="Times New Roman" w:hAnsi="Times New Roman" w:cs="Times New Roman"/>
                <w:i/>
                <w:lang w:val="en-GB"/>
              </w:rPr>
              <w:t>Source</w:t>
            </w:r>
            <w:r>
              <w:rPr>
                <w:rFonts w:ascii="Times New Roman" w:hAnsi="Times New Roman" w:cs="Times New Roman"/>
                <w:i/>
                <w:lang w:val="en-GB"/>
              </w:rPr>
              <w:t xml:space="preserve">: </w:t>
            </w:r>
            <w:r>
              <w:rPr>
                <w:rFonts w:ascii="Times New Roman" w:hAnsi="Times New Roman" w:cs="Times New Roman"/>
                <w:lang w:val="en-GB"/>
              </w:rPr>
              <w:t>see Chapter 3.</w:t>
            </w:r>
          </w:p>
          <w:p w14:paraId="18BFB279" w14:textId="6F9BF530" w:rsidR="00B50A59" w:rsidRPr="005F5343" w:rsidRDefault="00B50A59" w:rsidP="00FE2DCD">
            <w:pPr>
              <w:spacing w:line="240" w:lineRule="auto"/>
              <w:rPr>
                <w:rFonts w:ascii="Times New Roman" w:eastAsia="Times New Roman" w:hAnsi="Times New Roman" w:cs="Times New Roman"/>
                <w:sz w:val="20"/>
                <w:szCs w:val="20"/>
                <w:lang w:val="en-GB"/>
              </w:rPr>
            </w:pPr>
          </w:p>
        </w:tc>
      </w:tr>
    </w:tbl>
    <w:p w14:paraId="391699FB" w14:textId="77777777" w:rsidR="00147E41" w:rsidRDefault="00147E41" w:rsidP="00147E41">
      <w:pPr>
        <w:spacing w:after="0" w:line="480" w:lineRule="auto"/>
        <w:jc w:val="both"/>
        <w:rPr>
          <w:rFonts w:ascii="Times New Roman" w:hAnsi="Times New Roman" w:cs="Times New Roman"/>
          <w:b/>
          <w:lang w:val="en-GB"/>
        </w:rPr>
      </w:pPr>
    </w:p>
    <w:p w14:paraId="4D488F27" w14:textId="77777777" w:rsidR="00FE2DCD" w:rsidRDefault="00FE2DCD" w:rsidP="00FE2DCD">
      <w:pPr>
        <w:spacing w:after="0" w:line="480" w:lineRule="auto"/>
        <w:jc w:val="both"/>
        <w:rPr>
          <w:rFonts w:ascii="Times New Roman" w:hAnsi="Times New Roman" w:cs="Times New Roman"/>
          <w:b/>
          <w:lang w:val="en-GB"/>
        </w:rPr>
      </w:pPr>
      <w:r w:rsidRPr="00E134E7">
        <w:rPr>
          <w:rFonts w:ascii="Times New Roman" w:hAnsi="Times New Roman" w:cs="Times New Roman"/>
          <w:b/>
          <w:lang w:val="en-GB"/>
        </w:rPr>
        <w:lastRenderedPageBreak/>
        <w:t>References</w:t>
      </w:r>
    </w:p>
    <w:p w14:paraId="1A13F23F" w14:textId="77777777" w:rsidR="00CE0102" w:rsidRPr="00CE0102" w:rsidRDefault="00FE2DCD" w:rsidP="00CE0102">
      <w:pPr>
        <w:pStyle w:val="Bibliography"/>
        <w:rPr>
          <w:rFonts w:ascii="Times New Roman" w:hAnsi="Times New Roman" w:cs="Times New Roman"/>
          <w:lang w:val="en-GB"/>
        </w:rPr>
      </w:pPr>
      <w:r>
        <w:rPr>
          <w:lang w:val="en-GB"/>
        </w:rPr>
        <w:fldChar w:fldCharType="begin"/>
      </w:r>
      <w:r w:rsidR="00CE0102">
        <w:rPr>
          <w:lang w:val="en-GB"/>
        </w:rPr>
        <w:instrText xml:space="preserve"> ADDIN ZOTERO_BIBL {"uncited":[],"omitted":[],"custom":[]} CSL_BIBLIOGRAPHY </w:instrText>
      </w:r>
      <w:r>
        <w:rPr>
          <w:lang w:val="en-GB"/>
        </w:rPr>
        <w:fldChar w:fldCharType="separate"/>
      </w:r>
      <w:r w:rsidR="00CE0102" w:rsidRPr="00CE0102">
        <w:rPr>
          <w:rFonts w:ascii="Times New Roman" w:hAnsi="Times New Roman" w:cs="Times New Roman"/>
          <w:lang w:val="en-GB"/>
        </w:rPr>
        <w:t xml:space="preserve">Ho, J. Y. (2019). The contemporary American drug overdose epidemic in international perspective. </w:t>
      </w:r>
      <w:r w:rsidR="00CE0102" w:rsidRPr="00CE0102">
        <w:rPr>
          <w:rFonts w:ascii="Times New Roman" w:hAnsi="Times New Roman" w:cs="Times New Roman"/>
          <w:i/>
          <w:iCs/>
          <w:lang w:val="en-GB"/>
        </w:rPr>
        <w:t>Population and Development Review</w:t>
      </w:r>
      <w:r w:rsidR="00CE0102" w:rsidRPr="00CE0102">
        <w:rPr>
          <w:rFonts w:ascii="Times New Roman" w:hAnsi="Times New Roman" w:cs="Times New Roman"/>
          <w:lang w:val="en-GB"/>
        </w:rPr>
        <w:t xml:space="preserve">, </w:t>
      </w:r>
      <w:r w:rsidR="00CE0102" w:rsidRPr="00CE0102">
        <w:rPr>
          <w:rFonts w:ascii="Times New Roman" w:hAnsi="Times New Roman" w:cs="Times New Roman"/>
          <w:i/>
          <w:iCs/>
          <w:lang w:val="en-GB"/>
        </w:rPr>
        <w:t>45</w:t>
      </w:r>
      <w:r w:rsidR="00CE0102" w:rsidRPr="00CE0102">
        <w:rPr>
          <w:rFonts w:ascii="Times New Roman" w:hAnsi="Times New Roman" w:cs="Times New Roman"/>
          <w:lang w:val="en-GB"/>
        </w:rPr>
        <w:t>, 7–40. https://doi.org/10.1111/padr.12228</w:t>
      </w:r>
    </w:p>
    <w:p w14:paraId="0A411D20" w14:textId="77777777" w:rsidR="00CE0102" w:rsidRPr="00CE0102" w:rsidRDefault="00CE0102" w:rsidP="00CE0102">
      <w:pPr>
        <w:pStyle w:val="Bibliography"/>
        <w:rPr>
          <w:rFonts w:ascii="Times New Roman" w:hAnsi="Times New Roman" w:cs="Times New Roman"/>
          <w:lang w:val="en-GB"/>
        </w:rPr>
      </w:pPr>
      <w:r w:rsidRPr="00CE0102">
        <w:rPr>
          <w:rFonts w:ascii="Times New Roman" w:hAnsi="Times New Roman" w:cs="Times New Roman"/>
          <w:lang w:val="en-GB"/>
        </w:rPr>
        <w:t xml:space="preserve">Polizzi, A., &amp; Dowd, J. B. (2024). Working-age mortality is still an important driver of stagnating life expectancy in the United States. </w:t>
      </w:r>
      <w:r w:rsidRPr="00CE0102">
        <w:rPr>
          <w:rFonts w:ascii="Times New Roman" w:hAnsi="Times New Roman" w:cs="Times New Roman"/>
          <w:i/>
          <w:iCs/>
          <w:lang w:val="en-GB"/>
        </w:rPr>
        <w:t>Proceedings of the National Academy of Sciences</w:t>
      </w:r>
      <w:r w:rsidRPr="00CE0102">
        <w:rPr>
          <w:rFonts w:ascii="Times New Roman" w:hAnsi="Times New Roman" w:cs="Times New Roman"/>
          <w:lang w:val="en-GB"/>
        </w:rPr>
        <w:t xml:space="preserve">, </w:t>
      </w:r>
      <w:r w:rsidRPr="00CE0102">
        <w:rPr>
          <w:rFonts w:ascii="Times New Roman" w:hAnsi="Times New Roman" w:cs="Times New Roman"/>
          <w:i/>
          <w:iCs/>
          <w:lang w:val="en-GB"/>
        </w:rPr>
        <w:t>121</w:t>
      </w:r>
      <w:r w:rsidRPr="00CE0102">
        <w:rPr>
          <w:rFonts w:ascii="Times New Roman" w:hAnsi="Times New Roman" w:cs="Times New Roman"/>
          <w:lang w:val="en-GB"/>
        </w:rPr>
        <w:t>(4), e2318276121. https://doi.org/10.1073/pnas.2318276121</w:t>
      </w:r>
    </w:p>
    <w:p w14:paraId="7F071DFA" w14:textId="77777777" w:rsidR="00CE0102" w:rsidRPr="00CE0102" w:rsidRDefault="00CE0102" w:rsidP="00CE0102">
      <w:pPr>
        <w:pStyle w:val="Bibliography"/>
        <w:rPr>
          <w:rFonts w:ascii="Times New Roman" w:hAnsi="Times New Roman" w:cs="Times New Roman"/>
          <w:lang w:val="en-GB"/>
        </w:rPr>
      </w:pPr>
      <w:r w:rsidRPr="00CE0102">
        <w:rPr>
          <w:rFonts w:ascii="Times New Roman" w:hAnsi="Times New Roman" w:cs="Times New Roman"/>
          <w:lang w:val="en-GB"/>
        </w:rPr>
        <w:t xml:space="preserve">Ramsay, J., Minton, J., Fischbacher, C., Fenton, L., Kaye-Bardgett, M., Wyper, G. M. A., Richardson, E., &amp; McCartney, G. (2020). How have changes in death by cause and age group contributed to the recent stalling of life expectancy gains in Scotland? Comparative decomposition analysis of mortality data, 2000–2002 to 2015–2017. </w:t>
      </w:r>
      <w:r w:rsidRPr="00CE0102">
        <w:rPr>
          <w:rFonts w:ascii="Times New Roman" w:hAnsi="Times New Roman" w:cs="Times New Roman"/>
          <w:i/>
          <w:iCs/>
          <w:lang w:val="en-GB"/>
        </w:rPr>
        <w:t>BMJ Open</w:t>
      </w:r>
      <w:r w:rsidRPr="00CE0102">
        <w:rPr>
          <w:rFonts w:ascii="Times New Roman" w:hAnsi="Times New Roman" w:cs="Times New Roman"/>
          <w:lang w:val="en-GB"/>
        </w:rPr>
        <w:t xml:space="preserve">, </w:t>
      </w:r>
      <w:r w:rsidRPr="00CE0102">
        <w:rPr>
          <w:rFonts w:ascii="Times New Roman" w:hAnsi="Times New Roman" w:cs="Times New Roman"/>
          <w:i/>
          <w:iCs/>
          <w:lang w:val="en-GB"/>
        </w:rPr>
        <w:t>10</w:t>
      </w:r>
      <w:r w:rsidRPr="00CE0102">
        <w:rPr>
          <w:rFonts w:ascii="Times New Roman" w:hAnsi="Times New Roman" w:cs="Times New Roman"/>
          <w:lang w:val="en-GB"/>
        </w:rPr>
        <w:t>(10), e036529. https://doi.org/10.1136/bmjopen-2019-036529</w:t>
      </w:r>
    </w:p>
    <w:p w14:paraId="31921BFD" w14:textId="190BE384" w:rsidR="00FE2DCD" w:rsidRPr="00D71788" w:rsidRDefault="00FE2DCD" w:rsidP="00FE2DCD">
      <w:pPr>
        <w:spacing w:after="0" w:line="480" w:lineRule="auto"/>
        <w:jc w:val="both"/>
        <w:rPr>
          <w:rFonts w:ascii="Times New Roman" w:hAnsi="Times New Roman" w:cs="Times New Roman"/>
          <w:b/>
          <w:lang w:val="en-GB"/>
        </w:rPr>
      </w:pPr>
      <w:r>
        <w:rPr>
          <w:rFonts w:ascii="Times New Roman" w:hAnsi="Times New Roman" w:cs="Times New Roman"/>
          <w:lang w:val="en-GB"/>
        </w:rPr>
        <w:fldChar w:fldCharType="end"/>
      </w:r>
    </w:p>
    <w:sectPr w:rsidR="00FE2DCD" w:rsidRPr="00D71788" w:rsidSect="007116D0">
      <w:footerReference w:type="default" r:id="rId12"/>
      <w:pgSz w:w="11906" w:h="16838"/>
      <w:pgMar w:top="1440" w:right="1440" w:bottom="1440" w:left="1814" w:header="720" w:footer="720" w:gutter="0"/>
      <w:pgNumType w:start="13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B0305" w14:textId="77777777" w:rsidR="003057FC" w:rsidRDefault="003057FC" w:rsidP="00826D38">
      <w:pPr>
        <w:spacing w:after="0" w:line="240" w:lineRule="auto"/>
      </w:pPr>
      <w:r>
        <w:separator/>
      </w:r>
    </w:p>
  </w:endnote>
  <w:endnote w:type="continuationSeparator" w:id="0">
    <w:p w14:paraId="4505777F" w14:textId="77777777" w:rsidR="003057FC" w:rsidRDefault="003057FC" w:rsidP="00826D38">
      <w:pPr>
        <w:spacing w:after="0" w:line="240" w:lineRule="auto"/>
      </w:pPr>
      <w:r>
        <w:continuationSeparator/>
      </w:r>
    </w:p>
  </w:endnote>
  <w:endnote w:type="continuationNotice" w:id="1">
    <w:p w14:paraId="3601A118" w14:textId="77777777" w:rsidR="003057FC" w:rsidRDefault="003057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abon Next LT">
    <w:charset w:val="00"/>
    <w:family w:val="auto"/>
    <w:pitch w:val="variable"/>
    <w:sig w:usb0="A11526FF" w:usb1="D000000B" w:usb2="0001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F6DE5" w14:textId="450878D5" w:rsidR="00102D61" w:rsidRPr="00102D61" w:rsidRDefault="00102D61" w:rsidP="00102D61">
    <w:pPr>
      <w:pStyle w:val="Footer"/>
      <w:jc w:val="center"/>
      <w:rPr>
        <w:rFonts w:ascii="Times New Roman" w:hAnsi="Times New Roman" w:cs="Times New Roman"/>
      </w:rPr>
    </w:pPr>
    <w:r>
      <w:rPr>
        <w:rFonts w:ascii="Times New Roman" w:hAnsi="Times New Roman" w:cs="Times New Roman"/>
      </w:rPr>
      <w:t xml:space="preserve">Page </w:t>
    </w:r>
    <w:r>
      <w:rPr>
        <w:rFonts w:ascii="Times New Roman" w:hAnsi="Times New Roman" w:cs="Times New Roman"/>
      </w:rPr>
      <w:fldChar w:fldCharType="begin"/>
    </w:r>
    <w:r>
      <w:rPr>
        <w:rFonts w:ascii="Times New Roman" w:hAnsi="Times New Roman" w:cs="Times New Roman"/>
      </w:rPr>
      <w:instrText xml:space="preserve"> PAGE  \* Arabic  \* MERGEFORMAT </w:instrText>
    </w:r>
    <w:r>
      <w:rPr>
        <w:rFonts w:ascii="Times New Roman" w:hAnsi="Times New Roman" w:cs="Times New Roman"/>
      </w:rPr>
      <w:fldChar w:fldCharType="separate"/>
    </w:r>
    <w:r>
      <w:rPr>
        <w:rFonts w:ascii="Times New Roman" w:hAnsi="Times New Roman" w:cs="Times New Roman"/>
        <w:noProof/>
      </w:rPr>
      <w:t>1</w:t>
    </w:r>
    <w:r>
      <w:rPr>
        <w:rFonts w:ascii="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2D642" w14:textId="77777777" w:rsidR="003057FC" w:rsidRDefault="003057FC" w:rsidP="00826D38">
      <w:pPr>
        <w:spacing w:after="0" w:line="240" w:lineRule="auto"/>
      </w:pPr>
      <w:r>
        <w:separator/>
      </w:r>
    </w:p>
  </w:footnote>
  <w:footnote w:type="continuationSeparator" w:id="0">
    <w:p w14:paraId="62573616" w14:textId="77777777" w:rsidR="003057FC" w:rsidRDefault="003057FC" w:rsidP="00826D38">
      <w:pPr>
        <w:spacing w:after="0" w:line="240" w:lineRule="auto"/>
      </w:pPr>
      <w:r>
        <w:continuationSeparator/>
      </w:r>
    </w:p>
  </w:footnote>
  <w:footnote w:type="continuationNotice" w:id="1">
    <w:p w14:paraId="3DFB7935" w14:textId="77777777" w:rsidR="003057FC" w:rsidRDefault="003057FC">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DD5DA5B"/>
    <w:rsid w:val="00000295"/>
    <w:rsid w:val="00002C5E"/>
    <w:rsid w:val="000102CE"/>
    <w:rsid w:val="000172C4"/>
    <w:rsid w:val="00017B47"/>
    <w:rsid w:val="00032A5D"/>
    <w:rsid w:val="00032EFC"/>
    <w:rsid w:val="00034554"/>
    <w:rsid w:val="00034EAF"/>
    <w:rsid w:val="00037664"/>
    <w:rsid w:val="000405BA"/>
    <w:rsid w:val="0004748F"/>
    <w:rsid w:val="000603E5"/>
    <w:rsid w:val="000613C4"/>
    <w:rsid w:val="00062E98"/>
    <w:rsid w:val="000648CF"/>
    <w:rsid w:val="00065396"/>
    <w:rsid w:val="00071091"/>
    <w:rsid w:val="00074B63"/>
    <w:rsid w:val="00081CCF"/>
    <w:rsid w:val="0008546C"/>
    <w:rsid w:val="00085FC6"/>
    <w:rsid w:val="00086E1A"/>
    <w:rsid w:val="00087679"/>
    <w:rsid w:val="00090FE4"/>
    <w:rsid w:val="00091F0B"/>
    <w:rsid w:val="0009303E"/>
    <w:rsid w:val="0009468E"/>
    <w:rsid w:val="000972E8"/>
    <w:rsid w:val="000A28F7"/>
    <w:rsid w:val="000B2C51"/>
    <w:rsid w:val="000B3596"/>
    <w:rsid w:val="000B4DA8"/>
    <w:rsid w:val="000B6BAB"/>
    <w:rsid w:val="000C4D41"/>
    <w:rsid w:val="000D7A24"/>
    <w:rsid w:val="000E0F20"/>
    <w:rsid w:val="000E1F0D"/>
    <w:rsid w:val="000F4159"/>
    <w:rsid w:val="00101668"/>
    <w:rsid w:val="00102D61"/>
    <w:rsid w:val="001033BC"/>
    <w:rsid w:val="00110877"/>
    <w:rsid w:val="00113AEA"/>
    <w:rsid w:val="00113FBB"/>
    <w:rsid w:val="00114E76"/>
    <w:rsid w:val="00123C39"/>
    <w:rsid w:val="00130370"/>
    <w:rsid w:val="00130905"/>
    <w:rsid w:val="0013669B"/>
    <w:rsid w:val="001425CD"/>
    <w:rsid w:val="0014328C"/>
    <w:rsid w:val="00143847"/>
    <w:rsid w:val="00147E41"/>
    <w:rsid w:val="00152744"/>
    <w:rsid w:val="001559C2"/>
    <w:rsid w:val="00155DE2"/>
    <w:rsid w:val="00157065"/>
    <w:rsid w:val="00165BC1"/>
    <w:rsid w:val="00166D29"/>
    <w:rsid w:val="00180C43"/>
    <w:rsid w:val="00182C49"/>
    <w:rsid w:val="00186521"/>
    <w:rsid w:val="00187A28"/>
    <w:rsid w:val="001942CF"/>
    <w:rsid w:val="001947FC"/>
    <w:rsid w:val="00196A23"/>
    <w:rsid w:val="001A334F"/>
    <w:rsid w:val="001A4A37"/>
    <w:rsid w:val="001B23F9"/>
    <w:rsid w:val="001B4D47"/>
    <w:rsid w:val="001B56D4"/>
    <w:rsid w:val="001B5CEA"/>
    <w:rsid w:val="001B6FDE"/>
    <w:rsid w:val="001C5850"/>
    <w:rsid w:val="001D0C65"/>
    <w:rsid w:val="001D3EC6"/>
    <w:rsid w:val="001D508D"/>
    <w:rsid w:val="001D7BBD"/>
    <w:rsid w:val="001E226F"/>
    <w:rsid w:val="001F0E0C"/>
    <w:rsid w:val="001F0FED"/>
    <w:rsid w:val="001F2EAD"/>
    <w:rsid w:val="001F5558"/>
    <w:rsid w:val="001F55B3"/>
    <w:rsid w:val="001F5D95"/>
    <w:rsid w:val="002027B7"/>
    <w:rsid w:val="00205740"/>
    <w:rsid w:val="00210280"/>
    <w:rsid w:val="00213440"/>
    <w:rsid w:val="002239DA"/>
    <w:rsid w:val="002244D9"/>
    <w:rsid w:val="00241BB7"/>
    <w:rsid w:val="00242554"/>
    <w:rsid w:val="002426BC"/>
    <w:rsid w:val="002456B1"/>
    <w:rsid w:val="0024660F"/>
    <w:rsid w:val="002477B1"/>
    <w:rsid w:val="002478CB"/>
    <w:rsid w:val="0025473D"/>
    <w:rsid w:val="00261BE0"/>
    <w:rsid w:val="00264928"/>
    <w:rsid w:val="002733B1"/>
    <w:rsid w:val="00273A0A"/>
    <w:rsid w:val="002741A3"/>
    <w:rsid w:val="002836D7"/>
    <w:rsid w:val="00293B2C"/>
    <w:rsid w:val="0029604F"/>
    <w:rsid w:val="002A2519"/>
    <w:rsid w:val="002A3EAE"/>
    <w:rsid w:val="002A4197"/>
    <w:rsid w:val="002B0E20"/>
    <w:rsid w:val="002B2C46"/>
    <w:rsid w:val="002B6793"/>
    <w:rsid w:val="002B7CCD"/>
    <w:rsid w:val="002C3505"/>
    <w:rsid w:val="002C4BBE"/>
    <w:rsid w:val="002C6549"/>
    <w:rsid w:val="002C6B03"/>
    <w:rsid w:val="002D103E"/>
    <w:rsid w:val="002D45B0"/>
    <w:rsid w:val="002E096A"/>
    <w:rsid w:val="002E1244"/>
    <w:rsid w:val="002E6B28"/>
    <w:rsid w:val="002E7DAE"/>
    <w:rsid w:val="002F3532"/>
    <w:rsid w:val="003031A2"/>
    <w:rsid w:val="003057FC"/>
    <w:rsid w:val="003070CD"/>
    <w:rsid w:val="00310D31"/>
    <w:rsid w:val="003114A5"/>
    <w:rsid w:val="00317BD7"/>
    <w:rsid w:val="00320FBA"/>
    <w:rsid w:val="003217A4"/>
    <w:rsid w:val="00325777"/>
    <w:rsid w:val="003337B8"/>
    <w:rsid w:val="003352DD"/>
    <w:rsid w:val="00342ACF"/>
    <w:rsid w:val="0034744E"/>
    <w:rsid w:val="00350BF4"/>
    <w:rsid w:val="00353E92"/>
    <w:rsid w:val="00354CC3"/>
    <w:rsid w:val="003604B0"/>
    <w:rsid w:val="00361FA2"/>
    <w:rsid w:val="00372E2D"/>
    <w:rsid w:val="00380A43"/>
    <w:rsid w:val="00381A1B"/>
    <w:rsid w:val="00385FE2"/>
    <w:rsid w:val="003903FD"/>
    <w:rsid w:val="003B4644"/>
    <w:rsid w:val="003B69D5"/>
    <w:rsid w:val="003C313B"/>
    <w:rsid w:val="003C34A7"/>
    <w:rsid w:val="003C6C62"/>
    <w:rsid w:val="003D3240"/>
    <w:rsid w:val="003E17BA"/>
    <w:rsid w:val="003E23A9"/>
    <w:rsid w:val="003E60DC"/>
    <w:rsid w:val="003F2CCE"/>
    <w:rsid w:val="003F40D4"/>
    <w:rsid w:val="003F6DE5"/>
    <w:rsid w:val="00400B72"/>
    <w:rsid w:val="00401A28"/>
    <w:rsid w:val="00401CDD"/>
    <w:rsid w:val="004038BD"/>
    <w:rsid w:val="00403BEE"/>
    <w:rsid w:val="00404AE7"/>
    <w:rsid w:val="00406705"/>
    <w:rsid w:val="0041446C"/>
    <w:rsid w:val="004158BE"/>
    <w:rsid w:val="004227D9"/>
    <w:rsid w:val="00422E55"/>
    <w:rsid w:val="004357AF"/>
    <w:rsid w:val="00435BCA"/>
    <w:rsid w:val="004360B2"/>
    <w:rsid w:val="00437509"/>
    <w:rsid w:val="004379C0"/>
    <w:rsid w:val="00460292"/>
    <w:rsid w:val="00460EE4"/>
    <w:rsid w:val="004632CE"/>
    <w:rsid w:val="00466134"/>
    <w:rsid w:val="004764F7"/>
    <w:rsid w:val="00477C72"/>
    <w:rsid w:val="00485221"/>
    <w:rsid w:val="00491628"/>
    <w:rsid w:val="00496465"/>
    <w:rsid w:val="004A2E66"/>
    <w:rsid w:val="004A3D2D"/>
    <w:rsid w:val="004A6533"/>
    <w:rsid w:val="004B24A6"/>
    <w:rsid w:val="004C20B6"/>
    <w:rsid w:val="004C4E3F"/>
    <w:rsid w:val="004D3603"/>
    <w:rsid w:val="004D5CF7"/>
    <w:rsid w:val="004D6C06"/>
    <w:rsid w:val="004E6D8F"/>
    <w:rsid w:val="004F00BE"/>
    <w:rsid w:val="004F064C"/>
    <w:rsid w:val="004F2338"/>
    <w:rsid w:val="005004CB"/>
    <w:rsid w:val="00507F6F"/>
    <w:rsid w:val="005104FC"/>
    <w:rsid w:val="005108FD"/>
    <w:rsid w:val="00510E73"/>
    <w:rsid w:val="00512746"/>
    <w:rsid w:val="00514288"/>
    <w:rsid w:val="005165C5"/>
    <w:rsid w:val="00516695"/>
    <w:rsid w:val="005176EF"/>
    <w:rsid w:val="00523186"/>
    <w:rsid w:val="005276DC"/>
    <w:rsid w:val="005335FA"/>
    <w:rsid w:val="005413D1"/>
    <w:rsid w:val="005448D7"/>
    <w:rsid w:val="00544A93"/>
    <w:rsid w:val="00544AF4"/>
    <w:rsid w:val="0055533A"/>
    <w:rsid w:val="00567F71"/>
    <w:rsid w:val="005717D7"/>
    <w:rsid w:val="0057536B"/>
    <w:rsid w:val="00576321"/>
    <w:rsid w:val="005775C8"/>
    <w:rsid w:val="00580AE7"/>
    <w:rsid w:val="00585DFC"/>
    <w:rsid w:val="00586C25"/>
    <w:rsid w:val="00592F65"/>
    <w:rsid w:val="00594BA0"/>
    <w:rsid w:val="005A5279"/>
    <w:rsid w:val="005A77F0"/>
    <w:rsid w:val="005C2D36"/>
    <w:rsid w:val="005C385E"/>
    <w:rsid w:val="005C40E6"/>
    <w:rsid w:val="005C660A"/>
    <w:rsid w:val="005D10E1"/>
    <w:rsid w:val="005D13A3"/>
    <w:rsid w:val="005D7742"/>
    <w:rsid w:val="005E265C"/>
    <w:rsid w:val="005E29EA"/>
    <w:rsid w:val="005E7B97"/>
    <w:rsid w:val="005F0A77"/>
    <w:rsid w:val="005F5343"/>
    <w:rsid w:val="005F5EDE"/>
    <w:rsid w:val="0060270C"/>
    <w:rsid w:val="00603E1E"/>
    <w:rsid w:val="00603EC3"/>
    <w:rsid w:val="00604893"/>
    <w:rsid w:val="00604A2D"/>
    <w:rsid w:val="00605DDF"/>
    <w:rsid w:val="006134AB"/>
    <w:rsid w:val="00613ECE"/>
    <w:rsid w:val="00623E6E"/>
    <w:rsid w:val="00625D78"/>
    <w:rsid w:val="00626E0C"/>
    <w:rsid w:val="006340EF"/>
    <w:rsid w:val="00634A3C"/>
    <w:rsid w:val="006436D9"/>
    <w:rsid w:val="00643CB6"/>
    <w:rsid w:val="006465E2"/>
    <w:rsid w:val="006501C2"/>
    <w:rsid w:val="006508C6"/>
    <w:rsid w:val="00661506"/>
    <w:rsid w:val="006669CE"/>
    <w:rsid w:val="00670A6F"/>
    <w:rsid w:val="00674726"/>
    <w:rsid w:val="006811EA"/>
    <w:rsid w:val="0068195B"/>
    <w:rsid w:val="006824D6"/>
    <w:rsid w:val="006862B1"/>
    <w:rsid w:val="00687449"/>
    <w:rsid w:val="00690ADD"/>
    <w:rsid w:val="00696CDA"/>
    <w:rsid w:val="006A4C4F"/>
    <w:rsid w:val="006B1B4B"/>
    <w:rsid w:val="006B62CF"/>
    <w:rsid w:val="006C38DF"/>
    <w:rsid w:val="006C55C9"/>
    <w:rsid w:val="006D170D"/>
    <w:rsid w:val="006D6F1F"/>
    <w:rsid w:val="006D7743"/>
    <w:rsid w:val="006E2C8C"/>
    <w:rsid w:val="006E4A4F"/>
    <w:rsid w:val="006E573B"/>
    <w:rsid w:val="006E6C6F"/>
    <w:rsid w:val="006F6FD4"/>
    <w:rsid w:val="00700804"/>
    <w:rsid w:val="007036F5"/>
    <w:rsid w:val="0071097F"/>
    <w:rsid w:val="007116D0"/>
    <w:rsid w:val="00712C1B"/>
    <w:rsid w:val="00712C6F"/>
    <w:rsid w:val="00722135"/>
    <w:rsid w:val="007222FD"/>
    <w:rsid w:val="007232E1"/>
    <w:rsid w:val="00726B33"/>
    <w:rsid w:val="00731C10"/>
    <w:rsid w:val="007321C0"/>
    <w:rsid w:val="0073241A"/>
    <w:rsid w:val="00733774"/>
    <w:rsid w:val="00735DF9"/>
    <w:rsid w:val="00736969"/>
    <w:rsid w:val="007516ED"/>
    <w:rsid w:val="00751C91"/>
    <w:rsid w:val="00753798"/>
    <w:rsid w:val="007606F4"/>
    <w:rsid w:val="00764A74"/>
    <w:rsid w:val="00765413"/>
    <w:rsid w:val="00772419"/>
    <w:rsid w:val="00776BEE"/>
    <w:rsid w:val="00781A18"/>
    <w:rsid w:val="00784102"/>
    <w:rsid w:val="00795FD8"/>
    <w:rsid w:val="00796495"/>
    <w:rsid w:val="00796AE3"/>
    <w:rsid w:val="007B2ED8"/>
    <w:rsid w:val="007C595F"/>
    <w:rsid w:val="007C675E"/>
    <w:rsid w:val="007D3311"/>
    <w:rsid w:val="007D333E"/>
    <w:rsid w:val="007D7A40"/>
    <w:rsid w:val="007E3EEA"/>
    <w:rsid w:val="007E6702"/>
    <w:rsid w:val="007E6CAC"/>
    <w:rsid w:val="007E7183"/>
    <w:rsid w:val="007E74D5"/>
    <w:rsid w:val="007E7D49"/>
    <w:rsid w:val="007F0ADD"/>
    <w:rsid w:val="008032F6"/>
    <w:rsid w:val="00803677"/>
    <w:rsid w:val="00805606"/>
    <w:rsid w:val="00815C05"/>
    <w:rsid w:val="008209E5"/>
    <w:rsid w:val="00823EE4"/>
    <w:rsid w:val="00825B3F"/>
    <w:rsid w:val="00826D38"/>
    <w:rsid w:val="00834A06"/>
    <w:rsid w:val="00835266"/>
    <w:rsid w:val="00836CB8"/>
    <w:rsid w:val="00842644"/>
    <w:rsid w:val="00842DF2"/>
    <w:rsid w:val="00845C79"/>
    <w:rsid w:val="0085019A"/>
    <w:rsid w:val="008553B9"/>
    <w:rsid w:val="00855E6D"/>
    <w:rsid w:val="00857004"/>
    <w:rsid w:val="00861D79"/>
    <w:rsid w:val="00862F61"/>
    <w:rsid w:val="008717A8"/>
    <w:rsid w:val="00876C06"/>
    <w:rsid w:val="0087746B"/>
    <w:rsid w:val="00877589"/>
    <w:rsid w:val="00881BC6"/>
    <w:rsid w:val="008840EA"/>
    <w:rsid w:val="00885076"/>
    <w:rsid w:val="00886705"/>
    <w:rsid w:val="008920CD"/>
    <w:rsid w:val="00894FD8"/>
    <w:rsid w:val="008952CB"/>
    <w:rsid w:val="00896009"/>
    <w:rsid w:val="008A7D81"/>
    <w:rsid w:val="008B20EF"/>
    <w:rsid w:val="008C4739"/>
    <w:rsid w:val="008C5AA3"/>
    <w:rsid w:val="008D3FEF"/>
    <w:rsid w:val="008F05BF"/>
    <w:rsid w:val="008F067C"/>
    <w:rsid w:val="008F478E"/>
    <w:rsid w:val="00900CEA"/>
    <w:rsid w:val="009038F7"/>
    <w:rsid w:val="009078C3"/>
    <w:rsid w:val="00912473"/>
    <w:rsid w:val="009232EC"/>
    <w:rsid w:val="0092490B"/>
    <w:rsid w:val="009347A9"/>
    <w:rsid w:val="00937FBF"/>
    <w:rsid w:val="00943010"/>
    <w:rsid w:val="009453B5"/>
    <w:rsid w:val="00946106"/>
    <w:rsid w:val="009475B8"/>
    <w:rsid w:val="00956847"/>
    <w:rsid w:val="00970D29"/>
    <w:rsid w:val="00971890"/>
    <w:rsid w:val="00973A62"/>
    <w:rsid w:val="00975F71"/>
    <w:rsid w:val="0098083D"/>
    <w:rsid w:val="00983540"/>
    <w:rsid w:val="00984892"/>
    <w:rsid w:val="009906C9"/>
    <w:rsid w:val="00990718"/>
    <w:rsid w:val="00993364"/>
    <w:rsid w:val="009A660C"/>
    <w:rsid w:val="009B67E4"/>
    <w:rsid w:val="009B75F1"/>
    <w:rsid w:val="009D040E"/>
    <w:rsid w:val="009D063F"/>
    <w:rsid w:val="009D3D40"/>
    <w:rsid w:val="009E0500"/>
    <w:rsid w:val="009E60CE"/>
    <w:rsid w:val="009F3D43"/>
    <w:rsid w:val="009F5C9D"/>
    <w:rsid w:val="009F7596"/>
    <w:rsid w:val="00A06271"/>
    <w:rsid w:val="00A11759"/>
    <w:rsid w:val="00A1185E"/>
    <w:rsid w:val="00A24B51"/>
    <w:rsid w:val="00A27272"/>
    <w:rsid w:val="00A27E4E"/>
    <w:rsid w:val="00A3009B"/>
    <w:rsid w:val="00A31B7B"/>
    <w:rsid w:val="00A435CF"/>
    <w:rsid w:val="00A45D32"/>
    <w:rsid w:val="00A5650B"/>
    <w:rsid w:val="00A61B79"/>
    <w:rsid w:val="00A67077"/>
    <w:rsid w:val="00A72E45"/>
    <w:rsid w:val="00A73211"/>
    <w:rsid w:val="00A735D3"/>
    <w:rsid w:val="00A75393"/>
    <w:rsid w:val="00A821C1"/>
    <w:rsid w:val="00A835D4"/>
    <w:rsid w:val="00A864BA"/>
    <w:rsid w:val="00A900E6"/>
    <w:rsid w:val="00A90FD6"/>
    <w:rsid w:val="00AA30BE"/>
    <w:rsid w:val="00AA68AF"/>
    <w:rsid w:val="00AB3E5E"/>
    <w:rsid w:val="00AB51CA"/>
    <w:rsid w:val="00AB7469"/>
    <w:rsid w:val="00AD3935"/>
    <w:rsid w:val="00AD6564"/>
    <w:rsid w:val="00AE63D2"/>
    <w:rsid w:val="00AE773E"/>
    <w:rsid w:val="00AF2DE5"/>
    <w:rsid w:val="00B06A39"/>
    <w:rsid w:val="00B10F44"/>
    <w:rsid w:val="00B15850"/>
    <w:rsid w:val="00B15C9B"/>
    <w:rsid w:val="00B17094"/>
    <w:rsid w:val="00B32414"/>
    <w:rsid w:val="00B427B9"/>
    <w:rsid w:val="00B454C2"/>
    <w:rsid w:val="00B46BB7"/>
    <w:rsid w:val="00B50A59"/>
    <w:rsid w:val="00B52137"/>
    <w:rsid w:val="00B575E1"/>
    <w:rsid w:val="00B6269E"/>
    <w:rsid w:val="00B703AC"/>
    <w:rsid w:val="00B84FFD"/>
    <w:rsid w:val="00B85B56"/>
    <w:rsid w:val="00B86DB9"/>
    <w:rsid w:val="00B87227"/>
    <w:rsid w:val="00BB3DC7"/>
    <w:rsid w:val="00BB58F3"/>
    <w:rsid w:val="00BC3775"/>
    <w:rsid w:val="00BC54FA"/>
    <w:rsid w:val="00BC7BB3"/>
    <w:rsid w:val="00BD3A2D"/>
    <w:rsid w:val="00BD70FB"/>
    <w:rsid w:val="00BD7896"/>
    <w:rsid w:val="00BD7E21"/>
    <w:rsid w:val="00BE4FAA"/>
    <w:rsid w:val="00C00889"/>
    <w:rsid w:val="00C31788"/>
    <w:rsid w:val="00C35DC8"/>
    <w:rsid w:val="00C36CA9"/>
    <w:rsid w:val="00C36E0F"/>
    <w:rsid w:val="00C378C9"/>
    <w:rsid w:val="00C4697E"/>
    <w:rsid w:val="00C47056"/>
    <w:rsid w:val="00C471FC"/>
    <w:rsid w:val="00C51AE1"/>
    <w:rsid w:val="00C564BA"/>
    <w:rsid w:val="00C619C3"/>
    <w:rsid w:val="00C6446D"/>
    <w:rsid w:val="00C66722"/>
    <w:rsid w:val="00C71795"/>
    <w:rsid w:val="00C75C24"/>
    <w:rsid w:val="00C77B6D"/>
    <w:rsid w:val="00C81C5A"/>
    <w:rsid w:val="00C835F1"/>
    <w:rsid w:val="00C85922"/>
    <w:rsid w:val="00C8728A"/>
    <w:rsid w:val="00C95FE0"/>
    <w:rsid w:val="00CA2736"/>
    <w:rsid w:val="00CA37D4"/>
    <w:rsid w:val="00CA5ECD"/>
    <w:rsid w:val="00CA7F9A"/>
    <w:rsid w:val="00CB0916"/>
    <w:rsid w:val="00CB2CC3"/>
    <w:rsid w:val="00CB3006"/>
    <w:rsid w:val="00CB44E1"/>
    <w:rsid w:val="00CB7F19"/>
    <w:rsid w:val="00CC347F"/>
    <w:rsid w:val="00CC3723"/>
    <w:rsid w:val="00CD0987"/>
    <w:rsid w:val="00CD0FD5"/>
    <w:rsid w:val="00CE0102"/>
    <w:rsid w:val="00CE0106"/>
    <w:rsid w:val="00CE10CF"/>
    <w:rsid w:val="00CF3570"/>
    <w:rsid w:val="00D06B77"/>
    <w:rsid w:val="00D0764D"/>
    <w:rsid w:val="00D07AFF"/>
    <w:rsid w:val="00D11601"/>
    <w:rsid w:val="00D17F3E"/>
    <w:rsid w:val="00D236E9"/>
    <w:rsid w:val="00D23B7D"/>
    <w:rsid w:val="00D262AE"/>
    <w:rsid w:val="00D358E4"/>
    <w:rsid w:val="00D35E66"/>
    <w:rsid w:val="00D46F52"/>
    <w:rsid w:val="00D67899"/>
    <w:rsid w:val="00D71788"/>
    <w:rsid w:val="00D750DD"/>
    <w:rsid w:val="00D76C5C"/>
    <w:rsid w:val="00D81A8A"/>
    <w:rsid w:val="00D86748"/>
    <w:rsid w:val="00D929FE"/>
    <w:rsid w:val="00D946DA"/>
    <w:rsid w:val="00DA4F85"/>
    <w:rsid w:val="00DA578F"/>
    <w:rsid w:val="00DA62B9"/>
    <w:rsid w:val="00DC03B3"/>
    <w:rsid w:val="00DC081D"/>
    <w:rsid w:val="00DD6187"/>
    <w:rsid w:val="00DE1E72"/>
    <w:rsid w:val="00DF1D6F"/>
    <w:rsid w:val="00DF58F7"/>
    <w:rsid w:val="00DF7B93"/>
    <w:rsid w:val="00E03086"/>
    <w:rsid w:val="00E034EB"/>
    <w:rsid w:val="00E03C01"/>
    <w:rsid w:val="00E041B2"/>
    <w:rsid w:val="00E134E7"/>
    <w:rsid w:val="00E137DD"/>
    <w:rsid w:val="00E13BEF"/>
    <w:rsid w:val="00E16223"/>
    <w:rsid w:val="00E2651E"/>
    <w:rsid w:val="00E3622D"/>
    <w:rsid w:val="00E40578"/>
    <w:rsid w:val="00E40FAA"/>
    <w:rsid w:val="00E432EA"/>
    <w:rsid w:val="00E4483D"/>
    <w:rsid w:val="00E45170"/>
    <w:rsid w:val="00E466A3"/>
    <w:rsid w:val="00E53073"/>
    <w:rsid w:val="00E55D7B"/>
    <w:rsid w:val="00E56124"/>
    <w:rsid w:val="00E61EF3"/>
    <w:rsid w:val="00E6222E"/>
    <w:rsid w:val="00E63179"/>
    <w:rsid w:val="00E72B02"/>
    <w:rsid w:val="00E7367F"/>
    <w:rsid w:val="00E8392D"/>
    <w:rsid w:val="00E853AB"/>
    <w:rsid w:val="00E900DF"/>
    <w:rsid w:val="00EA038D"/>
    <w:rsid w:val="00EB471C"/>
    <w:rsid w:val="00EB4C9B"/>
    <w:rsid w:val="00EB5B47"/>
    <w:rsid w:val="00EC2751"/>
    <w:rsid w:val="00EC772F"/>
    <w:rsid w:val="00ED0295"/>
    <w:rsid w:val="00ED389A"/>
    <w:rsid w:val="00ED5E09"/>
    <w:rsid w:val="00EE3421"/>
    <w:rsid w:val="00EE5507"/>
    <w:rsid w:val="00EE5B2D"/>
    <w:rsid w:val="00EE739C"/>
    <w:rsid w:val="00EE74B5"/>
    <w:rsid w:val="00EF1600"/>
    <w:rsid w:val="00F04454"/>
    <w:rsid w:val="00F044A0"/>
    <w:rsid w:val="00F0455F"/>
    <w:rsid w:val="00F05228"/>
    <w:rsid w:val="00F07F3E"/>
    <w:rsid w:val="00F117FE"/>
    <w:rsid w:val="00F241AE"/>
    <w:rsid w:val="00F243F4"/>
    <w:rsid w:val="00F30D68"/>
    <w:rsid w:val="00F3178F"/>
    <w:rsid w:val="00F34ED9"/>
    <w:rsid w:val="00F3695C"/>
    <w:rsid w:val="00F4206D"/>
    <w:rsid w:val="00F44FA7"/>
    <w:rsid w:val="00F51B22"/>
    <w:rsid w:val="00F55061"/>
    <w:rsid w:val="00F55C9F"/>
    <w:rsid w:val="00F600EF"/>
    <w:rsid w:val="00F65962"/>
    <w:rsid w:val="00F677EF"/>
    <w:rsid w:val="00F73BFE"/>
    <w:rsid w:val="00F73D68"/>
    <w:rsid w:val="00F77AC1"/>
    <w:rsid w:val="00F815CC"/>
    <w:rsid w:val="00F83EB3"/>
    <w:rsid w:val="00F847F9"/>
    <w:rsid w:val="00F87311"/>
    <w:rsid w:val="00F9246D"/>
    <w:rsid w:val="00F93981"/>
    <w:rsid w:val="00F96F94"/>
    <w:rsid w:val="00FA08B4"/>
    <w:rsid w:val="00FA0A02"/>
    <w:rsid w:val="00FA2D90"/>
    <w:rsid w:val="00FB0B73"/>
    <w:rsid w:val="00FB3C40"/>
    <w:rsid w:val="00FC297C"/>
    <w:rsid w:val="00FC31A2"/>
    <w:rsid w:val="00FC43CF"/>
    <w:rsid w:val="00FC7994"/>
    <w:rsid w:val="00FD1B7F"/>
    <w:rsid w:val="00FD4E8B"/>
    <w:rsid w:val="00FE1F04"/>
    <w:rsid w:val="00FE2DCD"/>
    <w:rsid w:val="00FE3B6A"/>
    <w:rsid w:val="00FE4580"/>
    <w:rsid w:val="00FF156E"/>
    <w:rsid w:val="08FE70D5"/>
    <w:rsid w:val="6DD5DA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5DA5B"/>
  <w15:chartTrackingRefBased/>
  <w15:docId w15:val="{BB42E6A0-CCEB-4EBB-90DB-A6D78A6B6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6D38"/>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6D38"/>
  </w:style>
  <w:style w:type="paragraph" w:styleId="Footer">
    <w:name w:val="footer"/>
    <w:basedOn w:val="Normal"/>
    <w:link w:val="FooterChar"/>
    <w:uiPriority w:val="99"/>
    <w:unhideWhenUsed/>
    <w:rsid w:val="00826D38"/>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6D38"/>
  </w:style>
  <w:style w:type="paragraph" w:styleId="Bibliography">
    <w:name w:val="Bibliography"/>
    <w:basedOn w:val="Normal"/>
    <w:next w:val="Normal"/>
    <w:uiPriority w:val="37"/>
    <w:unhideWhenUsed/>
    <w:rsid w:val="006C38DF"/>
    <w:pPr>
      <w:spacing w:after="0" w:line="480" w:lineRule="auto"/>
      <w:ind w:left="720" w:hanging="720"/>
    </w:pPr>
  </w:style>
  <w:style w:type="paragraph" w:styleId="Revision">
    <w:name w:val="Revision"/>
    <w:hidden/>
    <w:uiPriority w:val="99"/>
    <w:semiHidden/>
    <w:rsid w:val="00EA038D"/>
    <w:pPr>
      <w:spacing w:after="0" w:line="240" w:lineRule="auto"/>
    </w:pPr>
  </w:style>
  <w:style w:type="character" w:styleId="CommentReference">
    <w:name w:val="annotation reference"/>
    <w:basedOn w:val="DefaultParagraphFont"/>
    <w:uiPriority w:val="99"/>
    <w:semiHidden/>
    <w:unhideWhenUsed/>
    <w:rsid w:val="00EE5507"/>
    <w:rPr>
      <w:sz w:val="16"/>
      <w:szCs w:val="16"/>
    </w:rPr>
  </w:style>
  <w:style w:type="paragraph" w:styleId="CommentText">
    <w:name w:val="annotation text"/>
    <w:basedOn w:val="Normal"/>
    <w:link w:val="CommentTextChar"/>
    <w:uiPriority w:val="99"/>
    <w:unhideWhenUsed/>
    <w:rsid w:val="00EE5507"/>
    <w:pPr>
      <w:spacing w:line="240" w:lineRule="auto"/>
    </w:pPr>
    <w:rPr>
      <w:sz w:val="20"/>
      <w:szCs w:val="20"/>
    </w:rPr>
  </w:style>
  <w:style w:type="character" w:customStyle="1" w:styleId="CommentTextChar">
    <w:name w:val="Comment Text Char"/>
    <w:basedOn w:val="DefaultParagraphFont"/>
    <w:link w:val="CommentText"/>
    <w:uiPriority w:val="99"/>
    <w:rsid w:val="00EE5507"/>
    <w:rPr>
      <w:sz w:val="20"/>
      <w:szCs w:val="20"/>
    </w:rPr>
  </w:style>
  <w:style w:type="paragraph" w:styleId="CommentSubject">
    <w:name w:val="annotation subject"/>
    <w:basedOn w:val="CommentText"/>
    <w:next w:val="CommentText"/>
    <w:link w:val="CommentSubjectChar"/>
    <w:uiPriority w:val="99"/>
    <w:semiHidden/>
    <w:unhideWhenUsed/>
    <w:rsid w:val="00EE5507"/>
    <w:rPr>
      <w:b/>
      <w:bCs/>
    </w:rPr>
  </w:style>
  <w:style w:type="character" w:customStyle="1" w:styleId="CommentSubjectChar">
    <w:name w:val="Comment Subject Char"/>
    <w:basedOn w:val="CommentTextChar"/>
    <w:link w:val="CommentSubject"/>
    <w:uiPriority w:val="99"/>
    <w:semiHidden/>
    <w:rsid w:val="00EE550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svg"/><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svg"/><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sv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4006</Words>
  <Characters>22838</Characters>
  <Application>Microsoft Office Word</Application>
  <DocSecurity>0</DocSecurity>
  <Lines>190</Lines>
  <Paragraphs>53</Paragraphs>
  <ScaleCrop>false</ScaleCrop>
  <Company/>
  <LinksUpToDate>false</LinksUpToDate>
  <CharactersWithSpaces>26791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Antonino Polizzi</dc:creator>
  <cp:keywords/>
  <dc:description/>
  <cp:lastModifiedBy>Polizzi, Antonino</cp:lastModifiedBy>
  <cp:revision>593</cp:revision>
  <dcterms:created xsi:type="dcterms:W3CDTF">2025-01-20T15:10:00Z</dcterms:created>
  <dcterms:modified xsi:type="dcterms:W3CDTF">2026-05-06T16:58:00Z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zotero-version="6.0.36"&gt;&lt;session id="C9EE8LhQ"/&gt;&lt;style id="http://www.zotero.org/styles/taylor-and-francis-apa" hasBibliography="1" bibliographyStyleHasBeenSet="1"/&gt;&lt;prefs&gt;&lt;pref name="fieldType" value="Field"/&gt;&lt;/prefs&gt;&lt;/data&gt;</vt:lpwstr>
  </property>
</Properties>
</file>