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74A2E" w14:textId="36A674AE" w:rsidR="00B86060" w:rsidRDefault="00A648D0" w:rsidP="00252023">
      <w:pPr>
        <w:pStyle w:val="NoSpacing"/>
        <w:suppressLineNumbers/>
        <w:rPr>
          <w:rFonts w:ascii="Sabon Next LT" w:hAnsi="Sabon Next LT" w:cs="Sabon Next LT"/>
          <w:b/>
          <w:bCs/>
          <w:sz w:val="52"/>
          <w:szCs w:val="52"/>
          <w:lang w:val="en-US"/>
        </w:rPr>
      </w:pPr>
      <w:r w:rsidRPr="00943F83">
        <w:rPr>
          <w:rFonts w:ascii="Sabon Next LT" w:hAnsi="Sabon Next LT" w:cs="Sabon Next LT"/>
          <w:b/>
          <w:bCs/>
          <w:sz w:val="52"/>
          <w:szCs w:val="52"/>
          <w:lang w:val="en-US"/>
        </w:rPr>
        <w:t>Chapter 3</w:t>
      </w:r>
    </w:p>
    <w:p w14:paraId="08FBB28D" w14:textId="3226864E" w:rsidR="007B23AA" w:rsidRPr="00943F83" w:rsidRDefault="007B23AA" w:rsidP="00252023">
      <w:pPr>
        <w:pStyle w:val="NoSpacing"/>
        <w:suppressLineNumbers/>
        <w:rPr>
          <w:rFonts w:ascii="Sabon Next LT" w:hAnsi="Sabon Next LT" w:cs="Sabon Next LT"/>
          <w:b/>
          <w:bCs/>
          <w:sz w:val="52"/>
          <w:szCs w:val="52"/>
          <w:lang w:val="en-US"/>
        </w:rPr>
      </w:pPr>
      <w:r w:rsidRPr="00943F83">
        <w:rPr>
          <w:rFonts w:ascii="Sabon Next LT" w:hAnsi="Sabon Next LT" w:cs="Sabon Next LT"/>
          <w:b/>
          <w:bCs/>
          <w:i/>
          <w:iCs/>
          <w:sz w:val="52"/>
          <w:szCs w:val="52"/>
          <w:lang w:val="en-US"/>
        </w:rPr>
        <w:t xml:space="preserve">Indirect </w:t>
      </w:r>
      <w:r w:rsidR="4373167B" w:rsidRPr="19B18092">
        <w:rPr>
          <w:rFonts w:ascii="Sabon Next LT" w:hAnsi="Sabon Next LT" w:cs="Sabon Next LT"/>
          <w:b/>
          <w:bCs/>
          <w:i/>
          <w:iCs/>
          <w:sz w:val="52"/>
          <w:szCs w:val="52"/>
          <w:lang w:val="en-US"/>
        </w:rPr>
        <w:t>e</w:t>
      </w:r>
      <w:r w:rsidRPr="19B18092">
        <w:rPr>
          <w:rFonts w:ascii="Sabon Next LT" w:hAnsi="Sabon Next LT" w:cs="Sabon Next LT"/>
          <w:b/>
          <w:bCs/>
          <w:i/>
          <w:iCs/>
          <w:sz w:val="52"/>
          <w:szCs w:val="52"/>
          <w:lang w:val="en-US"/>
        </w:rPr>
        <w:t>ffects</w:t>
      </w:r>
      <w:r w:rsidRPr="00943F83">
        <w:rPr>
          <w:rFonts w:ascii="Sabon Next LT" w:hAnsi="Sabon Next LT" w:cs="Sabon Next LT"/>
          <w:b/>
          <w:bCs/>
          <w:i/>
          <w:iCs/>
          <w:sz w:val="52"/>
          <w:szCs w:val="52"/>
          <w:lang w:val="en-US"/>
        </w:rPr>
        <w:t xml:space="preserve"> of the COVID-19 </w:t>
      </w:r>
      <w:r w:rsidR="5DC0FBCF" w:rsidRPr="19B18092">
        <w:rPr>
          <w:rFonts w:ascii="Sabon Next LT" w:hAnsi="Sabon Next LT" w:cs="Sabon Next LT"/>
          <w:b/>
          <w:bCs/>
          <w:i/>
          <w:iCs/>
          <w:sz w:val="52"/>
          <w:szCs w:val="52"/>
          <w:lang w:val="en-US"/>
        </w:rPr>
        <w:t>p</w:t>
      </w:r>
      <w:r w:rsidRPr="19B18092">
        <w:rPr>
          <w:rFonts w:ascii="Sabon Next LT" w:hAnsi="Sabon Next LT" w:cs="Sabon Next LT"/>
          <w:b/>
          <w:bCs/>
          <w:i/>
          <w:iCs/>
          <w:sz w:val="52"/>
          <w:szCs w:val="52"/>
          <w:lang w:val="en-US"/>
        </w:rPr>
        <w:t>andemic</w:t>
      </w:r>
      <w:r w:rsidRPr="00943F83">
        <w:rPr>
          <w:rFonts w:ascii="Sabon Next LT" w:hAnsi="Sabon Next LT" w:cs="Sabon Next LT"/>
          <w:b/>
          <w:bCs/>
          <w:i/>
          <w:iCs/>
          <w:sz w:val="52"/>
          <w:szCs w:val="52"/>
          <w:lang w:val="en-US"/>
        </w:rPr>
        <w:t>:</w:t>
      </w:r>
      <w:r w:rsidR="00A648D0" w:rsidRPr="00943F83">
        <w:rPr>
          <w:rFonts w:ascii="Sabon Next LT" w:hAnsi="Sabon Next LT" w:cs="Sabon Next LT"/>
          <w:b/>
          <w:bCs/>
          <w:i/>
          <w:iCs/>
          <w:sz w:val="52"/>
          <w:szCs w:val="52"/>
          <w:lang w:val="en-US"/>
        </w:rPr>
        <w:t xml:space="preserve"> </w:t>
      </w:r>
      <w:r w:rsidR="00E8449B">
        <w:rPr>
          <w:rFonts w:ascii="Sabon Next LT" w:hAnsi="Sabon Next LT" w:cs="Sabon Next LT"/>
          <w:b/>
          <w:bCs/>
          <w:i/>
          <w:iCs/>
          <w:sz w:val="52"/>
          <w:szCs w:val="52"/>
          <w:lang w:val="en-US"/>
        </w:rPr>
        <w:t>a</w:t>
      </w:r>
      <w:r w:rsidRPr="00943F83">
        <w:rPr>
          <w:rFonts w:ascii="Sabon Next LT" w:hAnsi="Sabon Next LT" w:cs="Sabon Next LT"/>
          <w:b/>
          <w:bCs/>
          <w:i/>
          <w:iCs/>
          <w:sz w:val="52"/>
          <w:szCs w:val="52"/>
          <w:lang w:val="en-US"/>
        </w:rPr>
        <w:t xml:space="preserve"> </w:t>
      </w:r>
      <w:r w:rsidR="00E8449B">
        <w:rPr>
          <w:rFonts w:ascii="Sabon Next LT" w:hAnsi="Sabon Next LT" w:cs="Sabon Next LT"/>
          <w:b/>
          <w:bCs/>
          <w:i/>
          <w:iCs/>
          <w:sz w:val="52"/>
          <w:szCs w:val="52"/>
          <w:lang w:val="en-US"/>
        </w:rPr>
        <w:t>c</w:t>
      </w:r>
      <w:r w:rsidRPr="00943F83">
        <w:rPr>
          <w:rFonts w:ascii="Sabon Next LT" w:hAnsi="Sabon Next LT" w:cs="Sabon Next LT"/>
          <w:b/>
          <w:bCs/>
          <w:i/>
          <w:iCs/>
          <w:sz w:val="52"/>
          <w:szCs w:val="52"/>
          <w:lang w:val="en-US"/>
        </w:rPr>
        <w:t>ause-of-</w:t>
      </w:r>
      <w:r w:rsidR="00E8449B">
        <w:rPr>
          <w:rFonts w:ascii="Sabon Next LT" w:hAnsi="Sabon Next LT" w:cs="Sabon Next LT"/>
          <w:b/>
          <w:bCs/>
          <w:i/>
          <w:iCs/>
          <w:sz w:val="52"/>
          <w:szCs w:val="52"/>
          <w:lang w:val="en-US"/>
        </w:rPr>
        <w:t>d</w:t>
      </w:r>
      <w:r w:rsidRPr="00943F83">
        <w:rPr>
          <w:rFonts w:ascii="Sabon Next LT" w:hAnsi="Sabon Next LT" w:cs="Sabon Next LT"/>
          <w:b/>
          <w:bCs/>
          <w:i/>
          <w:iCs/>
          <w:sz w:val="52"/>
          <w:szCs w:val="52"/>
          <w:lang w:val="en-US"/>
        </w:rPr>
        <w:t xml:space="preserve">eath </w:t>
      </w:r>
      <w:r w:rsidR="00E8449B">
        <w:rPr>
          <w:rFonts w:ascii="Sabon Next LT" w:hAnsi="Sabon Next LT" w:cs="Sabon Next LT"/>
          <w:b/>
          <w:bCs/>
          <w:i/>
          <w:iCs/>
          <w:sz w:val="52"/>
          <w:szCs w:val="52"/>
          <w:lang w:val="en-US"/>
        </w:rPr>
        <w:t>a</w:t>
      </w:r>
      <w:r w:rsidRPr="00943F83">
        <w:rPr>
          <w:rFonts w:ascii="Sabon Next LT" w:hAnsi="Sabon Next LT" w:cs="Sabon Next LT"/>
          <w:b/>
          <w:bCs/>
          <w:i/>
          <w:iCs/>
          <w:sz w:val="52"/>
          <w:szCs w:val="52"/>
          <w:lang w:val="en-US"/>
        </w:rPr>
        <w:t xml:space="preserve">nalysis of </w:t>
      </w:r>
      <w:r w:rsidR="00E8449B">
        <w:rPr>
          <w:rFonts w:ascii="Sabon Next LT" w:hAnsi="Sabon Next LT" w:cs="Sabon Next LT"/>
          <w:b/>
          <w:bCs/>
          <w:i/>
          <w:iCs/>
          <w:sz w:val="52"/>
          <w:szCs w:val="52"/>
          <w:lang w:val="en-US"/>
        </w:rPr>
        <w:t>l</w:t>
      </w:r>
      <w:r w:rsidRPr="00943F83">
        <w:rPr>
          <w:rFonts w:ascii="Sabon Next LT" w:hAnsi="Sabon Next LT" w:cs="Sabon Next LT"/>
          <w:b/>
          <w:bCs/>
          <w:i/>
          <w:iCs/>
          <w:sz w:val="52"/>
          <w:szCs w:val="52"/>
          <w:lang w:val="en-US"/>
        </w:rPr>
        <w:t xml:space="preserve">ife </w:t>
      </w:r>
      <w:r w:rsidR="00E8449B">
        <w:rPr>
          <w:rFonts w:ascii="Sabon Next LT" w:hAnsi="Sabon Next LT" w:cs="Sabon Next LT"/>
          <w:b/>
          <w:bCs/>
          <w:i/>
          <w:iCs/>
          <w:sz w:val="52"/>
          <w:szCs w:val="52"/>
          <w:lang w:val="en-US"/>
        </w:rPr>
        <w:t>e</w:t>
      </w:r>
      <w:r w:rsidRPr="00943F83">
        <w:rPr>
          <w:rFonts w:ascii="Sabon Next LT" w:hAnsi="Sabon Next LT" w:cs="Sabon Next LT"/>
          <w:b/>
          <w:bCs/>
          <w:i/>
          <w:iCs/>
          <w:sz w:val="52"/>
          <w:szCs w:val="52"/>
          <w:lang w:val="en-US"/>
        </w:rPr>
        <w:t xml:space="preserve">xpectancy </w:t>
      </w:r>
      <w:r w:rsidR="00E8449B">
        <w:rPr>
          <w:rFonts w:ascii="Sabon Next LT" w:hAnsi="Sabon Next LT" w:cs="Sabon Next LT"/>
          <w:b/>
          <w:bCs/>
          <w:i/>
          <w:iCs/>
          <w:sz w:val="52"/>
          <w:szCs w:val="52"/>
          <w:lang w:val="en-US"/>
        </w:rPr>
        <w:t>c</w:t>
      </w:r>
      <w:r w:rsidRPr="00943F83">
        <w:rPr>
          <w:rFonts w:ascii="Sabon Next LT" w:hAnsi="Sabon Next LT" w:cs="Sabon Next LT"/>
          <w:b/>
          <w:bCs/>
          <w:i/>
          <w:iCs/>
          <w:sz w:val="52"/>
          <w:szCs w:val="52"/>
          <w:lang w:val="en-US"/>
        </w:rPr>
        <w:t xml:space="preserve">hanges in </w:t>
      </w:r>
      <w:r w:rsidR="00BD5527" w:rsidRPr="00943F83">
        <w:rPr>
          <w:rFonts w:ascii="Sabon Next LT" w:hAnsi="Sabon Next LT" w:cs="Sabon Next LT"/>
          <w:b/>
          <w:bCs/>
          <w:i/>
          <w:iCs/>
          <w:sz w:val="52"/>
          <w:szCs w:val="52"/>
          <w:lang w:val="en-US"/>
        </w:rPr>
        <w:t>2</w:t>
      </w:r>
      <w:r w:rsidR="00FF22C7" w:rsidRPr="00943F83">
        <w:rPr>
          <w:rFonts w:ascii="Sabon Next LT" w:hAnsi="Sabon Next LT" w:cs="Sabon Next LT"/>
          <w:b/>
          <w:bCs/>
          <w:i/>
          <w:iCs/>
          <w:sz w:val="52"/>
          <w:szCs w:val="52"/>
          <w:lang w:val="en-US"/>
        </w:rPr>
        <w:t>4</w:t>
      </w:r>
      <w:r w:rsidR="00BD5527" w:rsidRPr="00943F83">
        <w:rPr>
          <w:rFonts w:ascii="Sabon Next LT" w:hAnsi="Sabon Next LT" w:cs="Sabon Next LT"/>
          <w:b/>
          <w:bCs/>
          <w:i/>
          <w:iCs/>
          <w:sz w:val="52"/>
          <w:szCs w:val="52"/>
          <w:lang w:val="en-US"/>
        </w:rPr>
        <w:t xml:space="preserve"> </w:t>
      </w:r>
      <w:r w:rsidR="00E8449B">
        <w:rPr>
          <w:rFonts w:ascii="Sabon Next LT" w:hAnsi="Sabon Next LT" w:cs="Sabon Next LT"/>
          <w:b/>
          <w:bCs/>
          <w:i/>
          <w:iCs/>
          <w:sz w:val="52"/>
          <w:szCs w:val="52"/>
          <w:lang w:val="en-US"/>
        </w:rPr>
        <w:t>c</w:t>
      </w:r>
      <w:r w:rsidRPr="00943F83">
        <w:rPr>
          <w:rFonts w:ascii="Sabon Next LT" w:hAnsi="Sabon Next LT" w:cs="Sabon Next LT"/>
          <w:b/>
          <w:bCs/>
          <w:i/>
          <w:iCs/>
          <w:sz w:val="52"/>
          <w:szCs w:val="52"/>
          <w:lang w:val="en-US"/>
        </w:rPr>
        <w:t>ountries, 2015</w:t>
      </w:r>
      <w:r w:rsidR="00BD5527" w:rsidRPr="00943F83">
        <w:rPr>
          <w:rFonts w:ascii="Sabon Next LT" w:hAnsi="Sabon Next LT" w:cs="Sabon Next LT"/>
          <w:b/>
          <w:bCs/>
          <w:i/>
          <w:iCs/>
          <w:sz w:val="52"/>
          <w:szCs w:val="52"/>
          <w:lang w:val="en-US"/>
        </w:rPr>
        <w:t xml:space="preserve"> to </w:t>
      </w:r>
      <w:r w:rsidR="00FB1FC5" w:rsidRPr="00943F83">
        <w:rPr>
          <w:rFonts w:ascii="Sabon Next LT" w:hAnsi="Sabon Next LT" w:cs="Sabon Next LT"/>
          <w:b/>
          <w:bCs/>
          <w:i/>
          <w:iCs/>
          <w:sz w:val="52"/>
          <w:szCs w:val="52"/>
          <w:lang w:val="en-US"/>
        </w:rPr>
        <w:t>2022</w:t>
      </w:r>
      <w:r w:rsidR="00315398" w:rsidRPr="002534C8">
        <w:rPr>
          <w:rStyle w:val="FootnoteReference"/>
          <w:rFonts w:ascii="Sabon Next LT" w:hAnsi="Sabon Next LT" w:cs="Sabon Next LT"/>
          <w:sz w:val="52"/>
          <w:szCs w:val="52"/>
        </w:rPr>
        <w:footnoteReference w:id="2"/>
      </w:r>
    </w:p>
    <w:p w14:paraId="3AFD7DA6" w14:textId="77777777" w:rsidR="007B23AA" w:rsidRDefault="007B23AA" w:rsidP="00252023">
      <w:pPr>
        <w:pStyle w:val="NoSpacing"/>
        <w:suppressLineNumbers/>
        <w:spacing w:line="480" w:lineRule="auto"/>
        <w:rPr>
          <w:rFonts w:ascii="Times New Roman" w:hAnsi="Times New Roman" w:cs="Times New Roman"/>
          <w:sz w:val="24"/>
          <w:szCs w:val="24"/>
          <w:lang w:val="en-US"/>
        </w:rPr>
      </w:pPr>
    </w:p>
    <w:p w14:paraId="5520CF91" w14:textId="26788FDC" w:rsidR="00DE6D90" w:rsidRDefault="00DE6D90" w:rsidP="00252023">
      <w:pPr>
        <w:pStyle w:val="NoSpacing"/>
        <w:suppressLineNumbers/>
        <w:spacing w:line="480" w:lineRule="auto"/>
        <w:rPr>
          <w:rFonts w:ascii="Times New Roman" w:hAnsi="Times New Roman" w:cs="Times New Roman"/>
          <w:sz w:val="24"/>
          <w:szCs w:val="24"/>
          <w:lang w:val="en-US"/>
        </w:rPr>
      </w:pPr>
      <w:r w:rsidRPr="0056300E">
        <w:rPr>
          <w:rFonts w:ascii="Times New Roman" w:hAnsi="Times New Roman" w:cs="Times New Roman"/>
          <w:b/>
          <w:bCs/>
          <w:sz w:val="24"/>
          <w:szCs w:val="24"/>
          <w:lang w:val="en-GB"/>
        </w:rPr>
        <w:t>Chapter word count:</w:t>
      </w:r>
      <w:r>
        <w:rPr>
          <w:rFonts w:ascii="Times New Roman" w:hAnsi="Times New Roman" w:cs="Times New Roman"/>
          <w:b/>
          <w:bCs/>
          <w:sz w:val="24"/>
          <w:szCs w:val="24"/>
          <w:lang w:val="en-GB"/>
        </w:rPr>
        <w:t xml:space="preserve"> </w:t>
      </w:r>
      <w:r w:rsidR="00CE0195">
        <w:rPr>
          <w:rFonts w:ascii="Times New Roman" w:hAnsi="Times New Roman" w:cs="Times New Roman"/>
          <w:b/>
          <w:bCs/>
          <w:sz w:val="24"/>
          <w:szCs w:val="24"/>
          <w:lang w:val="en-GB"/>
        </w:rPr>
        <w:t>7,1</w:t>
      </w:r>
      <w:r w:rsidR="007739E3">
        <w:rPr>
          <w:rFonts w:ascii="Times New Roman" w:hAnsi="Times New Roman" w:cs="Times New Roman"/>
          <w:b/>
          <w:bCs/>
          <w:sz w:val="24"/>
          <w:szCs w:val="24"/>
          <w:lang w:val="en-GB"/>
        </w:rPr>
        <w:t>5</w:t>
      </w:r>
      <w:r w:rsidR="00CE0195">
        <w:rPr>
          <w:rFonts w:ascii="Times New Roman" w:hAnsi="Times New Roman" w:cs="Times New Roman"/>
          <w:b/>
          <w:bCs/>
          <w:sz w:val="24"/>
          <w:szCs w:val="24"/>
          <w:lang w:val="en-GB"/>
        </w:rPr>
        <w:t>5</w:t>
      </w:r>
    </w:p>
    <w:p w14:paraId="1C3D6219" w14:textId="77777777" w:rsidR="00DE6D90" w:rsidRPr="00DF39A4" w:rsidRDefault="00DE6D90" w:rsidP="00252023">
      <w:pPr>
        <w:pStyle w:val="NoSpacing"/>
        <w:suppressLineNumbers/>
        <w:spacing w:line="480" w:lineRule="auto"/>
        <w:rPr>
          <w:rFonts w:ascii="Times New Roman" w:hAnsi="Times New Roman" w:cs="Times New Roman"/>
          <w:sz w:val="24"/>
          <w:szCs w:val="24"/>
          <w:lang w:val="en-US"/>
        </w:rPr>
      </w:pPr>
    </w:p>
    <w:p w14:paraId="07BC8E67" w14:textId="13E9BCE0" w:rsidR="00DE6D90" w:rsidRPr="00C41903" w:rsidRDefault="00DE6D90" w:rsidP="00252023">
      <w:pPr>
        <w:pStyle w:val="NoSpacing"/>
        <w:spacing w:line="480" w:lineRule="auto"/>
        <w:jc w:val="both"/>
        <w:rPr>
          <w:rFonts w:ascii="Times New Roman" w:hAnsi="Times New Roman" w:cs="Times New Roman"/>
          <w:b/>
          <w:bCs/>
          <w:iCs/>
          <w:sz w:val="24"/>
          <w:szCs w:val="24"/>
          <w:lang w:val="en-US"/>
        </w:rPr>
      </w:pPr>
      <w:r w:rsidRPr="00C41903">
        <w:rPr>
          <w:rFonts w:ascii="Times New Roman" w:hAnsi="Times New Roman" w:cs="Times New Roman"/>
          <w:b/>
          <w:bCs/>
          <w:iCs/>
          <w:sz w:val="24"/>
          <w:szCs w:val="24"/>
          <w:lang w:val="en-US"/>
        </w:rPr>
        <w:t>3.1. Abstract</w:t>
      </w:r>
    </w:p>
    <w:p w14:paraId="67AFBCF0" w14:textId="21721672" w:rsidR="00DE6D90" w:rsidRPr="00DF39A4" w:rsidRDefault="00DE6D90" w:rsidP="00252023">
      <w:pPr>
        <w:pStyle w:val="NoSpacing"/>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Worldwide, mortality was strongly affected by the COVID-19 pandemic, both directly through COVID-19 deaths and indirectly through changes in other causes of death. Here, we examine the impact of the pandemic on COVID-19 and non-COVID-19 mortality in 24 countries: Australia, Austria, Brazil, Bulgaria, Canada, Chile, Croatia, Czech</w:t>
      </w:r>
      <w:r>
        <w:rPr>
          <w:rFonts w:ascii="Times New Roman" w:hAnsi="Times New Roman" w:cs="Times New Roman"/>
          <w:sz w:val="24"/>
          <w:szCs w:val="24"/>
          <w:lang w:val="en-US"/>
        </w:rPr>
        <w:t>ia</w:t>
      </w:r>
      <w:r w:rsidRPr="00DF39A4">
        <w:rPr>
          <w:rFonts w:ascii="Times New Roman" w:hAnsi="Times New Roman" w:cs="Times New Roman"/>
          <w:sz w:val="24"/>
          <w:szCs w:val="24"/>
          <w:lang w:val="en-US"/>
        </w:rPr>
        <w:t>, Denmark, England and Wales, Hungary, Japan, Latvia, Lithuania, the Netherlands, Northern Ireland, Poland, Russia, Scotland, South Korea, Spain, Sweden, Switzerland, and the United States</w:t>
      </w:r>
      <w:r w:rsidR="00CB671F">
        <w:rPr>
          <w:rFonts w:ascii="Times New Roman" w:hAnsi="Times New Roman" w:cs="Times New Roman"/>
          <w:sz w:val="24"/>
          <w:szCs w:val="24"/>
          <w:lang w:val="en-US"/>
        </w:rPr>
        <w:t xml:space="preserve"> of America</w:t>
      </w:r>
      <w:r w:rsidRPr="00DF39A4">
        <w:rPr>
          <w:rFonts w:ascii="Times New Roman" w:hAnsi="Times New Roman" w:cs="Times New Roman"/>
          <w:sz w:val="24"/>
          <w:szCs w:val="24"/>
          <w:lang w:val="en-US"/>
        </w:rPr>
        <w:t xml:space="preserve"> (USA). Using demographic decomposition methods, we compare age- and cause-specific contributions to changes in female and male life expectancy at birth in 2019–2020, 2020–2021, and 2021–2022 with those before the COVID-19 pandemic (2015–2019). We observe large life expectancy losses due to COVID-19 in most countries, usually followed by partial recoveries. Life expectancy losses due to cardiovascular disease (CVD) </w:t>
      </w:r>
      <w:r w:rsidRPr="00DF39A4">
        <w:rPr>
          <w:rFonts w:ascii="Times New Roman" w:hAnsi="Times New Roman" w:cs="Times New Roman"/>
          <w:sz w:val="24"/>
          <w:szCs w:val="24"/>
          <w:lang w:val="en-US"/>
        </w:rPr>
        <w:lastRenderedPageBreak/>
        <w:t xml:space="preserve">mortality were widespread during the pandemic, including in countries with substantial (Russia, Central and Eastern Europe, and the Baltic countries) and more modest (USA) improvements in CVD mortality before the pandemic. Many Anglo-Saxon countries, including Canada, Scotland, and the USA, continued their pre-pandemic trajectories of rising drug-related mortality. Most countries saw small changes in suicide mortality during the pandemic, while alcohol mortality </w:t>
      </w:r>
      <w:proofErr w:type="gramStart"/>
      <w:r w:rsidRPr="00DF39A4">
        <w:rPr>
          <w:rFonts w:ascii="Times New Roman" w:hAnsi="Times New Roman" w:cs="Times New Roman"/>
          <w:sz w:val="24"/>
          <w:szCs w:val="24"/>
          <w:lang w:val="en-US"/>
        </w:rPr>
        <w:t>increased</w:t>
      </w:r>
      <w:proofErr w:type="gramEnd"/>
      <w:r w:rsidRPr="00DF39A4">
        <w:rPr>
          <w:rFonts w:ascii="Times New Roman" w:hAnsi="Times New Roman" w:cs="Times New Roman"/>
          <w:sz w:val="24"/>
          <w:szCs w:val="24"/>
          <w:lang w:val="en-US"/>
        </w:rPr>
        <w:t xml:space="preserve"> and cancer mortality continued to decline. Patterns for other causes were more variable. By 2022, life expectancy had still not returned to pre-pandemic levels in several countries. Our results suggest important indirect effects of the pandemic on non-COVID-19 mortality through the consequences of COVID-19 infection, non-pharmaceutical interventions, and underreporting of COVID-19-related deaths.</w:t>
      </w:r>
    </w:p>
    <w:p w14:paraId="310FEBCC" w14:textId="77777777" w:rsidR="004C622A" w:rsidRPr="00DF39A4" w:rsidRDefault="004C622A" w:rsidP="00252023">
      <w:pPr>
        <w:spacing w:line="480" w:lineRule="auto"/>
        <w:jc w:val="both"/>
        <w:rPr>
          <w:rFonts w:ascii="Times New Roman" w:hAnsi="Times New Roman" w:cs="Times New Roman"/>
          <w:bCs/>
          <w:iCs/>
          <w:sz w:val="24"/>
          <w:szCs w:val="24"/>
        </w:rPr>
      </w:pPr>
    </w:p>
    <w:p w14:paraId="47E5B95F" w14:textId="3E6A959B" w:rsidR="00647522" w:rsidRPr="00C41903" w:rsidRDefault="001178EE" w:rsidP="00252023">
      <w:pPr>
        <w:pStyle w:val="NoSpacing"/>
        <w:spacing w:line="480" w:lineRule="auto"/>
        <w:jc w:val="both"/>
        <w:rPr>
          <w:rFonts w:ascii="Times New Roman" w:hAnsi="Times New Roman" w:cs="Times New Roman"/>
          <w:b/>
          <w:bCs/>
          <w:iCs/>
          <w:sz w:val="24"/>
          <w:szCs w:val="24"/>
          <w:lang w:val="en-US"/>
        </w:rPr>
      </w:pPr>
      <w:r w:rsidRPr="00C41903">
        <w:rPr>
          <w:rFonts w:ascii="Times New Roman" w:hAnsi="Times New Roman" w:cs="Times New Roman"/>
          <w:b/>
          <w:bCs/>
          <w:iCs/>
          <w:sz w:val="24"/>
          <w:szCs w:val="24"/>
          <w:lang w:val="en-US"/>
        </w:rPr>
        <w:t xml:space="preserve">3.2. </w:t>
      </w:r>
      <w:r w:rsidR="00647522" w:rsidRPr="00C41903">
        <w:rPr>
          <w:rFonts w:ascii="Times New Roman" w:hAnsi="Times New Roman" w:cs="Times New Roman"/>
          <w:b/>
          <w:bCs/>
          <w:iCs/>
          <w:sz w:val="24"/>
          <w:szCs w:val="24"/>
          <w:lang w:val="en-US"/>
        </w:rPr>
        <w:t>Introduction</w:t>
      </w:r>
    </w:p>
    <w:p w14:paraId="12591416" w14:textId="523CA6B3" w:rsidR="00373F4C" w:rsidRPr="00DF39A4" w:rsidRDefault="00373F4C" w:rsidP="00252023">
      <w:pPr>
        <w:pStyle w:val="NoSpacing"/>
        <w:spacing w:line="480" w:lineRule="auto"/>
        <w:jc w:val="both"/>
        <w:rPr>
          <w:rFonts w:ascii="Times New Roman" w:hAnsi="Times New Roman" w:cs="Times New Roman"/>
          <w:sz w:val="24"/>
          <w:szCs w:val="24"/>
          <w:lang w:val="en-US"/>
        </w:rPr>
      </w:pPr>
      <w:r w:rsidRPr="00DF39A4">
        <w:rPr>
          <w:rFonts w:ascii="Times New Roman" w:eastAsia="Times New Roman" w:hAnsi="Times New Roman" w:cs="Times New Roman"/>
          <w:color w:val="000000" w:themeColor="text1"/>
          <w:sz w:val="24"/>
          <w:szCs w:val="24"/>
          <w:lang w:val="en-US"/>
        </w:rPr>
        <w:t xml:space="preserve">Life expectancy trajectories have become more diverse in recent years. </w:t>
      </w:r>
      <w:r w:rsidRPr="00DF39A4">
        <w:rPr>
          <w:rFonts w:ascii="Times New Roman" w:hAnsi="Times New Roman" w:cs="Times New Roman"/>
          <w:sz w:val="24"/>
          <w:szCs w:val="24"/>
          <w:lang w:val="en-US"/>
        </w:rPr>
        <w:t>Japan continues to lead global life expectancy trends with steady linear increases</w:t>
      </w:r>
      <w:r w:rsidR="0045170B">
        <w:rPr>
          <w:rFonts w:ascii="Times New Roman" w:hAnsi="Times New Roman" w:cs="Times New Roman"/>
          <w:sz w:val="24"/>
          <w:szCs w:val="24"/>
          <w:lang w:val="en-US"/>
        </w:rPr>
        <w:t xml:space="preserve"> </w:t>
      </w:r>
      <w:r w:rsidR="0045170B">
        <w:rPr>
          <w:rFonts w:ascii="Times New Roman" w:hAnsi="Times New Roman" w:cs="Times New Roman"/>
          <w:sz w:val="24"/>
          <w:szCs w:val="24"/>
          <w:lang w:val="en-US"/>
        </w:rPr>
        <w:fldChar w:fldCharType="begin"/>
      </w:r>
      <w:r w:rsidR="0045170B">
        <w:rPr>
          <w:rFonts w:ascii="Times New Roman" w:hAnsi="Times New Roman" w:cs="Times New Roman"/>
          <w:sz w:val="24"/>
          <w:szCs w:val="24"/>
          <w:lang w:val="en-US"/>
        </w:rPr>
        <w:instrText xml:space="preserve"> ADDIN ZOTERO_ITEM CSL_CITATION {"citationID":"5ID04hdr","properties":{"formattedCitation":"(Vaupel et al., 2021)","plainCitation":"(Vaupel et al., 2021)","noteIndex":0},"citationItems":[{"id":2678,"uris":["http://zotero.org/groups/5842698/items/46Q3PH47"],"itemData":{"id":2678,"type":"article-journal","container-title":"Proceedings of the National Academy of Sciences","DOI":"10.1073/pnas.2019536118","issue":"9","language":"en","page":"e2019536118","title":"Demographic perspectives on the rise of longevity","volume":"118","author":[{"family":"Vaupel","given":"James W."},{"family":"Villavicencio","given":"Francisco"},{"family":"Bergeron-Boucher","given":"Marie-Pier"}],"issued":{"date-parts":[["2021"]]}}}],"schema":"https://github.com/citation-style-language/schema/raw/master/csl-citation.json"} </w:instrText>
      </w:r>
      <w:r w:rsidR="0045170B">
        <w:rPr>
          <w:rFonts w:ascii="Times New Roman" w:hAnsi="Times New Roman" w:cs="Times New Roman"/>
          <w:sz w:val="24"/>
          <w:szCs w:val="24"/>
          <w:lang w:val="en-US"/>
        </w:rPr>
        <w:fldChar w:fldCharType="separate"/>
      </w:r>
      <w:r w:rsidR="0045170B" w:rsidRPr="00AB60CB">
        <w:rPr>
          <w:rFonts w:ascii="Times New Roman" w:hAnsi="Times New Roman" w:cs="Times New Roman"/>
          <w:sz w:val="24"/>
        </w:rPr>
        <w:t>(Vaupel et al., 2021)</w:t>
      </w:r>
      <w:r w:rsidR="0045170B">
        <w:rPr>
          <w:rFonts w:ascii="Times New Roman" w:hAnsi="Times New Roman" w:cs="Times New Roman"/>
          <w:sz w:val="24"/>
          <w:szCs w:val="24"/>
          <w:lang w:val="en-US"/>
        </w:rPr>
        <w:fldChar w:fldCharType="end"/>
      </w:r>
      <w:r w:rsidR="008C0BE3">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while South Korea saw a remarkable 16-year improvement from 1970 to 2005</w:t>
      </w:r>
      <w:r w:rsidR="0045170B">
        <w:rPr>
          <w:rFonts w:ascii="Times New Roman" w:hAnsi="Times New Roman" w:cs="Times New Roman"/>
          <w:sz w:val="24"/>
          <w:szCs w:val="24"/>
          <w:lang w:val="en-US"/>
        </w:rPr>
        <w:t xml:space="preserve"> </w:t>
      </w:r>
      <w:r w:rsidR="0045170B">
        <w:rPr>
          <w:rFonts w:ascii="Times New Roman" w:hAnsi="Times New Roman" w:cs="Times New Roman"/>
          <w:sz w:val="24"/>
          <w:szCs w:val="24"/>
          <w:lang w:val="en-US"/>
        </w:rPr>
        <w:fldChar w:fldCharType="begin"/>
      </w:r>
      <w:r w:rsidR="0045170B">
        <w:rPr>
          <w:rFonts w:ascii="Times New Roman" w:hAnsi="Times New Roman" w:cs="Times New Roman"/>
          <w:sz w:val="24"/>
          <w:szCs w:val="24"/>
          <w:lang w:val="en-US"/>
        </w:rPr>
        <w:instrText xml:space="preserve"> ADDIN ZOTERO_ITEM CSL_CITATION {"citationID":"3S6ZozTn","properties":{"formattedCitation":"(Yang et al., 2010)","plainCitation":"(Yang et al., 2010)","noteIndex":0},"citationItems":[{"id":2683,"uris":["http://zotero.org/groups/5842698/items/NGYAHYMH"],"itemData":{"id":2683,"type":"article-journal","container-title":"American Journal of Public Health","DOI":"10.2105/AJPH.2009.160341","issue":"5","language":"en","page":"896-903","title":"Understanding the rapid increase in life expectancy in South Korea","volume":"100","author":[{"family":"Yang","given":"Seungmi"},{"family":"Khang","given":"Young-Ho"},{"family":"Harper","given":"Sam"},{"family":"Davey Smith","given":"George"},{"family":"Leon","given":"David A."},{"family":"Lynch","given":"John"}],"issued":{"date-parts":[["2010"]]}}}],"schema":"https://github.com/citation-style-language/schema/raw/master/csl-citation.json"} </w:instrText>
      </w:r>
      <w:r w:rsidR="0045170B">
        <w:rPr>
          <w:rFonts w:ascii="Times New Roman" w:hAnsi="Times New Roman" w:cs="Times New Roman"/>
          <w:sz w:val="24"/>
          <w:szCs w:val="24"/>
          <w:lang w:val="en-US"/>
        </w:rPr>
        <w:fldChar w:fldCharType="separate"/>
      </w:r>
      <w:r w:rsidR="0045170B" w:rsidRPr="00AB60CB">
        <w:rPr>
          <w:rFonts w:ascii="Times New Roman" w:hAnsi="Times New Roman" w:cs="Times New Roman"/>
          <w:sz w:val="24"/>
        </w:rPr>
        <w:t>(Yang et al., 2010)</w:t>
      </w:r>
      <w:r w:rsidR="0045170B">
        <w:rPr>
          <w:rFonts w:ascii="Times New Roman" w:hAnsi="Times New Roman" w:cs="Times New Roman"/>
          <w:sz w:val="24"/>
          <w:szCs w:val="24"/>
          <w:lang w:val="en-US"/>
        </w:rPr>
        <w:fldChar w:fldCharType="end"/>
      </w:r>
      <w:r w:rsidRPr="00DF39A4">
        <w:rPr>
          <w:rFonts w:ascii="Times New Roman" w:hAnsi="Times New Roman" w:cs="Times New Roman"/>
          <w:sz w:val="24"/>
          <w:szCs w:val="24"/>
          <w:lang w:val="en-US"/>
        </w:rPr>
        <w:t>. Most European countries have also experienced steady, and parallel, increases in life expectancy at birth, with Central and Eastern Europe and the Baltics catching up since the mid-1990s after periods of stagnation and decline</w:t>
      </w:r>
      <w:r w:rsidR="001A5C9D">
        <w:rPr>
          <w:rFonts w:ascii="Times New Roman" w:hAnsi="Times New Roman" w:cs="Times New Roman"/>
          <w:sz w:val="24"/>
          <w:szCs w:val="24"/>
          <w:lang w:val="en-US"/>
        </w:rPr>
        <w:t xml:space="preserve"> </w:t>
      </w:r>
      <w:r w:rsidR="008C0B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{"citationID":"SakBLpMt","properties":{"formattedCitation":"(Aburto &amp; van Raalte, 2018; Leon, 2011)","plainCitation":"(Aburto &amp; van Raalte, 2018; Leon, 2011)","noteIndex":0},"citationItems":[{"id":2650,"uris":["http://zotero.org/groups/5842698/items/F4HL9HWV"],"itemData":{"id":2650,"type":"article-journal","container-title":"International Journal of Epidemiology","DOI":"10.1093/ije/dyr061","issue":"2","language":"en","page":"271-277","title":"Trends in European life expectancy: a salutary view","volume":"40","author":[{"family":"Leon","given":"David A."}],"issued":{"date-parts":[["2011"]]}}},{"id":2618,"uris":["http://zotero.org/groups/5842698/items/WUMBEG84"],"itemData":{"id":2618,"type":"article-journal","container-title":"Demography","DOI":"10.1007/s13524-018-0729-9","issue":"6","language":"en","page":"2071-2096","title":"Lifespan dispersion in times of life expectancy fluctuation: the case of Central and Eastern Europe","volume":"55","author":[{"family":"Aburto","given":"José Manuel"},{"family":"Raalte","given":"Alyson","non-dropping-particle":"van"}],"issued":{"date-parts":[["2018"]]}}}],"schema":"https://github.com/citation-style-language/schema/raw/master/csl-citation.json"} </w:instrText>
      </w:r>
      <w:r w:rsidR="008C0B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(Aburto &amp; van Raalte, 2018; Leon, 2011)</w:t>
      </w:r>
      <w:r w:rsidR="008C0BE3">
        <w:rPr>
          <w:rFonts w:ascii="Times New Roman" w:hAnsi="Times New Roman" w:cs="Times New Roman"/>
          <w:sz w:val="24"/>
          <w:szCs w:val="24"/>
          <w:lang w:val="en-US"/>
        </w:rPr>
        <w:fldChar w:fldCharType="end"/>
      </w:r>
      <w:r w:rsidR="001A5C9D"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However, since 2010, many high-income countries, including Western European countries, Australia, and Canada, have seen a slowdown in mortality improvements</w:t>
      </w:r>
      <w:r w:rsidR="001A5C9D">
        <w:rPr>
          <w:rFonts w:ascii="Times New Roman" w:hAnsi="Times New Roman" w:cs="Times New Roman"/>
          <w:sz w:val="24"/>
          <w:szCs w:val="24"/>
          <w:lang w:val="en-US"/>
        </w:rPr>
        <w:t xml:space="preserve"> </w:t>
      </w:r>
      <w:r w:rsidR="008C0B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{"citationID":"BrMH7COr","properties":{"formattedCitation":"(Raleigh, 2019)","plainCitation":"(Raleigh, 2019)","noteIndex":0},"citationItems":[{"id":2669,"uris":["http://zotero.org/groups/5842698/items/8KLTKLX8"],"itemData":{"id":2669,"type":"article-journal","container-title":"OECD Health Working Papers","DOI":"10.1787/223159ab-en","language":"en","title":"Trends in life expectancy in EU and other OECD countries: Why are improvements slowing?","volume":"108","author":[{"family":"Raleigh","given":"Veena S."}],"issued":{"date-parts":[["2019"]]}}}],"schema":"https://github.com/citation-style-language/schema/raw/master/csl-citation.json"} </w:instrText>
      </w:r>
      <w:r w:rsidR="008C0B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(Raleigh, 2019)</w:t>
      </w:r>
      <w:r w:rsidR="008C0BE3">
        <w:rPr>
          <w:rFonts w:ascii="Times New Roman" w:hAnsi="Times New Roman" w:cs="Times New Roman"/>
          <w:sz w:val="24"/>
          <w:szCs w:val="24"/>
          <w:lang w:val="en-US"/>
        </w:rPr>
        <w:fldChar w:fldCharType="end"/>
      </w:r>
      <w:r w:rsidR="001A5C9D"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In England and Wales, life expectancy has stagnated since 2011, due to high working-age mortality and the lagged effects of smoking behaviors</w:t>
      </w:r>
      <w:r w:rsidR="001A5C9D">
        <w:rPr>
          <w:rFonts w:ascii="Times New Roman" w:hAnsi="Times New Roman" w:cs="Times New Roman"/>
          <w:sz w:val="24"/>
          <w:szCs w:val="24"/>
          <w:lang w:val="en-US"/>
        </w:rPr>
        <w:t xml:space="preserve"> </w:t>
      </w:r>
      <w:r w:rsidR="008C0B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{"citationID":"B5Rk9kvO","properties":{"formattedCitation":"(Leon et al., 2019)","plainCitation":"(Leon et al., 2019)","noteIndex":0},"citationItems":[{"id":2651,"uris":["http://zotero.org/groups/5842698/items/38HC4E73"],"itemData":{"id":2651,"type":"article-journal","container-title":"The Lancet Public Health","DOI":"10.1016/S2468-2667(19)30177-X","issue":"11","language":"en","page":"e575-e582","title":"Trends in life expectancy and age-specific mortality in England and Wales, 1970–2016, in comparison with a set of 22 high-income countries: an analysis of vital statistics data","volume":"4","author":[{"family":"Leon","given":"David A."},{"family":"Jdanov","given":"Dmitry A."},{"family":"Shkolnikov","given":"Vladimir M."}],"issued":{"date-parts":[["2019"]]}}}],"schema":"https://github.com/citation-style-language/schema/raw/master/csl-citation.json"} </w:instrText>
      </w:r>
      <w:r w:rsidR="008C0B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(Leon et al., 2019)</w:t>
      </w:r>
      <w:r w:rsidR="008C0BE3">
        <w:rPr>
          <w:rFonts w:ascii="Times New Roman" w:hAnsi="Times New Roman" w:cs="Times New Roman"/>
          <w:sz w:val="24"/>
          <w:szCs w:val="24"/>
          <w:lang w:val="en-US"/>
        </w:rPr>
        <w:fldChar w:fldCharType="end"/>
      </w:r>
      <w:r w:rsidR="001A5C9D">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In the United States</w:t>
      </w:r>
      <w:r w:rsidR="00CB671F">
        <w:rPr>
          <w:rFonts w:ascii="Times New Roman" w:hAnsi="Times New Roman" w:cs="Times New Roman"/>
          <w:sz w:val="24"/>
          <w:szCs w:val="24"/>
          <w:lang w:val="en-US"/>
        </w:rPr>
        <w:t xml:space="preserve"> of America</w:t>
      </w:r>
      <w:r w:rsidRPr="00DF39A4">
        <w:rPr>
          <w:rFonts w:ascii="Times New Roman" w:hAnsi="Times New Roman" w:cs="Times New Roman"/>
          <w:sz w:val="24"/>
          <w:szCs w:val="24"/>
          <w:lang w:val="en-US"/>
        </w:rPr>
        <w:t xml:space="preserve"> (USA), life expectancy even declined before the COVID-19 pandemic, due to a slowdown in improvements in cardiovascular mortality and increases </w:t>
      </w:r>
      <w:r w:rsidRPr="00DF39A4">
        <w:rPr>
          <w:rFonts w:ascii="Times New Roman" w:hAnsi="Times New Roman" w:cs="Times New Roman"/>
          <w:sz w:val="24"/>
          <w:szCs w:val="24"/>
          <w:lang w:val="en-US"/>
        </w:rPr>
        <w:lastRenderedPageBreak/>
        <w:t>in alcohol-related deaths, fatal drug overdoses, and suicides—often collectively referred to as “deaths of despair”</w:t>
      </w:r>
      <w:r w:rsidR="001A5C9D">
        <w:rPr>
          <w:rFonts w:ascii="Times New Roman" w:hAnsi="Times New Roman" w:cs="Times New Roman"/>
          <w:sz w:val="24"/>
          <w:szCs w:val="24"/>
          <w:lang w:val="en-US"/>
        </w:rPr>
        <w:t xml:space="preserve"> </w:t>
      </w:r>
      <w:r w:rsidR="008C0B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{"citationID":"W0GQMIFH","properties":{"formattedCitation":"(Case &amp; Deaton, 2015; Mehta et al., 2020)","plainCitation":"(Case &amp; Deaton, 2015; Mehta et al., 2020)","noteIndex":0},"citationItems":[{"id":2628,"uris":["http://zotero.org/groups/5842698/items/ILWG8DRB"],"itemData":{"id":2628,"type":"article-journal","container-title":"Proceedings of the National Academy of Sciences","DOI":"10.1073/pnas.1518393112","issue":"49","language":"en","page":"15078-15083","title":"Rising morbidity and mortality in midlife among white non-Hispanic Americans in the 21st century","volume":"112","author":[{"family":"Case","given":"Anne"},{"family":"Deaton","given":"Angus"}],"issued":{"date-parts":[["2015"]]}}},{"id":2659,"uris":["http://zotero.org/groups/5842698/items/55678Y7W"],"itemData":{"id":2659,"type":"article-journal","container-title":"Proceedings of the National Academy of Sciences","DOI":"10.1073/pnas.1920391117","issue":"13","language":"en","page":"6998-7000","title":"US life expectancy stalls due to cardiovascular disease, not drug deaths","volume":"117","author":[{"family":"Mehta","given":"Neil K."},{"family":"Abrams","given":"Leah R."},{"family":"Myrskylä","given":"Mikko"}],"issued":{"date-parts":[["2020"]]}}}],"schema":"https://github.com/citation-style-language/schema/raw/master/csl-citation.json"} </w:instrText>
      </w:r>
      <w:r w:rsidR="008C0B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(Case &amp; Deaton, 2015; Mehta et al., 2020)</w:t>
      </w:r>
      <w:r w:rsidR="008C0BE3">
        <w:rPr>
          <w:rFonts w:ascii="Times New Roman" w:hAnsi="Times New Roman" w:cs="Times New Roman"/>
          <w:sz w:val="24"/>
          <w:szCs w:val="24"/>
          <w:lang w:val="en-US"/>
        </w:rPr>
        <w:fldChar w:fldCharType="end"/>
      </w:r>
      <w:r w:rsidR="001A5C9D">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Similarly, life expectancy</w:t>
      </w:r>
      <w:r w:rsidR="00556802">
        <w:rPr>
          <w:rFonts w:ascii="Times New Roman" w:hAnsi="Times New Roman" w:cs="Times New Roman"/>
          <w:sz w:val="24"/>
          <w:szCs w:val="24"/>
          <w:lang w:val="en-US"/>
        </w:rPr>
        <w:t xml:space="preserve"> </w:t>
      </w:r>
      <w:r w:rsidR="008357C4">
        <w:rPr>
          <w:rFonts w:ascii="Times New Roman" w:hAnsi="Times New Roman" w:cs="Times New Roman"/>
          <w:sz w:val="24"/>
          <w:szCs w:val="24"/>
          <w:lang w:val="en-US"/>
        </w:rPr>
        <w:t xml:space="preserve">improvements </w:t>
      </w:r>
      <w:r w:rsidR="00556802">
        <w:rPr>
          <w:rFonts w:ascii="Times New Roman" w:hAnsi="Times New Roman" w:cs="Times New Roman"/>
          <w:sz w:val="24"/>
          <w:szCs w:val="24"/>
          <w:lang w:val="en-US"/>
        </w:rPr>
        <w:t xml:space="preserve">in many Latin American countries such as Brazil </w:t>
      </w:r>
      <w:r w:rsidR="00CA7CBD">
        <w:rPr>
          <w:rFonts w:ascii="Times New Roman" w:hAnsi="Times New Roman" w:cs="Times New Roman"/>
          <w:sz w:val="24"/>
          <w:szCs w:val="24"/>
          <w:lang w:val="en-US"/>
        </w:rPr>
        <w:t>have been slowed down by</w:t>
      </w:r>
      <w:r w:rsidRPr="00DF39A4">
        <w:rPr>
          <w:rFonts w:ascii="Times New Roman" w:hAnsi="Times New Roman" w:cs="Times New Roman"/>
          <w:sz w:val="24"/>
          <w:szCs w:val="24"/>
          <w:lang w:val="en-US"/>
        </w:rPr>
        <w:t xml:space="preserve"> high levels of violence</w:t>
      </w:r>
      <w:r w:rsidR="001A5C9D">
        <w:rPr>
          <w:rFonts w:ascii="Times New Roman" w:hAnsi="Times New Roman" w:cs="Times New Roman"/>
          <w:sz w:val="24"/>
          <w:szCs w:val="24"/>
          <w:lang w:val="en-US"/>
        </w:rPr>
        <w:t xml:space="preserve"> </w:t>
      </w:r>
      <w:r w:rsidR="001A5C9D">
        <w:rPr>
          <w:rFonts w:ascii="Times New Roman" w:hAnsi="Times New Roman" w:cs="Times New Roman"/>
          <w:sz w:val="24"/>
          <w:szCs w:val="24"/>
          <w:lang w:val="en-US"/>
        </w:rPr>
        <w:fldChar w:fldCharType="begin"/>
      </w:r>
      <w:r w:rsidR="001A5C9D">
        <w:rPr>
          <w:rFonts w:ascii="Times New Roman" w:hAnsi="Times New Roman" w:cs="Times New Roman"/>
          <w:sz w:val="24"/>
          <w:szCs w:val="24"/>
          <w:lang w:val="en-US"/>
        </w:rPr>
        <w:instrText xml:space="preserve"> ADDIN ZOTERO_ITEM CSL_CITATION {"citationID":"tZzTwtT3","properties":{"formattedCitation":"(Canudas-Romo &amp; Aburto, 2019)","plainCitation":"(Canudas-Romo &amp; Aburto, 2019)","noteIndex":0},"citationItems":[{"id":2627,"uris":["http://zotero.org/groups/5842698/items/7DLZ8BSZ"],"itemData":{"id":2627,"type":"article-journal","container-title":"BMJ Global Health","DOI":"10.1136/bmjgh-2018-001275","issue":"2","language":"en","page":"e001275","title":"Youth lost to homicides: disparities in survival in Latin America and the Caribbean","volume":"4","author":[{"family":"Canudas-Romo","given":"Vladimir"},{"family":"Aburto","given":"José Manuel"}],"issued":{"date-parts":[["2019"]]}}}],"schema":"https://github.com/citation-style-language/schema/raw/master/csl-citation.json"} </w:instrText>
      </w:r>
      <w:r w:rsidR="001A5C9D">
        <w:rPr>
          <w:rFonts w:ascii="Times New Roman" w:hAnsi="Times New Roman" w:cs="Times New Roman"/>
          <w:sz w:val="24"/>
          <w:szCs w:val="24"/>
          <w:lang w:val="en-US"/>
        </w:rPr>
        <w:fldChar w:fldCharType="separate"/>
      </w:r>
      <w:r w:rsidR="001A5C9D" w:rsidRPr="00AB60CB">
        <w:rPr>
          <w:rFonts w:ascii="Times New Roman" w:hAnsi="Times New Roman" w:cs="Times New Roman"/>
          <w:sz w:val="24"/>
        </w:rPr>
        <w:t>(Canudas-Romo &amp; Aburto, 2019)</w:t>
      </w:r>
      <w:r w:rsidR="001A5C9D">
        <w:rPr>
          <w:rFonts w:ascii="Times New Roman" w:hAnsi="Times New Roman" w:cs="Times New Roman"/>
          <w:sz w:val="24"/>
          <w:szCs w:val="24"/>
          <w:lang w:val="en-US"/>
        </w:rPr>
        <w:fldChar w:fldCharType="end"/>
      </w:r>
      <w:r w:rsidRPr="00DF39A4">
        <w:rPr>
          <w:rFonts w:ascii="Times New Roman" w:hAnsi="Times New Roman" w:cs="Times New Roman"/>
          <w:sz w:val="24"/>
          <w:szCs w:val="24"/>
          <w:lang w:val="en-US"/>
        </w:rPr>
        <w:t>.</w:t>
      </w:r>
      <w:r w:rsidR="001A5C9D" w:rsidRPr="00DF39A4">
        <w:rPr>
          <w:rFonts w:ascii="Times New Roman" w:hAnsi="Times New Roman" w:cs="Times New Roman"/>
          <w:sz w:val="24"/>
          <w:szCs w:val="24"/>
          <w:lang w:val="en-US"/>
        </w:rPr>
        <w:t xml:space="preserve"> </w:t>
      </w:r>
    </w:p>
    <w:p w14:paraId="7F06D47C" w14:textId="77777777" w:rsidR="0063686C" w:rsidRPr="00DF39A4" w:rsidRDefault="0063686C" w:rsidP="00252023">
      <w:pPr>
        <w:pStyle w:val="NoSpacing"/>
        <w:spacing w:line="480" w:lineRule="auto"/>
        <w:jc w:val="both"/>
        <w:rPr>
          <w:rFonts w:ascii="Times New Roman" w:hAnsi="Times New Roman" w:cs="Times New Roman"/>
          <w:sz w:val="24"/>
          <w:szCs w:val="24"/>
          <w:lang w:val="en-US"/>
        </w:rPr>
      </w:pPr>
    </w:p>
    <w:p w14:paraId="54598092" w14:textId="3A508771" w:rsidR="006360CA" w:rsidRPr="00DF39A4" w:rsidRDefault="00647522" w:rsidP="00252023">
      <w:pPr>
        <w:pStyle w:val="NoSpacing"/>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The </w:t>
      </w:r>
      <w:r w:rsidR="00B54011" w:rsidRPr="00DF39A4">
        <w:rPr>
          <w:rFonts w:ascii="Times New Roman" w:hAnsi="Times New Roman" w:cs="Times New Roman"/>
          <w:sz w:val="24"/>
          <w:szCs w:val="24"/>
          <w:lang w:val="en-US"/>
        </w:rPr>
        <w:t xml:space="preserve"> </w:t>
      </w:r>
      <w:r w:rsidR="00502617" w:rsidRPr="00DF39A4">
        <w:rPr>
          <w:rFonts w:ascii="Times New Roman" w:hAnsi="Times New Roman" w:cs="Times New Roman"/>
          <w:sz w:val="24"/>
          <w:szCs w:val="24"/>
          <w:lang w:val="en-US"/>
        </w:rPr>
        <w:t xml:space="preserve">COVID-19 pandemic </w:t>
      </w:r>
      <w:r w:rsidR="00B54011" w:rsidRPr="00DF39A4">
        <w:rPr>
          <w:rFonts w:ascii="Times New Roman" w:hAnsi="Times New Roman" w:cs="Times New Roman"/>
          <w:sz w:val="24"/>
          <w:szCs w:val="24"/>
          <w:lang w:val="en-US"/>
        </w:rPr>
        <w:t xml:space="preserve">further </w:t>
      </w:r>
      <w:r w:rsidR="009D307A" w:rsidRPr="00DF39A4">
        <w:rPr>
          <w:rFonts w:ascii="Times New Roman" w:hAnsi="Times New Roman" w:cs="Times New Roman"/>
          <w:sz w:val="24"/>
          <w:szCs w:val="24"/>
          <w:lang w:val="en-US"/>
        </w:rPr>
        <w:t>diversified</w:t>
      </w:r>
      <w:r w:rsidR="00B54011" w:rsidRPr="00DF39A4">
        <w:rPr>
          <w:rFonts w:ascii="Times New Roman" w:hAnsi="Times New Roman" w:cs="Times New Roman"/>
          <w:sz w:val="24"/>
          <w:szCs w:val="24"/>
          <w:lang w:val="en-US"/>
        </w:rPr>
        <w:t xml:space="preserve"> life expectancy trajectories</w:t>
      </w:r>
      <w:r w:rsidRPr="00DF39A4">
        <w:rPr>
          <w:rFonts w:ascii="Times New Roman" w:hAnsi="Times New Roman" w:cs="Times New Roman"/>
          <w:sz w:val="24"/>
          <w:szCs w:val="24"/>
          <w:lang w:val="en-US"/>
        </w:rPr>
        <w:t xml:space="preserve">, </w:t>
      </w:r>
      <w:r w:rsidR="00827B81" w:rsidRPr="00DF39A4">
        <w:rPr>
          <w:rFonts w:ascii="Times New Roman" w:hAnsi="Times New Roman" w:cs="Times New Roman"/>
          <w:sz w:val="24"/>
          <w:szCs w:val="24"/>
          <w:lang w:val="en-US"/>
        </w:rPr>
        <w:t xml:space="preserve">with </w:t>
      </w:r>
      <w:r w:rsidRPr="00DF39A4">
        <w:rPr>
          <w:rFonts w:ascii="Times New Roman" w:hAnsi="Times New Roman" w:cs="Times New Roman"/>
          <w:sz w:val="24"/>
          <w:szCs w:val="24"/>
          <w:lang w:val="en-US"/>
        </w:rPr>
        <w:t xml:space="preserve">many countries </w:t>
      </w:r>
      <w:r w:rsidR="00827B81" w:rsidRPr="00DF39A4">
        <w:rPr>
          <w:rFonts w:ascii="Times New Roman" w:hAnsi="Times New Roman" w:cs="Times New Roman"/>
          <w:sz w:val="24"/>
          <w:szCs w:val="24"/>
          <w:lang w:val="en-US"/>
        </w:rPr>
        <w:t xml:space="preserve">experiencing </w:t>
      </w:r>
      <w:r w:rsidR="003B3133" w:rsidRPr="00DF39A4">
        <w:rPr>
          <w:rFonts w:ascii="Times New Roman" w:hAnsi="Times New Roman" w:cs="Times New Roman"/>
          <w:sz w:val="24"/>
          <w:szCs w:val="24"/>
          <w:lang w:val="en-US"/>
        </w:rPr>
        <w:t xml:space="preserve">substantial </w:t>
      </w:r>
      <w:r w:rsidRPr="00DF39A4">
        <w:rPr>
          <w:rFonts w:ascii="Times New Roman" w:hAnsi="Times New Roman" w:cs="Times New Roman"/>
          <w:sz w:val="24"/>
          <w:szCs w:val="24"/>
          <w:lang w:val="en-US"/>
        </w:rPr>
        <w:t>losses in life expectancy at birth</w:t>
      </w:r>
      <w:r w:rsidR="00C811A3" w:rsidRPr="00DF39A4">
        <w:rPr>
          <w:rFonts w:ascii="Times New Roman" w:hAnsi="Times New Roman" w:cs="Times New Roman"/>
          <w:sz w:val="24"/>
          <w:szCs w:val="24"/>
          <w:lang w:val="en-US"/>
        </w:rPr>
        <w:t xml:space="preserve"> in 2020</w:t>
      </w:r>
      <w:r w:rsidR="00C62007" w:rsidRPr="00DF39A4">
        <w:rPr>
          <w:rFonts w:ascii="Times New Roman" w:hAnsi="Times New Roman" w:cs="Times New Roman"/>
          <w:sz w:val="24"/>
          <w:szCs w:val="24"/>
          <w:lang w:val="en-US"/>
        </w:rPr>
        <w:t>, albeit with large heterogeneity</w:t>
      </w:r>
      <w:r w:rsidR="001A5C9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{"citationID":"VxmkxRSq","properties":{"formattedCitation":"(Aburto et al., 2021; Aburto, Sch\\uc0\\u246{}ley, et al., 2022; Aburto, Tilstra, et al., 2022; Islam, Jdanov, et al., 2021; Mazzuco &amp; Campostrini, 2022)","plainCitation":"(Aburto et al., 2021; Aburto, Schöley, et al., 2022; Aburto, Tilstra, et al., 2022; Islam, Jdanov, et al., 2021; Mazzuco &amp; Campostrini, 2022)","noteIndex":0},"citationItems":[{"id":2617,"uris":["http://zotero.org/groups/5842698/items/SIE3AC5Q"],"itemData":{"id":2617,"type":"article-journal","container-title":"Proceedings of the National Academy of Sciences","DOI":"10.1073/pnas.2205813119","issue":"35","language":"en","page":"e2205813119","title":"Significant impacts of the COVID-19 pandemic on race/ethnic differences in US mortality","volume":"119","author":[{"family":"Aburto","given":"José Manuel"},{"family":"Tilstra","given":"Andrea M."},{"family":"Floridi","given":"Ginevra"},{"family":"Dowd","given":"Jennifer Beam"}],"issued":{"date-parts":[["2022"]]}}},{"id":2616,"uris":["http://zotero.org/groups/5842698/items/Z8JJVCAC"],"itemData":{"id":2616,"type":"article-journal","container-title":"International Journal of Epidemiology","DOI":"10.1093/ije/dyab207","issue":"1","language":"en","page":"63-74","title":"Quantifying impacts of the COVID-19 pandemic through life-expectancy losses: a population-level study of 29 countries","volume":"51","author":[{"family":"Aburto","given":"José Manuel"},{"family":"Schöley","given":"Jonas"},{"family":"Kashnitsky","given":"Ilya"},{"family":"Zhang","given":"Luyin"},{"family":"Rahal","given":"Charles"},{"family":"Missov","given":"Trifon I."},{"family":"Mills","given":"Melinda C."},{"family":"Dowd","given":"Jennifer B."},{"family":"Kashyap","given":"Ridhi"}],"issued":{"date-parts":[["2022"]]}}},{"id":2644,"uris":["http://zotero.org/groups/5842698/items/QLEDW4XT"],"itemData":{"id":2644,"type":"article-journal","container-title":"BMJ","DOI":"10.1136/bmj-2021-066768","language":"en","page":"e066768","title":"Effects of covid-19 pandemic on life expectancy and premature mortality in 2020: time series analysis in 37 countries","volume":"375","author":[{"family":"Islam","given":"Nazrul"},{"family":"Jdanov","given":"Dmitri A."},{"family":"Shkolnikov","given":"Vladimir M."},{"family":"Khunti","given":"Kamlesh"},{"family":"Kawachi","given":"Ichiro"},{"family":"White","given":"Martin"},{"family":"Lewington","given":"Sarah"},{"family":"Lacey","given":"Ben"}],"issued":{"date-parts":[["2021"]]}}},{"id":2658,"uris":["http://zotero.org/groups/5842698/items/6EBEX9I3"],"itemData":{"id":2658,"type":"article-journal","container-title":"PLOS ONE","DOI":"10.1371/journal.pone.0262846","issue":"1","language":"en","page":"e0262846","title":"Life expectancy drop in 2020. Estimates based on Human Mortality Database","volume":"17","author":[{"family":"Mazzuco","given":"Stefano"},{"family":"Campostrini","given":"Stefano"}],"issued":{"date-parts":[["2022"]]}}},{"id":2615,"uris":["http://zotero.org/groups/5842698/items/VBQJSJ6R"],"itemData":{"id":2615,"type":"article-journal","container-title":"Journal of Epidemiology and Community Health","DOI":"10.1136/jech-2020-215505","issue":"8","language":"en","page":"735-740","title":"Estimating the burden of the COVID-19 pandemic on mortality, life expectancy and lifespan inequality in England and Wales: a population-level analysis","volume":"75","author":[{"family":"Aburto","given":"Jose Manuel"},{"family":"Kashyap","given":"Ridhi"},{"family":"Schöley","given":"Jonas"},{"family":"Angus","given":"Colin"},{"family":"Ermisch","given":"John"},{"family":"Mills","given":"Melinda C."},{"family":"Dowd","given":"Jennifer Beam"}],"issued":{"date-parts":[["2021"]]}}}],"schema":"https://github.com/citation-style-language/schema/raw/master/csl-citation.json"}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(Aburto et al., 2021; Aburto, Schöley, et al., 2022; Aburto, Tilstra, et al., 2022; Islam, Jdanov, et al., 2021; Mazzuco &amp; Campostrini, 2022)</w:t>
      </w:r>
      <w:r w:rsidR="00C4451C">
        <w:rPr>
          <w:rFonts w:ascii="Times New Roman" w:hAnsi="Times New Roman" w:cs="Times New Roman"/>
          <w:sz w:val="24"/>
          <w:szCs w:val="24"/>
          <w:lang w:val="en-US"/>
        </w:rPr>
        <w:fldChar w:fldCharType="end"/>
      </w:r>
      <w:r w:rsidR="001A5C9D">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t>
      </w:r>
      <w:r w:rsidR="00661C18" w:rsidRPr="00DF39A4">
        <w:rPr>
          <w:rFonts w:ascii="Times New Roman" w:hAnsi="Times New Roman" w:cs="Times New Roman"/>
          <w:sz w:val="24"/>
          <w:szCs w:val="24"/>
          <w:lang w:val="en-US"/>
        </w:rPr>
        <w:t>In 2021, the pandemic’s impact on life expectancy varied</w:t>
      </w:r>
      <w:r w:rsidR="00E730DA" w:rsidRPr="00DF39A4">
        <w:rPr>
          <w:rFonts w:ascii="Times New Roman" w:hAnsi="Times New Roman" w:cs="Times New Roman"/>
          <w:sz w:val="24"/>
          <w:szCs w:val="24"/>
          <w:lang w:val="en-US"/>
        </w:rPr>
        <w:t xml:space="preserve"> further</w:t>
      </w:r>
      <w:r w:rsidR="001A5C9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{"citationID":"ugEB3mZy","properties":{"formattedCitation":"(Heuveline, 2022)","plainCitation":"(Heuveline, 2022)","noteIndex":0},"citationItems":[{"id":2638,"uris":["http://zotero.org/groups/5842698/items/QXCK3TMC"],"itemData":{"id":2638,"type":"article-journal","container-title":"Population and Development Review","DOI":"10.1111/padr.12477","issue":"1","language":"en","page":"31-50","title":"Global and national declines in life expectancy: an end-of-2021 assessment","volume":"48","author":[{"family":"Heuveline","given":"Patrick"}],"issued":{"date-parts":[["2022"]]}}}],"schema":"https://github.com/citation-style-language/schema/raw/master/csl-citation.json"}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(Heuveline, 2022)</w:t>
      </w:r>
      <w:r w:rsidR="00C4451C">
        <w:rPr>
          <w:rFonts w:ascii="Times New Roman" w:hAnsi="Times New Roman" w:cs="Times New Roman"/>
          <w:sz w:val="24"/>
          <w:szCs w:val="24"/>
          <w:lang w:val="en-US"/>
        </w:rPr>
        <w:fldChar w:fldCharType="end"/>
      </w:r>
      <w:r w:rsidR="001A5C9D">
        <w:rPr>
          <w:rFonts w:ascii="Times New Roman" w:hAnsi="Times New Roman" w:cs="Times New Roman"/>
          <w:sz w:val="24"/>
          <w:szCs w:val="24"/>
          <w:lang w:val="en-US"/>
        </w:rPr>
        <w:t>,</w:t>
      </w:r>
      <w:r w:rsidR="00661C18" w:rsidRPr="00DF39A4">
        <w:rPr>
          <w:rFonts w:ascii="Times New Roman" w:hAnsi="Times New Roman" w:cs="Times New Roman"/>
          <w:sz w:val="24"/>
          <w:szCs w:val="24"/>
          <w:lang w:val="en-US"/>
        </w:rPr>
        <w:t xml:space="preserve"> with most of Western Europe seeing improvements compared to 2020, while Central and Eastern Europe, the Baltic states, and the USA experienced </w:t>
      </w:r>
      <w:r w:rsidR="00E730DA" w:rsidRPr="00DF39A4">
        <w:rPr>
          <w:rFonts w:ascii="Times New Roman" w:hAnsi="Times New Roman" w:cs="Times New Roman"/>
          <w:sz w:val="24"/>
          <w:szCs w:val="24"/>
          <w:lang w:val="en-US"/>
        </w:rPr>
        <w:t>additional</w:t>
      </w:r>
      <w:r w:rsidR="00661C18" w:rsidRPr="00DF39A4">
        <w:rPr>
          <w:rFonts w:ascii="Times New Roman" w:hAnsi="Times New Roman" w:cs="Times New Roman"/>
          <w:sz w:val="24"/>
          <w:szCs w:val="24"/>
          <w:lang w:val="en-US"/>
        </w:rPr>
        <w:t xml:space="preserve"> life expectancy </w:t>
      </w:r>
      <w:r w:rsidR="00916564" w:rsidRPr="00DF39A4">
        <w:rPr>
          <w:rFonts w:ascii="Times New Roman" w:hAnsi="Times New Roman" w:cs="Times New Roman"/>
          <w:sz w:val="24"/>
          <w:szCs w:val="24"/>
          <w:lang w:val="en-US"/>
        </w:rPr>
        <w:t>declines</w:t>
      </w:r>
      <w:r w:rsidR="001A5C9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{"citationID":"pzxJ7XBN","properties":{"formattedCitation":"(Masters et al., 2022; Sch\\uc0\\u246{}ley et al., 2022)","plainCitation":"(Masters et al., 2022; Schöley et al., 2022)","noteIndex":0},"citationItems":[{"id":2656,"uris":["http://zotero.org/groups/5842698/items/8NKE52KK"],"itemData":{"id":2656,"type":"report","language":"en","note":"DOI: 10.1101/2022.04.05.22273393\ntype: article","publisher":"medRxiv","title":"Changes in life expectancy between 2019 and 2021: United States and 19 peer countries","author":[{"family":"Masters","given":"Ryan K."},{"family":"Aron","given":"Laudan Y."},{"family":"Woolf","given":"Steven H."}],"issued":{"date-parts":[["2022"]]}}},{"id":2671,"uris":["http://zotero.org/groups/5842698/items/XPKGS9DR"],"itemData":{"id":2671,"type":"article-journal","container-title":"Nature Human Behaviour","DOI":"10.1038/s41562-022-01450-3","language":"en","page":"1649-1659","title":"Life expectancy changes since COVID-19","volume":"6","author":[{"family":"Schöley","given":"Jonas"},{"family":"Aburto","given":"José Manuel"},{"family":"Kashnitsky","given":"Ilya"},{"family":"Kniffka","given":"Maxi S."},{"family":"Zhang","given":"Luyin"},{"family":"Jaadla","given":"Hannaliis"},{"family":"Dowd","given":"Jennifer B."},{"family":"Kashyap","given":"Ridhi"}],"issued":{"date-parts":[["2022"]]}}}],"schema":"https://github.com/citation-style-language/schema/raw/master/csl-citation.json"}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(Masters et al., 2022; Schöley et al., 2022)</w:t>
      </w:r>
      <w:r w:rsidR="00C4451C">
        <w:rPr>
          <w:rFonts w:ascii="Times New Roman" w:hAnsi="Times New Roman" w:cs="Times New Roman"/>
          <w:sz w:val="24"/>
          <w:szCs w:val="24"/>
          <w:lang w:val="en-US"/>
        </w:rPr>
        <w:fldChar w:fldCharType="end"/>
      </w:r>
      <w:r w:rsidR="001A5C9D">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Moreover, the age profile of mortality impacts in 2021 was</w:t>
      </w:r>
      <w:r w:rsidR="00BC54B2" w:rsidRPr="00DF39A4">
        <w:rPr>
          <w:rFonts w:ascii="Times New Roman" w:hAnsi="Times New Roman" w:cs="Times New Roman"/>
          <w:sz w:val="24"/>
          <w:szCs w:val="24"/>
          <w:lang w:val="en-US"/>
        </w:rPr>
        <w:t xml:space="preserve"> often</w:t>
      </w:r>
      <w:r w:rsidRPr="00DF39A4">
        <w:rPr>
          <w:rFonts w:ascii="Times New Roman" w:hAnsi="Times New Roman" w:cs="Times New Roman"/>
          <w:sz w:val="24"/>
          <w:szCs w:val="24"/>
          <w:lang w:val="en-US"/>
        </w:rPr>
        <w:t xml:space="preserve"> younger, with working-age groups </w:t>
      </w:r>
      <w:r w:rsidR="00CA5522" w:rsidRPr="00DF39A4">
        <w:rPr>
          <w:rFonts w:ascii="Times New Roman" w:hAnsi="Times New Roman" w:cs="Times New Roman"/>
          <w:sz w:val="24"/>
          <w:szCs w:val="24"/>
          <w:lang w:val="en-US"/>
        </w:rPr>
        <w:t xml:space="preserve">in many countries </w:t>
      </w:r>
      <w:r w:rsidRPr="00DF39A4">
        <w:rPr>
          <w:rFonts w:ascii="Times New Roman" w:hAnsi="Times New Roman" w:cs="Times New Roman"/>
          <w:sz w:val="24"/>
          <w:szCs w:val="24"/>
          <w:lang w:val="en-US"/>
        </w:rPr>
        <w:t xml:space="preserve">contributing more to life expectancy losses </w:t>
      </w:r>
      <w:r w:rsidR="004757B6" w:rsidRPr="00DF39A4">
        <w:rPr>
          <w:rFonts w:ascii="Times New Roman" w:hAnsi="Times New Roman" w:cs="Times New Roman"/>
          <w:sz w:val="24"/>
          <w:szCs w:val="24"/>
          <w:lang w:val="en-US"/>
        </w:rPr>
        <w:t>than in 2020</w:t>
      </w:r>
      <w:r w:rsidRPr="00DF39A4">
        <w:rPr>
          <w:rFonts w:ascii="Times New Roman" w:hAnsi="Times New Roman" w:cs="Times New Roman"/>
          <w:sz w:val="24"/>
          <w:szCs w:val="24"/>
          <w:lang w:val="en-US"/>
        </w:rPr>
        <w:t>.</w:t>
      </w:r>
      <w:r w:rsidR="00F44F2D" w:rsidRPr="00DF39A4">
        <w:rPr>
          <w:rFonts w:ascii="Times New Roman" w:hAnsi="Times New Roman" w:cs="Times New Roman"/>
          <w:sz w:val="24"/>
          <w:szCs w:val="24"/>
          <w:lang w:val="en-US"/>
        </w:rPr>
        <w:t xml:space="preserve"> </w:t>
      </w:r>
      <w:r w:rsidR="00E11CE6" w:rsidRPr="00DF39A4">
        <w:rPr>
          <w:rFonts w:ascii="Times New Roman" w:hAnsi="Times New Roman" w:cs="Times New Roman"/>
          <w:sz w:val="24"/>
          <w:szCs w:val="24"/>
          <w:lang w:val="en-US"/>
        </w:rPr>
        <w:t>Latin American countries, including Brazil and Chile, saw significant excess mortality in 2020</w:t>
      </w:r>
      <w:r w:rsidR="0096617A">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{"citationID":"4jxjl3Bs","properties":{"formattedCitation":"(Lima et al., 2021)","plainCitation":"(Lima et al., 2021)","noteIndex":0},"citationItems":[{"id":2652,"uris":["http://zotero.org/groups/5842698/items/LBZZFI6E"],"itemData":{"id":2652,"type":"article-journal","container-title":"Genus","DOI":"10.1186/s41118-021-00139-1","issue":"1","language":"en","page":"30","title":"Investigating regional excess mortality during 2020 COVID-19 pandemic in selected Latin American countries","volume":"77","author":[{"family":"Lima","given":"Everton E. C."},{"family":"Vilela","given":"Estevão A."},{"family":"Peralta","given":"Andrés"},{"family":"Rocha","given":"Marília"},{"family":"Queiroz","given":"Bernardo L."},{"family":"Gonzaga","given":"Marcos R."},{"family":"Piscoya-Díaz","given":"Mario"},{"family":"Martinez-Folgar","given":"Kevin"},{"family":"García-Guerrero","given":"Víctor M."},{"family":"Freire","given":"Flávio H. M. A."}],"issued":{"date-parts":[["2021"]]}}}],"schema":"https://github.com/citation-style-language/schema/raw/master/csl-citation.json"}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(Lima et al., 2021)</w:t>
      </w:r>
      <w:r w:rsidR="00C4451C">
        <w:rPr>
          <w:rFonts w:ascii="Times New Roman" w:hAnsi="Times New Roman" w:cs="Times New Roman"/>
          <w:sz w:val="24"/>
          <w:szCs w:val="24"/>
          <w:lang w:val="en-US"/>
        </w:rPr>
        <w:fldChar w:fldCharType="end"/>
      </w:r>
      <w:r w:rsidR="0096617A" w:rsidRPr="00DF39A4">
        <w:rPr>
          <w:rFonts w:ascii="Times New Roman" w:hAnsi="Times New Roman" w:cs="Times New Roman"/>
          <w:sz w:val="24"/>
          <w:szCs w:val="24"/>
          <w:lang w:val="en-US"/>
        </w:rPr>
        <w:t>,</w:t>
      </w:r>
      <w:r w:rsidR="00E11CE6" w:rsidRPr="00DF39A4">
        <w:rPr>
          <w:rFonts w:ascii="Times New Roman" w:hAnsi="Times New Roman" w:cs="Times New Roman"/>
          <w:sz w:val="24"/>
          <w:szCs w:val="24"/>
          <w:lang w:val="en-US"/>
        </w:rPr>
        <w:t xml:space="preserve"> with existing studies highlighting large variation in life expectancy declines at the sub-national level</w:t>
      </w:r>
      <w:r w:rsidR="0096617A">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{"citationID":"1K1GGERW","properties":{"formattedCitation":"(Castro et al., 2021; Garc\\uc0\\u237{}a-Guerrero &amp; Beltr\\uc0\\u225{}n-S\\uc0\\u225{}nchez, 2021; Mena &amp; Aburto, 2022; Zazueta-Borboa et al., 2024)","plainCitation":"(Castro et al., 2021; García-Guerrero &amp; Beltrán-Sánchez, 2021; Mena &amp; Aburto, 2022; Zazueta-Borboa et al., 2024)","noteIndex":0},"citationItems":[{"id":2629,"uris":["http://zotero.org/groups/5842698/items/IZQWEWJ9"],"itemData":{"id":2629,"type":"article-journal","container-title":"Nature Medicine","DOI":"10.1038/s41591-021-01437-z","language":"en","page":"1629-1635","title":"Reduction in life expectancy in Brazil after COVID-19","volume":"27","author":[{"family":"Castro","given":"Marcia C."},{"family":"Gurzenda","given":"Susie"},{"family":"Turra","given":"Cassio M."},{"family":"Kim","given":"Sun"},{"family":"Andrasfay","given":"Theresa"},{"family":"Goldman","given":"Noreen"}],"issued":{"date-parts":[["2021"]]}}},{"id":2660,"uris":["http://zotero.org/groups/5842698/items/EC56DZMS"],"itemData":{"id":2660,"type":"article-journal","container-title":"BMJ Open","DOI":"10.1136/bmjopen-2021-059201","issue":"8","language":"en","page":"e059201","title":"Unequal impact of the COVID-19 pandemic in 2020 on life expectancy across urban areas in Chile: a cross-sectional demographic study","volume":"12","author":[{"family":"Mena","given":"Gonzalo"},{"family":"Aburto","given":"José Manuel"}],"issued":{"date-parts":[["2022"]]}}},{"id":2635,"uris":["http://zotero.org/groups/5842698/items/PC6PIR9X"],"itemData":{"id":2635,"type":"article-journal","container-title":"Canadian Studies in Population","DOI":"10.1007/s42650-021-00051-1","issue":"2","language":"en","page":"165-200","title":"Heterogeneity in excess mortality and its impact on loss of life expectancy due to COVID-19: evidence from Mexico","volume":"48","author":[{"family":"García-Guerrero","given":"Víctor M."},{"family":"Beltrán-Sánchez","given":"Hiram"}],"issued":{"date-parts":[["2021"]]}}},{"id":2684,"uris":["http://zotero.org/groups/5842698/items/3UUC794S"],"itemData":{"id":2684,"type":"article-journal","container-title":"medRxiv","DOI":"10.1101/2024.05.07.24306982","language":"en","title":"Mexico’s surge of violence and COVID-19 drive life expectancy losses 2015–2021","author":[{"family":"Zazueta-Borboa","given":"Jesús-Daniel"},{"family":"Vázquez-Castillo","given":"Paola"},{"family":"Gargiulo","given":"Maria"},{"family":"Aburto","given":"José Manuel"}],"issued":{"date-parts":[["2024"]]}}}],"schema":"https://github.com/citation-style-language/schema/raw/master/csl-citation.json"}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(Castro et al., 2021; García-Guerrero &amp; Beltrán-Sánchez, 2021; Mena &amp; Aburto, 2022; Zazueta-Borboa et al., 2024)</w:t>
      </w:r>
      <w:r w:rsidR="00C4451C">
        <w:rPr>
          <w:rFonts w:ascii="Times New Roman" w:hAnsi="Times New Roman" w:cs="Times New Roman"/>
          <w:sz w:val="24"/>
          <w:szCs w:val="24"/>
          <w:lang w:val="en-US"/>
        </w:rPr>
        <w:fldChar w:fldCharType="end"/>
      </w:r>
      <w:r w:rsidR="0096617A" w:rsidRPr="00DF39A4">
        <w:rPr>
          <w:rFonts w:ascii="Times New Roman" w:hAnsi="Times New Roman" w:cs="Times New Roman"/>
          <w:sz w:val="24"/>
          <w:szCs w:val="24"/>
          <w:lang w:val="en-US"/>
        </w:rPr>
        <w:t>.</w:t>
      </w:r>
      <w:r w:rsidR="00E11CE6" w:rsidRPr="00DF39A4">
        <w:rPr>
          <w:rFonts w:ascii="Times New Roman" w:hAnsi="Times New Roman" w:cs="Times New Roman"/>
          <w:sz w:val="24"/>
          <w:szCs w:val="24"/>
          <w:lang w:val="en-US"/>
        </w:rPr>
        <w:t xml:space="preserve"> Notably, East Asian countries and Australia saw almost no drops in life expectancy in 2020 or 2021</w:t>
      </w:r>
      <w:r w:rsidR="0096617A">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{"citationID":"JdSudSH1","properties":{"formattedCitation":"(Adair et al., 2023; Mo et al., 2023)","plainCitation":"(Adair et al., 2023; Mo et al., 2023)","noteIndex":0},"citationItems":[{"id":2661,"uris":["http://zotero.org/groups/5842698/items/ZYBHMU3H"],"itemData":{"id":2661,"type":"article-journal","container-title":"BMC Public Health","DOI":"10.1186/s12889-023-16426-9","issue":"1","language":"en","page":"1508","title":"Impacts of the COVID-19 pandemic on life expectancy at birth in Asia","volume":"23","author":[{"family":"Mo","given":"Yan"},{"family":"Feng","given":"Qiushi"},{"family":"Gu","given":"Danan"}],"issued":{"date-parts":[["2023"]]}}},{"id":2620,"uris":["http://zotero.org/groups/5842698/items/MWU544AY"],"itemData":{"id":2620,"type":"article-journal","container-title":"International Journal of Epidemiology","DOI":"10.1093/ije/dyad121","issue":"6","language":"en","page":"1735-1744","title":"Effect of the COVID-19 pandemic on life expectancy in Australia, 2020-22","volume":"52","author":[{"family":"Adair","given":"Tim"},{"family":"Houle","given":"Brian"},{"family":"Canudas-Romo","given":"Vladimir"}],"issued":{"date-parts":[["2023"]]}}}],"schema":"https://github.com/citation-style-language/schema/raw/master/csl-citation.json"}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(Adair et al., 2023; Mo et al., 2023)</w:t>
      </w:r>
      <w:r w:rsidR="00C4451C">
        <w:rPr>
          <w:rFonts w:ascii="Times New Roman" w:hAnsi="Times New Roman" w:cs="Times New Roman"/>
          <w:sz w:val="24"/>
          <w:szCs w:val="24"/>
          <w:lang w:val="en-US"/>
        </w:rPr>
        <w:fldChar w:fldCharType="end"/>
      </w:r>
      <w:r w:rsidR="0096617A" w:rsidRPr="00DF39A4">
        <w:rPr>
          <w:rFonts w:ascii="Times New Roman" w:hAnsi="Times New Roman" w:cs="Times New Roman"/>
          <w:sz w:val="24"/>
          <w:szCs w:val="24"/>
          <w:lang w:val="en-US"/>
        </w:rPr>
        <w:t>.</w:t>
      </w:r>
      <w:r w:rsidR="00E11CE6" w:rsidRPr="00DF39A4">
        <w:rPr>
          <w:rFonts w:ascii="Times New Roman" w:hAnsi="Times New Roman" w:cs="Times New Roman"/>
          <w:sz w:val="24"/>
          <w:szCs w:val="24"/>
          <w:lang w:val="en-US"/>
        </w:rPr>
        <w:t xml:space="preserve"> </w:t>
      </w:r>
      <w:r w:rsidR="00440B37" w:rsidRPr="00DF39A4">
        <w:rPr>
          <w:rFonts w:ascii="Times New Roman" w:hAnsi="Times New Roman" w:cs="Times New Roman"/>
          <w:sz w:val="24"/>
          <w:szCs w:val="24"/>
          <w:lang w:val="en-US"/>
        </w:rPr>
        <w:t>Finally, i</w:t>
      </w:r>
      <w:r w:rsidR="00E11CE6" w:rsidRPr="00DF39A4">
        <w:rPr>
          <w:rFonts w:ascii="Times New Roman" w:hAnsi="Times New Roman" w:cs="Times New Roman"/>
          <w:sz w:val="24"/>
          <w:szCs w:val="24"/>
          <w:lang w:val="en-US"/>
        </w:rPr>
        <w:t>n 2022 and 2023, many countries experienced (further) recoveries in life expectancy, usually driven by improvements in mortality at older ages</w:t>
      </w:r>
      <w:r w:rsidR="0096617A">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{"citationID":"kr6fDgNS","properties":{"formattedCitation":"(Huang et al., 2024)","plainCitation":"(Huang et al., 2024)","noteIndex":0},"citationItems":[{"id":2643,"uris":["http://zotero.org/groups/5842698/items/5UWV2GZN"],"itemData":{"id":2643,"type":"article-journal","container-title":"SSM - Population Health","DOI":"10.1016/j.ssmph.2023.101568","language":"en","page":"101568","title":"Changing impact of COVID-19 on life expectancy 2019–2023 and its decomposition: Findings from 27 countries","volume":"25","author":[{"family":"Huang","given":"Guogui"},{"family":"Guo","given":"Fei"},{"family":"Liu","given":"Lihua"},{"family":"Taksa","given":"Lucy"},{"family":"Cheng","given":"Zhiming"},{"family":"Tani","given":"Massimiliano"},{"family":"Zimmermann","given":"Klaus F."},{"family":"Franklin","given":"Marika"},{"family":"Silva","given":"S. Sandun Malpriya"}],"issued":{"date-parts":[["2024"]]}}}],"schema":"https://github.com/citation-style-language/schema/raw/master/csl-citation.json"}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(Huang et al., 2024)</w:t>
      </w:r>
      <w:r w:rsidR="00C4451C">
        <w:rPr>
          <w:rFonts w:ascii="Times New Roman" w:hAnsi="Times New Roman" w:cs="Times New Roman"/>
          <w:sz w:val="24"/>
          <w:szCs w:val="24"/>
          <w:lang w:val="en-US"/>
        </w:rPr>
        <w:fldChar w:fldCharType="end"/>
      </w:r>
      <w:r w:rsidR="0096617A" w:rsidRPr="00DF39A4">
        <w:rPr>
          <w:rFonts w:ascii="Times New Roman" w:hAnsi="Times New Roman" w:cs="Times New Roman"/>
          <w:sz w:val="24"/>
          <w:szCs w:val="24"/>
          <w:lang w:val="en-US"/>
        </w:rPr>
        <w:t>.</w:t>
      </w:r>
      <w:r w:rsidR="00E11CE6" w:rsidRPr="00DF39A4">
        <w:rPr>
          <w:rFonts w:ascii="Times New Roman" w:hAnsi="Times New Roman" w:cs="Times New Roman"/>
          <w:sz w:val="24"/>
          <w:szCs w:val="24"/>
          <w:lang w:val="en-US"/>
        </w:rPr>
        <w:t xml:space="preserve"> Nevertheless, life expectancy </w:t>
      </w:r>
      <w:r w:rsidR="003C5CA9">
        <w:rPr>
          <w:rFonts w:ascii="Times New Roman" w:hAnsi="Times New Roman" w:cs="Times New Roman"/>
          <w:sz w:val="24"/>
          <w:szCs w:val="24"/>
          <w:lang w:val="en-US"/>
        </w:rPr>
        <w:t xml:space="preserve">had </w:t>
      </w:r>
      <w:r w:rsidR="00E11CE6" w:rsidRPr="00DF39A4">
        <w:rPr>
          <w:rFonts w:ascii="Times New Roman" w:hAnsi="Times New Roman" w:cs="Times New Roman"/>
          <w:sz w:val="24"/>
          <w:szCs w:val="24"/>
          <w:lang w:val="en-US"/>
        </w:rPr>
        <w:t>rarely returned to pre-2020 levels</w:t>
      </w:r>
      <w:r w:rsidR="00793A7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{"citationID":"nYt5U4Wp","properties":{"formattedCitation":"(Huang et al., 2024)","plainCitation":"(Huang et al., 2024)","noteIndex":0},"citationItems":[{"id":2643,"uris":["http://zotero.org/groups/5842698/items/5UWV2GZN"],"itemData":{"id":2643,"type":"article-journal","container-title":"SSM - Population Health","DOI":"10.1016/j.ssmph.2023.101568","language":"en","page":"101568","title":"Changing impact of COVID-19 on life expectancy 2019–2023 and its decomposition: Findings from 27 countries","volume":"25","author":[{"family":"Huang","given":"Guogui"},{"family":"Guo","given":"Fei"},{"family":"Liu","given":"Lihua"},{"family":"Taksa","given":"Lucy"},{"family":"Cheng","given":"Zhiming"},{"family":"Tani","given":"Massimiliano"},{"family":"Zimmermann","given":"Klaus F."},{"family":"Franklin","given":"Marika"},{"family":"Silva","given":"S. Sandun Malpriya"}],"issued":{"date-parts":[["2024"]]}}}],"schema":"https://github.com/citation-style-language/schema/raw/master/csl-citation.json"}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(Huang et al., 2024)</w:t>
      </w:r>
      <w:r w:rsidR="00C4451C">
        <w:rPr>
          <w:rFonts w:ascii="Times New Roman" w:hAnsi="Times New Roman" w:cs="Times New Roman"/>
          <w:sz w:val="24"/>
          <w:szCs w:val="24"/>
          <w:lang w:val="en-US"/>
        </w:rPr>
        <w:fldChar w:fldCharType="end"/>
      </w:r>
      <w:r w:rsidR="00793A7D" w:rsidRPr="00DF39A4">
        <w:rPr>
          <w:rFonts w:ascii="Times New Roman" w:hAnsi="Times New Roman" w:cs="Times New Roman"/>
          <w:sz w:val="24"/>
          <w:szCs w:val="24"/>
          <w:lang w:val="en-US"/>
        </w:rPr>
        <w:t>,</w:t>
      </w:r>
      <w:r w:rsidR="00E11CE6" w:rsidRPr="00DF39A4">
        <w:rPr>
          <w:rFonts w:ascii="Times New Roman" w:hAnsi="Times New Roman" w:cs="Times New Roman"/>
          <w:sz w:val="24"/>
          <w:szCs w:val="24"/>
          <w:lang w:val="en-US"/>
        </w:rPr>
        <w:t xml:space="preserve"> illustrating the long-lasting disruption of life expectancy trends caused by the COVID-19 pandemic. Some </w:t>
      </w:r>
      <w:r w:rsidR="00E11CE6" w:rsidRPr="00DF39A4">
        <w:rPr>
          <w:rFonts w:ascii="Times New Roman" w:hAnsi="Times New Roman" w:cs="Times New Roman"/>
          <w:sz w:val="24"/>
          <w:szCs w:val="24"/>
          <w:lang w:val="en-US"/>
        </w:rPr>
        <w:lastRenderedPageBreak/>
        <w:t>countries, such as Australia</w:t>
      </w:r>
      <w:r w:rsidR="00793A7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{"citationID":"AY2Icv1q","properties":{"formattedCitation":"(Adair et al., 2023)","plainCitation":"(Adair et al., 2023)","noteIndex":0},"citationItems":[{"id":2620,"uris":["http://zotero.org/groups/5842698/items/MWU544AY"],"itemData":{"id":2620,"type":"article-journal","container-title":"International Journal of Epidemiology","DOI":"10.1093/ije/dyad121","issue":"6","language":"en","page":"1735-1744","title":"Effect of the COVID-19 pandemic on life expectancy in Australia, 2020-22","volume":"52","author":[{"family":"Adair","given":"Tim"},{"family":"Houle","given":"Brian"},{"family":"Canudas-Romo","given":"Vladimir"}],"issued":{"date-parts":[["2023"]]}}}],"schema":"https://github.com/citation-style-language/schema/raw/master/csl-citation.json"}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(Adair et al., 2023)</w:t>
      </w:r>
      <w:r w:rsidR="00C4451C">
        <w:rPr>
          <w:rFonts w:ascii="Times New Roman" w:hAnsi="Times New Roman" w:cs="Times New Roman"/>
          <w:sz w:val="24"/>
          <w:szCs w:val="24"/>
          <w:lang w:val="en-US"/>
        </w:rPr>
        <w:fldChar w:fldCharType="end"/>
      </w:r>
      <w:r w:rsidR="00793A7D" w:rsidRPr="00DF39A4">
        <w:rPr>
          <w:rFonts w:ascii="Times New Roman" w:hAnsi="Times New Roman" w:cs="Times New Roman"/>
          <w:sz w:val="24"/>
          <w:szCs w:val="24"/>
          <w:lang w:val="en-US"/>
        </w:rPr>
        <w:t>,</w:t>
      </w:r>
      <w:r w:rsidR="00E11CE6" w:rsidRPr="00DF39A4">
        <w:rPr>
          <w:rFonts w:ascii="Times New Roman" w:hAnsi="Times New Roman" w:cs="Times New Roman"/>
          <w:sz w:val="24"/>
          <w:szCs w:val="24"/>
          <w:lang w:val="en-US"/>
        </w:rPr>
        <w:t xml:space="preserve"> even experienced (further) life expectancy losses in 2022 and/or 2023</w:t>
      </w:r>
      <w:r w:rsidR="00793A7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{"citationID":"3EVJNdkW","properties":{"formattedCitation":"(Huang et al., 2024)","plainCitation":"(Huang et al., 2024)","noteIndex":0},"citationItems":[{"id":2643,"uris":["http://zotero.org/groups/5842698/items/5UWV2GZN"],"itemData":{"id":2643,"type":"article-journal","container-title":"SSM - Population Health","DOI":"10.1016/j.ssmph.2023.101568","language":"en","page":"101568","title":"Changing impact of COVID-19 on life expectancy 2019–2023 and its decomposition: Findings from 27 countries","volume":"25","author":[{"family":"Huang","given":"Guogui"},{"family":"Guo","given":"Fei"},{"family":"Liu","given":"Lihua"},{"family":"Taksa","given":"Lucy"},{"family":"Cheng","given":"Zhiming"},{"family":"Tani","given":"Massimiliano"},{"family":"Zimmermann","given":"Klaus F."},{"family":"Franklin","given":"Marika"},{"family":"Silva","given":"S. Sandun Malpriya"}],"issued":{"date-parts":[["2024"]]}}}],"schema":"https://github.com/citation-style-language/schema/raw/master/csl-citation.json"}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(Huang et al., 2024)</w:t>
      </w:r>
      <w:r w:rsidR="00C4451C">
        <w:rPr>
          <w:rFonts w:ascii="Times New Roman" w:hAnsi="Times New Roman" w:cs="Times New Roman"/>
          <w:sz w:val="24"/>
          <w:szCs w:val="24"/>
          <w:lang w:val="en-US"/>
        </w:rPr>
        <w:fldChar w:fldCharType="end"/>
      </w:r>
      <w:r w:rsidR="00793A7D" w:rsidRPr="00DF39A4">
        <w:rPr>
          <w:rFonts w:ascii="Times New Roman" w:hAnsi="Times New Roman" w:cs="Times New Roman"/>
          <w:sz w:val="24"/>
          <w:szCs w:val="24"/>
          <w:lang w:val="en-US"/>
        </w:rPr>
        <w:t>.</w:t>
      </w:r>
    </w:p>
    <w:p w14:paraId="18EF9E73" w14:textId="77777777" w:rsidR="00097347" w:rsidRPr="00DF39A4" w:rsidRDefault="00097347" w:rsidP="00252023">
      <w:pPr>
        <w:pStyle w:val="NoSpacing"/>
        <w:spacing w:line="480" w:lineRule="auto"/>
        <w:jc w:val="both"/>
        <w:rPr>
          <w:rFonts w:ascii="Times New Roman" w:hAnsi="Times New Roman" w:cs="Times New Roman"/>
          <w:sz w:val="24"/>
          <w:szCs w:val="24"/>
          <w:lang w:val="en-US"/>
        </w:rPr>
      </w:pPr>
    </w:p>
    <w:p w14:paraId="4EEF9F7C" w14:textId="29312F4C" w:rsidR="00647522" w:rsidRPr="00DF39A4" w:rsidRDefault="00647522" w:rsidP="00252023">
      <w:pPr>
        <w:pStyle w:val="NoSpacing"/>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Life expectancy is an important measure of the pandemic mortality burden because it is comparable over time and across countries. However, most studies rely on all-cause mortality, and few quantify how COVID-19 vs. other causes of death contributed to observed life expectancy changes during the pandemic years</w:t>
      </w:r>
      <w:r w:rsidR="00793A7D">
        <w:rPr>
          <w:rFonts w:ascii="Times New Roman" w:hAnsi="Times New Roman" w:cs="Times New Roman"/>
          <w:sz w:val="24"/>
          <w:szCs w:val="24"/>
          <w:lang w:val="en-US"/>
        </w:rPr>
        <w:t xml:space="preserve"> </w:t>
      </w:r>
      <w:r w:rsidR="00C4451C">
        <w:rPr>
          <w:rFonts w:ascii="Times New Roman" w:hAnsi="Times New Roman" w:cs="Times New Roman"/>
          <w:sz w:val="24"/>
          <w:vertAlign w:val="superscript"/>
        </w:rPr>
        <w:fldChar w:fldCharType="begin"/>
      </w:r>
      <w:r w:rsidR="00AB60CB">
        <w:rPr>
          <w:rFonts w:ascii="Times New Roman" w:hAnsi="Times New Roman" w:cs="Times New Roman"/>
          <w:sz w:val="24"/>
          <w:vertAlign w:val="superscript"/>
        </w:rPr>
        <w:instrText xml:space="preserve"> ADDIN ZOTERO_ITEM CSL_CITATION {"citationID":"ChF7Sw4n","properties":{"formattedCitation":"(Aburto, Tilstra, et al., 2022; Adair et al., 2023; Fernandes et al., 2023; Zazueta-Borboa et al., 2024)","plainCitation":"(Aburto, Tilstra, et al., 2022; Adair et al., 2023; Fernandes et al., 2023; Zazueta-Borboa et al., 2024)","noteIndex":0},"citationItems":[{"id":2617,"uris":["http://zotero.org/groups/5842698/items/SIE3AC5Q"],"itemData":{"id":2617,"type":"article-journal","container-title":"Proceedings of the National Academy of Sciences","DOI":"10.1073/pnas.2205813119","issue":"35","language":"en","page":"e2205813119","title":"Significant impacts of the COVID-19 pandemic on race/ethnic differences in US mortality","volume":"119","author":[{"family":"Aburto","given":"José Manuel"},{"family":"Tilstra","given":"Andrea M."},{"family":"Floridi","given":"Ginevra"},{"family":"Dowd","given":"Jennifer Beam"}],"issued":{"date-parts":[["2022"]]}}},{"id":2684,"uris":["http://zotero.org/groups/5842698/items/3UUC794S"],"itemData":{"id":2684,"type":"article-journal","container-title":"medRxiv","DOI":"10.1101/2024.05.07.24306982","language":"en","title":"Mexico’s surge of violence and COVID-</w:instrText>
      </w:r>
      <w:r w:rsidR="00AB60CB" w:rsidRPr="00B312B4">
        <w:rPr>
          <w:rFonts w:ascii="Times New Roman" w:hAnsi="Times New Roman" w:cs="Times New Roman"/>
          <w:sz w:val="24"/>
          <w:vertAlign w:val="superscript"/>
          <w:lang w:val="de-DE"/>
        </w:rPr>
        <w:instrText xml:space="preserve">19 drive life expectancy losses 2015–2021","author":[{"family":"Zazueta-Borboa","given":"Jesús-Daniel"},{"family":"Vázquez-Castillo","given":"Paola"},{"family":"Gargiulo","given":"Maria"},{"family":"Aburto","given":"José Manuel"}],"issued":{"date-parts":[["2024"]]}}},{"id":2620,"uris":["http://zotero.org/groups/5842698/items/MWU544AY"],"itemData":{"id":2620,"type":"article-journal","container-title":"International Journal of Epidemiology","DOI":"10.1093/ije/dyad121","issue":"6","language":"en","page":"1735-1744","title":"Effect of the COVID-19 pandemic on life expectancy in Australia, 2020-22","volume":"52","author":[{"family":"Adair","given":"Tim"},{"family":"Houle","given":"Brian"},{"family":"Canudas-Romo","given":"Vladimir"}],"issued":{"date-parts":[["2023"]]}}},{"id":2634,"uris":["http://zotero.org/groups/5842698/items/396N5EWV"],"itemData":{"id":2634,"type":"article-journal","container-title":"medRxiv","DOI":"10.1101/2023.02.13.23285842","language":"en","title":"Mortality by cause of death in Brazil: effects of the COVID-19 pandemic and contribution to changes in life expectancy at birth","author":[{"family":"Fernandes","given":"Fernando"},{"family":"Turra","given":"Cássio M."},{"family":"França","given":"Giovanny V. A."},{"family":"Castro","given":"Marcia C."}],"issued":{"date-parts":[["2023"]]}}}],"schema":"https://github.com/citation-style-language/schema/raw/master/csl-citation.json"} </w:instrText>
      </w:r>
      <w:r w:rsidR="00C4451C">
        <w:rPr>
          <w:rFonts w:ascii="Times New Roman" w:hAnsi="Times New Roman" w:cs="Times New Roman"/>
          <w:sz w:val="24"/>
          <w:vertAlign w:val="superscript"/>
        </w:rPr>
        <w:fldChar w:fldCharType="separate"/>
      </w:r>
      <w:r w:rsidR="00AB60CB" w:rsidRPr="00B312B4">
        <w:rPr>
          <w:rFonts w:ascii="Times New Roman" w:hAnsi="Times New Roman" w:cs="Times New Roman"/>
          <w:sz w:val="24"/>
          <w:lang w:val="de-DE"/>
        </w:rPr>
        <w:t>(Aburto, Tilstra, et al., 2022; Adair et al., 2023; Fernandes et al., 2023; Zazuet</w:t>
      </w:r>
      <w:r w:rsidR="00AB60CB" w:rsidRPr="00793A7D">
        <w:rPr>
          <w:rFonts w:ascii="Times New Roman" w:hAnsi="Times New Roman" w:cs="Times New Roman"/>
          <w:sz w:val="24"/>
          <w:lang w:val="de-DE"/>
        </w:rPr>
        <w:t>a-Borboa et al., 2024)</w:t>
      </w:r>
      <w:r w:rsidR="00C4451C">
        <w:rPr>
          <w:rFonts w:ascii="Times New Roman" w:hAnsi="Times New Roman" w:cs="Times New Roman"/>
          <w:sz w:val="24"/>
          <w:vertAlign w:val="superscript"/>
        </w:rPr>
        <w:fldChar w:fldCharType="end"/>
      </w:r>
      <w:r w:rsidR="00793A7D" w:rsidRPr="00793A7D">
        <w:rPr>
          <w:rFonts w:ascii="Times New Roman" w:hAnsi="Times New Roman" w:cs="Times New Roman"/>
          <w:sz w:val="24"/>
          <w:szCs w:val="24"/>
          <w:lang w:val="de-DE"/>
        </w:rPr>
        <w:t>.</w:t>
      </w:r>
      <w:r w:rsidRPr="00793A7D">
        <w:rPr>
          <w:rFonts w:ascii="Times New Roman" w:hAnsi="Times New Roman" w:cs="Times New Roman"/>
          <w:sz w:val="24"/>
          <w:szCs w:val="24"/>
          <w:lang w:val="de-DE"/>
        </w:rPr>
        <w:t xml:space="preserve"> </w:t>
      </w:r>
      <w:r w:rsidRPr="00DF39A4">
        <w:rPr>
          <w:rFonts w:ascii="Times New Roman" w:hAnsi="Times New Roman" w:cs="Times New Roman"/>
          <w:sz w:val="24"/>
          <w:szCs w:val="24"/>
          <w:lang w:val="en-US"/>
        </w:rPr>
        <w:t>Examining the contribution</w:t>
      </w:r>
      <w:r w:rsidR="00D12B6D" w:rsidRPr="00DF39A4">
        <w:rPr>
          <w:rFonts w:ascii="Times New Roman" w:hAnsi="Times New Roman" w:cs="Times New Roman"/>
          <w:sz w:val="24"/>
          <w:szCs w:val="24"/>
          <w:lang w:val="en-US"/>
        </w:rPr>
        <w:t>s</w:t>
      </w:r>
      <w:r w:rsidRPr="00DF39A4">
        <w:rPr>
          <w:rFonts w:ascii="Times New Roman" w:hAnsi="Times New Roman" w:cs="Times New Roman"/>
          <w:sz w:val="24"/>
          <w:szCs w:val="24"/>
          <w:lang w:val="en-US"/>
        </w:rPr>
        <w:t xml:space="preserve"> of other causes of death (e.g., cardiovascular diseases, cancers, suicide) to life expectancy changes can illuminate the indirect pathways through which the pandemic affected mortality and population health. A comparison across countries can help highlight differences in pandemic experiences that might inform future policy and pandemic preparedness.</w:t>
      </w:r>
    </w:p>
    <w:p w14:paraId="59C63242" w14:textId="1D772B38" w:rsidR="00647522" w:rsidRPr="00DF39A4" w:rsidRDefault="00647522" w:rsidP="00252023">
      <w:pPr>
        <w:pStyle w:val="NoSpacing"/>
        <w:spacing w:line="480" w:lineRule="auto"/>
        <w:jc w:val="both"/>
        <w:rPr>
          <w:rFonts w:ascii="Times New Roman" w:hAnsi="Times New Roman" w:cs="Times New Roman"/>
          <w:sz w:val="24"/>
          <w:szCs w:val="24"/>
          <w:lang w:val="en-US"/>
        </w:rPr>
      </w:pPr>
    </w:p>
    <w:p w14:paraId="4BD6E83D" w14:textId="77AAA7BA" w:rsidR="00F74759" w:rsidRPr="00DF39A4" w:rsidRDefault="00647522" w:rsidP="00252023">
      <w:pPr>
        <w:pStyle w:val="NoSpacing"/>
        <w:spacing w:line="480" w:lineRule="auto"/>
        <w:jc w:val="both"/>
        <w:rPr>
          <w:rFonts w:ascii="Times New Roman" w:eastAsia="Times New Roman" w:hAnsi="Times New Roman" w:cs="Times New Roman"/>
          <w:color w:val="000000" w:themeColor="text1"/>
          <w:sz w:val="24"/>
          <w:szCs w:val="24"/>
          <w:lang w:val="en-US"/>
        </w:rPr>
      </w:pPr>
      <w:r w:rsidRPr="00DF39A4">
        <w:rPr>
          <w:rFonts w:ascii="Times New Roman" w:hAnsi="Times New Roman" w:cs="Times New Roman"/>
          <w:sz w:val="24"/>
          <w:szCs w:val="24"/>
          <w:lang w:val="en-US"/>
        </w:rPr>
        <w:t>For example, the USA recorded more than 350,000 deaths from COVID-19 in 2020 (</w:t>
      </w:r>
      <w:r w:rsidR="00D42DA5" w:rsidRPr="00D42DA5">
        <w:rPr>
          <w:rFonts w:ascii="Times New Roman" w:eastAsia="Times New Roman" w:hAnsi="Times New Roman" w:cs="Times New Roman"/>
          <w:sz w:val="24"/>
          <w:szCs w:val="24"/>
          <w:lang w:val="en-US"/>
        </w:rPr>
        <w:t>https://wonder.cdc.gov</w:t>
      </w:r>
      <w:r w:rsidRPr="00DF39A4">
        <w:rPr>
          <w:rFonts w:ascii="Times New Roman" w:hAnsi="Times New Roman" w:cs="Times New Roman"/>
          <w:sz w:val="24"/>
          <w:szCs w:val="24"/>
          <w:lang w:val="en-US"/>
        </w:rPr>
        <w:t>). Excess mortality in the same year was estimated even higher, over 500,000, contributing to a large drop in life expectancy at birth of around 25.5 months</w:t>
      </w:r>
      <w:r w:rsidR="00793A7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{"citationID":"xCtXQMkt","properties":{"formattedCitation":"(Karlinsky &amp; Kobak, 2021; Sch\\uc0\\u246{}ley et al., 2022; Woolf et al., 2021)","plainCitation":"(Karlinsky &amp; Kobak, 2021; Schöley et al., 2022; Woolf et al., 2021)","noteIndex":0},"citationItems":[{"id":2671,"uris":["http://zotero.org/groups/5842698/items/XPKGS9DR"],"itemData":{"id":2671,"type":"article-journal","container-title":"Nature Human Behaviour","DOI":"10.1038/s41562-022-01450-3","language":"en","page":"1649-1659","title":"Life expectancy changes since COVID-19","volume":"6","author":[{"family":"Schöley","given":"Jonas"},{"family":"Aburto","given":"José Manuel"},{"family":"Kashnitsky","given":"Ilya"},{"family":"Kniffka","given":"Maxi S."},{"family":"Zhang","given":"Luyin"},{"family":"Jaadla","given":"Hannaliis"},{"family":"Dowd","given":"Jennifer B."},{"family":"Kashyap","given":"Ridhi"}],"issued":{"date-parts":[["2022"]]}}},{"id":2647,"uris":["http://zotero.org/groups/5842698/items/MCISUJXJ"],"itemData":{"id":2647,"type":"article-journal","container-title":"eLife","DOI":"10.7554/eLife.69336","language":"en","page":"e69336","title":"Tracking excess mortality across countries during the COVID-19 pandemic with the World Mortality Dataset","volume":"10","author":[{"family":"Karlinsky","given":"Ariel"},{"family":"Kobak","given":"Dmitry"}],"issued":{"date-parts":[["2021"]]}}},{"id":2680,"uris":["http://zotero.org/groups/5842698/items/KI26MUMY"],"itemData":{"id":2680,"type":"article-journal","container-title":"JAMA","DOI":"10.1001/jama.2021.5199","issue":"17","language":"en","page":"1786-1789","title":"Excess deaths from COVID-19 and other causes in the US, March 1, 2020, to January 2, 2021","volume":"325","author":[{"family":"Woolf","given":"Steven H."},{"family":"Chapman","given":"Derek A."},{"family":"Sabo","given":"Roy T."},{"family":"Zimmerman","given":"Emily B."}],"issued":{"date-parts":[["2021"]]}}}],"schema":"https://github.com/citation-style-language/schema/raw/master/csl-citation.json"}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(Karlinsky &amp; Kobak, 2021; Schöley et al., 2022; Woolf et al., 2021)</w:t>
      </w:r>
      <w:r w:rsidR="00C4451C">
        <w:rPr>
          <w:rFonts w:ascii="Times New Roman" w:hAnsi="Times New Roman" w:cs="Times New Roman"/>
          <w:sz w:val="24"/>
          <w:szCs w:val="24"/>
          <w:lang w:val="en-US"/>
        </w:rPr>
        <w:fldChar w:fldCharType="end"/>
      </w:r>
      <w:r w:rsidR="00793A7D"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While there is evidence that deaths attributed to COVID-19 may be undercounted or misclassified</w:t>
      </w:r>
      <w:r w:rsidR="00793A7D">
        <w:rPr>
          <w:rFonts w:ascii="Times New Roman" w:hAnsi="Times New Roman" w:cs="Times New Roman"/>
          <w:sz w:val="24"/>
          <w:szCs w:val="24"/>
          <w:lang w:val="en-US"/>
        </w:rPr>
        <w:t xml:space="preserve"> </w:t>
      </w:r>
      <w:r w:rsidR="00C4451C">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{"citationID":"1nnN2mGz","properties":{"formattedCitation":"(Luck et al., 2023; Paglino et al., 2024)","plainCitation":"(Luck et al., 2023; Paglino et al., 2024)","noteIndex":0},"citationItems":[{"id":2655,"uris":["http://zotero.org/groups/5842698/items/4MCLP359"],"itemData":{"id":2655,"type":"article-journal","container-title":"PLOS ONE","DOI":"10.1371/journal.pone.0281683","issue":"3","language":"en","page":"e0281683","title":"Associations between mortality from COVID-19 and other causes: a state-level analysis","volume":"18","author":[{"family":"Luck","given":"Anneliese N."},{"family":"Stokes","given":"Andrew C."},{"family":"Hempstead","given":"Katherine"},{"family":"Paglino","given":"Eugenio"},{"family":"Preston","given":"Samuel H."}],"issued":{"date-parts":[["2023"]]}}},{"id":2666,"uris":["http://zotero.org/groups/5842698/items/M4US8CQU"],"itemData":{"id":2666,"type":"article-journal","container-title":"Proceedings of the National Academy of Sciences","DOI":"10.1073/pnas.2313661121","issue":"6","language":"en","page":"e2313661121","title":"Excess natural-cause mortality in US counties and its association with reported COVID-19 deaths","volume":"121","author":[{"family":"Paglino","given":"Eugenio"},{"family":"Lundberg","given":"Dielle J."},{"family":"Wrigley-Field","given":"Elizabeth"},{"family":"Zhou","given":"Zhenwei"},{"family":"Wasserman","given":"Joe A."},{"family":"Raquib","given":"Rafeya"},{"family":"Chen","given":"Yea-Hung"},{"family":"Hempstead","given":"Katherine"},{"family":"Preston","given":"Samuel H."},{"family":"Elo","given":"Irma T."},{"family":"Glymour","given":"M. Maria"},{"family":"Stokes","given":"Andrew C."}],"issued":{"date-parts":[["2024"]]}}}],"schema":"https://github.com/citation-style-language/schema/raw/master/csl-citation.json"} </w:instrText>
      </w:r>
      <w:r w:rsidR="00C4451C">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(Luck et al., 2023; Paglino et al., 2024)</w:t>
      </w:r>
      <w:r w:rsidR="00C4451C">
        <w:rPr>
          <w:rFonts w:ascii="Times New Roman" w:hAnsi="Times New Roman" w:cs="Times New Roman"/>
          <w:sz w:val="24"/>
          <w:szCs w:val="24"/>
          <w:lang w:val="en-US"/>
        </w:rPr>
        <w:fldChar w:fldCharType="end"/>
      </w:r>
      <w:r w:rsidR="00793A7D"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it is likely that the pandemic did affect mortality from other causes of death, both positively and negatively. For example, lockdowns may have led to lower mortality from accidents and other external causes of death</w:t>
      </w:r>
      <w:r w:rsidR="00793A7D">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{"citationID":"GZci1AXB","properties":{"formattedCitation":"(Calderon-Anyosa &amp; Kaufman, 2021)","plainCitation":"(Calderon-Anyosa &amp; Kaufman, 2021)","noteIndex":0},"citationItems":[{"id":2626,"uris":["http://zotero.org/groups/5842698/items/BS3NZWXG"],"itemData":{"id":2626,"type":"article-journal","container-title":"Preventive Medicine","DOI":"10.1016/j.ypmed.2020.106331","language":"en","page":"106331","title":"Impact of COVID-19 lockdown policy on homicide, suicide, and motor vehicle deaths in Peru","volume":"143","author":[{"family":"Calderon-Anyosa","given":"Renzo J. C."},{"family":"Kaufman","given":"Jay S."}],"issued":{"date-parts":[["2021"]]}}}],"schema":"https://github.com/citation-style-language/schema/raw/master/csl-citation.json"}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(Calderon-Anyosa &amp; Kaufman, 2021)</w:t>
      </w:r>
      <w:r w:rsidR="004907E3">
        <w:rPr>
          <w:rFonts w:ascii="Times New Roman" w:hAnsi="Times New Roman" w:cs="Times New Roman"/>
          <w:sz w:val="24"/>
          <w:szCs w:val="24"/>
          <w:lang w:val="en-US"/>
        </w:rPr>
        <w:fldChar w:fldCharType="end"/>
      </w:r>
      <w:r w:rsidR="00793A7D"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whereas the overload of healthcare systems in many countries could have led to increased mortality from diseases that require treatments or prompt interventions (e.g. cancer, heart attacks). Similarly, fear of infection and avoidance of </w:t>
      </w:r>
      <w:r w:rsidRPr="00DF39A4">
        <w:rPr>
          <w:rFonts w:ascii="Times New Roman" w:hAnsi="Times New Roman" w:cs="Times New Roman"/>
          <w:sz w:val="24"/>
          <w:szCs w:val="24"/>
          <w:lang w:val="en-US"/>
        </w:rPr>
        <w:lastRenderedPageBreak/>
        <w:t>hospital care may have increased mortality from certain conditions, including acute cardiovascular events. This is consistent with the large increase in deaths at home seen in some countries</w:t>
      </w:r>
      <w:r w:rsidR="00793A7D">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{"citationID":"EarBFHk1","properties":{"formattedCitation":"(O\\uc0\\u8217{}Donnell et al., 2021)","plainCitation":"(O’Donnell et al., 2021)","noteIndex":0},"citationItems":[{"id":2664,"uris":["http://zotero.org/groups/5842698/items/Z3WBBIBN"],"itemData":{"id":2664,"type":"article-journal","container-title":"Palliative Medicine","DOI":"10.1177/02692163211040981","issue":"10","language":"en","page":"1975-1984","title":"Changes in mortality patterns and place of death during the COVID-19 pandemic: a descriptive analysis of mortality data across four nations","volume":"35","author":[{"family":"O’Donnell","given":"Sean B."},{"family":"Bone","given":"Anna E."},{"family":"Finucane","given":"Anne M."},{"family":"McAleese","given":"Jenny"},{"family":"Higginson","given":"Irene J."},{"family":"Barclay","given":"Stephen"},{"family":"Sleeman","given":"Katherine E."},{"family":"Murtagh","given":"Fliss E.M."}],"issued":{"date-parts":[["2021"]]}}}],"schema":"https://github.com/citation-style-language/schema/raw/master/csl-citation.json"}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(O’Donnell et al., 2021)</w:t>
      </w:r>
      <w:r w:rsidR="004907E3">
        <w:rPr>
          <w:rFonts w:ascii="Times New Roman" w:hAnsi="Times New Roman" w:cs="Times New Roman"/>
          <w:sz w:val="24"/>
          <w:szCs w:val="24"/>
          <w:lang w:val="en-US"/>
        </w:rPr>
        <w:fldChar w:fldCharType="end"/>
      </w:r>
      <w:r w:rsidR="00793A7D"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Notably, the impact of these changes in cause-of-death profiles is likely to be different across countries due to differences in the overall quality of healthcare systems, socioeconomic resources and inequalities, pre-pandemic trends in mortality, and the pharmaceutical and non-pharmaceutical interventions employed during the pandemic.</w:t>
      </w:r>
      <w:r w:rsidRPr="00DF39A4">
        <w:rPr>
          <w:rFonts w:ascii="Times New Roman" w:hAnsi="Times New Roman" w:cs="Times New Roman"/>
          <w:color w:val="000000" w:themeColor="text1"/>
          <w:sz w:val="24"/>
          <w:szCs w:val="24"/>
          <w:lang w:val="en-US"/>
        </w:rPr>
        <w:t xml:space="preserve"> </w:t>
      </w:r>
      <w:r w:rsidR="00FB39FA" w:rsidRPr="00DF39A4">
        <w:rPr>
          <w:rFonts w:ascii="Times New Roman" w:eastAsia="Times New Roman" w:hAnsi="Times New Roman" w:cs="Times New Roman"/>
          <w:color w:val="000000" w:themeColor="text1"/>
          <w:sz w:val="24"/>
          <w:szCs w:val="24"/>
          <w:lang w:val="en-US"/>
        </w:rPr>
        <w:t xml:space="preserve"> </w:t>
      </w:r>
    </w:p>
    <w:p w14:paraId="51D9D8E8" w14:textId="77777777" w:rsidR="00F74759" w:rsidRPr="00DF39A4" w:rsidRDefault="00F74759" w:rsidP="00252023">
      <w:pPr>
        <w:pStyle w:val="NoSpacing"/>
        <w:spacing w:line="480" w:lineRule="auto"/>
        <w:jc w:val="both"/>
        <w:rPr>
          <w:rFonts w:ascii="Times New Roman" w:eastAsia="Times New Roman" w:hAnsi="Times New Roman" w:cs="Times New Roman"/>
          <w:color w:val="000000" w:themeColor="text1"/>
          <w:sz w:val="24"/>
          <w:szCs w:val="24"/>
          <w:lang w:val="en-US"/>
        </w:rPr>
      </w:pPr>
    </w:p>
    <w:p w14:paraId="2383027E" w14:textId="584F2488" w:rsidR="00647522" w:rsidRPr="00DF39A4" w:rsidRDefault="00F74759" w:rsidP="00252023">
      <w:pPr>
        <w:pStyle w:val="NoSpacing"/>
        <w:spacing w:line="480" w:lineRule="auto"/>
        <w:jc w:val="both"/>
        <w:rPr>
          <w:rFonts w:ascii="Times New Roman" w:hAnsi="Times New Roman" w:cs="Times New Roman"/>
          <w:color w:val="000000" w:themeColor="text1"/>
          <w:sz w:val="24"/>
          <w:szCs w:val="24"/>
          <w:lang w:val="en-US"/>
        </w:rPr>
      </w:pPr>
      <w:r w:rsidRPr="00DF39A4">
        <w:rPr>
          <w:rFonts w:ascii="Times New Roman" w:eastAsia="Times New Roman" w:hAnsi="Times New Roman" w:cs="Times New Roman"/>
          <w:color w:val="000000" w:themeColor="text1"/>
          <w:sz w:val="24"/>
          <w:szCs w:val="24"/>
          <w:lang w:val="en-US"/>
        </w:rPr>
        <w:t>In this article, we compare changes in female and male life expectancy at birth in 2019–2020, 2020–2021, and 2021–2022 with those before the COVID-19 pandemic (2015–2019) in 2</w:t>
      </w:r>
      <w:r w:rsidR="00083A7D" w:rsidRPr="00DF39A4">
        <w:rPr>
          <w:rFonts w:ascii="Times New Roman" w:eastAsia="Times New Roman" w:hAnsi="Times New Roman" w:cs="Times New Roman"/>
          <w:color w:val="000000" w:themeColor="text1"/>
          <w:sz w:val="24"/>
          <w:szCs w:val="24"/>
          <w:lang w:val="en-US"/>
        </w:rPr>
        <w:t>4</w:t>
      </w:r>
      <w:r w:rsidRPr="00DF39A4">
        <w:rPr>
          <w:rFonts w:ascii="Times New Roman" w:eastAsia="Times New Roman" w:hAnsi="Times New Roman" w:cs="Times New Roman"/>
          <w:color w:val="000000" w:themeColor="text1"/>
          <w:sz w:val="24"/>
          <w:szCs w:val="24"/>
          <w:lang w:val="en-US"/>
        </w:rPr>
        <w:t xml:space="preserve"> countries. Importantly, we go beyond the analysis of all-cause mortality by estimating the contributions of COVID-19 and </w:t>
      </w:r>
      <w:r w:rsidR="00D61568">
        <w:rPr>
          <w:rFonts w:ascii="Times New Roman" w:eastAsia="Times New Roman" w:hAnsi="Times New Roman" w:cs="Times New Roman"/>
          <w:color w:val="000000" w:themeColor="text1"/>
          <w:sz w:val="24"/>
          <w:szCs w:val="24"/>
          <w:lang w:val="en-US"/>
        </w:rPr>
        <w:t>11</w:t>
      </w:r>
      <w:r w:rsidRPr="00DF39A4">
        <w:rPr>
          <w:rFonts w:ascii="Times New Roman" w:eastAsia="Times New Roman" w:hAnsi="Times New Roman" w:cs="Times New Roman"/>
          <w:color w:val="000000" w:themeColor="text1"/>
          <w:sz w:val="24"/>
          <w:szCs w:val="24"/>
          <w:lang w:val="en-US"/>
        </w:rPr>
        <w:t xml:space="preserve"> non-COVID-19 causes of death to changes in life expectancy, including mortality from cardiovascular disease, cancer, acute respiratory disease, chronic obstructive pulmonary disease, infectious diseases, as well as alcohol, drug, suicide, and accident mortality. Our analysis draws attention to the broad disruptions in mortality caused by SARS-CoV-2, highlights variation in how different countries adapted to the initial pandemic </w:t>
      </w:r>
      <w:proofErr w:type="gramStart"/>
      <w:r w:rsidRPr="00DF39A4">
        <w:rPr>
          <w:rFonts w:ascii="Times New Roman" w:eastAsia="Times New Roman" w:hAnsi="Times New Roman" w:cs="Times New Roman"/>
          <w:color w:val="000000" w:themeColor="text1"/>
          <w:sz w:val="24"/>
          <w:szCs w:val="24"/>
          <w:lang w:val="en-US"/>
        </w:rPr>
        <w:t>shocks, and</w:t>
      </w:r>
      <w:proofErr w:type="gramEnd"/>
      <w:r w:rsidRPr="00DF39A4">
        <w:rPr>
          <w:rFonts w:ascii="Times New Roman" w:eastAsia="Times New Roman" w:hAnsi="Times New Roman" w:cs="Times New Roman"/>
          <w:color w:val="000000" w:themeColor="text1"/>
          <w:sz w:val="24"/>
          <w:szCs w:val="24"/>
          <w:lang w:val="en-US"/>
        </w:rPr>
        <w:t xml:space="preserve"> allows us to hypothesize how this may affect their life expectancy trajectories in the future.</w:t>
      </w:r>
    </w:p>
    <w:p w14:paraId="7403608E" w14:textId="77777777" w:rsidR="00647522" w:rsidRPr="00DF39A4" w:rsidRDefault="00647522" w:rsidP="00252023">
      <w:pPr>
        <w:pStyle w:val="NoSpacing"/>
        <w:spacing w:line="480" w:lineRule="auto"/>
        <w:jc w:val="both"/>
        <w:rPr>
          <w:rFonts w:ascii="Times New Roman" w:hAnsi="Times New Roman" w:cs="Times New Roman"/>
          <w:sz w:val="24"/>
          <w:szCs w:val="24"/>
          <w:lang w:val="en-US"/>
        </w:rPr>
      </w:pPr>
    </w:p>
    <w:p w14:paraId="3F5F9F8E" w14:textId="77777777" w:rsidR="0016378E" w:rsidRDefault="0016378E">
      <w:pPr>
        <w:rPr>
          <w:rFonts w:ascii="Times New Roman" w:hAnsi="Times New Roman" w:cs="Times New Roman"/>
          <w:b/>
          <w:bCs/>
          <w:iCs/>
          <w:sz w:val="24"/>
          <w:szCs w:val="24"/>
        </w:rPr>
      </w:pPr>
      <w:r>
        <w:rPr>
          <w:rFonts w:ascii="Times New Roman" w:hAnsi="Times New Roman" w:cs="Times New Roman"/>
          <w:b/>
          <w:bCs/>
          <w:iCs/>
          <w:sz w:val="24"/>
          <w:szCs w:val="24"/>
        </w:rPr>
        <w:br w:type="page"/>
      </w:r>
    </w:p>
    <w:p w14:paraId="76720767" w14:textId="2B0D7C20" w:rsidR="00647522" w:rsidRPr="00C41903" w:rsidRDefault="001178EE" w:rsidP="00252023">
      <w:pPr>
        <w:pStyle w:val="NoSpacing"/>
        <w:spacing w:line="480" w:lineRule="auto"/>
        <w:jc w:val="both"/>
        <w:rPr>
          <w:rFonts w:ascii="Times New Roman" w:hAnsi="Times New Roman" w:cs="Times New Roman"/>
          <w:b/>
          <w:bCs/>
          <w:iCs/>
          <w:lang w:val="en-US"/>
        </w:rPr>
      </w:pPr>
      <w:r w:rsidRPr="00C41903">
        <w:rPr>
          <w:rFonts w:ascii="Times New Roman" w:hAnsi="Times New Roman" w:cs="Times New Roman"/>
          <w:b/>
          <w:bCs/>
          <w:iCs/>
          <w:sz w:val="24"/>
          <w:szCs w:val="24"/>
          <w:lang w:val="en-US"/>
        </w:rPr>
        <w:lastRenderedPageBreak/>
        <w:t xml:space="preserve">3.3. </w:t>
      </w:r>
      <w:r w:rsidR="00647522" w:rsidRPr="00C41903">
        <w:rPr>
          <w:rFonts w:ascii="Times New Roman" w:hAnsi="Times New Roman" w:cs="Times New Roman"/>
          <w:b/>
          <w:bCs/>
          <w:iCs/>
          <w:sz w:val="24"/>
          <w:szCs w:val="24"/>
          <w:lang w:val="en-US"/>
        </w:rPr>
        <w:t>Results</w:t>
      </w:r>
    </w:p>
    <w:p w14:paraId="19A16CE5" w14:textId="4E90FB82" w:rsidR="0016378E" w:rsidRDefault="0016378E" w:rsidP="00252023">
      <w:pPr>
        <w:pStyle w:val="NormalWeb"/>
        <w:spacing w:before="0" w:beforeAutospacing="0" w:after="0" w:afterAutospacing="0" w:line="480" w:lineRule="auto"/>
        <w:jc w:val="both"/>
        <w:rPr>
          <w:i/>
          <w:iCs/>
          <w:color w:val="000000"/>
          <w:lang w:val="en-US"/>
        </w:rPr>
      </w:pPr>
      <w:r>
        <w:rPr>
          <w:i/>
          <w:iCs/>
          <w:color w:val="000000"/>
          <w:lang w:val="en-US"/>
        </w:rPr>
        <w:t xml:space="preserve">3.3.1. </w:t>
      </w:r>
      <w:r w:rsidR="00883EDC" w:rsidRPr="00DF39A4">
        <w:rPr>
          <w:i/>
          <w:iCs/>
          <w:color w:val="000000"/>
          <w:lang w:val="en-US"/>
        </w:rPr>
        <w:t>Life expectancy differences and trends</w:t>
      </w:r>
    </w:p>
    <w:p w14:paraId="23CDB0DD" w14:textId="0E267849" w:rsidR="00883EDC" w:rsidRPr="00DF39A4" w:rsidRDefault="00883EDC" w:rsidP="00252023">
      <w:pPr>
        <w:pStyle w:val="NormalWeb"/>
        <w:spacing w:before="0" w:beforeAutospacing="0" w:after="0" w:afterAutospacing="0" w:line="480" w:lineRule="auto"/>
        <w:jc w:val="both"/>
        <w:rPr>
          <w:lang w:val="en-US"/>
        </w:rPr>
      </w:pPr>
      <w:r w:rsidRPr="00DF39A4">
        <w:rPr>
          <w:color w:val="000000"/>
          <w:lang w:val="en-US"/>
        </w:rPr>
        <w:t>Among the 2</w:t>
      </w:r>
      <w:r w:rsidR="00083A7D" w:rsidRPr="00DF39A4">
        <w:rPr>
          <w:color w:val="000000"/>
          <w:lang w:val="en-US"/>
        </w:rPr>
        <w:t>4</w:t>
      </w:r>
      <w:r w:rsidRPr="00DF39A4">
        <w:rPr>
          <w:color w:val="000000"/>
          <w:lang w:val="en-US"/>
        </w:rPr>
        <w:t xml:space="preserve"> countries included in our study</w:t>
      </w:r>
      <w:r w:rsidR="009472FD" w:rsidRPr="00DF39A4">
        <w:rPr>
          <w:color w:val="000000"/>
          <w:lang w:val="en-US"/>
        </w:rPr>
        <w:t xml:space="preserve"> (see Materials and </w:t>
      </w:r>
      <w:r w:rsidR="00B52FFB">
        <w:rPr>
          <w:color w:val="000000"/>
          <w:lang w:val="en-US"/>
        </w:rPr>
        <w:t>m</w:t>
      </w:r>
      <w:r w:rsidR="009472FD" w:rsidRPr="00DF39A4">
        <w:rPr>
          <w:color w:val="000000"/>
          <w:lang w:val="en-US"/>
        </w:rPr>
        <w:t>ethods)</w:t>
      </w:r>
      <w:r w:rsidRPr="00DF39A4">
        <w:rPr>
          <w:color w:val="000000"/>
          <w:lang w:val="en-US"/>
        </w:rPr>
        <w:t>, life expectancy ranged from a low of 65.</w:t>
      </w:r>
      <w:r w:rsidR="00D13286" w:rsidRPr="00DF39A4">
        <w:rPr>
          <w:color w:val="000000"/>
          <w:lang w:val="en-US"/>
        </w:rPr>
        <w:t>6</w:t>
      </w:r>
      <w:r w:rsidRPr="00DF39A4">
        <w:rPr>
          <w:color w:val="000000"/>
          <w:lang w:val="en-US"/>
        </w:rPr>
        <w:t xml:space="preserve"> years for Russian males in 2021 to a high of 87.</w:t>
      </w:r>
      <w:r w:rsidR="004D0D9F" w:rsidRPr="00DF39A4">
        <w:rPr>
          <w:color w:val="000000"/>
          <w:lang w:val="en-US"/>
        </w:rPr>
        <w:t>9</w:t>
      </w:r>
      <w:r w:rsidRPr="00DF39A4">
        <w:rPr>
          <w:color w:val="000000"/>
          <w:lang w:val="en-US"/>
        </w:rPr>
        <w:t xml:space="preserve"> years for Japanese females in 202</w:t>
      </w:r>
      <w:r w:rsidR="004D0D9F" w:rsidRPr="00DF39A4">
        <w:rPr>
          <w:color w:val="000000"/>
          <w:lang w:val="en-US"/>
        </w:rPr>
        <w:t>0</w:t>
      </w:r>
      <w:r w:rsidRPr="00DF39A4">
        <w:rPr>
          <w:color w:val="000000"/>
          <w:lang w:val="en-US"/>
        </w:rPr>
        <w:t xml:space="preserve"> (Tables </w:t>
      </w:r>
      <w:r w:rsidR="00B7071F">
        <w:rPr>
          <w:color w:val="000000"/>
          <w:lang w:val="en-US"/>
        </w:rPr>
        <w:t>3-</w:t>
      </w:r>
      <w:r w:rsidRPr="00DF39A4">
        <w:rPr>
          <w:color w:val="000000"/>
          <w:lang w:val="en-US"/>
        </w:rPr>
        <w:t xml:space="preserve">1 and </w:t>
      </w:r>
      <w:r w:rsidR="00B7071F">
        <w:rPr>
          <w:color w:val="000000"/>
          <w:lang w:val="en-US"/>
        </w:rPr>
        <w:t>3-</w:t>
      </w:r>
      <w:r w:rsidR="00370138">
        <w:rPr>
          <w:color w:val="000000"/>
          <w:lang w:val="en-US"/>
        </w:rPr>
        <w:t>2</w:t>
      </w:r>
      <w:r w:rsidRPr="00DF39A4">
        <w:rPr>
          <w:color w:val="000000"/>
          <w:lang w:val="en-US"/>
        </w:rPr>
        <w:t>). From 2015</w:t>
      </w:r>
      <w:r w:rsidR="00B60258">
        <w:rPr>
          <w:color w:val="000000"/>
          <w:lang w:val="en-US"/>
        </w:rPr>
        <w:t xml:space="preserve"> to </w:t>
      </w:r>
      <w:r w:rsidRPr="00DF39A4">
        <w:rPr>
          <w:color w:val="000000"/>
          <w:lang w:val="en-US"/>
        </w:rPr>
        <w:t xml:space="preserve">2019, Russia had the largest gains in female </w:t>
      </w:r>
      <w:r w:rsidR="00982EE8" w:rsidRPr="00DF39A4">
        <w:rPr>
          <w:color w:val="000000"/>
          <w:lang w:val="en-US"/>
        </w:rPr>
        <w:t xml:space="preserve">and male </w:t>
      </w:r>
      <w:r w:rsidRPr="00DF39A4">
        <w:rPr>
          <w:color w:val="000000"/>
          <w:lang w:val="en-US"/>
        </w:rPr>
        <w:t>life expectancy, at 1.</w:t>
      </w:r>
      <w:r w:rsidR="007120EF" w:rsidRPr="00DF39A4">
        <w:rPr>
          <w:color w:val="000000"/>
          <w:lang w:val="en-US"/>
        </w:rPr>
        <w:t>5</w:t>
      </w:r>
      <w:r w:rsidRPr="00DF39A4">
        <w:rPr>
          <w:color w:val="000000"/>
          <w:lang w:val="en-US"/>
        </w:rPr>
        <w:t xml:space="preserve"> </w:t>
      </w:r>
      <w:r w:rsidR="007120EF" w:rsidRPr="00DF39A4">
        <w:rPr>
          <w:color w:val="000000"/>
          <w:lang w:val="en-US"/>
        </w:rPr>
        <w:t xml:space="preserve">and 2.4 </w:t>
      </w:r>
      <w:r w:rsidRPr="00DF39A4">
        <w:rPr>
          <w:color w:val="000000"/>
          <w:lang w:val="en-US"/>
        </w:rPr>
        <w:t xml:space="preserve">years, </w:t>
      </w:r>
      <w:r w:rsidR="007120EF" w:rsidRPr="00DF39A4">
        <w:rPr>
          <w:color w:val="000000"/>
          <w:lang w:val="en-US"/>
        </w:rPr>
        <w:t>respectively</w:t>
      </w:r>
      <w:r w:rsidRPr="00DF39A4">
        <w:rPr>
          <w:color w:val="000000"/>
          <w:lang w:val="en-US"/>
        </w:rPr>
        <w:t xml:space="preserve">. The smallest gains were observed in </w:t>
      </w:r>
      <w:r w:rsidR="004D6666" w:rsidRPr="00DF39A4">
        <w:rPr>
          <w:color w:val="000000"/>
          <w:lang w:val="en-US"/>
        </w:rPr>
        <w:t xml:space="preserve">the </w:t>
      </w:r>
      <w:r w:rsidR="00CB671F">
        <w:rPr>
          <w:color w:val="000000"/>
          <w:lang w:val="en-US"/>
        </w:rPr>
        <w:t>USA</w:t>
      </w:r>
      <w:r w:rsidRPr="00DF39A4">
        <w:rPr>
          <w:color w:val="000000"/>
          <w:lang w:val="en-US"/>
        </w:rPr>
        <w:t>, improving only 0.</w:t>
      </w:r>
      <w:r w:rsidR="004D6666" w:rsidRPr="00DF39A4">
        <w:rPr>
          <w:color w:val="000000"/>
          <w:lang w:val="en-US"/>
        </w:rPr>
        <w:t>3</w:t>
      </w:r>
      <w:r w:rsidRPr="00DF39A4">
        <w:rPr>
          <w:color w:val="000000"/>
          <w:lang w:val="en-US"/>
        </w:rPr>
        <w:t xml:space="preserve"> and 0.</w:t>
      </w:r>
      <w:r w:rsidR="004D6666" w:rsidRPr="00DF39A4">
        <w:rPr>
          <w:color w:val="000000"/>
          <w:lang w:val="en-US"/>
        </w:rPr>
        <w:t>2</w:t>
      </w:r>
      <w:r w:rsidRPr="00DF39A4">
        <w:rPr>
          <w:color w:val="000000"/>
          <w:lang w:val="en-US"/>
        </w:rPr>
        <w:t xml:space="preserve"> years</w:t>
      </w:r>
      <w:r w:rsidR="00E24A24" w:rsidRPr="00DF39A4">
        <w:rPr>
          <w:color w:val="000000"/>
          <w:lang w:val="en-US"/>
        </w:rPr>
        <w:t xml:space="preserve"> among females and males</w:t>
      </w:r>
      <w:r w:rsidRPr="00DF39A4">
        <w:rPr>
          <w:color w:val="000000"/>
          <w:lang w:val="en-US"/>
        </w:rPr>
        <w:t>, respectively. </w:t>
      </w:r>
    </w:p>
    <w:p w14:paraId="2506CA01" w14:textId="1947A594" w:rsidR="00883EDC" w:rsidRPr="00DF39A4" w:rsidRDefault="00883EDC" w:rsidP="00252023">
      <w:pPr>
        <w:pStyle w:val="NormalWeb"/>
        <w:spacing w:before="0" w:beforeAutospacing="0" w:after="0" w:afterAutospacing="0" w:line="480" w:lineRule="auto"/>
        <w:jc w:val="both"/>
        <w:rPr>
          <w:lang w:val="en-US"/>
        </w:rPr>
      </w:pPr>
    </w:p>
    <w:p w14:paraId="1080594A" w14:textId="7665674E" w:rsidR="00883EDC" w:rsidRPr="00DF39A4" w:rsidRDefault="00883EDC" w:rsidP="00252023">
      <w:pPr>
        <w:pStyle w:val="NormalWeb"/>
        <w:spacing w:before="0" w:beforeAutospacing="0" w:after="0" w:afterAutospacing="0" w:line="480" w:lineRule="auto"/>
        <w:jc w:val="both"/>
        <w:rPr>
          <w:color w:val="000000"/>
          <w:lang w:val="en-US"/>
        </w:rPr>
      </w:pPr>
      <w:r w:rsidRPr="00DF39A4">
        <w:rPr>
          <w:color w:val="000000"/>
          <w:lang w:val="en-US"/>
        </w:rPr>
        <w:t>In 2020, life expectancy declined in most countries, except for females and males in Australia, Denmark, Japan</w:t>
      </w:r>
      <w:r w:rsidR="005E0B3F" w:rsidRPr="00DF39A4">
        <w:rPr>
          <w:color w:val="000000"/>
          <w:lang w:val="en-US"/>
        </w:rPr>
        <w:t>, and South Korea</w:t>
      </w:r>
      <w:r w:rsidRPr="00DF39A4">
        <w:rPr>
          <w:color w:val="000000"/>
          <w:lang w:val="en-US"/>
        </w:rPr>
        <w:t xml:space="preserve">. The largest decline was seen for males in the </w:t>
      </w:r>
      <w:r w:rsidR="00CB671F">
        <w:rPr>
          <w:color w:val="000000"/>
          <w:lang w:val="en-US"/>
        </w:rPr>
        <w:t>USA</w:t>
      </w:r>
      <w:r w:rsidRPr="00DF39A4">
        <w:rPr>
          <w:color w:val="000000"/>
          <w:lang w:val="en-US"/>
        </w:rPr>
        <w:t xml:space="preserve"> (-2.1 years). In 2021, </w:t>
      </w:r>
      <w:r w:rsidR="00CE1198" w:rsidRPr="00DF39A4">
        <w:rPr>
          <w:color w:val="000000"/>
          <w:lang w:val="en-US"/>
        </w:rPr>
        <w:t>most</w:t>
      </w:r>
      <w:r w:rsidRPr="00DF39A4">
        <w:rPr>
          <w:color w:val="000000"/>
          <w:lang w:val="en-US"/>
        </w:rPr>
        <w:t xml:space="preserve"> countries experienced further declines in life expectancy, with the largest losses, of more than two years, occurring in Bulgaria</w:t>
      </w:r>
      <w:r w:rsidR="002F6010">
        <w:rPr>
          <w:color w:val="000000"/>
          <w:lang w:val="en-US"/>
        </w:rPr>
        <w:t xml:space="preserve"> (</w:t>
      </w:r>
      <w:r w:rsidR="008B2337">
        <w:rPr>
          <w:color w:val="000000"/>
          <w:lang w:val="en-US"/>
        </w:rPr>
        <w:t>females</w:t>
      </w:r>
      <w:r w:rsidR="002F6010">
        <w:rPr>
          <w:color w:val="000000"/>
          <w:lang w:val="en-US"/>
        </w:rPr>
        <w:t>)</w:t>
      </w:r>
      <w:r w:rsidRPr="00DF39A4">
        <w:rPr>
          <w:color w:val="000000"/>
          <w:lang w:val="en-US"/>
        </w:rPr>
        <w:t xml:space="preserve"> and Latvia</w:t>
      </w:r>
      <w:r w:rsidR="008B2337">
        <w:rPr>
          <w:color w:val="000000"/>
          <w:lang w:val="en-US"/>
        </w:rPr>
        <w:t xml:space="preserve"> (males)</w:t>
      </w:r>
      <w:r w:rsidRPr="00DF39A4">
        <w:rPr>
          <w:color w:val="000000"/>
          <w:lang w:val="en-US"/>
        </w:rPr>
        <w:t xml:space="preserve">. Spanish females experienced the largest gains in life expectancy in 2021, at 0.8 years. Although often substantial, life expectancy gains in 2021 rarely compensated for the losses experienced in 2020, so that life expectancy in 2021 was still lower than observed before the pandemic, except for </w:t>
      </w:r>
      <w:r w:rsidR="005A099C" w:rsidRPr="00DF39A4">
        <w:rPr>
          <w:color w:val="000000"/>
          <w:lang w:val="en-US"/>
        </w:rPr>
        <w:t xml:space="preserve">females and males in </w:t>
      </w:r>
      <w:r w:rsidRPr="00DF39A4">
        <w:rPr>
          <w:color w:val="000000"/>
          <w:lang w:val="en-US"/>
        </w:rPr>
        <w:t xml:space="preserve">Australia, </w:t>
      </w:r>
      <w:r w:rsidR="00916EB0" w:rsidRPr="00DF39A4">
        <w:rPr>
          <w:color w:val="000000"/>
          <w:lang w:val="en-US"/>
        </w:rPr>
        <w:t xml:space="preserve">Denmark, </w:t>
      </w:r>
      <w:r w:rsidRPr="00DF39A4">
        <w:rPr>
          <w:color w:val="000000"/>
          <w:lang w:val="en-US"/>
        </w:rPr>
        <w:t xml:space="preserve">Japan, and South Korea, </w:t>
      </w:r>
      <w:r w:rsidR="005A099C" w:rsidRPr="00DF39A4">
        <w:rPr>
          <w:color w:val="000000"/>
          <w:lang w:val="en-US"/>
        </w:rPr>
        <w:t>as well as females in</w:t>
      </w:r>
      <w:r w:rsidRPr="00DF39A4">
        <w:rPr>
          <w:color w:val="000000"/>
          <w:lang w:val="en-US"/>
        </w:rPr>
        <w:t xml:space="preserve"> Sweden</w:t>
      </w:r>
      <w:r w:rsidR="005A099C" w:rsidRPr="00DF39A4">
        <w:rPr>
          <w:color w:val="000000"/>
          <w:lang w:val="en-US"/>
        </w:rPr>
        <w:t xml:space="preserve"> and Switzerland</w:t>
      </w:r>
      <w:r w:rsidRPr="00DF39A4">
        <w:rPr>
          <w:color w:val="000000"/>
          <w:lang w:val="en-US"/>
        </w:rPr>
        <w:t xml:space="preserve">. Finally, in 2022, most countries </w:t>
      </w:r>
      <w:r w:rsidR="00C27214" w:rsidRPr="00DF39A4">
        <w:rPr>
          <w:color w:val="000000"/>
          <w:lang w:val="en-US"/>
        </w:rPr>
        <w:t xml:space="preserve">with available cause-of-death information </w:t>
      </w:r>
      <w:r w:rsidRPr="00DF39A4">
        <w:rPr>
          <w:color w:val="000000"/>
          <w:lang w:val="en-US"/>
        </w:rPr>
        <w:t xml:space="preserve">experienced gains in life expectancy, </w:t>
      </w:r>
      <w:r w:rsidR="0097255F" w:rsidRPr="00DF39A4">
        <w:rPr>
          <w:color w:val="000000"/>
          <w:lang w:val="en-US"/>
        </w:rPr>
        <w:t>except for females and males in Australia and Canada,</w:t>
      </w:r>
      <w:r w:rsidRPr="00DF39A4">
        <w:rPr>
          <w:color w:val="000000"/>
          <w:lang w:val="en-US"/>
        </w:rPr>
        <w:t xml:space="preserve"> </w:t>
      </w:r>
      <w:r w:rsidR="009E599D" w:rsidRPr="00DF39A4">
        <w:rPr>
          <w:color w:val="000000"/>
          <w:lang w:val="en-US"/>
        </w:rPr>
        <w:t xml:space="preserve">as well as females in Sweden, </w:t>
      </w:r>
      <w:r w:rsidRPr="00DF39A4">
        <w:rPr>
          <w:color w:val="000000"/>
          <w:lang w:val="en-US"/>
        </w:rPr>
        <w:t xml:space="preserve">where life expectancy declined (further). 2022 gains in life expectancy were greatest among males in </w:t>
      </w:r>
      <w:r w:rsidR="00F97010" w:rsidRPr="00DF39A4">
        <w:rPr>
          <w:color w:val="000000"/>
          <w:lang w:val="en-US"/>
        </w:rPr>
        <w:t>Hungary</w:t>
      </w:r>
      <w:r w:rsidRPr="00DF39A4">
        <w:rPr>
          <w:color w:val="000000"/>
          <w:lang w:val="en-US"/>
        </w:rPr>
        <w:t xml:space="preserve">, at </w:t>
      </w:r>
      <w:r w:rsidR="00F97010" w:rsidRPr="00DF39A4">
        <w:rPr>
          <w:color w:val="000000"/>
          <w:lang w:val="en-US"/>
        </w:rPr>
        <w:t>1</w:t>
      </w:r>
      <w:r w:rsidRPr="00DF39A4">
        <w:rPr>
          <w:color w:val="000000"/>
          <w:lang w:val="en-US"/>
        </w:rPr>
        <w:t>.</w:t>
      </w:r>
      <w:r w:rsidR="00F97010" w:rsidRPr="00DF39A4">
        <w:rPr>
          <w:color w:val="000000"/>
          <w:lang w:val="en-US"/>
        </w:rPr>
        <w:t>9</w:t>
      </w:r>
      <w:r w:rsidRPr="00DF39A4">
        <w:rPr>
          <w:color w:val="000000"/>
          <w:lang w:val="en-US"/>
        </w:rPr>
        <w:t xml:space="preserve"> years, while losses were greatest among females </w:t>
      </w:r>
      <w:r w:rsidR="00F97010" w:rsidRPr="00DF39A4">
        <w:rPr>
          <w:color w:val="000000"/>
          <w:lang w:val="en-US"/>
        </w:rPr>
        <w:t xml:space="preserve">and males </w:t>
      </w:r>
      <w:r w:rsidRPr="00DF39A4">
        <w:rPr>
          <w:color w:val="000000"/>
          <w:lang w:val="en-US"/>
        </w:rPr>
        <w:t xml:space="preserve">in </w:t>
      </w:r>
      <w:r w:rsidR="00F97010" w:rsidRPr="00DF39A4">
        <w:rPr>
          <w:color w:val="000000"/>
          <w:lang w:val="en-US"/>
        </w:rPr>
        <w:t>Australia</w:t>
      </w:r>
      <w:r w:rsidRPr="00DF39A4">
        <w:rPr>
          <w:color w:val="000000"/>
          <w:lang w:val="en-US"/>
        </w:rPr>
        <w:t xml:space="preserve">, </w:t>
      </w:r>
      <w:r w:rsidR="00D658F8" w:rsidRPr="00DF39A4">
        <w:rPr>
          <w:color w:val="000000"/>
          <w:lang w:val="en-US"/>
        </w:rPr>
        <w:t xml:space="preserve">as well as females in Canada, </w:t>
      </w:r>
      <w:r w:rsidRPr="00DF39A4">
        <w:rPr>
          <w:color w:val="000000"/>
          <w:lang w:val="en-US"/>
        </w:rPr>
        <w:t>at -</w:t>
      </w:r>
      <w:r w:rsidR="00F97010" w:rsidRPr="00DF39A4">
        <w:rPr>
          <w:color w:val="000000"/>
          <w:lang w:val="en-US"/>
        </w:rPr>
        <w:t>0</w:t>
      </w:r>
      <w:r w:rsidRPr="00DF39A4">
        <w:rPr>
          <w:color w:val="000000"/>
          <w:lang w:val="en-US"/>
        </w:rPr>
        <w:t>.</w:t>
      </w:r>
      <w:r w:rsidR="003C5AD9" w:rsidRPr="00DF39A4">
        <w:rPr>
          <w:color w:val="000000"/>
          <w:lang w:val="en-US"/>
        </w:rPr>
        <w:t>7</w:t>
      </w:r>
      <w:r w:rsidRPr="00DF39A4">
        <w:rPr>
          <w:color w:val="000000"/>
          <w:lang w:val="en-US"/>
        </w:rPr>
        <w:t xml:space="preserve"> years. By 2022, only </w:t>
      </w:r>
      <w:r w:rsidR="003A4158" w:rsidRPr="00DF39A4">
        <w:rPr>
          <w:color w:val="000000"/>
          <w:lang w:val="en-US"/>
        </w:rPr>
        <w:t>S</w:t>
      </w:r>
      <w:r w:rsidRPr="00DF39A4">
        <w:rPr>
          <w:color w:val="000000"/>
          <w:lang w:val="en-US"/>
        </w:rPr>
        <w:t>weden had returned to pre-pandemic life expectancy levels.</w:t>
      </w:r>
      <w:r w:rsidR="003A4158" w:rsidRPr="00DF39A4">
        <w:rPr>
          <w:color w:val="000000"/>
          <w:lang w:val="en-US"/>
        </w:rPr>
        <w:t xml:space="preserve"> </w:t>
      </w:r>
    </w:p>
    <w:p w14:paraId="2972A800" w14:textId="554E8ACC" w:rsidR="00ED776C" w:rsidRPr="00DF39A4" w:rsidRDefault="00C9375E" w:rsidP="00252023">
      <w:pPr>
        <w:pStyle w:val="NormalWeb"/>
        <w:spacing w:before="0" w:beforeAutospacing="0" w:after="0" w:afterAutospacing="0" w:line="480" w:lineRule="auto"/>
        <w:jc w:val="both"/>
        <w:rPr>
          <w:color w:val="000000"/>
          <w:lang w:val="en-US"/>
        </w:rPr>
      </w:pPr>
      <w:r w:rsidRPr="00DF39A4">
        <w:rPr>
          <w:color w:val="000000"/>
          <w:lang w:val="en-US"/>
        </w:rPr>
        <w:lastRenderedPageBreak/>
        <w:t xml:space="preserve">Overall, the life expectancy trends based on our dataset agree well with the trends published in the United Nations World Population Prospects (UNWPP) 2024 </w:t>
      </w:r>
      <w:r w:rsidR="00AD60AD" w:rsidRPr="00DF39A4">
        <w:rPr>
          <w:color w:val="000000"/>
          <w:lang w:val="en-US"/>
        </w:rPr>
        <w:t>r</w:t>
      </w:r>
      <w:r w:rsidRPr="00DF39A4">
        <w:rPr>
          <w:color w:val="000000"/>
          <w:lang w:val="en-US"/>
        </w:rPr>
        <w:t>evision</w:t>
      </w:r>
      <w:r w:rsidR="00793A7D">
        <w:rPr>
          <w:color w:val="000000"/>
          <w:lang w:val="en-US"/>
        </w:rPr>
        <w:t xml:space="preserve"> </w:t>
      </w:r>
      <w:r w:rsidR="004907E3">
        <w:rPr>
          <w:color w:val="000000"/>
          <w:lang w:val="en-US"/>
        </w:rPr>
        <w:fldChar w:fldCharType="begin"/>
      </w:r>
      <w:r w:rsidR="00AB60CB">
        <w:rPr>
          <w:color w:val="000000"/>
          <w:lang w:val="en-US"/>
        </w:rPr>
        <w:instrText xml:space="preserve"> ADDIN ZOTERO_ITEM CSL_CITATION {"citationID":"oQGj8pcO","properties":{"formattedCitation":"(United Nations, Department of Economic and Social Affairs, Population Division, 2024)","plainCitation":"(United Nations, Department of Economic and Social Affairs, Population Division, 2024)","noteIndex":0},"citationItems":[{"id":2677,"uris":["http://zotero.org/groups/5842698/items/EE2I74HT"],"itemData":{"id":2677,"type":"webpage","container-title":"https://population.un.org/wpp/","language":"en","title":"World Population Prospects 2024","author":[{"family":"United Nations, Department of Economic and Social Affairs, Population Division","given":""}],"issued":{"date-parts":[["2024"]]}}}],"schema":"https://github.com/citation-style-language/schema/raw/master/csl-citation.json"} </w:instrText>
      </w:r>
      <w:r w:rsidR="004907E3">
        <w:rPr>
          <w:color w:val="000000"/>
          <w:lang w:val="en-US"/>
        </w:rPr>
        <w:fldChar w:fldCharType="separate"/>
      </w:r>
      <w:r w:rsidR="00AB60CB" w:rsidRPr="00AB60CB">
        <w:rPr>
          <w:lang w:val="en-GB"/>
        </w:rPr>
        <w:t>(United Nations, Department of Economic and Social Affairs, Population Division, 2024)</w:t>
      </w:r>
      <w:r w:rsidR="004907E3">
        <w:rPr>
          <w:color w:val="000000"/>
          <w:lang w:val="en-US"/>
        </w:rPr>
        <w:fldChar w:fldCharType="end"/>
      </w:r>
      <w:r w:rsidR="00793A7D" w:rsidRPr="00DF39A4">
        <w:rPr>
          <w:color w:val="000000"/>
          <w:lang w:val="en-US"/>
        </w:rPr>
        <w:t>.</w:t>
      </w:r>
      <w:r w:rsidRPr="00DF39A4">
        <w:rPr>
          <w:color w:val="000000"/>
          <w:lang w:val="en-US"/>
        </w:rPr>
        <w:t xml:space="preserve"> The last four columns in Tables </w:t>
      </w:r>
      <w:r w:rsidR="007E484C">
        <w:rPr>
          <w:color w:val="000000"/>
          <w:lang w:val="en-US"/>
        </w:rPr>
        <w:t>3-</w:t>
      </w:r>
      <w:r w:rsidRPr="00DF39A4">
        <w:rPr>
          <w:color w:val="000000"/>
          <w:lang w:val="en-US"/>
        </w:rPr>
        <w:t xml:space="preserve">1 and </w:t>
      </w:r>
      <w:r w:rsidR="007E484C">
        <w:rPr>
          <w:color w:val="000000"/>
          <w:lang w:val="en-US"/>
        </w:rPr>
        <w:t>3-</w:t>
      </w:r>
      <w:r w:rsidR="00370138">
        <w:rPr>
          <w:color w:val="000000"/>
          <w:lang w:val="en-US"/>
        </w:rPr>
        <w:t>2</w:t>
      </w:r>
      <w:r w:rsidR="00370138" w:rsidRPr="00DF39A4">
        <w:rPr>
          <w:color w:val="000000"/>
          <w:lang w:val="en-US"/>
        </w:rPr>
        <w:t xml:space="preserve"> </w:t>
      </w:r>
      <w:r w:rsidRPr="00DF39A4">
        <w:rPr>
          <w:color w:val="000000"/>
          <w:lang w:val="en-US"/>
        </w:rPr>
        <w:t>highlight differences in time trends between our dataset and the UNWPP where they occur</w:t>
      </w:r>
      <w:r w:rsidR="00555704">
        <w:rPr>
          <w:color w:val="000000"/>
          <w:lang w:val="en-US"/>
        </w:rPr>
        <w:t xml:space="preserve"> (see also Figure S4</w:t>
      </w:r>
      <w:r w:rsidR="00282A52">
        <w:rPr>
          <w:color w:val="000000"/>
          <w:lang w:val="en-US"/>
        </w:rPr>
        <w:t xml:space="preserve"> in the Supplementary Information</w:t>
      </w:r>
      <w:r w:rsidR="00614C45" w:rsidRPr="00B86060">
        <w:rPr>
          <w:rStyle w:val="FootnoteReference"/>
        </w:rPr>
        <w:footnoteReference w:id="3"/>
      </w:r>
      <w:r w:rsidR="00555704">
        <w:rPr>
          <w:color w:val="000000"/>
          <w:lang w:val="en-US"/>
        </w:rPr>
        <w:t>)</w:t>
      </w:r>
      <w:r w:rsidRPr="00DF39A4">
        <w:rPr>
          <w:color w:val="000000"/>
          <w:lang w:val="en-US"/>
        </w:rPr>
        <w:t>. One asterisk indicates an increase in life expectancy according to our dataset, while UNWPP reports a decrease in life expectancy. Conversely, two asterisks indicate a decrease in life expectancy according to our dataset, while UNWPP reports an increase in life expectancy.</w:t>
      </w:r>
      <w:r w:rsidR="00A642D3" w:rsidRPr="00DF39A4">
        <w:rPr>
          <w:color w:val="000000"/>
          <w:lang w:val="en-US"/>
        </w:rPr>
        <w:t xml:space="preserve"> </w:t>
      </w:r>
      <w:r w:rsidR="008A7E88" w:rsidRPr="00DF39A4">
        <w:rPr>
          <w:color w:val="000000"/>
          <w:lang w:val="en-US"/>
        </w:rPr>
        <w:t xml:space="preserve">For example, in Denmark, life expectancy </w:t>
      </w:r>
      <w:r w:rsidR="00D74122" w:rsidRPr="00DF39A4">
        <w:rPr>
          <w:color w:val="000000"/>
          <w:lang w:val="en-US"/>
        </w:rPr>
        <w:t xml:space="preserve">in 2021 </w:t>
      </w:r>
      <w:r w:rsidR="008A7E88" w:rsidRPr="00DF39A4">
        <w:rPr>
          <w:color w:val="000000"/>
          <w:lang w:val="en-US"/>
        </w:rPr>
        <w:t>increased by 0.</w:t>
      </w:r>
      <w:r w:rsidR="0077237C" w:rsidRPr="00DF39A4">
        <w:rPr>
          <w:color w:val="000000"/>
          <w:lang w:val="en-US"/>
        </w:rPr>
        <w:t>6</w:t>
      </w:r>
      <w:r w:rsidR="008A7E88" w:rsidRPr="00DF39A4">
        <w:rPr>
          <w:color w:val="000000"/>
          <w:lang w:val="en-US"/>
        </w:rPr>
        <w:t xml:space="preserve"> year</w:t>
      </w:r>
      <w:r w:rsidR="00D00685">
        <w:rPr>
          <w:color w:val="000000"/>
          <w:lang w:val="en-US"/>
        </w:rPr>
        <w:t>s</w:t>
      </w:r>
      <w:r w:rsidR="008A7E88" w:rsidRPr="00DF39A4">
        <w:rPr>
          <w:color w:val="000000"/>
          <w:lang w:val="en-US"/>
        </w:rPr>
        <w:t xml:space="preserve"> (females) and 0.7 years (males) according to our estimate</w:t>
      </w:r>
      <w:r w:rsidR="0010311A">
        <w:rPr>
          <w:color w:val="000000"/>
          <w:lang w:val="en-US"/>
        </w:rPr>
        <w:t>s</w:t>
      </w:r>
      <w:r w:rsidR="008A7E88" w:rsidRPr="00DF39A4">
        <w:rPr>
          <w:color w:val="000000"/>
          <w:lang w:val="en-US"/>
        </w:rPr>
        <w:t xml:space="preserve">, </w:t>
      </w:r>
      <w:r w:rsidR="00D74122" w:rsidRPr="00DF39A4">
        <w:rPr>
          <w:color w:val="000000"/>
          <w:lang w:val="en-US"/>
        </w:rPr>
        <w:t xml:space="preserve">whereas UNWPP </w:t>
      </w:r>
      <w:r w:rsidR="00A57FB5" w:rsidRPr="00DF39A4">
        <w:rPr>
          <w:color w:val="000000"/>
          <w:lang w:val="en-US"/>
        </w:rPr>
        <w:t>reports</w:t>
      </w:r>
      <w:r w:rsidR="00D74122" w:rsidRPr="00DF39A4">
        <w:rPr>
          <w:color w:val="000000"/>
          <w:lang w:val="en-US"/>
        </w:rPr>
        <w:t xml:space="preserve"> a life expectancy decline for that year.</w:t>
      </w:r>
      <w:r w:rsidR="00A642D3" w:rsidRPr="00DF39A4">
        <w:rPr>
          <w:color w:val="000000"/>
          <w:lang w:val="en-US"/>
        </w:rPr>
        <w:t xml:space="preserve"> </w:t>
      </w:r>
    </w:p>
    <w:p w14:paraId="02A44E88" w14:textId="77777777" w:rsidR="00D47606" w:rsidRPr="00DF39A4" w:rsidRDefault="00D47606" w:rsidP="00252023">
      <w:pPr>
        <w:pStyle w:val="NoSpacing"/>
        <w:spacing w:line="480" w:lineRule="auto"/>
        <w:jc w:val="both"/>
        <w:rPr>
          <w:rFonts w:ascii="Times New Roman" w:hAnsi="Times New Roman" w:cs="Times New Roman"/>
          <w:i/>
          <w:sz w:val="24"/>
          <w:szCs w:val="24"/>
          <w:lang w:val="en-US"/>
        </w:rPr>
      </w:pPr>
    </w:p>
    <w:p w14:paraId="40A7B742" w14:textId="77777777" w:rsidR="00E468B9" w:rsidRDefault="00E468B9" w:rsidP="00252023">
      <w:pPr>
        <w:spacing w:line="480" w:lineRule="auto"/>
        <w:rPr>
          <w:rFonts w:ascii="Times New Roman" w:hAnsi="Times New Roman" w:cs="Times New Roman"/>
          <w:b/>
          <w:color w:val="000000"/>
          <w:sz w:val="24"/>
          <w:szCs w:val="24"/>
          <w:lang w:eastAsia="en-GB"/>
        </w:rPr>
      </w:pPr>
      <w:r>
        <w:rPr>
          <w:rFonts w:ascii="Times New Roman" w:hAnsi="Times New Roman" w:cs="Times New Roman"/>
          <w:b/>
          <w:color w:val="000000"/>
          <w:sz w:val="24"/>
          <w:szCs w:val="24"/>
          <w:lang w:eastAsia="en-GB"/>
        </w:rPr>
        <w:br w:type="page"/>
      </w:r>
    </w:p>
    <w:p w14:paraId="3F7F9F8F" w14:textId="6AC3BD41" w:rsidR="00E468B9" w:rsidRDefault="00E468B9" w:rsidP="008C729E">
      <w:pPr>
        <w:spacing w:line="240" w:lineRule="auto"/>
        <w:rPr>
          <w:rFonts w:ascii="Times New Roman" w:hAnsi="Times New Roman" w:cs="Times New Roman"/>
          <w:color w:val="000000"/>
          <w:sz w:val="24"/>
          <w:szCs w:val="24"/>
          <w:lang w:eastAsia="en-GB"/>
        </w:rPr>
      </w:pPr>
      <w:r w:rsidRPr="00056B5F">
        <w:rPr>
          <w:rFonts w:ascii="Times New Roman" w:hAnsi="Times New Roman" w:cs="Times New Roman"/>
          <w:b/>
          <w:color w:val="000000"/>
          <w:sz w:val="24"/>
          <w:szCs w:val="24"/>
          <w:lang w:eastAsia="en-GB"/>
        </w:rPr>
        <w:lastRenderedPageBreak/>
        <w:t xml:space="preserve">Table </w:t>
      </w:r>
      <w:r w:rsidR="009309BD">
        <w:rPr>
          <w:rFonts w:ascii="Times New Roman" w:hAnsi="Times New Roman" w:cs="Times New Roman"/>
          <w:b/>
          <w:color w:val="000000"/>
          <w:sz w:val="24"/>
          <w:szCs w:val="24"/>
          <w:lang w:eastAsia="en-GB"/>
        </w:rPr>
        <w:t>3-</w:t>
      </w:r>
      <w:r w:rsidRPr="00056B5F">
        <w:rPr>
          <w:rFonts w:ascii="Times New Roman" w:hAnsi="Times New Roman" w:cs="Times New Roman"/>
          <w:b/>
          <w:color w:val="000000"/>
          <w:sz w:val="24"/>
          <w:szCs w:val="24"/>
          <w:lang w:eastAsia="en-GB"/>
        </w:rPr>
        <w:t>1.</w:t>
      </w:r>
      <w:r>
        <w:rPr>
          <w:rFonts w:ascii="Times New Roman" w:hAnsi="Times New Roman" w:cs="Times New Roman"/>
          <w:color w:val="000000"/>
          <w:sz w:val="24"/>
          <w:szCs w:val="24"/>
          <w:lang w:eastAsia="en-GB"/>
        </w:rPr>
        <w:t xml:space="preserve"> Female life expectancy at birth and changes in female life expectancy at birth by country, 2015–2022.</w:t>
      </w:r>
    </w:p>
    <w:p w14:paraId="76DB2335" w14:textId="77777777" w:rsidR="008C729E" w:rsidRDefault="008C729E" w:rsidP="008C729E">
      <w:pPr>
        <w:spacing w:line="240" w:lineRule="auto"/>
        <w:rPr>
          <w:rFonts w:ascii="Times New Roman" w:hAnsi="Times New Roman" w:cs="Times New Roman"/>
          <w:color w:val="000000"/>
          <w:sz w:val="24"/>
          <w:szCs w:val="24"/>
          <w:lang w:eastAsia="en-GB"/>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82"/>
        <w:gridCol w:w="1926"/>
        <w:gridCol w:w="540"/>
        <w:gridCol w:w="540"/>
        <w:gridCol w:w="540"/>
        <w:gridCol w:w="540"/>
        <w:gridCol w:w="540"/>
        <w:gridCol w:w="689"/>
        <w:gridCol w:w="709"/>
        <w:gridCol w:w="688"/>
        <w:gridCol w:w="703"/>
      </w:tblGrid>
      <w:tr w:rsidR="00E468B9" w:rsidRPr="00564CB4" w14:paraId="3FC77436" w14:textId="77777777" w:rsidTr="00E8449B">
        <w:trPr>
          <w:tblHeader/>
          <w:tblCellSpacing w:w="15" w:type="dxa"/>
          <w:jc w:val="center"/>
        </w:trPr>
        <w:tc>
          <w:tcPr>
            <w:tcW w:w="0" w:type="auto"/>
            <w:vAlign w:val="center"/>
            <w:hideMark/>
          </w:tcPr>
          <w:p w14:paraId="1E190E89"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Sex</w:t>
            </w:r>
            <w:r w:rsidRPr="00564CB4">
              <w:rPr>
                <w:rFonts w:ascii="Times New Roman" w:eastAsia="Times New Roman" w:hAnsi="Times New Roman" w:cs="Times New Roman"/>
                <w:b/>
                <w:bCs/>
                <w:color w:val="000000"/>
                <w:sz w:val="24"/>
                <w:szCs w:val="24"/>
              </w:rPr>
              <w:t xml:space="preserve"> </w:t>
            </w:r>
          </w:p>
        </w:tc>
        <w:tc>
          <w:tcPr>
            <w:tcW w:w="0" w:type="auto"/>
            <w:vAlign w:val="center"/>
            <w:hideMark/>
          </w:tcPr>
          <w:p w14:paraId="424F7297"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Country</w:t>
            </w:r>
            <w:r w:rsidRPr="00564CB4">
              <w:rPr>
                <w:rFonts w:ascii="Times New Roman" w:eastAsia="Times New Roman" w:hAnsi="Times New Roman" w:cs="Times New Roman"/>
                <w:b/>
                <w:bCs/>
                <w:color w:val="000000"/>
                <w:sz w:val="24"/>
                <w:szCs w:val="24"/>
              </w:rPr>
              <w:t xml:space="preserve"> </w:t>
            </w:r>
          </w:p>
        </w:tc>
        <w:tc>
          <w:tcPr>
            <w:tcW w:w="0" w:type="auto"/>
            <w:gridSpan w:val="5"/>
            <w:vAlign w:val="center"/>
            <w:hideMark/>
          </w:tcPr>
          <w:p w14:paraId="7CEBD601"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Life expectancy at birth</w:t>
            </w:r>
            <w:r w:rsidRPr="00564CB4">
              <w:rPr>
                <w:rFonts w:ascii="Times New Roman" w:eastAsia="Times New Roman" w:hAnsi="Times New Roman" w:cs="Times New Roman"/>
                <w:b/>
                <w:bCs/>
                <w:color w:val="000000"/>
                <w:sz w:val="24"/>
                <w:szCs w:val="24"/>
              </w:rPr>
              <w:t xml:space="preserve"> </w:t>
            </w:r>
          </w:p>
        </w:tc>
        <w:tc>
          <w:tcPr>
            <w:tcW w:w="0" w:type="auto"/>
            <w:gridSpan w:val="4"/>
            <w:vAlign w:val="center"/>
            <w:hideMark/>
          </w:tcPr>
          <w:p w14:paraId="7E7DEBAE"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Changes in life expectancy</w:t>
            </w:r>
            <w:r w:rsidRPr="00564CB4">
              <w:rPr>
                <w:rFonts w:ascii="Times New Roman" w:eastAsia="Times New Roman" w:hAnsi="Times New Roman" w:cs="Times New Roman"/>
                <w:b/>
                <w:bCs/>
                <w:color w:val="000000"/>
                <w:sz w:val="24"/>
                <w:szCs w:val="24"/>
              </w:rPr>
              <w:t xml:space="preserve"> </w:t>
            </w:r>
          </w:p>
        </w:tc>
      </w:tr>
      <w:tr w:rsidR="00E468B9" w:rsidRPr="00564CB4" w14:paraId="1A46562C" w14:textId="77777777" w:rsidTr="00E8449B">
        <w:trPr>
          <w:tblHeader/>
          <w:tblCellSpacing w:w="15" w:type="dxa"/>
          <w:jc w:val="center"/>
        </w:trPr>
        <w:tc>
          <w:tcPr>
            <w:tcW w:w="0" w:type="auto"/>
            <w:tcBorders>
              <w:bottom w:val="single" w:sz="4" w:space="0" w:color="auto"/>
            </w:tcBorders>
            <w:vAlign w:val="center"/>
            <w:hideMark/>
          </w:tcPr>
          <w:p w14:paraId="61C21B26"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p>
        </w:tc>
        <w:tc>
          <w:tcPr>
            <w:tcW w:w="0" w:type="auto"/>
            <w:tcBorders>
              <w:bottom w:val="single" w:sz="4" w:space="0" w:color="auto"/>
            </w:tcBorders>
            <w:vAlign w:val="center"/>
            <w:hideMark/>
          </w:tcPr>
          <w:p w14:paraId="6E987158" w14:textId="77777777" w:rsidR="00E468B9" w:rsidRPr="00564CB4" w:rsidRDefault="00E468B9" w:rsidP="003B15EA">
            <w:pPr>
              <w:spacing w:line="240" w:lineRule="auto"/>
              <w:jc w:val="center"/>
              <w:rPr>
                <w:rFonts w:ascii="Times New Roman" w:eastAsia="Times New Roman" w:hAnsi="Times New Roman" w:cs="Times New Roman"/>
                <w:sz w:val="24"/>
                <w:szCs w:val="24"/>
              </w:rPr>
            </w:pPr>
          </w:p>
        </w:tc>
        <w:tc>
          <w:tcPr>
            <w:tcW w:w="0" w:type="auto"/>
            <w:tcBorders>
              <w:bottom w:val="single" w:sz="4" w:space="0" w:color="auto"/>
            </w:tcBorders>
            <w:vAlign w:val="center"/>
            <w:hideMark/>
          </w:tcPr>
          <w:p w14:paraId="6941366D"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2015</w:t>
            </w:r>
          </w:p>
        </w:tc>
        <w:tc>
          <w:tcPr>
            <w:tcW w:w="0" w:type="auto"/>
            <w:tcBorders>
              <w:bottom w:val="single" w:sz="4" w:space="0" w:color="auto"/>
            </w:tcBorders>
            <w:vAlign w:val="center"/>
            <w:hideMark/>
          </w:tcPr>
          <w:p w14:paraId="05D1DE60"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2019</w:t>
            </w:r>
          </w:p>
        </w:tc>
        <w:tc>
          <w:tcPr>
            <w:tcW w:w="0" w:type="auto"/>
            <w:tcBorders>
              <w:bottom w:val="single" w:sz="4" w:space="0" w:color="auto"/>
            </w:tcBorders>
            <w:vAlign w:val="center"/>
            <w:hideMark/>
          </w:tcPr>
          <w:p w14:paraId="5F4CB621"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2020</w:t>
            </w:r>
          </w:p>
        </w:tc>
        <w:tc>
          <w:tcPr>
            <w:tcW w:w="0" w:type="auto"/>
            <w:tcBorders>
              <w:bottom w:val="single" w:sz="4" w:space="0" w:color="auto"/>
            </w:tcBorders>
            <w:vAlign w:val="center"/>
            <w:hideMark/>
          </w:tcPr>
          <w:p w14:paraId="1CF4051B"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2021</w:t>
            </w:r>
          </w:p>
        </w:tc>
        <w:tc>
          <w:tcPr>
            <w:tcW w:w="0" w:type="auto"/>
            <w:tcBorders>
              <w:bottom w:val="single" w:sz="4" w:space="0" w:color="auto"/>
            </w:tcBorders>
            <w:vAlign w:val="center"/>
            <w:hideMark/>
          </w:tcPr>
          <w:p w14:paraId="58748C9D"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2022</w:t>
            </w:r>
          </w:p>
        </w:tc>
        <w:tc>
          <w:tcPr>
            <w:tcW w:w="0" w:type="auto"/>
            <w:tcBorders>
              <w:bottom w:val="single" w:sz="4" w:space="0" w:color="auto"/>
            </w:tcBorders>
            <w:vAlign w:val="center"/>
            <w:hideMark/>
          </w:tcPr>
          <w:p w14:paraId="0A433888"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2015–</w:t>
            </w:r>
            <w:r w:rsidRPr="00564CB4">
              <w:rPr>
                <w:rFonts w:ascii="Times New Roman" w:eastAsia="Times New Roman" w:hAnsi="Times New Roman" w:cs="Times New Roman"/>
                <w:b/>
                <w:bCs/>
                <w:color w:val="000000"/>
                <w:sz w:val="24"/>
                <w:szCs w:val="24"/>
              </w:rPr>
              <w:br/>
              <w:t>2019</w:t>
            </w:r>
          </w:p>
        </w:tc>
        <w:tc>
          <w:tcPr>
            <w:tcW w:w="0" w:type="auto"/>
            <w:tcBorders>
              <w:bottom w:val="single" w:sz="4" w:space="0" w:color="auto"/>
            </w:tcBorders>
            <w:vAlign w:val="center"/>
            <w:hideMark/>
          </w:tcPr>
          <w:p w14:paraId="4FDC768C"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2019–</w:t>
            </w:r>
            <w:r w:rsidRPr="00564CB4">
              <w:rPr>
                <w:rFonts w:ascii="Times New Roman" w:eastAsia="Times New Roman" w:hAnsi="Times New Roman" w:cs="Times New Roman"/>
                <w:b/>
                <w:bCs/>
                <w:color w:val="000000"/>
                <w:sz w:val="24"/>
                <w:szCs w:val="24"/>
              </w:rPr>
              <w:br/>
              <w:t>2020</w:t>
            </w:r>
          </w:p>
        </w:tc>
        <w:tc>
          <w:tcPr>
            <w:tcW w:w="0" w:type="auto"/>
            <w:tcBorders>
              <w:bottom w:val="single" w:sz="4" w:space="0" w:color="auto"/>
            </w:tcBorders>
            <w:vAlign w:val="center"/>
            <w:hideMark/>
          </w:tcPr>
          <w:p w14:paraId="57BCBB17"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2020–</w:t>
            </w:r>
            <w:r w:rsidRPr="00564CB4">
              <w:rPr>
                <w:rFonts w:ascii="Times New Roman" w:eastAsia="Times New Roman" w:hAnsi="Times New Roman" w:cs="Times New Roman"/>
                <w:b/>
                <w:bCs/>
                <w:color w:val="000000"/>
                <w:sz w:val="24"/>
                <w:szCs w:val="24"/>
              </w:rPr>
              <w:br/>
              <w:t>2021</w:t>
            </w:r>
          </w:p>
        </w:tc>
        <w:tc>
          <w:tcPr>
            <w:tcW w:w="0" w:type="auto"/>
            <w:tcBorders>
              <w:bottom w:val="single" w:sz="4" w:space="0" w:color="auto"/>
            </w:tcBorders>
            <w:vAlign w:val="center"/>
            <w:hideMark/>
          </w:tcPr>
          <w:p w14:paraId="7E624036"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2021–</w:t>
            </w:r>
            <w:r w:rsidRPr="00564CB4">
              <w:rPr>
                <w:rFonts w:ascii="Times New Roman" w:eastAsia="Times New Roman" w:hAnsi="Times New Roman" w:cs="Times New Roman"/>
                <w:b/>
                <w:bCs/>
                <w:color w:val="000000"/>
                <w:sz w:val="24"/>
                <w:szCs w:val="24"/>
              </w:rPr>
              <w:br/>
              <w:t>2022</w:t>
            </w:r>
          </w:p>
        </w:tc>
      </w:tr>
      <w:tr w:rsidR="00E468B9" w:rsidRPr="00564CB4" w14:paraId="5C55F41B" w14:textId="77777777" w:rsidTr="00E8449B">
        <w:trPr>
          <w:tblCellSpacing w:w="15" w:type="dxa"/>
          <w:jc w:val="center"/>
        </w:trPr>
        <w:tc>
          <w:tcPr>
            <w:tcW w:w="0" w:type="auto"/>
            <w:tcBorders>
              <w:top w:val="single" w:sz="2" w:space="0" w:color="000000"/>
            </w:tcBorders>
            <w:vAlign w:val="center"/>
            <w:hideMark/>
          </w:tcPr>
          <w:p w14:paraId="1764A7E2"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Female</w:t>
            </w:r>
          </w:p>
        </w:tc>
        <w:tc>
          <w:tcPr>
            <w:tcW w:w="0" w:type="auto"/>
            <w:tcBorders>
              <w:top w:val="single" w:sz="2" w:space="0" w:color="000000"/>
            </w:tcBorders>
            <w:vAlign w:val="center"/>
            <w:hideMark/>
          </w:tcPr>
          <w:p w14:paraId="0B895109"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Australia</w:t>
            </w:r>
          </w:p>
        </w:tc>
        <w:tc>
          <w:tcPr>
            <w:tcW w:w="0" w:type="auto"/>
            <w:tcBorders>
              <w:top w:val="single" w:sz="2" w:space="0" w:color="000000"/>
            </w:tcBorders>
            <w:vAlign w:val="center"/>
            <w:hideMark/>
          </w:tcPr>
          <w:p w14:paraId="2DF6882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84.5</w:t>
            </w:r>
          </w:p>
        </w:tc>
        <w:tc>
          <w:tcPr>
            <w:tcW w:w="0" w:type="auto"/>
            <w:tcBorders>
              <w:top w:val="single" w:sz="2" w:space="0" w:color="000000"/>
            </w:tcBorders>
            <w:vAlign w:val="center"/>
            <w:hideMark/>
          </w:tcPr>
          <w:p w14:paraId="65D14D3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85.1</w:t>
            </w:r>
          </w:p>
        </w:tc>
        <w:tc>
          <w:tcPr>
            <w:tcW w:w="0" w:type="auto"/>
            <w:tcBorders>
              <w:top w:val="single" w:sz="2" w:space="0" w:color="000000"/>
            </w:tcBorders>
            <w:vAlign w:val="center"/>
            <w:hideMark/>
          </w:tcPr>
          <w:p w14:paraId="298C91D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85.8</w:t>
            </w:r>
          </w:p>
        </w:tc>
        <w:tc>
          <w:tcPr>
            <w:tcW w:w="0" w:type="auto"/>
            <w:tcBorders>
              <w:top w:val="single" w:sz="2" w:space="0" w:color="000000"/>
            </w:tcBorders>
            <w:vAlign w:val="center"/>
            <w:hideMark/>
          </w:tcPr>
          <w:p w14:paraId="10C3FB4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85.5</w:t>
            </w:r>
          </w:p>
        </w:tc>
        <w:tc>
          <w:tcPr>
            <w:tcW w:w="0" w:type="auto"/>
            <w:tcBorders>
              <w:top w:val="single" w:sz="2" w:space="0" w:color="000000"/>
            </w:tcBorders>
            <w:vAlign w:val="center"/>
            <w:hideMark/>
          </w:tcPr>
          <w:p w14:paraId="498B137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84.8</w:t>
            </w:r>
          </w:p>
        </w:tc>
        <w:tc>
          <w:tcPr>
            <w:tcW w:w="0" w:type="auto"/>
            <w:tcBorders>
              <w:top w:val="single" w:sz="2" w:space="0" w:color="000000"/>
            </w:tcBorders>
            <w:vAlign w:val="center"/>
            <w:hideMark/>
          </w:tcPr>
          <w:p w14:paraId="77771CD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tcBorders>
              <w:top w:val="single" w:sz="2" w:space="0" w:color="000000"/>
            </w:tcBorders>
            <w:vAlign w:val="center"/>
            <w:hideMark/>
          </w:tcPr>
          <w:p w14:paraId="2F9B398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tcBorders>
              <w:top w:val="single" w:sz="2" w:space="0" w:color="000000"/>
            </w:tcBorders>
            <w:vAlign w:val="center"/>
            <w:hideMark/>
          </w:tcPr>
          <w:p w14:paraId="70FBCC6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tcBorders>
              <w:top w:val="single" w:sz="2" w:space="0" w:color="000000"/>
            </w:tcBorders>
            <w:vAlign w:val="center"/>
            <w:hideMark/>
          </w:tcPr>
          <w:p w14:paraId="06DCB69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r>
      <w:tr w:rsidR="00E468B9" w:rsidRPr="00564CB4" w14:paraId="7D4E24C5" w14:textId="77777777" w:rsidTr="00E8449B">
        <w:trPr>
          <w:tblCellSpacing w:w="15" w:type="dxa"/>
          <w:jc w:val="center"/>
        </w:trPr>
        <w:tc>
          <w:tcPr>
            <w:tcW w:w="0" w:type="auto"/>
            <w:vAlign w:val="center"/>
            <w:hideMark/>
          </w:tcPr>
          <w:p w14:paraId="6882988E"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75237D3D"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Austria</w:t>
            </w:r>
          </w:p>
        </w:tc>
        <w:tc>
          <w:tcPr>
            <w:tcW w:w="0" w:type="auto"/>
            <w:vAlign w:val="center"/>
            <w:hideMark/>
          </w:tcPr>
          <w:p w14:paraId="6D887E7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83.5</w:t>
            </w:r>
          </w:p>
        </w:tc>
        <w:tc>
          <w:tcPr>
            <w:tcW w:w="0" w:type="auto"/>
            <w:vAlign w:val="center"/>
            <w:hideMark/>
          </w:tcPr>
          <w:p w14:paraId="2867F43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84.1</w:t>
            </w:r>
          </w:p>
        </w:tc>
        <w:tc>
          <w:tcPr>
            <w:tcW w:w="0" w:type="auto"/>
            <w:vAlign w:val="center"/>
            <w:hideMark/>
          </w:tcPr>
          <w:p w14:paraId="370FE3B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83.7</w:t>
            </w:r>
          </w:p>
        </w:tc>
        <w:tc>
          <w:tcPr>
            <w:tcW w:w="0" w:type="auto"/>
            <w:vAlign w:val="center"/>
            <w:hideMark/>
          </w:tcPr>
          <w:p w14:paraId="77A02DE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83.8</w:t>
            </w:r>
          </w:p>
        </w:tc>
        <w:tc>
          <w:tcPr>
            <w:tcW w:w="0" w:type="auto"/>
            <w:vAlign w:val="center"/>
            <w:hideMark/>
          </w:tcPr>
          <w:p w14:paraId="570F221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7A9B6DF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37D7BED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c>
          <w:tcPr>
            <w:tcW w:w="0" w:type="auto"/>
            <w:vAlign w:val="center"/>
            <w:hideMark/>
          </w:tcPr>
          <w:p w14:paraId="6AC0BA2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7EB1928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2CF8510A" w14:textId="77777777" w:rsidTr="00E8449B">
        <w:trPr>
          <w:tblCellSpacing w:w="15" w:type="dxa"/>
          <w:jc w:val="center"/>
        </w:trPr>
        <w:tc>
          <w:tcPr>
            <w:tcW w:w="0" w:type="auto"/>
            <w:vAlign w:val="center"/>
            <w:hideMark/>
          </w:tcPr>
          <w:p w14:paraId="39E5858A"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540CF3B"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Brazil</w:t>
            </w:r>
          </w:p>
        </w:tc>
        <w:tc>
          <w:tcPr>
            <w:tcW w:w="0" w:type="auto"/>
            <w:vAlign w:val="center"/>
            <w:hideMark/>
          </w:tcPr>
          <w:p w14:paraId="125AEAF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78.3</w:t>
            </w:r>
          </w:p>
        </w:tc>
        <w:tc>
          <w:tcPr>
            <w:tcW w:w="0" w:type="auto"/>
            <w:vAlign w:val="center"/>
            <w:hideMark/>
          </w:tcPr>
          <w:p w14:paraId="44F3F79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78.9</w:t>
            </w:r>
          </w:p>
        </w:tc>
        <w:tc>
          <w:tcPr>
            <w:tcW w:w="0" w:type="auto"/>
            <w:vAlign w:val="center"/>
            <w:hideMark/>
          </w:tcPr>
          <w:p w14:paraId="5E6E461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77.9</w:t>
            </w:r>
          </w:p>
        </w:tc>
        <w:tc>
          <w:tcPr>
            <w:tcW w:w="0" w:type="auto"/>
            <w:vAlign w:val="center"/>
            <w:hideMark/>
          </w:tcPr>
          <w:p w14:paraId="4784430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76.0</w:t>
            </w:r>
          </w:p>
        </w:tc>
        <w:tc>
          <w:tcPr>
            <w:tcW w:w="0" w:type="auto"/>
            <w:vAlign w:val="center"/>
            <w:hideMark/>
          </w:tcPr>
          <w:p w14:paraId="380BB5B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3445F47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7AC100D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-1.0</w:t>
            </w:r>
          </w:p>
        </w:tc>
        <w:tc>
          <w:tcPr>
            <w:tcW w:w="0" w:type="auto"/>
            <w:vAlign w:val="center"/>
            <w:hideMark/>
          </w:tcPr>
          <w:p w14:paraId="59499F4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-2.0</w:t>
            </w:r>
          </w:p>
        </w:tc>
        <w:tc>
          <w:tcPr>
            <w:tcW w:w="0" w:type="auto"/>
            <w:vAlign w:val="center"/>
            <w:hideMark/>
          </w:tcPr>
          <w:p w14:paraId="7871488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6DE480E2" w14:textId="77777777" w:rsidTr="00E8449B">
        <w:trPr>
          <w:tblCellSpacing w:w="15" w:type="dxa"/>
          <w:jc w:val="center"/>
        </w:trPr>
        <w:tc>
          <w:tcPr>
            <w:tcW w:w="0" w:type="auto"/>
            <w:vAlign w:val="center"/>
            <w:hideMark/>
          </w:tcPr>
          <w:p w14:paraId="4D49B8FC"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04A78E9"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Bulgaria</w:t>
            </w:r>
          </w:p>
        </w:tc>
        <w:tc>
          <w:tcPr>
            <w:tcW w:w="0" w:type="auto"/>
            <w:vAlign w:val="center"/>
            <w:hideMark/>
          </w:tcPr>
          <w:p w14:paraId="640D428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78.0</w:t>
            </w:r>
          </w:p>
        </w:tc>
        <w:tc>
          <w:tcPr>
            <w:tcW w:w="0" w:type="auto"/>
            <w:vAlign w:val="center"/>
            <w:hideMark/>
          </w:tcPr>
          <w:p w14:paraId="6BBF3F7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78.6</w:t>
            </w:r>
          </w:p>
        </w:tc>
        <w:tc>
          <w:tcPr>
            <w:tcW w:w="0" w:type="auto"/>
            <w:vAlign w:val="center"/>
            <w:hideMark/>
          </w:tcPr>
          <w:p w14:paraId="22F2981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77.3</w:t>
            </w:r>
          </w:p>
        </w:tc>
        <w:tc>
          <w:tcPr>
            <w:tcW w:w="0" w:type="auto"/>
            <w:vAlign w:val="center"/>
            <w:hideMark/>
          </w:tcPr>
          <w:p w14:paraId="4FC083F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75.0</w:t>
            </w:r>
          </w:p>
        </w:tc>
        <w:tc>
          <w:tcPr>
            <w:tcW w:w="0" w:type="auto"/>
            <w:vAlign w:val="center"/>
            <w:hideMark/>
          </w:tcPr>
          <w:p w14:paraId="27927E2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39FDA01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51F26B1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-1.3</w:t>
            </w:r>
          </w:p>
        </w:tc>
        <w:tc>
          <w:tcPr>
            <w:tcW w:w="0" w:type="auto"/>
            <w:vAlign w:val="center"/>
            <w:hideMark/>
          </w:tcPr>
          <w:p w14:paraId="5C04278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-2.4</w:t>
            </w:r>
          </w:p>
        </w:tc>
        <w:tc>
          <w:tcPr>
            <w:tcW w:w="0" w:type="auto"/>
            <w:vAlign w:val="center"/>
            <w:hideMark/>
          </w:tcPr>
          <w:p w14:paraId="266E3B4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7B1D44D0" w14:textId="77777777" w:rsidTr="00E8449B">
        <w:trPr>
          <w:tblCellSpacing w:w="15" w:type="dxa"/>
          <w:jc w:val="center"/>
        </w:trPr>
        <w:tc>
          <w:tcPr>
            <w:tcW w:w="0" w:type="auto"/>
            <w:vAlign w:val="center"/>
            <w:hideMark/>
          </w:tcPr>
          <w:p w14:paraId="72314E7E"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689D234B"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Canada</w:t>
            </w:r>
          </w:p>
        </w:tc>
        <w:tc>
          <w:tcPr>
            <w:tcW w:w="0" w:type="auto"/>
            <w:vAlign w:val="center"/>
            <w:hideMark/>
          </w:tcPr>
          <w:p w14:paraId="6F5FE74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84.4</w:t>
            </w:r>
          </w:p>
        </w:tc>
        <w:tc>
          <w:tcPr>
            <w:tcW w:w="0" w:type="auto"/>
            <w:vAlign w:val="center"/>
            <w:hideMark/>
          </w:tcPr>
          <w:p w14:paraId="4D37C83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84.8</w:t>
            </w:r>
          </w:p>
        </w:tc>
        <w:tc>
          <w:tcPr>
            <w:tcW w:w="0" w:type="auto"/>
            <w:vAlign w:val="center"/>
            <w:hideMark/>
          </w:tcPr>
          <w:p w14:paraId="7008958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84.2</w:t>
            </w:r>
          </w:p>
        </w:tc>
        <w:tc>
          <w:tcPr>
            <w:tcW w:w="0" w:type="auto"/>
            <w:vAlign w:val="center"/>
            <w:hideMark/>
          </w:tcPr>
          <w:p w14:paraId="145E75E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84.4</w:t>
            </w:r>
          </w:p>
        </w:tc>
        <w:tc>
          <w:tcPr>
            <w:tcW w:w="0" w:type="auto"/>
            <w:vAlign w:val="center"/>
            <w:hideMark/>
          </w:tcPr>
          <w:p w14:paraId="06DDE89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83.8</w:t>
            </w:r>
          </w:p>
        </w:tc>
        <w:tc>
          <w:tcPr>
            <w:tcW w:w="0" w:type="auto"/>
            <w:vAlign w:val="center"/>
            <w:hideMark/>
          </w:tcPr>
          <w:p w14:paraId="0A30181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c>
          <w:tcPr>
            <w:tcW w:w="0" w:type="auto"/>
            <w:vAlign w:val="center"/>
            <w:hideMark/>
          </w:tcPr>
          <w:p w14:paraId="7218BEC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3A5CFB9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1C2CBB6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r>
      <w:tr w:rsidR="00E468B9" w:rsidRPr="00564CB4" w14:paraId="50F7A7C0" w14:textId="77777777" w:rsidTr="00E8449B">
        <w:trPr>
          <w:tblCellSpacing w:w="15" w:type="dxa"/>
          <w:jc w:val="center"/>
        </w:trPr>
        <w:tc>
          <w:tcPr>
            <w:tcW w:w="0" w:type="auto"/>
            <w:vAlign w:val="center"/>
            <w:hideMark/>
          </w:tcPr>
          <w:p w14:paraId="2CE5D1D4"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07AF8C02"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Chile</w:t>
            </w:r>
          </w:p>
        </w:tc>
        <w:tc>
          <w:tcPr>
            <w:tcW w:w="0" w:type="auto"/>
            <w:vAlign w:val="center"/>
            <w:hideMark/>
          </w:tcPr>
          <w:p w14:paraId="749AE1F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83.0</w:t>
            </w:r>
          </w:p>
        </w:tc>
        <w:tc>
          <w:tcPr>
            <w:tcW w:w="0" w:type="auto"/>
            <w:vAlign w:val="center"/>
            <w:hideMark/>
          </w:tcPr>
          <w:p w14:paraId="74DBDE9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83.9</w:t>
            </w:r>
          </w:p>
        </w:tc>
        <w:tc>
          <w:tcPr>
            <w:tcW w:w="0" w:type="auto"/>
            <w:vAlign w:val="center"/>
            <w:hideMark/>
          </w:tcPr>
          <w:p w14:paraId="31F7AF5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83.0</w:t>
            </w:r>
          </w:p>
        </w:tc>
        <w:tc>
          <w:tcPr>
            <w:tcW w:w="0" w:type="auto"/>
            <w:vAlign w:val="center"/>
            <w:hideMark/>
          </w:tcPr>
          <w:p w14:paraId="060F282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82.1</w:t>
            </w:r>
          </w:p>
        </w:tc>
        <w:tc>
          <w:tcPr>
            <w:tcW w:w="0" w:type="auto"/>
            <w:vAlign w:val="center"/>
            <w:hideMark/>
          </w:tcPr>
          <w:p w14:paraId="0E85125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221CDB0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480BBCC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0556670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5EBB429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1F4B65CF" w14:textId="77777777" w:rsidTr="00E8449B">
        <w:trPr>
          <w:tblCellSpacing w:w="15" w:type="dxa"/>
          <w:jc w:val="center"/>
        </w:trPr>
        <w:tc>
          <w:tcPr>
            <w:tcW w:w="0" w:type="auto"/>
            <w:vAlign w:val="center"/>
            <w:hideMark/>
          </w:tcPr>
          <w:p w14:paraId="47EB505C"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976AA92"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Croatia</w:t>
            </w:r>
          </w:p>
        </w:tc>
        <w:tc>
          <w:tcPr>
            <w:tcW w:w="0" w:type="auto"/>
            <w:vAlign w:val="center"/>
            <w:hideMark/>
          </w:tcPr>
          <w:p w14:paraId="487A720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80.6</w:t>
            </w:r>
          </w:p>
        </w:tc>
        <w:tc>
          <w:tcPr>
            <w:tcW w:w="0" w:type="auto"/>
            <w:vAlign w:val="center"/>
            <w:hideMark/>
          </w:tcPr>
          <w:p w14:paraId="1C74C82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81.5</w:t>
            </w:r>
          </w:p>
        </w:tc>
        <w:tc>
          <w:tcPr>
            <w:tcW w:w="0" w:type="auto"/>
            <w:vAlign w:val="center"/>
            <w:hideMark/>
          </w:tcPr>
          <w:p w14:paraId="472FBC6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80.8</w:t>
            </w:r>
          </w:p>
        </w:tc>
        <w:tc>
          <w:tcPr>
            <w:tcW w:w="0" w:type="auto"/>
            <w:vAlign w:val="center"/>
            <w:hideMark/>
          </w:tcPr>
          <w:p w14:paraId="0D5B069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79.9</w:t>
            </w:r>
          </w:p>
        </w:tc>
        <w:tc>
          <w:tcPr>
            <w:tcW w:w="0" w:type="auto"/>
            <w:vAlign w:val="center"/>
            <w:hideMark/>
          </w:tcPr>
          <w:p w14:paraId="7818CCE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6A78E7D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+1.0</w:t>
            </w:r>
          </w:p>
        </w:tc>
        <w:tc>
          <w:tcPr>
            <w:tcW w:w="0" w:type="auto"/>
            <w:vAlign w:val="center"/>
            <w:hideMark/>
          </w:tcPr>
          <w:p w14:paraId="3B6433E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0E27C8E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2752672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282EF206" w14:textId="77777777" w:rsidTr="00E8449B">
        <w:trPr>
          <w:tblCellSpacing w:w="15" w:type="dxa"/>
          <w:jc w:val="center"/>
        </w:trPr>
        <w:tc>
          <w:tcPr>
            <w:tcW w:w="0" w:type="auto"/>
            <w:vAlign w:val="center"/>
            <w:hideMark/>
          </w:tcPr>
          <w:p w14:paraId="2A8D839A"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11FE76C7"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Czechia</w:t>
            </w:r>
          </w:p>
        </w:tc>
        <w:tc>
          <w:tcPr>
            <w:tcW w:w="0" w:type="auto"/>
            <w:vAlign w:val="center"/>
            <w:hideMark/>
          </w:tcPr>
          <w:p w14:paraId="6A1F5CE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81.4</w:t>
            </w:r>
          </w:p>
        </w:tc>
        <w:tc>
          <w:tcPr>
            <w:tcW w:w="0" w:type="auto"/>
            <w:vAlign w:val="center"/>
            <w:hideMark/>
          </w:tcPr>
          <w:p w14:paraId="503ADA2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82.0</w:t>
            </w:r>
          </w:p>
        </w:tc>
        <w:tc>
          <w:tcPr>
            <w:tcW w:w="0" w:type="auto"/>
            <w:vAlign w:val="center"/>
            <w:hideMark/>
          </w:tcPr>
          <w:p w14:paraId="7CCF459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81.2</w:t>
            </w:r>
          </w:p>
        </w:tc>
        <w:tc>
          <w:tcPr>
            <w:tcW w:w="0" w:type="auto"/>
            <w:vAlign w:val="center"/>
            <w:hideMark/>
          </w:tcPr>
          <w:p w14:paraId="36AE43C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80.4</w:t>
            </w:r>
          </w:p>
        </w:tc>
        <w:tc>
          <w:tcPr>
            <w:tcW w:w="0" w:type="auto"/>
            <w:vAlign w:val="center"/>
            <w:hideMark/>
          </w:tcPr>
          <w:p w14:paraId="566B9F9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79D5F2F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1FD7C84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342B02B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711405C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7AC7B6E5" w14:textId="77777777" w:rsidTr="00E8449B">
        <w:trPr>
          <w:tblCellSpacing w:w="15" w:type="dxa"/>
          <w:jc w:val="center"/>
        </w:trPr>
        <w:tc>
          <w:tcPr>
            <w:tcW w:w="0" w:type="auto"/>
            <w:vAlign w:val="center"/>
            <w:hideMark/>
          </w:tcPr>
          <w:p w14:paraId="2C07895A"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82D0BE0"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Denmark</w:t>
            </w:r>
          </w:p>
        </w:tc>
        <w:tc>
          <w:tcPr>
            <w:tcW w:w="0" w:type="auto"/>
            <w:vAlign w:val="center"/>
            <w:hideMark/>
          </w:tcPr>
          <w:p w14:paraId="332D637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82.7</w:t>
            </w:r>
          </w:p>
        </w:tc>
        <w:tc>
          <w:tcPr>
            <w:tcW w:w="0" w:type="auto"/>
            <w:vAlign w:val="center"/>
            <w:hideMark/>
          </w:tcPr>
          <w:p w14:paraId="6F4DDD4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83.4</w:t>
            </w:r>
          </w:p>
        </w:tc>
        <w:tc>
          <w:tcPr>
            <w:tcW w:w="0" w:type="auto"/>
            <w:vAlign w:val="center"/>
            <w:hideMark/>
          </w:tcPr>
          <w:p w14:paraId="192F52E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83.5</w:t>
            </w:r>
          </w:p>
        </w:tc>
        <w:tc>
          <w:tcPr>
            <w:tcW w:w="0" w:type="auto"/>
            <w:vAlign w:val="center"/>
            <w:hideMark/>
          </w:tcPr>
          <w:p w14:paraId="478C148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84.0</w:t>
            </w:r>
          </w:p>
        </w:tc>
        <w:tc>
          <w:tcPr>
            <w:tcW w:w="0" w:type="auto"/>
            <w:vAlign w:val="center"/>
            <w:hideMark/>
          </w:tcPr>
          <w:p w14:paraId="63FB4F4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3B1C923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5222D9E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1E0EE93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3D15721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63C5A739" w14:textId="77777777" w:rsidTr="00E8449B">
        <w:trPr>
          <w:tblCellSpacing w:w="15" w:type="dxa"/>
          <w:jc w:val="center"/>
        </w:trPr>
        <w:tc>
          <w:tcPr>
            <w:tcW w:w="0" w:type="auto"/>
            <w:vAlign w:val="center"/>
            <w:hideMark/>
          </w:tcPr>
          <w:p w14:paraId="5AC072C4"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3FFA18C"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England and Wales</w:t>
            </w:r>
          </w:p>
        </w:tc>
        <w:tc>
          <w:tcPr>
            <w:tcW w:w="0" w:type="auto"/>
            <w:vAlign w:val="center"/>
            <w:hideMark/>
          </w:tcPr>
          <w:p w14:paraId="20E5314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82.9</w:t>
            </w:r>
          </w:p>
        </w:tc>
        <w:tc>
          <w:tcPr>
            <w:tcW w:w="0" w:type="auto"/>
            <w:vAlign w:val="center"/>
            <w:hideMark/>
          </w:tcPr>
          <w:p w14:paraId="139F69B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83.7</w:t>
            </w:r>
          </w:p>
        </w:tc>
        <w:tc>
          <w:tcPr>
            <w:tcW w:w="0" w:type="auto"/>
            <w:vAlign w:val="center"/>
            <w:hideMark/>
          </w:tcPr>
          <w:p w14:paraId="65A6BEC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82.5</w:t>
            </w:r>
          </w:p>
        </w:tc>
        <w:tc>
          <w:tcPr>
            <w:tcW w:w="0" w:type="auto"/>
            <w:vAlign w:val="center"/>
            <w:hideMark/>
          </w:tcPr>
          <w:p w14:paraId="48F1044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82.9</w:t>
            </w:r>
          </w:p>
        </w:tc>
        <w:tc>
          <w:tcPr>
            <w:tcW w:w="0" w:type="auto"/>
            <w:vAlign w:val="center"/>
            <w:hideMark/>
          </w:tcPr>
          <w:p w14:paraId="613EC00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83.3</w:t>
            </w:r>
          </w:p>
        </w:tc>
        <w:tc>
          <w:tcPr>
            <w:tcW w:w="0" w:type="auto"/>
            <w:vAlign w:val="center"/>
            <w:hideMark/>
          </w:tcPr>
          <w:p w14:paraId="3F5AE13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1C7F6FD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-1.1</w:t>
            </w:r>
          </w:p>
        </w:tc>
        <w:tc>
          <w:tcPr>
            <w:tcW w:w="0" w:type="auto"/>
            <w:vAlign w:val="center"/>
            <w:hideMark/>
          </w:tcPr>
          <w:p w14:paraId="5FF2A26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c>
          <w:tcPr>
            <w:tcW w:w="0" w:type="auto"/>
            <w:vAlign w:val="center"/>
            <w:hideMark/>
          </w:tcPr>
          <w:p w14:paraId="7A4C7F8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r>
      <w:tr w:rsidR="00E468B9" w:rsidRPr="00564CB4" w14:paraId="10B1193D" w14:textId="77777777" w:rsidTr="00E8449B">
        <w:trPr>
          <w:tblCellSpacing w:w="15" w:type="dxa"/>
          <w:jc w:val="center"/>
        </w:trPr>
        <w:tc>
          <w:tcPr>
            <w:tcW w:w="0" w:type="auto"/>
            <w:vAlign w:val="center"/>
            <w:hideMark/>
          </w:tcPr>
          <w:p w14:paraId="30AD2AAC"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7E4AD0B6"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Hungary</w:t>
            </w:r>
          </w:p>
        </w:tc>
        <w:tc>
          <w:tcPr>
            <w:tcW w:w="0" w:type="auto"/>
            <w:vAlign w:val="center"/>
            <w:hideMark/>
          </w:tcPr>
          <w:p w14:paraId="1735DA3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78.8</w:t>
            </w:r>
          </w:p>
        </w:tc>
        <w:tc>
          <w:tcPr>
            <w:tcW w:w="0" w:type="auto"/>
            <w:vAlign w:val="center"/>
            <w:hideMark/>
          </w:tcPr>
          <w:p w14:paraId="080152D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79.6</w:t>
            </w:r>
          </w:p>
        </w:tc>
        <w:tc>
          <w:tcPr>
            <w:tcW w:w="0" w:type="auto"/>
            <w:vAlign w:val="center"/>
            <w:hideMark/>
          </w:tcPr>
          <w:p w14:paraId="35D2BF7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78.9</w:t>
            </w:r>
          </w:p>
        </w:tc>
        <w:tc>
          <w:tcPr>
            <w:tcW w:w="0" w:type="auto"/>
            <w:vAlign w:val="center"/>
            <w:hideMark/>
          </w:tcPr>
          <w:p w14:paraId="71072FA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77.7</w:t>
            </w:r>
          </w:p>
        </w:tc>
        <w:tc>
          <w:tcPr>
            <w:tcW w:w="0" w:type="auto"/>
            <w:vAlign w:val="center"/>
            <w:hideMark/>
          </w:tcPr>
          <w:p w14:paraId="3BBB550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79.3</w:t>
            </w:r>
          </w:p>
        </w:tc>
        <w:tc>
          <w:tcPr>
            <w:tcW w:w="0" w:type="auto"/>
            <w:vAlign w:val="center"/>
            <w:hideMark/>
          </w:tcPr>
          <w:p w14:paraId="1CBA056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276EE13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63C1F04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-1.3</w:t>
            </w:r>
          </w:p>
        </w:tc>
        <w:tc>
          <w:tcPr>
            <w:tcW w:w="0" w:type="auto"/>
            <w:vAlign w:val="center"/>
            <w:hideMark/>
          </w:tcPr>
          <w:p w14:paraId="222C186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+1.6</w:t>
            </w:r>
          </w:p>
        </w:tc>
      </w:tr>
      <w:tr w:rsidR="00E468B9" w:rsidRPr="00564CB4" w14:paraId="0DB07AF3" w14:textId="77777777" w:rsidTr="00E8449B">
        <w:trPr>
          <w:tblCellSpacing w:w="15" w:type="dxa"/>
          <w:jc w:val="center"/>
        </w:trPr>
        <w:tc>
          <w:tcPr>
            <w:tcW w:w="0" w:type="auto"/>
            <w:vAlign w:val="center"/>
            <w:hideMark/>
          </w:tcPr>
          <w:p w14:paraId="7521E943"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0FEA0B5"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Japan</w:t>
            </w:r>
          </w:p>
        </w:tc>
        <w:tc>
          <w:tcPr>
            <w:tcW w:w="0" w:type="auto"/>
            <w:vAlign w:val="center"/>
            <w:hideMark/>
          </w:tcPr>
          <w:p w14:paraId="336812D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87.1</w:t>
            </w:r>
          </w:p>
        </w:tc>
        <w:tc>
          <w:tcPr>
            <w:tcW w:w="0" w:type="auto"/>
            <w:vAlign w:val="center"/>
            <w:hideMark/>
          </w:tcPr>
          <w:p w14:paraId="3AA7F98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87.6</w:t>
            </w:r>
          </w:p>
        </w:tc>
        <w:tc>
          <w:tcPr>
            <w:tcW w:w="0" w:type="auto"/>
            <w:vAlign w:val="center"/>
            <w:hideMark/>
          </w:tcPr>
          <w:p w14:paraId="591CA30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87.9</w:t>
            </w:r>
          </w:p>
        </w:tc>
        <w:tc>
          <w:tcPr>
            <w:tcW w:w="0" w:type="auto"/>
            <w:vAlign w:val="center"/>
            <w:hideMark/>
          </w:tcPr>
          <w:p w14:paraId="3AA8495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87.7</w:t>
            </w:r>
          </w:p>
        </w:tc>
        <w:tc>
          <w:tcPr>
            <w:tcW w:w="0" w:type="auto"/>
            <w:vAlign w:val="center"/>
            <w:hideMark/>
          </w:tcPr>
          <w:p w14:paraId="6511A49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70E3C12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+0.5</w:t>
            </w:r>
          </w:p>
        </w:tc>
        <w:tc>
          <w:tcPr>
            <w:tcW w:w="0" w:type="auto"/>
            <w:vAlign w:val="center"/>
            <w:hideMark/>
          </w:tcPr>
          <w:p w14:paraId="6C757A3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71DD63D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-0.2</w:t>
            </w:r>
          </w:p>
        </w:tc>
        <w:tc>
          <w:tcPr>
            <w:tcW w:w="0" w:type="auto"/>
            <w:vAlign w:val="center"/>
            <w:hideMark/>
          </w:tcPr>
          <w:p w14:paraId="554D332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73A4F447" w14:textId="77777777" w:rsidTr="00E8449B">
        <w:trPr>
          <w:tblCellSpacing w:w="15" w:type="dxa"/>
          <w:jc w:val="center"/>
        </w:trPr>
        <w:tc>
          <w:tcPr>
            <w:tcW w:w="0" w:type="auto"/>
            <w:vAlign w:val="center"/>
            <w:hideMark/>
          </w:tcPr>
          <w:p w14:paraId="46696197"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3D1C93A"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Latvia</w:t>
            </w:r>
          </w:p>
        </w:tc>
        <w:tc>
          <w:tcPr>
            <w:tcW w:w="0" w:type="auto"/>
            <w:vAlign w:val="center"/>
            <w:hideMark/>
          </w:tcPr>
          <w:p w14:paraId="32219B1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79.4</w:t>
            </w:r>
          </w:p>
        </w:tc>
        <w:tc>
          <w:tcPr>
            <w:tcW w:w="0" w:type="auto"/>
            <w:vAlign w:val="center"/>
            <w:hideMark/>
          </w:tcPr>
          <w:p w14:paraId="4E46FC0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80.1</w:t>
            </w:r>
          </w:p>
        </w:tc>
        <w:tc>
          <w:tcPr>
            <w:tcW w:w="0" w:type="auto"/>
            <w:vAlign w:val="center"/>
            <w:hideMark/>
          </w:tcPr>
          <w:p w14:paraId="1440318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80.0</w:t>
            </w:r>
          </w:p>
        </w:tc>
        <w:tc>
          <w:tcPr>
            <w:tcW w:w="0" w:type="auto"/>
            <w:vAlign w:val="center"/>
            <w:hideMark/>
          </w:tcPr>
          <w:p w14:paraId="7DB8C15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78.1</w:t>
            </w:r>
          </w:p>
        </w:tc>
        <w:tc>
          <w:tcPr>
            <w:tcW w:w="0" w:type="auto"/>
            <w:vAlign w:val="center"/>
            <w:hideMark/>
          </w:tcPr>
          <w:p w14:paraId="33DEE4E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09003CC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69283D0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47B9881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-1.9</w:t>
            </w:r>
          </w:p>
        </w:tc>
        <w:tc>
          <w:tcPr>
            <w:tcW w:w="0" w:type="auto"/>
            <w:vAlign w:val="center"/>
            <w:hideMark/>
          </w:tcPr>
          <w:p w14:paraId="33A59DD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5843C410" w14:textId="77777777" w:rsidTr="00E8449B">
        <w:trPr>
          <w:tblCellSpacing w:w="15" w:type="dxa"/>
          <w:jc w:val="center"/>
        </w:trPr>
        <w:tc>
          <w:tcPr>
            <w:tcW w:w="0" w:type="auto"/>
            <w:vAlign w:val="center"/>
            <w:hideMark/>
          </w:tcPr>
          <w:p w14:paraId="1A3C4A52"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15FBEF74"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Lithuania</w:t>
            </w:r>
          </w:p>
        </w:tc>
        <w:tc>
          <w:tcPr>
            <w:tcW w:w="0" w:type="auto"/>
            <w:vAlign w:val="center"/>
            <w:hideMark/>
          </w:tcPr>
          <w:p w14:paraId="7D1DE97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79.5</w:t>
            </w:r>
          </w:p>
        </w:tc>
        <w:tc>
          <w:tcPr>
            <w:tcW w:w="0" w:type="auto"/>
            <w:vAlign w:val="center"/>
            <w:hideMark/>
          </w:tcPr>
          <w:p w14:paraId="7F9165A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80.9</w:t>
            </w:r>
          </w:p>
        </w:tc>
        <w:tc>
          <w:tcPr>
            <w:tcW w:w="0" w:type="auto"/>
            <w:vAlign w:val="center"/>
            <w:hideMark/>
          </w:tcPr>
          <w:p w14:paraId="07F563C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79.9</w:t>
            </w:r>
          </w:p>
        </w:tc>
        <w:tc>
          <w:tcPr>
            <w:tcW w:w="0" w:type="auto"/>
            <w:vAlign w:val="center"/>
            <w:hideMark/>
          </w:tcPr>
          <w:p w14:paraId="6C0288D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78.7</w:t>
            </w:r>
          </w:p>
        </w:tc>
        <w:tc>
          <w:tcPr>
            <w:tcW w:w="0" w:type="auto"/>
            <w:vAlign w:val="center"/>
            <w:hideMark/>
          </w:tcPr>
          <w:p w14:paraId="3849548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79.9</w:t>
            </w:r>
          </w:p>
        </w:tc>
        <w:tc>
          <w:tcPr>
            <w:tcW w:w="0" w:type="auto"/>
            <w:vAlign w:val="center"/>
            <w:hideMark/>
          </w:tcPr>
          <w:p w14:paraId="703BF15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+1.4</w:t>
            </w:r>
          </w:p>
        </w:tc>
        <w:tc>
          <w:tcPr>
            <w:tcW w:w="0" w:type="auto"/>
            <w:vAlign w:val="center"/>
            <w:hideMark/>
          </w:tcPr>
          <w:p w14:paraId="46A688F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-1.0</w:t>
            </w:r>
          </w:p>
        </w:tc>
        <w:tc>
          <w:tcPr>
            <w:tcW w:w="0" w:type="auto"/>
            <w:vAlign w:val="center"/>
            <w:hideMark/>
          </w:tcPr>
          <w:p w14:paraId="7DE08CF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-1.2</w:t>
            </w:r>
          </w:p>
        </w:tc>
        <w:tc>
          <w:tcPr>
            <w:tcW w:w="0" w:type="auto"/>
            <w:vAlign w:val="center"/>
            <w:hideMark/>
          </w:tcPr>
          <w:p w14:paraId="2A8C025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+1.2</w:t>
            </w:r>
          </w:p>
        </w:tc>
      </w:tr>
      <w:tr w:rsidR="00E468B9" w:rsidRPr="00564CB4" w14:paraId="22898448" w14:textId="77777777" w:rsidTr="00E8449B">
        <w:trPr>
          <w:tblCellSpacing w:w="15" w:type="dxa"/>
          <w:jc w:val="center"/>
        </w:trPr>
        <w:tc>
          <w:tcPr>
            <w:tcW w:w="0" w:type="auto"/>
            <w:vAlign w:val="center"/>
            <w:hideMark/>
          </w:tcPr>
          <w:p w14:paraId="3AC57394"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43EFBF78"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Netherlands</w:t>
            </w:r>
          </w:p>
        </w:tc>
        <w:tc>
          <w:tcPr>
            <w:tcW w:w="0" w:type="auto"/>
            <w:vAlign w:val="center"/>
            <w:hideMark/>
          </w:tcPr>
          <w:p w14:paraId="5F913C1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83.1</w:t>
            </w:r>
          </w:p>
        </w:tc>
        <w:tc>
          <w:tcPr>
            <w:tcW w:w="0" w:type="auto"/>
            <w:vAlign w:val="center"/>
            <w:hideMark/>
          </w:tcPr>
          <w:p w14:paraId="61BBA5A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83.5</w:t>
            </w:r>
          </w:p>
        </w:tc>
        <w:tc>
          <w:tcPr>
            <w:tcW w:w="0" w:type="auto"/>
            <w:vAlign w:val="center"/>
            <w:hideMark/>
          </w:tcPr>
          <w:p w14:paraId="76CF13A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83.0</w:t>
            </w:r>
          </w:p>
        </w:tc>
        <w:tc>
          <w:tcPr>
            <w:tcW w:w="0" w:type="auto"/>
            <w:vAlign w:val="center"/>
            <w:hideMark/>
          </w:tcPr>
          <w:p w14:paraId="013267B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83.0</w:t>
            </w:r>
          </w:p>
        </w:tc>
        <w:tc>
          <w:tcPr>
            <w:tcW w:w="0" w:type="auto"/>
            <w:vAlign w:val="center"/>
            <w:hideMark/>
          </w:tcPr>
          <w:p w14:paraId="05C1437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83.1</w:t>
            </w:r>
          </w:p>
        </w:tc>
        <w:tc>
          <w:tcPr>
            <w:tcW w:w="0" w:type="auto"/>
            <w:vAlign w:val="center"/>
            <w:hideMark/>
          </w:tcPr>
          <w:p w14:paraId="6246660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+0.5</w:t>
            </w:r>
          </w:p>
        </w:tc>
        <w:tc>
          <w:tcPr>
            <w:tcW w:w="0" w:type="auto"/>
            <w:vAlign w:val="center"/>
            <w:hideMark/>
          </w:tcPr>
          <w:p w14:paraId="41C5F80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-0.5</w:t>
            </w:r>
          </w:p>
        </w:tc>
        <w:tc>
          <w:tcPr>
            <w:tcW w:w="0" w:type="auto"/>
            <w:vAlign w:val="center"/>
            <w:hideMark/>
          </w:tcPr>
          <w:p w14:paraId="62C9872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6851BB4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r>
      <w:tr w:rsidR="00E468B9" w:rsidRPr="00564CB4" w14:paraId="6809C490" w14:textId="77777777" w:rsidTr="00E8449B">
        <w:trPr>
          <w:tblCellSpacing w:w="15" w:type="dxa"/>
          <w:jc w:val="center"/>
        </w:trPr>
        <w:tc>
          <w:tcPr>
            <w:tcW w:w="0" w:type="auto"/>
            <w:vAlign w:val="center"/>
            <w:hideMark/>
          </w:tcPr>
          <w:p w14:paraId="10A48591"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12A4C320"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Northern Ireland</w:t>
            </w:r>
          </w:p>
        </w:tc>
        <w:tc>
          <w:tcPr>
            <w:tcW w:w="0" w:type="auto"/>
            <w:vAlign w:val="center"/>
            <w:hideMark/>
          </w:tcPr>
          <w:p w14:paraId="55DE65F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82.2</w:t>
            </w:r>
          </w:p>
        </w:tc>
        <w:tc>
          <w:tcPr>
            <w:tcW w:w="0" w:type="auto"/>
            <w:vAlign w:val="center"/>
            <w:hideMark/>
          </w:tcPr>
          <w:p w14:paraId="4FFB59B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82.8</w:t>
            </w:r>
          </w:p>
        </w:tc>
        <w:tc>
          <w:tcPr>
            <w:tcW w:w="0" w:type="auto"/>
            <w:vAlign w:val="center"/>
            <w:hideMark/>
          </w:tcPr>
          <w:p w14:paraId="78AD0A1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81.9</w:t>
            </w:r>
          </w:p>
        </w:tc>
        <w:tc>
          <w:tcPr>
            <w:tcW w:w="0" w:type="auto"/>
            <w:vAlign w:val="center"/>
            <w:hideMark/>
          </w:tcPr>
          <w:p w14:paraId="2169A51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82.0</w:t>
            </w:r>
          </w:p>
        </w:tc>
        <w:tc>
          <w:tcPr>
            <w:tcW w:w="0" w:type="auto"/>
            <w:vAlign w:val="center"/>
            <w:hideMark/>
          </w:tcPr>
          <w:p w14:paraId="6CEF6A2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37C82B3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152FB1A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61C036F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2609FBB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4063D7BB" w14:textId="77777777" w:rsidTr="00E8449B">
        <w:trPr>
          <w:tblCellSpacing w:w="15" w:type="dxa"/>
          <w:jc w:val="center"/>
        </w:trPr>
        <w:tc>
          <w:tcPr>
            <w:tcW w:w="0" w:type="auto"/>
            <w:vAlign w:val="center"/>
            <w:hideMark/>
          </w:tcPr>
          <w:p w14:paraId="59C6AD8A"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5FC702F"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Poland</w:t>
            </w:r>
          </w:p>
        </w:tc>
        <w:tc>
          <w:tcPr>
            <w:tcW w:w="0" w:type="auto"/>
            <w:vAlign w:val="center"/>
            <w:hideMark/>
          </w:tcPr>
          <w:p w14:paraId="306887E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81.2</w:t>
            </w:r>
          </w:p>
        </w:tc>
        <w:tc>
          <w:tcPr>
            <w:tcW w:w="0" w:type="auto"/>
            <w:vAlign w:val="center"/>
            <w:hideMark/>
          </w:tcPr>
          <w:p w14:paraId="35317D2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81.5</w:t>
            </w:r>
          </w:p>
        </w:tc>
        <w:tc>
          <w:tcPr>
            <w:tcW w:w="0" w:type="auto"/>
            <w:vAlign w:val="center"/>
            <w:hideMark/>
          </w:tcPr>
          <w:p w14:paraId="469C41A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80.4</w:t>
            </w:r>
          </w:p>
        </w:tc>
        <w:tc>
          <w:tcPr>
            <w:tcW w:w="0" w:type="auto"/>
            <w:vAlign w:val="center"/>
            <w:hideMark/>
          </w:tcPr>
          <w:p w14:paraId="738E70E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79.4</w:t>
            </w:r>
          </w:p>
        </w:tc>
        <w:tc>
          <w:tcPr>
            <w:tcW w:w="0" w:type="auto"/>
            <w:vAlign w:val="center"/>
            <w:hideMark/>
          </w:tcPr>
          <w:p w14:paraId="3A8DA58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67142FF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0C81F81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-1.1</w:t>
            </w:r>
          </w:p>
        </w:tc>
        <w:tc>
          <w:tcPr>
            <w:tcW w:w="0" w:type="auto"/>
            <w:vAlign w:val="center"/>
            <w:hideMark/>
          </w:tcPr>
          <w:p w14:paraId="71177BD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-1.0</w:t>
            </w:r>
          </w:p>
        </w:tc>
        <w:tc>
          <w:tcPr>
            <w:tcW w:w="0" w:type="auto"/>
            <w:vAlign w:val="center"/>
            <w:hideMark/>
          </w:tcPr>
          <w:p w14:paraId="2CF7FAF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0AC7A3B1" w14:textId="77777777" w:rsidTr="00E8449B">
        <w:trPr>
          <w:tblCellSpacing w:w="15" w:type="dxa"/>
          <w:jc w:val="center"/>
        </w:trPr>
        <w:tc>
          <w:tcPr>
            <w:tcW w:w="0" w:type="auto"/>
            <w:vAlign w:val="center"/>
            <w:hideMark/>
          </w:tcPr>
          <w:p w14:paraId="51580064"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813E5E7"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Russia</w:t>
            </w:r>
          </w:p>
        </w:tc>
        <w:tc>
          <w:tcPr>
            <w:tcW w:w="0" w:type="auto"/>
            <w:vAlign w:val="center"/>
            <w:hideMark/>
          </w:tcPr>
          <w:p w14:paraId="6E67A62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76.6</w:t>
            </w:r>
          </w:p>
        </w:tc>
        <w:tc>
          <w:tcPr>
            <w:tcW w:w="0" w:type="auto"/>
            <w:vAlign w:val="center"/>
            <w:hideMark/>
          </w:tcPr>
          <w:p w14:paraId="195D50A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78.0</w:t>
            </w:r>
          </w:p>
        </w:tc>
        <w:tc>
          <w:tcPr>
            <w:tcW w:w="0" w:type="auto"/>
            <w:vAlign w:val="center"/>
            <w:hideMark/>
          </w:tcPr>
          <w:p w14:paraId="2BECCD1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76.2</w:t>
            </w:r>
          </w:p>
        </w:tc>
        <w:tc>
          <w:tcPr>
            <w:tcW w:w="0" w:type="auto"/>
            <w:vAlign w:val="center"/>
            <w:hideMark/>
          </w:tcPr>
          <w:p w14:paraId="3685002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74.4</w:t>
            </w:r>
          </w:p>
        </w:tc>
        <w:tc>
          <w:tcPr>
            <w:tcW w:w="0" w:type="auto"/>
            <w:vAlign w:val="center"/>
            <w:hideMark/>
          </w:tcPr>
          <w:p w14:paraId="27641B0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466ED31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+1.5</w:t>
            </w:r>
          </w:p>
        </w:tc>
        <w:tc>
          <w:tcPr>
            <w:tcW w:w="0" w:type="auto"/>
            <w:vAlign w:val="center"/>
            <w:hideMark/>
          </w:tcPr>
          <w:p w14:paraId="24A4B52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-1.8</w:t>
            </w:r>
          </w:p>
        </w:tc>
        <w:tc>
          <w:tcPr>
            <w:tcW w:w="0" w:type="auto"/>
            <w:vAlign w:val="center"/>
            <w:hideMark/>
          </w:tcPr>
          <w:p w14:paraId="5DC681E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-1.9</w:t>
            </w:r>
          </w:p>
        </w:tc>
        <w:tc>
          <w:tcPr>
            <w:tcW w:w="0" w:type="auto"/>
            <w:vAlign w:val="center"/>
            <w:hideMark/>
          </w:tcPr>
          <w:p w14:paraId="2372EBA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5B86B6CC" w14:textId="77777777" w:rsidTr="00E8449B">
        <w:trPr>
          <w:tblCellSpacing w:w="15" w:type="dxa"/>
          <w:jc w:val="center"/>
        </w:trPr>
        <w:tc>
          <w:tcPr>
            <w:tcW w:w="0" w:type="auto"/>
            <w:vAlign w:val="center"/>
            <w:hideMark/>
          </w:tcPr>
          <w:p w14:paraId="27DF62FE"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FE56BC3"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Scotland</w:t>
            </w:r>
          </w:p>
        </w:tc>
        <w:tc>
          <w:tcPr>
            <w:tcW w:w="0" w:type="auto"/>
            <w:vAlign w:val="center"/>
            <w:hideMark/>
          </w:tcPr>
          <w:p w14:paraId="5F63E83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81.0</w:t>
            </w:r>
          </w:p>
        </w:tc>
        <w:tc>
          <w:tcPr>
            <w:tcW w:w="0" w:type="auto"/>
            <w:vAlign w:val="center"/>
            <w:hideMark/>
          </w:tcPr>
          <w:p w14:paraId="16D1422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81.2</w:t>
            </w:r>
          </w:p>
        </w:tc>
        <w:tc>
          <w:tcPr>
            <w:tcW w:w="0" w:type="auto"/>
            <w:vAlign w:val="center"/>
            <w:hideMark/>
          </w:tcPr>
          <w:p w14:paraId="74E4A64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80.6</w:t>
            </w:r>
          </w:p>
        </w:tc>
        <w:tc>
          <w:tcPr>
            <w:tcW w:w="0" w:type="auto"/>
            <w:vAlign w:val="center"/>
            <w:hideMark/>
          </w:tcPr>
          <w:p w14:paraId="02CB6A7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80.5</w:t>
            </w:r>
          </w:p>
        </w:tc>
        <w:tc>
          <w:tcPr>
            <w:tcW w:w="0" w:type="auto"/>
            <w:vAlign w:val="center"/>
            <w:hideMark/>
          </w:tcPr>
          <w:p w14:paraId="50BF9F6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62534C9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30AF599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520BAF1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-0.2</w:t>
            </w:r>
          </w:p>
        </w:tc>
        <w:tc>
          <w:tcPr>
            <w:tcW w:w="0" w:type="auto"/>
            <w:vAlign w:val="center"/>
            <w:hideMark/>
          </w:tcPr>
          <w:p w14:paraId="2548238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49802563" w14:textId="77777777" w:rsidTr="00E8449B">
        <w:trPr>
          <w:tblCellSpacing w:w="15" w:type="dxa"/>
          <w:jc w:val="center"/>
        </w:trPr>
        <w:tc>
          <w:tcPr>
            <w:tcW w:w="0" w:type="auto"/>
            <w:vAlign w:val="center"/>
            <w:hideMark/>
          </w:tcPr>
          <w:p w14:paraId="5A1F8D05"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0771DBA7"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South Korea</w:t>
            </w:r>
          </w:p>
        </w:tc>
        <w:tc>
          <w:tcPr>
            <w:tcW w:w="0" w:type="auto"/>
            <w:vAlign w:val="center"/>
            <w:hideMark/>
          </w:tcPr>
          <w:p w14:paraId="3604392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85.6</w:t>
            </w:r>
          </w:p>
        </w:tc>
        <w:tc>
          <w:tcPr>
            <w:tcW w:w="0" w:type="auto"/>
            <w:vAlign w:val="center"/>
            <w:hideMark/>
          </w:tcPr>
          <w:p w14:paraId="5B129DA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87.0</w:t>
            </w:r>
          </w:p>
        </w:tc>
        <w:tc>
          <w:tcPr>
            <w:tcW w:w="0" w:type="auto"/>
            <w:vAlign w:val="center"/>
            <w:hideMark/>
          </w:tcPr>
          <w:p w14:paraId="7437313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87.2</w:t>
            </w:r>
          </w:p>
        </w:tc>
        <w:tc>
          <w:tcPr>
            <w:tcW w:w="0" w:type="auto"/>
            <w:vAlign w:val="center"/>
            <w:hideMark/>
          </w:tcPr>
          <w:p w14:paraId="0467D62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87.2</w:t>
            </w:r>
          </w:p>
        </w:tc>
        <w:tc>
          <w:tcPr>
            <w:tcW w:w="0" w:type="auto"/>
            <w:vAlign w:val="center"/>
            <w:hideMark/>
          </w:tcPr>
          <w:p w14:paraId="1E8EB76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641E0D0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+1.4</w:t>
            </w:r>
          </w:p>
        </w:tc>
        <w:tc>
          <w:tcPr>
            <w:tcW w:w="0" w:type="auto"/>
            <w:vAlign w:val="center"/>
            <w:hideMark/>
          </w:tcPr>
          <w:p w14:paraId="6FE7C5D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+0.2</w:t>
            </w:r>
          </w:p>
        </w:tc>
        <w:tc>
          <w:tcPr>
            <w:tcW w:w="0" w:type="auto"/>
            <w:vAlign w:val="center"/>
            <w:hideMark/>
          </w:tcPr>
          <w:p w14:paraId="299E080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+0.0</w:t>
            </w:r>
          </w:p>
        </w:tc>
        <w:tc>
          <w:tcPr>
            <w:tcW w:w="0" w:type="auto"/>
            <w:vAlign w:val="center"/>
            <w:hideMark/>
          </w:tcPr>
          <w:p w14:paraId="2EA6A12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28FE69FC" w14:textId="77777777" w:rsidTr="00E8449B">
        <w:trPr>
          <w:tblCellSpacing w:w="15" w:type="dxa"/>
          <w:jc w:val="center"/>
        </w:trPr>
        <w:tc>
          <w:tcPr>
            <w:tcW w:w="0" w:type="auto"/>
            <w:vAlign w:val="center"/>
            <w:hideMark/>
          </w:tcPr>
          <w:p w14:paraId="54271BDC"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7B64990A"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Spain</w:t>
            </w:r>
          </w:p>
        </w:tc>
        <w:tc>
          <w:tcPr>
            <w:tcW w:w="0" w:type="auto"/>
            <w:vAlign w:val="center"/>
            <w:hideMark/>
          </w:tcPr>
          <w:p w14:paraId="5D5017D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85.2</w:t>
            </w:r>
          </w:p>
        </w:tc>
        <w:tc>
          <w:tcPr>
            <w:tcW w:w="0" w:type="auto"/>
            <w:vAlign w:val="center"/>
            <w:hideMark/>
          </w:tcPr>
          <w:p w14:paraId="64AF225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86.0</w:t>
            </w:r>
          </w:p>
        </w:tc>
        <w:tc>
          <w:tcPr>
            <w:tcW w:w="0" w:type="auto"/>
            <w:vAlign w:val="center"/>
            <w:hideMark/>
          </w:tcPr>
          <w:p w14:paraId="2DC4526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84.9</w:t>
            </w:r>
          </w:p>
        </w:tc>
        <w:tc>
          <w:tcPr>
            <w:tcW w:w="0" w:type="auto"/>
            <w:vAlign w:val="center"/>
            <w:hideMark/>
          </w:tcPr>
          <w:p w14:paraId="5F99C5C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85.7</w:t>
            </w:r>
          </w:p>
        </w:tc>
        <w:tc>
          <w:tcPr>
            <w:tcW w:w="0" w:type="auto"/>
            <w:vAlign w:val="center"/>
            <w:hideMark/>
          </w:tcPr>
          <w:p w14:paraId="2945626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65DBB2B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38653A3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-1.1</w:t>
            </w:r>
          </w:p>
        </w:tc>
        <w:tc>
          <w:tcPr>
            <w:tcW w:w="0" w:type="auto"/>
            <w:vAlign w:val="center"/>
            <w:hideMark/>
          </w:tcPr>
          <w:p w14:paraId="1E77B20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70F603D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5CE123D3" w14:textId="77777777" w:rsidTr="00E8449B">
        <w:trPr>
          <w:tblCellSpacing w:w="15" w:type="dxa"/>
          <w:jc w:val="center"/>
        </w:trPr>
        <w:tc>
          <w:tcPr>
            <w:tcW w:w="0" w:type="auto"/>
            <w:vAlign w:val="center"/>
            <w:hideMark/>
          </w:tcPr>
          <w:p w14:paraId="4334AD68"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6ED45D9"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Sweden</w:t>
            </w:r>
          </w:p>
        </w:tc>
        <w:tc>
          <w:tcPr>
            <w:tcW w:w="0" w:type="auto"/>
            <w:vAlign w:val="center"/>
            <w:hideMark/>
          </w:tcPr>
          <w:p w14:paraId="679D723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83.9</w:t>
            </w:r>
          </w:p>
        </w:tc>
        <w:tc>
          <w:tcPr>
            <w:tcW w:w="0" w:type="auto"/>
            <w:vAlign w:val="center"/>
            <w:hideMark/>
          </w:tcPr>
          <w:p w14:paraId="1E33A6C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84.6</w:t>
            </w:r>
          </w:p>
        </w:tc>
        <w:tc>
          <w:tcPr>
            <w:tcW w:w="0" w:type="auto"/>
            <w:vAlign w:val="center"/>
            <w:hideMark/>
          </w:tcPr>
          <w:p w14:paraId="3E91473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84.1</w:t>
            </w:r>
          </w:p>
        </w:tc>
        <w:tc>
          <w:tcPr>
            <w:tcW w:w="0" w:type="auto"/>
            <w:vAlign w:val="center"/>
            <w:hideMark/>
          </w:tcPr>
          <w:p w14:paraId="666570D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84.7</w:t>
            </w:r>
          </w:p>
        </w:tc>
        <w:tc>
          <w:tcPr>
            <w:tcW w:w="0" w:type="auto"/>
            <w:vAlign w:val="center"/>
            <w:hideMark/>
          </w:tcPr>
          <w:p w14:paraId="5CA748A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84.6</w:t>
            </w:r>
          </w:p>
        </w:tc>
        <w:tc>
          <w:tcPr>
            <w:tcW w:w="0" w:type="auto"/>
            <w:vAlign w:val="center"/>
            <w:hideMark/>
          </w:tcPr>
          <w:p w14:paraId="189B8A1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220C354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c>
          <w:tcPr>
            <w:tcW w:w="0" w:type="auto"/>
            <w:vAlign w:val="center"/>
            <w:hideMark/>
          </w:tcPr>
          <w:p w14:paraId="496561E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5169A4B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r>
      <w:tr w:rsidR="00E468B9" w:rsidRPr="00564CB4" w14:paraId="2C261AE9" w14:textId="77777777" w:rsidTr="00E8449B">
        <w:trPr>
          <w:tblCellSpacing w:w="15" w:type="dxa"/>
          <w:jc w:val="center"/>
        </w:trPr>
        <w:tc>
          <w:tcPr>
            <w:tcW w:w="0" w:type="auto"/>
            <w:vAlign w:val="center"/>
            <w:hideMark/>
          </w:tcPr>
          <w:p w14:paraId="44282E98"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49047FF"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Switzerland</w:t>
            </w:r>
          </w:p>
        </w:tc>
        <w:tc>
          <w:tcPr>
            <w:tcW w:w="0" w:type="auto"/>
            <w:vAlign w:val="center"/>
            <w:hideMark/>
          </w:tcPr>
          <w:p w14:paraId="3E26E61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84.8</w:t>
            </w:r>
          </w:p>
        </w:tc>
        <w:tc>
          <w:tcPr>
            <w:tcW w:w="0" w:type="auto"/>
            <w:vAlign w:val="center"/>
            <w:hideMark/>
          </w:tcPr>
          <w:p w14:paraId="7556D6A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85.5</w:t>
            </w:r>
          </w:p>
        </w:tc>
        <w:tc>
          <w:tcPr>
            <w:tcW w:w="0" w:type="auto"/>
            <w:vAlign w:val="center"/>
            <w:hideMark/>
          </w:tcPr>
          <w:p w14:paraId="1F74AE2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85.0</w:t>
            </w:r>
          </w:p>
        </w:tc>
        <w:tc>
          <w:tcPr>
            <w:tcW w:w="0" w:type="auto"/>
            <w:vAlign w:val="center"/>
            <w:hideMark/>
          </w:tcPr>
          <w:p w14:paraId="5A4951D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85.6</w:t>
            </w:r>
          </w:p>
        </w:tc>
        <w:tc>
          <w:tcPr>
            <w:tcW w:w="0" w:type="auto"/>
            <w:vAlign w:val="center"/>
            <w:hideMark/>
          </w:tcPr>
          <w:p w14:paraId="49D5E99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2E6E438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57227D4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-0.5</w:t>
            </w:r>
          </w:p>
        </w:tc>
        <w:tc>
          <w:tcPr>
            <w:tcW w:w="0" w:type="auto"/>
            <w:vAlign w:val="center"/>
            <w:hideMark/>
          </w:tcPr>
          <w:p w14:paraId="612D96D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2D01765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082D162C" w14:textId="77777777" w:rsidTr="00E8449B">
        <w:trPr>
          <w:tblCellSpacing w:w="15" w:type="dxa"/>
          <w:jc w:val="center"/>
        </w:trPr>
        <w:tc>
          <w:tcPr>
            <w:tcW w:w="0" w:type="auto"/>
            <w:tcBorders>
              <w:bottom w:val="single" w:sz="4" w:space="0" w:color="auto"/>
            </w:tcBorders>
            <w:vAlign w:val="center"/>
            <w:hideMark/>
          </w:tcPr>
          <w:p w14:paraId="4CE329AC"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tcBorders>
              <w:bottom w:val="single" w:sz="4" w:space="0" w:color="auto"/>
            </w:tcBorders>
            <w:vAlign w:val="center"/>
            <w:hideMark/>
          </w:tcPr>
          <w:p w14:paraId="41C27AD5"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USA</w:t>
            </w:r>
          </w:p>
        </w:tc>
        <w:tc>
          <w:tcPr>
            <w:tcW w:w="0" w:type="auto"/>
            <w:tcBorders>
              <w:bottom w:val="single" w:sz="4" w:space="0" w:color="auto"/>
            </w:tcBorders>
            <w:vAlign w:val="center"/>
            <w:hideMark/>
          </w:tcPr>
          <w:p w14:paraId="5CEF24E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80.9</w:t>
            </w:r>
          </w:p>
        </w:tc>
        <w:tc>
          <w:tcPr>
            <w:tcW w:w="0" w:type="auto"/>
            <w:tcBorders>
              <w:bottom w:val="single" w:sz="4" w:space="0" w:color="auto"/>
            </w:tcBorders>
            <w:vAlign w:val="center"/>
            <w:hideMark/>
          </w:tcPr>
          <w:p w14:paraId="5D68995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81.3</w:t>
            </w:r>
          </w:p>
        </w:tc>
        <w:tc>
          <w:tcPr>
            <w:tcW w:w="0" w:type="auto"/>
            <w:tcBorders>
              <w:bottom w:val="single" w:sz="4" w:space="0" w:color="auto"/>
            </w:tcBorders>
            <w:vAlign w:val="center"/>
            <w:hideMark/>
          </w:tcPr>
          <w:p w14:paraId="10CFD1D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79.7</w:t>
            </w:r>
          </w:p>
        </w:tc>
        <w:tc>
          <w:tcPr>
            <w:tcW w:w="0" w:type="auto"/>
            <w:tcBorders>
              <w:bottom w:val="single" w:sz="4" w:space="0" w:color="auto"/>
            </w:tcBorders>
            <w:vAlign w:val="center"/>
            <w:hideMark/>
          </w:tcPr>
          <w:p w14:paraId="0FB1C4C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79.3</w:t>
            </w:r>
          </w:p>
        </w:tc>
        <w:tc>
          <w:tcPr>
            <w:tcW w:w="0" w:type="auto"/>
            <w:tcBorders>
              <w:bottom w:val="single" w:sz="4" w:space="0" w:color="auto"/>
            </w:tcBorders>
            <w:vAlign w:val="center"/>
            <w:hideMark/>
          </w:tcPr>
          <w:p w14:paraId="31D7BFF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80.2</w:t>
            </w:r>
          </w:p>
        </w:tc>
        <w:tc>
          <w:tcPr>
            <w:tcW w:w="0" w:type="auto"/>
            <w:tcBorders>
              <w:bottom w:val="single" w:sz="4" w:space="0" w:color="auto"/>
            </w:tcBorders>
            <w:vAlign w:val="center"/>
            <w:hideMark/>
          </w:tcPr>
          <w:p w14:paraId="3CEB67B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tcBorders>
              <w:bottom w:val="single" w:sz="4" w:space="0" w:color="auto"/>
            </w:tcBorders>
            <w:vAlign w:val="center"/>
            <w:hideMark/>
          </w:tcPr>
          <w:p w14:paraId="2DF728F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-1.5</w:t>
            </w:r>
          </w:p>
        </w:tc>
        <w:tc>
          <w:tcPr>
            <w:tcW w:w="0" w:type="auto"/>
            <w:tcBorders>
              <w:bottom w:val="single" w:sz="4" w:space="0" w:color="auto"/>
            </w:tcBorders>
            <w:vAlign w:val="center"/>
            <w:hideMark/>
          </w:tcPr>
          <w:p w14:paraId="7DEBF9E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c>
          <w:tcPr>
            <w:tcW w:w="0" w:type="auto"/>
            <w:tcBorders>
              <w:bottom w:val="single" w:sz="4" w:space="0" w:color="auto"/>
            </w:tcBorders>
            <w:vAlign w:val="center"/>
            <w:hideMark/>
          </w:tcPr>
          <w:p w14:paraId="60DFE3A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r>
      <w:tr w:rsidR="00E468B9" w:rsidRPr="00564CB4" w14:paraId="6F2E8B49" w14:textId="77777777" w:rsidTr="00E8449B">
        <w:trPr>
          <w:tblCellSpacing w:w="15" w:type="dxa"/>
          <w:jc w:val="center"/>
        </w:trPr>
        <w:tc>
          <w:tcPr>
            <w:tcW w:w="0" w:type="auto"/>
            <w:gridSpan w:val="11"/>
            <w:vAlign w:val="center"/>
            <w:hideMark/>
          </w:tcPr>
          <w:p w14:paraId="44B858AC"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 Life expectancy increase in authors</w:t>
            </w:r>
            <w:r>
              <w:rPr>
                <w:rFonts w:ascii="Times New Roman" w:eastAsia="Times New Roman" w:hAnsi="Times New Roman" w:cs="Times New Roman"/>
                <w:sz w:val="24"/>
                <w:szCs w:val="24"/>
              </w:rPr>
              <w:t>’</w:t>
            </w:r>
            <w:r w:rsidRPr="00564CB4">
              <w:rPr>
                <w:rFonts w:ascii="Times New Roman" w:eastAsia="Times New Roman" w:hAnsi="Times New Roman" w:cs="Times New Roman"/>
                <w:sz w:val="24"/>
                <w:szCs w:val="24"/>
              </w:rPr>
              <w:t xml:space="preserve"> </w:t>
            </w:r>
            <w:proofErr w:type="gramStart"/>
            <w:r w:rsidRPr="00564CB4">
              <w:rPr>
                <w:rFonts w:ascii="Times New Roman" w:eastAsia="Times New Roman" w:hAnsi="Times New Roman" w:cs="Times New Roman"/>
                <w:sz w:val="24"/>
                <w:szCs w:val="24"/>
              </w:rPr>
              <w:t>dataset, but</w:t>
            </w:r>
            <w:proofErr w:type="gramEnd"/>
            <w:r w:rsidRPr="00564CB4">
              <w:rPr>
                <w:rFonts w:ascii="Times New Roman" w:eastAsia="Times New Roman" w:hAnsi="Times New Roman" w:cs="Times New Roman"/>
                <w:sz w:val="24"/>
                <w:szCs w:val="24"/>
              </w:rPr>
              <w:t xml:space="preserve"> decrease in UNWPP.</w:t>
            </w:r>
            <w:r w:rsidRPr="00564CB4">
              <w:rPr>
                <w:rFonts w:ascii="Times New Roman" w:eastAsia="Times New Roman" w:hAnsi="Times New Roman" w:cs="Times New Roman"/>
                <w:sz w:val="24"/>
                <w:szCs w:val="24"/>
              </w:rPr>
              <w:br/>
              <w:t>** Life expectancy decrease in authors</w:t>
            </w:r>
            <w:r>
              <w:rPr>
                <w:rFonts w:ascii="Times New Roman" w:eastAsia="Times New Roman" w:hAnsi="Times New Roman" w:cs="Times New Roman"/>
                <w:sz w:val="24"/>
                <w:szCs w:val="24"/>
              </w:rPr>
              <w:t>’</w:t>
            </w:r>
            <w:r w:rsidRPr="00564CB4">
              <w:rPr>
                <w:rFonts w:ascii="Times New Roman" w:eastAsia="Times New Roman" w:hAnsi="Times New Roman" w:cs="Times New Roman"/>
                <w:sz w:val="24"/>
                <w:szCs w:val="24"/>
              </w:rPr>
              <w:t xml:space="preserve"> dataset, but increase in UNWPP.</w:t>
            </w:r>
          </w:p>
        </w:tc>
      </w:tr>
    </w:tbl>
    <w:p w14:paraId="67A25053" w14:textId="77777777" w:rsidR="00E468B9" w:rsidRDefault="00E468B9" w:rsidP="00252023">
      <w:pPr>
        <w:spacing w:line="480" w:lineRule="auto"/>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br w:type="page"/>
      </w:r>
    </w:p>
    <w:p w14:paraId="1BA189F1" w14:textId="3C6ABF43" w:rsidR="00E468B9" w:rsidRDefault="00E468B9" w:rsidP="008C729E">
      <w:pPr>
        <w:spacing w:line="240" w:lineRule="auto"/>
        <w:rPr>
          <w:rFonts w:ascii="Times New Roman" w:hAnsi="Times New Roman" w:cs="Times New Roman"/>
          <w:color w:val="000000"/>
          <w:sz w:val="24"/>
          <w:szCs w:val="24"/>
          <w:lang w:eastAsia="en-GB"/>
        </w:rPr>
      </w:pPr>
      <w:r w:rsidRPr="00056B5F">
        <w:rPr>
          <w:rFonts w:ascii="Times New Roman" w:hAnsi="Times New Roman" w:cs="Times New Roman"/>
          <w:b/>
          <w:color w:val="000000"/>
          <w:sz w:val="24"/>
          <w:szCs w:val="24"/>
          <w:lang w:eastAsia="en-GB"/>
        </w:rPr>
        <w:lastRenderedPageBreak/>
        <w:t xml:space="preserve">Table </w:t>
      </w:r>
      <w:r w:rsidR="009309BD">
        <w:rPr>
          <w:rFonts w:ascii="Times New Roman" w:hAnsi="Times New Roman" w:cs="Times New Roman"/>
          <w:b/>
          <w:color w:val="000000"/>
          <w:sz w:val="24"/>
          <w:szCs w:val="24"/>
          <w:lang w:eastAsia="en-GB"/>
        </w:rPr>
        <w:t>3-</w:t>
      </w:r>
      <w:r>
        <w:rPr>
          <w:rFonts w:ascii="Times New Roman" w:hAnsi="Times New Roman" w:cs="Times New Roman"/>
          <w:b/>
          <w:color w:val="000000"/>
          <w:sz w:val="24"/>
          <w:szCs w:val="24"/>
          <w:lang w:eastAsia="en-GB"/>
        </w:rPr>
        <w:t>2</w:t>
      </w:r>
      <w:r w:rsidRPr="00056B5F">
        <w:rPr>
          <w:rFonts w:ascii="Times New Roman" w:hAnsi="Times New Roman" w:cs="Times New Roman"/>
          <w:b/>
          <w:color w:val="000000"/>
          <w:sz w:val="24"/>
          <w:szCs w:val="24"/>
          <w:lang w:eastAsia="en-GB"/>
        </w:rPr>
        <w:t>.</w:t>
      </w:r>
      <w:r>
        <w:rPr>
          <w:rFonts w:ascii="Times New Roman" w:hAnsi="Times New Roman" w:cs="Times New Roman"/>
          <w:color w:val="000000"/>
          <w:sz w:val="24"/>
          <w:szCs w:val="24"/>
          <w:lang w:eastAsia="en-GB"/>
        </w:rPr>
        <w:t xml:space="preserve"> Male life expectancy at birth and changes in male life expectancy at birth by country, 2015–2022.</w:t>
      </w:r>
    </w:p>
    <w:p w14:paraId="33B7F398" w14:textId="77777777" w:rsidR="008C729E" w:rsidRDefault="008C729E" w:rsidP="008C729E">
      <w:pPr>
        <w:spacing w:line="240" w:lineRule="auto"/>
        <w:rPr>
          <w:rFonts w:ascii="Times New Roman" w:hAnsi="Times New Roman" w:cs="Times New Roman"/>
          <w:color w:val="000000"/>
          <w:sz w:val="24"/>
          <w:szCs w:val="24"/>
          <w:lang w:eastAsia="en-GB"/>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69"/>
        <w:gridCol w:w="1926"/>
        <w:gridCol w:w="540"/>
        <w:gridCol w:w="540"/>
        <w:gridCol w:w="540"/>
        <w:gridCol w:w="540"/>
        <w:gridCol w:w="540"/>
        <w:gridCol w:w="689"/>
        <w:gridCol w:w="688"/>
        <w:gridCol w:w="709"/>
        <w:gridCol w:w="703"/>
      </w:tblGrid>
      <w:tr w:rsidR="00E468B9" w:rsidRPr="00564CB4" w14:paraId="1D9567CE" w14:textId="77777777" w:rsidTr="00E8449B">
        <w:trPr>
          <w:tblHeader/>
          <w:tblCellSpacing w:w="15" w:type="dxa"/>
          <w:jc w:val="center"/>
        </w:trPr>
        <w:tc>
          <w:tcPr>
            <w:tcW w:w="0" w:type="auto"/>
            <w:vAlign w:val="center"/>
            <w:hideMark/>
          </w:tcPr>
          <w:p w14:paraId="1F35AD42"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Sex</w:t>
            </w:r>
            <w:r w:rsidRPr="00564CB4">
              <w:rPr>
                <w:rFonts w:ascii="Times New Roman" w:eastAsia="Times New Roman" w:hAnsi="Times New Roman" w:cs="Times New Roman"/>
                <w:b/>
                <w:bCs/>
                <w:color w:val="000000"/>
                <w:sz w:val="24"/>
                <w:szCs w:val="24"/>
              </w:rPr>
              <w:t xml:space="preserve"> </w:t>
            </w:r>
          </w:p>
        </w:tc>
        <w:tc>
          <w:tcPr>
            <w:tcW w:w="0" w:type="auto"/>
            <w:vAlign w:val="center"/>
            <w:hideMark/>
          </w:tcPr>
          <w:p w14:paraId="6944741F"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Country</w:t>
            </w:r>
            <w:r w:rsidRPr="00564CB4">
              <w:rPr>
                <w:rFonts w:ascii="Times New Roman" w:eastAsia="Times New Roman" w:hAnsi="Times New Roman" w:cs="Times New Roman"/>
                <w:b/>
                <w:bCs/>
                <w:color w:val="000000"/>
                <w:sz w:val="24"/>
                <w:szCs w:val="24"/>
              </w:rPr>
              <w:t xml:space="preserve"> </w:t>
            </w:r>
          </w:p>
        </w:tc>
        <w:tc>
          <w:tcPr>
            <w:tcW w:w="0" w:type="auto"/>
            <w:gridSpan w:val="5"/>
            <w:vAlign w:val="center"/>
            <w:hideMark/>
          </w:tcPr>
          <w:p w14:paraId="0227BD7B"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Life expectancy at birth</w:t>
            </w:r>
            <w:r w:rsidRPr="00564CB4">
              <w:rPr>
                <w:rFonts w:ascii="Times New Roman" w:eastAsia="Times New Roman" w:hAnsi="Times New Roman" w:cs="Times New Roman"/>
                <w:b/>
                <w:bCs/>
                <w:color w:val="000000"/>
                <w:sz w:val="24"/>
                <w:szCs w:val="24"/>
              </w:rPr>
              <w:t xml:space="preserve"> </w:t>
            </w:r>
          </w:p>
        </w:tc>
        <w:tc>
          <w:tcPr>
            <w:tcW w:w="0" w:type="auto"/>
            <w:gridSpan w:val="4"/>
            <w:vAlign w:val="center"/>
            <w:hideMark/>
          </w:tcPr>
          <w:p w14:paraId="499CC098"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Style w:val="gtcolumnspanner2"/>
                <w:rFonts w:ascii="Times New Roman" w:eastAsia="Times New Roman" w:hAnsi="Times New Roman" w:cs="Times New Roman"/>
                <w:b/>
                <w:bCs/>
                <w:color w:val="000000"/>
                <w:sz w:val="24"/>
                <w:szCs w:val="24"/>
              </w:rPr>
              <w:t>Changes in life expectancy</w:t>
            </w:r>
            <w:r w:rsidRPr="00564CB4">
              <w:rPr>
                <w:rFonts w:ascii="Times New Roman" w:eastAsia="Times New Roman" w:hAnsi="Times New Roman" w:cs="Times New Roman"/>
                <w:b/>
                <w:bCs/>
                <w:color w:val="000000"/>
                <w:sz w:val="24"/>
                <w:szCs w:val="24"/>
              </w:rPr>
              <w:t xml:space="preserve"> </w:t>
            </w:r>
          </w:p>
        </w:tc>
      </w:tr>
      <w:tr w:rsidR="00E468B9" w:rsidRPr="00564CB4" w14:paraId="38B18F06" w14:textId="77777777" w:rsidTr="00E8449B">
        <w:trPr>
          <w:tblHeader/>
          <w:tblCellSpacing w:w="15" w:type="dxa"/>
          <w:jc w:val="center"/>
        </w:trPr>
        <w:tc>
          <w:tcPr>
            <w:tcW w:w="0" w:type="auto"/>
            <w:tcBorders>
              <w:bottom w:val="single" w:sz="4" w:space="0" w:color="auto"/>
            </w:tcBorders>
            <w:vAlign w:val="center"/>
            <w:hideMark/>
          </w:tcPr>
          <w:p w14:paraId="07BC197D"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p>
        </w:tc>
        <w:tc>
          <w:tcPr>
            <w:tcW w:w="0" w:type="auto"/>
            <w:tcBorders>
              <w:bottom w:val="single" w:sz="4" w:space="0" w:color="auto"/>
            </w:tcBorders>
            <w:vAlign w:val="center"/>
            <w:hideMark/>
          </w:tcPr>
          <w:p w14:paraId="562A871B" w14:textId="77777777" w:rsidR="00E468B9" w:rsidRPr="00564CB4" w:rsidRDefault="00E468B9" w:rsidP="003B15EA">
            <w:pPr>
              <w:spacing w:line="240" w:lineRule="auto"/>
              <w:jc w:val="center"/>
              <w:rPr>
                <w:rFonts w:ascii="Times New Roman" w:eastAsia="Times New Roman" w:hAnsi="Times New Roman" w:cs="Times New Roman"/>
                <w:sz w:val="24"/>
                <w:szCs w:val="24"/>
              </w:rPr>
            </w:pPr>
          </w:p>
        </w:tc>
        <w:tc>
          <w:tcPr>
            <w:tcW w:w="0" w:type="auto"/>
            <w:tcBorders>
              <w:bottom w:val="single" w:sz="4" w:space="0" w:color="auto"/>
            </w:tcBorders>
            <w:vAlign w:val="center"/>
            <w:hideMark/>
          </w:tcPr>
          <w:p w14:paraId="388E0794"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2015</w:t>
            </w:r>
          </w:p>
        </w:tc>
        <w:tc>
          <w:tcPr>
            <w:tcW w:w="0" w:type="auto"/>
            <w:tcBorders>
              <w:bottom w:val="single" w:sz="4" w:space="0" w:color="auto"/>
            </w:tcBorders>
            <w:vAlign w:val="center"/>
            <w:hideMark/>
          </w:tcPr>
          <w:p w14:paraId="3BC57A67"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2019</w:t>
            </w:r>
          </w:p>
        </w:tc>
        <w:tc>
          <w:tcPr>
            <w:tcW w:w="0" w:type="auto"/>
            <w:tcBorders>
              <w:bottom w:val="single" w:sz="4" w:space="0" w:color="auto"/>
            </w:tcBorders>
            <w:vAlign w:val="center"/>
            <w:hideMark/>
          </w:tcPr>
          <w:p w14:paraId="21F59FC1"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2020</w:t>
            </w:r>
          </w:p>
        </w:tc>
        <w:tc>
          <w:tcPr>
            <w:tcW w:w="0" w:type="auto"/>
            <w:tcBorders>
              <w:bottom w:val="single" w:sz="4" w:space="0" w:color="auto"/>
            </w:tcBorders>
            <w:vAlign w:val="center"/>
            <w:hideMark/>
          </w:tcPr>
          <w:p w14:paraId="66FE7CE3"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2021</w:t>
            </w:r>
          </w:p>
        </w:tc>
        <w:tc>
          <w:tcPr>
            <w:tcW w:w="0" w:type="auto"/>
            <w:tcBorders>
              <w:bottom w:val="single" w:sz="4" w:space="0" w:color="auto"/>
            </w:tcBorders>
            <w:vAlign w:val="center"/>
            <w:hideMark/>
          </w:tcPr>
          <w:p w14:paraId="4C09FF22"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2022</w:t>
            </w:r>
          </w:p>
        </w:tc>
        <w:tc>
          <w:tcPr>
            <w:tcW w:w="0" w:type="auto"/>
            <w:tcBorders>
              <w:bottom w:val="single" w:sz="4" w:space="0" w:color="auto"/>
            </w:tcBorders>
            <w:vAlign w:val="center"/>
            <w:hideMark/>
          </w:tcPr>
          <w:p w14:paraId="368DA00E"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2015–</w:t>
            </w:r>
            <w:r w:rsidRPr="00564CB4">
              <w:rPr>
                <w:rFonts w:ascii="Times New Roman" w:eastAsia="Times New Roman" w:hAnsi="Times New Roman" w:cs="Times New Roman"/>
                <w:b/>
                <w:bCs/>
                <w:color w:val="000000"/>
                <w:sz w:val="24"/>
                <w:szCs w:val="24"/>
              </w:rPr>
              <w:br/>
              <w:t>2019</w:t>
            </w:r>
          </w:p>
        </w:tc>
        <w:tc>
          <w:tcPr>
            <w:tcW w:w="0" w:type="auto"/>
            <w:tcBorders>
              <w:bottom w:val="single" w:sz="4" w:space="0" w:color="auto"/>
            </w:tcBorders>
            <w:vAlign w:val="center"/>
            <w:hideMark/>
          </w:tcPr>
          <w:p w14:paraId="724217B8"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2019–</w:t>
            </w:r>
            <w:r w:rsidRPr="00564CB4">
              <w:rPr>
                <w:rFonts w:ascii="Times New Roman" w:eastAsia="Times New Roman" w:hAnsi="Times New Roman" w:cs="Times New Roman"/>
                <w:b/>
                <w:bCs/>
                <w:color w:val="000000"/>
                <w:sz w:val="24"/>
                <w:szCs w:val="24"/>
              </w:rPr>
              <w:br/>
              <w:t>2020</w:t>
            </w:r>
          </w:p>
        </w:tc>
        <w:tc>
          <w:tcPr>
            <w:tcW w:w="0" w:type="auto"/>
            <w:tcBorders>
              <w:bottom w:val="single" w:sz="4" w:space="0" w:color="auto"/>
            </w:tcBorders>
            <w:vAlign w:val="center"/>
            <w:hideMark/>
          </w:tcPr>
          <w:p w14:paraId="6C94D77E"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2020–</w:t>
            </w:r>
            <w:r w:rsidRPr="00564CB4">
              <w:rPr>
                <w:rFonts w:ascii="Times New Roman" w:eastAsia="Times New Roman" w:hAnsi="Times New Roman" w:cs="Times New Roman"/>
                <w:b/>
                <w:bCs/>
                <w:color w:val="000000"/>
                <w:sz w:val="24"/>
                <w:szCs w:val="24"/>
              </w:rPr>
              <w:br/>
              <w:t>2021</w:t>
            </w:r>
          </w:p>
        </w:tc>
        <w:tc>
          <w:tcPr>
            <w:tcW w:w="0" w:type="auto"/>
            <w:tcBorders>
              <w:bottom w:val="single" w:sz="4" w:space="0" w:color="auto"/>
            </w:tcBorders>
            <w:vAlign w:val="center"/>
            <w:hideMark/>
          </w:tcPr>
          <w:p w14:paraId="251BDB1C" w14:textId="77777777" w:rsidR="00E468B9" w:rsidRPr="00564CB4" w:rsidRDefault="00E468B9" w:rsidP="003B15EA">
            <w:pPr>
              <w:spacing w:line="240" w:lineRule="auto"/>
              <w:jc w:val="center"/>
              <w:rPr>
                <w:rFonts w:ascii="Times New Roman" w:eastAsia="Times New Roman" w:hAnsi="Times New Roman" w:cs="Times New Roman"/>
                <w:b/>
                <w:bCs/>
                <w:color w:val="000000"/>
                <w:sz w:val="24"/>
                <w:szCs w:val="24"/>
              </w:rPr>
            </w:pPr>
            <w:r w:rsidRPr="00564CB4">
              <w:rPr>
                <w:rFonts w:ascii="Times New Roman" w:eastAsia="Times New Roman" w:hAnsi="Times New Roman" w:cs="Times New Roman"/>
                <w:b/>
                <w:bCs/>
                <w:color w:val="000000"/>
                <w:sz w:val="24"/>
                <w:szCs w:val="24"/>
              </w:rPr>
              <w:t>2021–</w:t>
            </w:r>
            <w:r w:rsidRPr="00564CB4">
              <w:rPr>
                <w:rFonts w:ascii="Times New Roman" w:eastAsia="Times New Roman" w:hAnsi="Times New Roman" w:cs="Times New Roman"/>
                <w:b/>
                <w:bCs/>
                <w:color w:val="000000"/>
                <w:sz w:val="24"/>
                <w:szCs w:val="24"/>
              </w:rPr>
              <w:br/>
              <w:t>2022</w:t>
            </w:r>
          </w:p>
        </w:tc>
      </w:tr>
      <w:tr w:rsidR="00E468B9" w:rsidRPr="00564CB4" w14:paraId="30D4305A" w14:textId="77777777" w:rsidTr="00E8449B">
        <w:trPr>
          <w:tblCellSpacing w:w="15" w:type="dxa"/>
          <w:jc w:val="center"/>
        </w:trPr>
        <w:tc>
          <w:tcPr>
            <w:tcW w:w="0" w:type="auto"/>
            <w:tcBorders>
              <w:top w:val="single" w:sz="2" w:space="0" w:color="000000"/>
            </w:tcBorders>
            <w:vAlign w:val="center"/>
            <w:hideMark/>
          </w:tcPr>
          <w:p w14:paraId="0EC8A875"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Male</w:t>
            </w:r>
          </w:p>
        </w:tc>
        <w:tc>
          <w:tcPr>
            <w:tcW w:w="0" w:type="auto"/>
            <w:tcBorders>
              <w:top w:val="single" w:sz="2" w:space="0" w:color="000000"/>
            </w:tcBorders>
            <w:vAlign w:val="center"/>
            <w:hideMark/>
          </w:tcPr>
          <w:p w14:paraId="42F34AB9"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Australia</w:t>
            </w:r>
          </w:p>
        </w:tc>
        <w:tc>
          <w:tcPr>
            <w:tcW w:w="0" w:type="auto"/>
            <w:tcBorders>
              <w:top w:val="single" w:sz="2" w:space="0" w:color="000000"/>
            </w:tcBorders>
            <w:vAlign w:val="center"/>
            <w:hideMark/>
          </w:tcPr>
          <w:p w14:paraId="0A867A3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80.5</w:t>
            </w:r>
          </w:p>
        </w:tc>
        <w:tc>
          <w:tcPr>
            <w:tcW w:w="0" w:type="auto"/>
            <w:tcBorders>
              <w:top w:val="single" w:sz="2" w:space="0" w:color="000000"/>
            </w:tcBorders>
            <w:vAlign w:val="center"/>
            <w:hideMark/>
          </w:tcPr>
          <w:p w14:paraId="640B761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80.9</w:t>
            </w:r>
          </w:p>
        </w:tc>
        <w:tc>
          <w:tcPr>
            <w:tcW w:w="0" w:type="auto"/>
            <w:tcBorders>
              <w:top w:val="single" w:sz="2" w:space="0" w:color="000000"/>
            </w:tcBorders>
            <w:vAlign w:val="center"/>
            <w:hideMark/>
          </w:tcPr>
          <w:p w14:paraId="26BED9C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81.7</w:t>
            </w:r>
          </w:p>
        </w:tc>
        <w:tc>
          <w:tcPr>
            <w:tcW w:w="0" w:type="auto"/>
            <w:tcBorders>
              <w:top w:val="single" w:sz="2" w:space="0" w:color="000000"/>
            </w:tcBorders>
            <w:vAlign w:val="center"/>
            <w:hideMark/>
          </w:tcPr>
          <w:p w14:paraId="02B482D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81.6</w:t>
            </w:r>
          </w:p>
        </w:tc>
        <w:tc>
          <w:tcPr>
            <w:tcW w:w="0" w:type="auto"/>
            <w:tcBorders>
              <w:top w:val="single" w:sz="2" w:space="0" w:color="000000"/>
            </w:tcBorders>
            <w:vAlign w:val="center"/>
            <w:hideMark/>
          </w:tcPr>
          <w:p w14:paraId="620BBDF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80.8</w:t>
            </w:r>
          </w:p>
        </w:tc>
        <w:tc>
          <w:tcPr>
            <w:tcW w:w="0" w:type="auto"/>
            <w:tcBorders>
              <w:top w:val="single" w:sz="2" w:space="0" w:color="000000"/>
            </w:tcBorders>
            <w:vAlign w:val="center"/>
            <w:hideMark/>
          </w:tcPr>
          <w:p w14:paraId="778329A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c>
          <w:tcPr>
            <w:tcW w:w="0" w:type="auto"/>
            <w:tcBorders>
              <w:top w:val="single" w:sz="2" w:space="0" w:color="000000"/>
            </w:tcBorders>
            <w:vAlign w:val="center"/>
            <w:hideMark/>
          </w:tcPr>
          <w:p w14:paraId="7DE2181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tcBorders>
              <w:top w:val="single" w:sz="2" w:space="0" w:color="000000"/>
            </w:tcBorders>
            <w:vAlign w:val="center"/>
            <w:hideMark/>
          </w:tcPr>
          <w:p w14:paraId="65C28F7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tcBorders>
              <w:top w:val="single" w:sz="2" w:space="0" w:color="000000"/>
            </w:tcBorders>
            <w:vAlign w:val="center"/>
            <w:hideMark/>
          </w:tcPr>
          <w:p w14:paraId="74064D6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r>
      <w:tr w:rsidR="00E468B9" w:rsidRPr="00564CB4" w14:paraId="1172F915" w14:textId="77777777" w:rsidTr="00E8449B">
        <w:trPr>
          <w:tblCellSpacing w:w="15" w:type="dxa"/>
          <w:jc w:val="center"/>
        </w:trPr>
        <w:tc>
          <w:tcPr>
            <w:tcW w:w="0" w:type="auto"/>
            <w:vAlign w:val="center"/>
            <w:hideMark/>
          </w:tcPr>
          <w:p w14:paraId="574FAE8E"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6E870D4"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Austria</w:t>
            </w:r>
          </w:p>
        </w:tc>
        <w:tc>
          <w:tcPr>
            <w:tcW w:w="0" w:type="auto"/>
            <w:vAlign w:val="center"/>
            <w:hideMark/>
          </w:tcPr>
          <w:p w14:paraId="3E3D366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78.6</w:t>
            </w:r>
          </w:p>
        </w:tc>
        <w:tc>
          <w:tcPr>
            <w:tcW w:w="0" w:type="auto"/>
            <w:vAlign w:val="center"/>
            <w:hideMark/>
          </w:tcPr>
          <w:p w14:paraId="4D5DE36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79.5</w:t>
            </w:r>
          </w:p>
        </w:tc>
        <w:tc>
          <w:tcPr>
            <w:tcW w:w="0" w:type="auto"/>
            <w:vAlign w:val="center"/>
            <w:hideMark/>
          </w:tcPr>
          <w:p w14:paraId="25E94D7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78.9</w:t>
            </w:r>
          </w:p>
        </w:tc>
        <w:tc>
          <w:tcPr>
            <w:tcW w:w="0" w:type="auto"/>
            <w:vAlign w:val="center"/>
            <w:hideMark/>
          </w:tcPr>
          <w:p w14:paraId="024DBBC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78.8</w:t>
            </w:r>
          </w:p>
        </w:tc>
        <w:tc>
          <w:tcPr>
            <w:tcW w:w="0" w:type="auto"/>
            <w:vAlign w:val="center"/>
            <w:hideMark/>
          </w:tcPr>
          <w:p w14:paraId="7B298A3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03A7964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4F3C105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4E4C5D9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62AFE86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4FDCD0FC" w14:textId="77777777" w:rsidTr="00E8449B">
        <w:trPr>
          <w:tblCellSpacing w:w="15" w:type="dxa"/>
          <w:jc w:val="center"/>
        </w:trPr>
        <w:tc>
          <w:tcPr>
            <w:tcW w:w="0" w:type="auto"/>
            <w:vAlign w:val="center"/>
            <w:hideMark/>
          </w:tcPr>
          <w:p w14:paraId="02CA4950"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56B3BC2"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Brazil</w:t>
            </w:r>
          </w:p>
        </w:tc>
        <w:tc>
          <w:tcPr>
            <w:tcW w:w="0" w:type="auto"/>
            <w:vAlign w:val="center"/>
            <w:hideMark/>
          </w:tcPr>
          <w:p w14:paraId="1DE0561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71.7</w:t>
            </w:r>
          </w:p>
        </w:tc>
        <w:tc>
          <w:tcPr>
            <w:tcW w:w="0" w:type="auto"/>
            <w:vAlign w:val="center"/>
            <w:hideMark/>
          </w:tcPr>
          <w:p w14:paraId="4252E42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72.8</w:t>
            </w:r>
          </w:p>
        </w:tc>
        <w:tc>
          <w:tcPr>
            <w:tcW w:w="0" w:type="auto"/>
            <w:vAlign w:val="center"/>
            <w:hideMark/>
          </w:tcPr>
          <w:p w14:paraId="0107906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71.2</w:t>
            </w:r>
          </w:p>
        </w:tc>
        <w:tc>
          <w:tcPr>
            <w:tcW w:w="0" w:type="auto"/>
            <w:vAlign w:val="center"/>
            <w:hideMark/>
          </w:tcPr>
          <w:p w14:paraId="1A3C5A6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69.4</w:t>
            </w:r>
          </w:p>
        </w:tc>
        <w:tc>
          <w:tcPr>
            <w:tcW w:w="0" w:type="auto"/>
            <w:vAlign w:val="center"/>
            <w:hideMark/>
          </w:tcPr>
          <w:p w14:paraId="1865BD4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121A015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+1.0</w:t>
            </w:r>
          </w:p>
        </w:tc>
        <w:tc>
          <w:tcPr>
            <w:tcW w:w="0" w:type="auto"/>
            <w:vAlign w:val="center"/>
            <w:hideMark/>
          </w:tcPr>
          <w:p w14:paraId="0AB1B0C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-1.6</w:t>
            </w:r>
          </w:p>
        </w:tc>
        <w:tc>
          <w:tcPr>
            <w:tcW w:w="0" w:type="auto"/>
            <w:vAlign w:val="center"/>
            <w:hideMark/>
          </w:tcPr>
          <w:p w14:paraId="5DD74F1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-1.8</w:t>
            </w:r>
          </w:p>
        </w:tc>
        <w:tc>
          <w:tcPr>
            <w:tcW w:w="0" w:type="auto"/>
            <w:vAlign w:val="center"/>
            <w:hideMark/>
          </w:tcPr>
          <w:p w14:paraId="28012B0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0C8A1FB5" w14:textId="77777777" w:rsidTr="00E8449B">
        <w:trPr>
          <w:tblCellSpacing w:w="15" w:type="dxa"/>
          <w:jc w:val="center"/>
        </w:trPr>
        <w:tc>
          <w:tcPr>
            <w:tcW w:w="0" w:type="auto"/>
            <w:vAlign w:val="center"/>
            <w:hideMark/>
          </w:tcPr>
          <w:p w14:paraId="654A2FC8"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6A17FC7F"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Bulgaria</w:t>
            </w:r>
          </w:p>
        </w:tc>
        <w:tc>
          <w:tcPr>
            <w:tcW w:w="0" w:type="auto"/>
            <w:vAlign w:val="center"/>
            <w:hideMark/>
          </w:tcPr>
          <w:p w14:paraId="353E831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71.1</w:t>
            </w:r>
          </w:p>
        </w:tc>
        <w:tc>
          <w:tcPr>
            <w:tcW w:w="0" w:type="auto"/>
            <w:vAlign w:val="center"/>
            <w:hideMark/>
          </w:tcPr>
          <w:p w14:paraId="3A387D0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71.5</w:t>
            </w:r>
          </w:p>
        </w:tc>
        <w:tc>
          <w:tcPr>
            <w:tcW w:w="0" w:type="auto"/>
            <w:vAlign w:val="center"/>
            <w:hideMark/>
          </w:tcPr>
          <w:p w14:paraId="24211D5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69.8</w:t>
            </w:r>
          </w:p>
        </w:tc>
        <w:tc>
          <w:tcPr>
            <w:tcW w:w="0" w:type="auto"/>
            <w:vAlign w:val="center"/>
            <w:hideMark/>
          </w:tcPr>
          <w:p w14:paraId="256F0AA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67.9</w:t>
            </w:r>
          </w:p>
        </w:tc>
        <w:tc>
          <w:tcPr>
            <w:tcW w:w="0" w:type="auto"/>
            <w:vAlign w:val="center"/>
            <w:hideMark/>
          </w:tcPr>
          <w:p w14:paraId="2FF8EBD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7B7D111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0804913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-1.6</w:t>
            </w:r>
          </w:p>
        </w:tc>
        <w:tc>
          <w:tcPr>
            <w:tcW w:w="0" w:type="auto"/>
            <w:vAlign w:val="center"/>
            <w:hideMark/>
          </w:tcPr>
          <w:p w14:paraId="3243D54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-1.9</w:t>
            </w:r>
          </w:p>
        </w:tc>
        <w:tc>
          <w:tcPr>
            <w:tcW w:w="0" w:type="auto"/>
            <w:vAlign w:val="center"/>
            <w:hideMark/>
          </w:tcPr>
          <w:p w14:paraId="6F5AE18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07CF7436" w14:textId="77777777" w:rsidTr="00E8449B">
        <w:trPr>
          <w:tblCellSpacing w:w="15" w:type="dxa"/>
          <w:jc w:val="center"/>
        </w:trPr>
        <w:tc>
          <w:tcPr>
            <w:tcW w:w="0" w:type="auto"/>
            <w:vAlign w:val="center"/>
            <w:hideMark/>
          </w:tcPr>
          <w:p w14:paraId="29EF1063"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3547131"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Canada</w:t>
            </w:r>
          </w:p>
        </w:tc>
        <w:tc>
          <w:tcPr>
            <w:tcW w:w="0" w:type="auto"/>
            <w:vAlign w:val="center"/>
            <w:hideMark/>
          </w:tcPr>
          <w:p w14:paraId="69874CB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80.2</w:t>
            </w:r>
          </w:p>
        </w:tc>
        <w:tc>
          <w:tcPr>
            <w:tcW w:w="0" w:type="auto"/>
            <w:vAlign w:val="center"/>
            <w:hideMark/>
          </w:tcPr>
          <w:p w14:paraId="069752F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80.5</w:t>
            </w:r>
          </w:p>
        </w:tc>
        <w:tc>
          <w:tcPr>
            <w:tcW w:w="0" w:type="auto"/>
            <w:vAlign w:val="center"/>
            <w:hideMark/>
          </w:tcPr>
          <w:p w14:paraId="7655931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79.6</w:t>
            </w:r>
          </w:p>
        </w:tc>
        <w:tc>
          <w:tcPr>
            <w:tcW w:w="0" w:type="auto"/>
            <w:vAlign w:val="center"/>
            <w:hideMark/>
          </w:tcPr>
          <w:p w14:paraId="4BF87AE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79.6</w:t>
            </w:r>
          </w:p>
        </w:tc>
        <w:tc>
          <w:tcPr>
            <w:tcW w:w="0" w:type="auto"/>
            <w:vAlign w:val="center"/>
            <w:hideMark/>
          </w:tcPr>
          <w:p w14:paraId="169097F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79.2</w:t>
            </w:r>
          </w:p>
        </w:tc>
        <w:tc>
          <w:tcPr>
            <w:tcW w:w="0" w:type="auto"/>
            <w:vAlign w:val="center"/>
            <w:hideMark/>
          </w:tcPr>
          <w:p w14:paraId="4422853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7B5E834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73DFEA6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70304B8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r>
      <w:tr w:rsidR="00E468B9" w:rsidRPr="00564CB4" w14:paraId="1C9205B4" w14:textId="77777777" w:rsidTr="00E8449B">
        <w:trPr>
          <w:tblCellSpacing w:w="15" w:type="dxa"/>
          <w:jc w:val="center"/>
        </w:trPr>
        <w:tc>
          <w:tcPr>
            <w:tcW w:w="0" w:type="auto"/>
            <w:vAlign w:val="center"/>
            <w:hideMark/>
          </w:tcPr>
          <w:p w14:paraId="3CA9E534"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CCACE76"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Chile</w:t>
            </w:r>
          </w:p>
        </w:tc>
        <w:tc>
          <w:tcPr>
            <w:tcW w:w="0" w:type="auto"/>
            <w:vAlign w:val="center"/>
            <w:hideMark/>
          </w:tcPr>
          <w:p w14:paraId="6B5F652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78.2</w:t>
            </w:r>
          </w:p>
        </w:tc>
        <w:tc>
          <w:tcPr>
            <w:tcW w:w="0" w:type="auto"/>
            <w:vAlign w:val="center"/>
            <w:hideMark/>
          </w:tcPr>
          <w:p w14:paraId="45B84C4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79.5</w:t>
            </w:r>
          </w:p>
        </w:tc>
        <w:tc>
          <w:tcPr>
            <w:tcW w:w="0" w:type="auto"/>
            <w:vAlign w:val="center"/>
            <w:hideMark/>
          </w:tcPr>
          <w:p w14:paraId="4A541C9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78.0</w:t>
            </w:r>
          </w:p>
        </w:tc>
        <w:tc>
          <w:tcPr>
            <w:tcW w:w="0" w:type="auto"/>
            <w:vAlign w:val="center"/>
            <w:hideMark/>
          </w:tcPr>
          <w:p w14:paraId="17D96E9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77.1</w:t>
            </w:r>
          </w:p>
        </w:tc>
        <w:tc>
          <w:tcPr>
            <w:tcW w:w="0" w:type="auto"/>
            <w:vAlign w:val="center"/>
            <w:hideMark/>
          </w:tcPr>
          <w:p w14:paraId="0B73CD3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7494088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+1.2</w:t>
            </w:r>
          </w:p>
        </w:tc>
        <w:tc>
          <w:tcPr>
            <w:tcW w:w="0" w:type="auto"/>
            <w:vAlign w:val="center"/>
            <w:hideMark/>
          </w:tcPr>
          <w:p w14:paraId="6E17E53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-1.5</w:t>
            </w:r>
          </w:p>
        </w:tc>
        <w:tc>
          <w:tcPr>
            <w:tcW w:w="0" w:type="auto"/>
            <w:vAlign w:val="center"/>
            <w:hideMark/>
          </w:tcPr>
          <w:p w14:paraId="25C0E4B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74131ED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5A5B1515" w14:textId="77777777" w:rsidTr="00E8449B">
        <w:trPr>
          <w:tblCellSpacing w:w="15" w:type="dxa"/>
          <w:jc w:val="center"/>
        </w:trPr>
        <w:tc>
          <w:tcPr>
            <w:tcW w:w="0" w:type="auto"/>
            <w:vAlign w:val="center"/>
            <w:hideMark/>
          </w:tcPr>
          <w:p w14:paraId="28F192D9"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69B5B1C"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Croatia</w:t>
            </w:r>
          </w:p>
        </w:tc>
        <w:tc>
          <w:tcPr>
            <w:tcW w:w="0" w:type="auto"/>
            <w:vAlign w:val="center"/>
            <w:hideMark/>
          </w:tcPr>
          <w:p w14:paraId="2103179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74.1</w:t>
            </w:r>
          </w:p>
        </w:tc>
        <w:tc>
          <w:tcPr>
            <w:tcW w:w="0" w:type="auto"/>
            <w:vAlign w:val="center"/>
            <w:hideMark/>
          </w:tcPr>
          <w:p w14:paraId="0EABD9B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75.0</w:t>
            </w:r>
          </w:p>
        </w:tc>
        <w:tc>
          <w:tcPr>
            <w:tcW w:w="0" w:type="auto"/>
            <w:vAlign w:val="center"/>
            <w:hideMark/>
          </w:tcPr>
          <w:p w14:paraId="71CBF24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74.3</w:t>
            </w:r>
          </w:p>
        </w:tc>
        <w:tc>
          <w:tcPr>
            <w:tcW w:w="0" w:type="auto"/>
            <w:vAlign w:val="center"/>
            <w:hideMark/>
          </w:tcPr>
          <w:p w14:paraId="3819B15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73.4</w:t>
            </w:r>
          </w:p>
        </w:tc>
        <w:tc>
          <w:tcPr>
            <w:tcW w:w="0" w:type="auto"/>
            <w:vAlign w:val="center"/>
            <w:hideMark/>
          </w:tcPr>
          <w:p w14:paraId="4CB4DE5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51C1E4D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1674683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0ACEDF9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3D64AD5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64CC4F5A" w14:textId="77777777" w:rsidTr="00E8449B">
        <w:trPr>
          <w:tblCellSpacing w:w="15" w:type="dxa"/>
          <w:jc w:val="center"/>
        </w:trPr>
        <w:tc>
          <w:tcPr>
            <w:tcW w:w="0" w:type="auto"/>
            <w:vAlign w:val="center"/>
            <w:hideMark/>
          </w:tcPr>
          <w:p w14:paraId="7344BA17"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EA4010A"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Czechia</w:t>
            </w:r>
          </w:p>
        </w:tc>
        <w:tc>
          <w:tcPr>
            <w:tcW w:w="0" w:type="auto"/>
            <w:vAlign w:val="center"/>
            <w:hideMark/>
          </w:tcPr>
          <w:p w14:paraId="64C899B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75.5</w:t>
            </w:r>
          </w:p>
        </w:tc>
        <w:tc>
          <w:tcPr>
            <w:tcW w:w="0" w:type="auto"/>
            <w:vAlign w:val="center"/>
            <w:hideMark/>
          </w:tcPr>
          <w:p w14:paraId="7EBD434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76.2</w:t>
            </w:r>
          </w:p>
        </w:tc>
        <w:tc>
          <w:tcPr>
            <w:tcW w:w="0" w:type="auto"/>
            <w:vAlign w:val="center"/>
            <w:hideMark/>
          </w:tcPr>
          <w:p w14:paraId="3DCB50D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75.1</w:t>
            </w:r>
          </w:p>
        </w:tc>
        <w:tc>
          <w:tcPr>
            <w:tcW w:w="0" w:type="auto"/>
            <w:vAlign w:val="center"/>
            <w:hideMark/>
          </w:tcPr>
          <w:p w14:paraId="3BEA062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74.0</w:t>
            </w:r>
          </w:p>
        </w:tc>
        <w:tc>
          <w:tcPr>
            <w:tcW w:w="0" w:type="auto"/>
            <w:vAlign w:val="center"/>
            <w:hideMark/>
          </w:tcPr>
          <w:p w14:paraId="1BFBC8A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254DCCD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34B83EF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-1.1</w:t>
            </w:r>
          </w:p>
        </w:tc>
        <w:tc>
          <w:tcPr>
            <w:tcW w:w="0" w:type="auto"/>
            <w:vAlign w:val="center"/>
            <w:hideMark/>
          </w:tcPr>
          <w:p w14:paraId="1B53F13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-1.1</w:t>
            </w:r>
          </w:p>
        </w:tc>
        <w:tc>
          <w:tcPr>
            <w:tcW w:w="0" w:type="auto"/>
            <w:vAlign w:val="center"/>
            <w:hideMark/>
          </w:tcPr>
          <w:p w14:paraId="7E5A2F0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41DB6899" w14:textId="77777777" w:rsidTr="00E8449B">
        <w:trPr>
          <w:tblCellSpacing w:w="15" w:type="dxa"/>
          <w:jc w:val="center"/>
        </w:trPr>
        <w:tc>
          <w:tcPr>
            <w:tcW w:w="0" w:type="auto"/>
            <w:vAlign w:val="center"/>
            <w:hideMark/>
          </w:tcPr>
          <w:p w14:paraId="0D0D281C"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4CC869AD"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Denmark</w:t>
            </w:r>
          </w:p>
        </w:tc>
        <w:tc>
          <w:tcPr>
            <w:tcW w:w="0" w:type="auto"/>
            <w:vAlign w:val="center"/>
            <w:hideMark/>
          </w:tcPr>
          <w:p w14:paraId="3F8AF1D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78.8</w:t>
            </w:r>
          </w:p>
        </w:tc>
        <w:tc>
          <w:tcPr>
            <w:tcW w:w="0" w:type="auto"/>
            <w:vAlign w:val="center"/>
            <w:hideMark/>
          </w:tcPr>
          <w:p w14:paraId="506C460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79.5</w:t>
            </w:r>
          </w:p>
        </w:tc>
        <w:tc>
          <w:tcPr>
            <w:tcW w:w="0" w:type="auto"/>
            <w:vAlign w:val="center"/>
            <w:hideMark/>
          </w:tcPr>
          <w:p w14:paraId="64C6751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79.6</w:t>
            </w:r>
          </w:p>
        </w:tc>
        <w:tc>
          <w:tcPr>
            <w:tcW w:w="0" w:type="auto"/>
            <w:vAlign w:val="center"/>
            <w:hideMark/>
          </w:tcPr>
          <w:p w14:paraId="2C8706A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80.3</w:t>
            </w:r>
          </w:p>
        </w:tc>
        <w:tc>
          <w:tcPr>
            <w:tcW w:w="0" w:type="auto"/>
            <w:vAlign w:val="center"/>
            <w:hideMark/>
          </w:tcPr>
          <w:p w14:paraId="531785A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486ED54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5EF8991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0216368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2937198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0AE849D7" w14:textId="77777777" w:rsidTr="00E8449B">
        <w:trPr>
          <w:tblCellSpacing w:w="15" w:type="dxa"/>
          <w:jc w:val="center"/>
        </w:trPr>
        <w:tc>
          <w:tcPr>
            <w:tcW w:w="0" w:type="auto"/>
            <w:vAlign w:val="center"/>
            <w:hideMark/>
          </w:tcPr>
          <w:p w14:paraId="19489F89"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121CF81B"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England and Wales</w:t>
            </w:r>
          </w:p>
        </w:tc>
        <w:tc>
          <w:tcPr>
            <w:tcW w:w="0" w:type="auto"/>
            <w:vAlign w:val="center"/>
            <w:hideMark/>
          </w:tcPr>
          <w:p w14:paraId="7C66D32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79.4</w:t>
            </w:r>
          </w:p>
        </w:tc>
        <w:tc>
          <w:tcPr>
            <w:tcW w:w="0" w:type="auto"/>
            <w:vAlign w:val="center"/>
            <w:hideMark/>
          </w:tcPr>
          <w:p w14:paraId="0FBFC44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80.0</w:t>
            </w:r>
          </w:p>
        </w:tc>
        <w:tc>
          <w:tcPr>
            <w:tcW w:w="0" w:type="auto"/>
            <w:vAlign w:val="center"/>
            <w:hideMark/>
          </w:tcPr>
          <w:p w14:paraId="4ADABA4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78.6</w:t>
            </w:r>
          </w:p>
        </w:tc>
        <w:tc>
          <w:tcPr>
            <w:tcW w:w="0" w:type="auto"/>
            <w:vAlign w:val="center"/>
            <w:hideMark/>
          </w:tcPr>
          <w:p w14:paraId="44291CB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78.9</w:t>
            </w:r>
          </w:p>
        </w:tc>
        <w:tc>
          <w:tcPr>
            <w:tcW w:w="0" w:type="auto"/>
            <w:vAlign w:val="center"/>
            <w:hideMark/>
          </w:tcPr>
          <w:p w14:paraId="784094E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79.5</w:t>
            </w:r>
          </w:p>
        </w:tc>
        <w:tc>
          <w:tcPr>
            <w:tcW w:w="0" w:type="auto"/>
            <w:vAlign w:val="center"/>
            <w:hideMark/>
          </w:tcPr>
          <w:p w14:paraId="609CCFE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7AE1ED3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-1.4</w:t>
            </w:r>
          </w:p>
        </w:tc>
        <w:tc>
          <w:tcPr>
            <w:tcW w:w="0" w:type="auto"/>
            <w:vAlign w:val="center"/>
            <w:hideMark/>
          </w:tcPr>
          <w:p w14:paraId="4857798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5EDE22C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r>
      <w:tr w:rsidR="00E468B9" w:rsidRPr="00564CB4" w14:paraId="46027C71" w14:textId="77777777" w:rsidTr="00E8449B">
        <w:trPr>
          <w:tblCellSpacing w:w="15" w:type="dxa"/>
          <w:jc w:val="center"/>
        </w:trPr>
        <w:tc>
          <w:tcPr>
            <w:tcW w:w="0" w:type="auto"/>
            <w:vAlign w:val="center"/>
            <w:hideMark/>
          </w:tcPr>
          <w:p w14:paraId="0C657D06"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C7A0056"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Hungary</w:t>
            </w:r>
          </w:p>
        </w:tc>
        <w:tc>
          <w:tcPr>
            <w:tcW w:w="0" w:type="auto"/>
            <w:vAlign w:val="center"/>
            <w:hideMark/>
          </w:tcPr>
          <w:p w14:paraId="5F6B9CB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72.1</w:t>
            </w:r>
          </w:p>
        </w:tc>
        <w:tc>
          <w:tcPr>
            <w:tcW w:w="0" w:type="auto"/>
            <w:vAlign w:val="center"/>
            <w:hideMark/>
          </w:tcPr>
          <w:p w14:paraId="3E67D82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73.0</w:t>
            </w:r>
          </w:p>
        </w:tc>
        <w:tc>
          <w:tcPr>
            <w:tcW w:w="0" w:type="auto"/>
            <w:vAlign w:val="center"/>
            <w:hideMark/>
          </w:tcPr>
          <w:p w14:paraId="30DCD29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72.2</w:t>
            </w:r>
          </w:p>
        </w:tc>
        <w:tc>
          <w:tcPr>
            <w:tcW w:w="0" w:type="auto"/>
            <w:vAlign w:val="center"/>
            <w:hideMark/>
          </w:tcPr>
          <w:p w14:paraId="2287FD6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70.7</w:t>
            </w:r>
          </w:p>
        </w:tc>
        <w:tc>
          <w:tcPr>
            <w:tcW w:w="0" w:type="auto"/>
            <w:vAlign w:val="center"/>
            <w:hideMark/>
          </w:tcPr>
          <w:p w14:paraId="5611B06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72.6</w:t>
            </w:r>
          </w:p>
        </w:tc>
        <w:tc>
          <w:tcPr>
            <w:tcW w:w="0" w:type="auto"/>
            <w:vAlign w:val="center"/>
            <w:hideMark/>
          </w:tcPr>
          <w:p w14:paraId="7FAA85D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4BDE4C9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2A2C5C6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-1.5</w:t>
            </w:r>
          </w:p>
        </w:tc>
        <w:tc>
          <w:tcPr>
            <w:tcW w:w="0" w:type="auto"/>
            <w:vAlign w:val="center"/>
            <w:hideMark/>
          </w:tcPr>
          <w:p w14:paraId="02E27DD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+1.9</w:t>
            </w:r>
          </w:p>
        </w:tc>
      </w:tr>
      <w:tr w:rsidR="00E468B9" w:rsidRPr="00564CB4" w14:paraId="3CE50C67" w14:textId="77777777" w:rsidTr="00E8449B">
        <w:trPr>
          <w:tblCellSpacing w:w="15" w:type="dxa"/>
          <w:jc w:val="center"/>
        </w:trPr>
        <w:tc>
          <w:tcPr>
            <w:tcW w:w="0" w:type="auto"/>
            <w:vAlign w:val="center"/>
            <w:hideMark/>
          </w:tcPr>
          <w:p w14:paraId="686CE500"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49A1BB3"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Japan</w:t>
            </w:r>
          </w:p>
        </w:tc>
        <w:tc>
          <w:tcPr>
            <w:tcW w:w="0" w:type="auto"/>
            <w:vAlign w:val="center"/>
            <w:hideMark/>
          </w:tcPr>
          <w:p w14:paraId="17256EA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81.0</w:t>
            </w:r>
          </w:p>
        </w:tc>
        <w:tc>
          <w:tcPr>
            <w:tcW w:w="0" w:type="auto"/>
            <w:vAlign w:val="center"/>
            <w:hideMark/>
          </w:tcPr>
          <w:p w14:paraId="1213DC1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81.7</w:t>
            </w:r>
          </w:p>
        </w:tc>
        <w:tc>
          <w:tcPr>
            <w:tcW w:w="0" w:type="auto"/>
            <w:vAlign w:val="center"/>
            <w:hideMark/>
          </w:tcPr>
          <w:p w14:paraId="1EEEE76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81.9</w:t>
            </w:r>
          </w:p>
        </w:tc>
        <w:tc>
          <w:tcPr>
            <w:tcW w:w="0" w:type="auto"/>
            <w:vAlign w:val="center"/>
            <w:hideMark/>
          </w:tcPr>
          <w:p w14:paraId="4E30F34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81.8</w:t>
            </w:r>
          </w:p>
        </w:tc>
        <w:tc>
          <w:tcPr>
            <w:tcW w:w="0" w:type="auto"/>
            <w:vAlign w:val="center"/>
            <w:hideMark/>
          </w:tcPr>
          <w:p w14:paraId="46F0AFF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1A9CA9F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073265B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+0.2</w:t>
            </w:r>
          </w:p>
        </w:tc>
        <w:tc>
          <w:tcPr>
            <w:tcW w:w="0" w:type="auto"/>
            <w:vAlign w:val="center"/>
            <w:hideMark/>
          </w:tcPr>
          <w:p w14:paraId="3375F62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c>
          <w:tcPr>
            <w:tcW w:w="0" w:type="auto"/>
            <w:vAlign w:val="center"/>
            <w:hideMark/>
          </w:tcPr>
          <w:p w14:paraId="4F70FE9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36335F4C" w14:textId="77777777" w:rsidTr="00E8449B">
        <w:trPr>
          <w:tblCellSpacing w:w="15" w:type="dxa"/>
          <w:jc w:val="center"/>
        </w:trPr>
        <w:tc>
          <w:tcPr>
            <w:tcW w:w="0" w:type="auto"/>
            <w:vAlign w:val="center"/>
            <w:hideMark/>
          </w:tcPr>
          <w:p w14:paraId="3A19A1D0"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04616C9A"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Latvia</w:t>
            </w:r>
          </w:p>
        </w:tc>
        <w:tc>
          <w:tcPr>
            <w:tcW w:w="0" w:type="auto"/>
            <w:vAlign w:val="center"/>
            <w:hideMark/>
          </w:tcPr>
          <w:p w14:paraId="289000B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69.9</w:t>
            </w:r>
          </w:p>
        </w:tc>
        <w:tc>
          <w:tcPr>
            <w:tcW w:w="0" w:type="auto"/>
            <w:vAlign w:val="center"/>
            <w:hideMark/>
          </w:tcPr>
          <w:p w14:paraId="37789C9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71.1</w:t>
            </w:r>
          </w:p>
        </w:tc>
        <w:tc>
          <w:tcPr>
            <w:tcW w:w="0" w:type="auto"/>
            <w:vAlign w:val="center"/>
            <w:hideMark/>
          </w:tcPr>
          <w:p w14:paraId="291B149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70.8</w:t>
            </w:r>
          </w:p>
        </w:tc>
        <w:tc>
          <w:tcPr>
            <w:tcW w:w="0" w:type="auto"/>
            <w:vAlign w:val="center"/>
            <w:hideMark/>
          </w:tcPr>
          <w:p w14:paraId="0EF2656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68.5</w:t>
            </w:r>
          </w:p>
        </w:tc>
        <w:tc>
          <w:tcPr>
            <w:tcW w:w="0" w:type="auto"/>
            <w:vAlign w:val="center"/>
            <w:hideMark/>
          </w:tcPr>
          <w:p w14:paraId="0429449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3E39075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+1.2</w:t>
            </w:r>
          </w:p>
        </w:tc>
        <w:tc>
          <w:tcPr>
            <w:tcW w:w="0" w:type="auto"/>
            <w:vAlign w:val="center"/>
            <w:hideMark/>
          </w:tcPr>
          <w:p w14:paraId="2CDC183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129A780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-2.3</w:t>
            </w:r>
          </w:p>
        </w:tc>
        <w:tc>
          <w:tcPr>
            <w:tcW w:w="0" w:type="auto"/>
            <w:vAlign w:val="center"/>
            <w:hideMark/>
          </w:tcPr>
          <w:p w14:paraId="4AFBBAA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6B8CDD6B" w14:textId="77777777" w:rsidTr="00E8449B">
        <w:trPr>
          <w:tblCellSpacing w:w="15" w:type="dxa"/>
          <w:jc w:val="center"/>
        </w:trPr>
        <w:tc>
          <w:tcPr>
            <w:tcW w:w="0" w:type="auto"/>
            <w:vAlign w:val="center"/>
            <w:hideMark/>
          </w:tcPr>
          <w:p w14:paraId="6BDBB1E9"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66452689"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Lithuania</w:t>
            </w:r>
          </w:p>
        </w:tc>
        <w:tc>
          <w:tcPr>
            <w:tcW w:w="0" w:type="auto"/>
            <w:vAlign w:val="center"/>
            <w:hideMark/>
          </w:tcPr>
          <w:p w14:paraId="05E44F6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69.1</w:t>
            </w:r>
          </w:p>
        </w:tc>
        <w:tc>
          <w:tcPr>
            <w:tcW w:w="0" w:type="auto"/>
            <w:vAlign w:val="center"/>
            <w:hideMark/>
          </w:tcPr>
          <w:p w14:paraId="22C60E8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71.4</w:t>
            </w:r>
          </w:p>
        </w:tc>
        <w:tc>
          <w:tcPr>
            <w:tcW w:w="0" w:type="auto"/>
            <w:vAlign w:val="center"/>
            <w:hideMark/>
          </w:tcPr>
          <w:p w14:paraId="23277C0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69.9</w:t>
            </w:r>
          </w:p>
        </w:tc>
        <w:tc>
          <w:tcPr>
            <w:tcW w:w="0" w:type="auto"/>
            <w:vAlign w:val="center"/>
            <w:hideMark/>
          </w:tcPr>
          <w:p w14:paraId="3CCCDF9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69.3</w:t>
            </w:r>
          </w:p>
        </w:tc>
        <w:tc>
          <w:tcPr>
            <w:tcW w:w="0" w:type="auto"/>
            <w:vAlign w:val="center"/>
            <w:hideMark/>
          </w:tcPr>
          <w:p w14:paraId="1AABA58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70.9</w:t>
            </w:r>
          </w:p>
        </w:tc>
        <w:tc>
          <w:tcPr>
            <w:tcW w:w="0" w:type="auto"/>
            <w:vAlign w:val="center"/>
            <w:hideMark/>
          </w:tcPr>
          <w:p w14:paraId="45F968C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+2.3</w:t>
            </w:r>
          </w:p>
        </w:tc>
        <w:tc>
          <w:tcPr>
            <w:tcW w:w="0" w:type="auto"/>
            <w:vAlign w:val="center"/>
            <w:hideMark/>
          </w:tcPr>
          <w:p w14:paraId="0C34AFF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-1.5</w:t>
            </w:r>
          </w:p>
        </w:tc>
        <w:tc>
          <w:tcPr>
            <w:tcW w:w="0" w:type="auto"/>
            <w:vAlign w:val="center"/>
            <w:hideMark/>
          </w:tcPr>
          <w:p w14:paraId="5C4FA09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75D0EFC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+1.6</w:t>
            </w:r>
          </w:p>
        </w:tc>
      </w:tr>
      <w:tr w:rsidR="00E468B9" w:rsidRPr="00564CB4" w14:paraId="0D2B9680" w14:textId="77777777" w:rsidTr="00E8449B">
        <w:trPr>
          <w:tblCellSpacing w:w="15" w:type="dxa"/>
          <w:jc w:val="center"/>
        </w:trPr>
        <w:tc>
          <w:tcPr>
            <w:tcW w:w="0" w:type="auto"/>
            <w:vAlign w:val="center"/>
            <w:hideMark/>
          </w:tcPr>
          <w:p w14:paraId="16175094"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177AF73D"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Netherlands</w:t>
            </w:r>
          </w:p>
        </w:tc>
        <w:tc>
          <w:tcPr>
            <w:tcW w:w="0" w:type="auto"/>
            <w:vAlign w:val="center"/>
            <w:hideMark/>
          </w:tcPr>
          <w:p w14:paraId="636B9ED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79.7</w:t>
            </w:r>
          </w:p>
        </w:tc>
        <w:tc>
          <w:tcPr>
            <w:tcW w:w="0" w:type="auto"/>
            <w:vAlign w:val="center"/>
            <w:hideMark/>
          </w:tcPr>
          <w:p w14:paraId="32B9D3C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80.4</w:t>
            </w:r>
          </w:p>
        </w:tc>
        <w:tc>
          <w:tcPr>
            <w:tcW w:w="0" w:type="auto"/>
            <w:vAlign w:val="center"/>
            <w:hideMark/>
          </w:tcPr>
          <w:p w14:paraId="1DFF720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79.6</w:t>
            </w:r>
          </w:p>
        </w:tc>
        <w:tc>
          <w:tcPr>
            <w:tcW w:w="0" w:type="auto"/>
            <w:vAlign w:val="center"/>
            <w:hideMark/>
          </w:tcPr>
          <w:p w14:paraId="6BC681D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79.6</w:t>
            </w:r>
          </w:p>
        </w:tc>
        <w:tc>
          <w:tcPr>
            <w:tcW w:w="0" w:type="auto"/>
            <w:vAlign w:val="center"/>
            <w:hideMark/>
          </w:tcPr>
          <w:p w14:paraId="396FBBE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80.0</w:t>
            </w:r>
          </w:p>
        </w:tc>
        <w:tc>
          <w:tcPr>
            <w:tcW w:w="0" w:type="auto"/>
            <w:vAlign w:val="center"/>
            <w:hideMark/>
          </w:tcPr>
          <w:p w14:paraId="0E8903C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3963E31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480B700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+0.0</w:t>
            </w:r>
          </w:p>
        </w:tc>
        <w:tc>
          <w:tcPr>
            <w:tcW w:w="0" w:type="auto"/>
            <w:vAlign w:val="center"/>
            <w:hideMark/>
          </w:tcPr>
          <w:p w14:paraId="79D5766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+0.4</w:t>
            </w:r>
          </w:p>
        </w:tc>
      </w:tr>
      <w:tr w:rsidR="00E468B9" w:rsidRPr="00564CB4" w14:paraId="3968C1B7" w14:textId="77777777" w:rsidTr="00E8449B">
        <w:trPr>
          <w:tblCellSpacing w:w="15" w:type="dxa"/>
          <w:jc w:val="center"/>
        </w:trPr>
        <w:tc>
          <w:tcPr>
            <w:tcW w:w="0" w:type="auto"/>
            <w:vAlign w:val="center"/>
            <w:hideMark/>
          </w:tcPr>
          <w:p w14:paraId="5C395A94"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1F54D4CE"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Northern Ireland</w:t>
            </w:r>
          </w:p>
        </w:tc>
        <w:tc>
          <w:tcPr>
            <w:tcW w:w="0" w:type="auto"/>
            <w:vAlign w:val="center"/>
            <w:hideMark/>
          </w:tcPr>
          <w:p w14:paraId="1474B20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78.1</w:t>
            </w:r>
          </w:p>
        </w:tc>
        <w:tc>
          <w:tcPr>
            <w:tcW w:w="0" w:type="auto"/>
            <w:vAlign w:val="center"/>
            <w:hideMark/>
          </w:tcPr>
          <w:p w14:paraId="5BDEDCE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79.0</w:t>
            </w:r>
          </w:p>
        </w:tc>
        <w:tc>
          <w:tcPr>
            <w:tcW w:w="0" w:type="auto"/>
            <w:vAlign w:val="center"/>
            <w:hideMark/>
          </w:tcPr>
          <w:p w14:paraId="0FCCAD3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78.1</w:t>
            </w:r>
          </w:p>
        </w:tc>
        <w:tc>
          <w:tcPr>
            <w:tcW w:w="0" w:type="auto"/>
            <w:vAlign w:val="center"/>
            <w:hideMark/>
          </w:tcPr>
          <w:p w14:paraId="3A1E963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78.1</w:t>
            </w:r>
          </w:p>
        </w:tc>
        <w:tc>
          <w:tcPr>
            <w:tcW w:w="0" w:type="auto"/>
            <w:vAlign w:val="center"/>
            <w:hideMark/>
          </w:tcPr>
          <w:p w14:paraId="42747C8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09DA907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20E46F3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768B1F8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+0.0</w:t>
            </w:r>
          </w:p>
        </w:tc>
        <w:tc>
          <w:tcPr>
            <w:tcW w:w="0" w:type="auto"/>
            <w:vAlign w:val="center"/>
            <w:hideMark/>
          </w:tcPr>
          <w:p w14:paraId="5244EDE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697A739A" w14:textId="77777777" w:rsidTr="00E8449B">
        <w:trPr>
          <w:tblCellSpacing w:w="15" w:type="dxa"/>
          <w:jc w:val="center"/>
        </w:trPr>
        <w:tc>
          <w:tcPr>
            <w:tcW w:w="0" w:type="auto"/>
            <w:vAlign w:val="center"/>
            <w:hideMark/>
          </w:tcPr>
          <w:p w14:paraId="02DC65CC"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C39EE31"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Poland</w:t>
            </w:r>
          </w:p>
        </w:tc>
        <w:tc>
          <w:tcPr>
            <w:tcW w:w="0" w:type="auto"/>
            <w:vAlign w:val="center"/>
            <w:hideMark/>
          </w:tcPr>
          <w:p w14:paraId="3573B8A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73.3</w:t>
            </w:r>
          </w:p>
        </w:tc>
        <w:tc>
          <w:tcPr>
            <w:tcW w:w="0" w:type="auto"/>
            <w:vAlign w:val="center"/>
            <w:hideMark/>
          </w:tcPr>
          <w:p w14:paraId="337FA9E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73.9</w:t>
            </w:r>
          </w:p>
        </w:tc>
        <w:tc>
          <w:tcPr>
            <w:tcW w:w="0" w:type="auto"/>
            <w:vAlign w:val="center"/>
            <w:hideMark/>
          </w:tcPr>
          <w:p w14:paraId="43A59E1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72.3</w:t>
            </w:r>
          </w:p>
        </w:tc>
        <w:tc>
          <w:tcPr>
            <w:tcW w:w="0" w:type="auto"/>
            <w:vAlign w:val="center"/>
            <w:hideMark/>
          </w:tcPr>
          <w:p w14:paraId="43AFBC4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71.5</w:t>
            </w:r>
          </w:p>
        </w:tc>
        <w:tc>
          <w:tcPr>
            <w:tcW w:w="0" w:type="auto"/>
            <w:vAlign w:val="center"/>
            <w:hideMark/>
          </w:tcPr>
          <w:p w14:paraId="47D64E9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039231E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+0.6</w:t>
            </w:r>
          </w:p>
        </w:tc>
        <w:tc>
          <w:tcPr>
            <w:tcW w:w="0" w:type="auto"/>
            <w:vAlign w:val="center"/>
            <w:hideMark/>
          </w:tcPr>
          <w:p w14:paraId="1A90469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-1.5</w:t>
            </w:r>
          </w:p>
        </w:tc>
        <w:tc>
          <w:tcPr>
            <w:tcW w:w="0" w:type="auto"/>
            <w:vAlign w:val="center"/>
            <w:hideMark/>
          </w:tcPr>
          <w:p w14:paraId="2BF14ED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6369B61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4A440E7B" w14:textId="77777777" w:rsidTr="00E8449B">
        <w:trPr>
          <w:tblCellSpacing w:w="15" w:type="dxa"/>
          <w:jc w:val="center"/>
        </w:trPr>
        <w:tc>
          <w:tcPr>
            <w:tcW w:w="0" w:type="auto"/>
            <w:vAlign w:val="center"/>
            <w:hideMark/>
          </w:tcPr>
          <w:p w14:paraId="19B1DB73"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573C91F5"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Russia</w:t>
            </w:r>
          </w:p>
        </w:tc>
        <w:tc>
          <w:tcPr>
            <w:tcW w:w="0" w:type="auto"/>
            <w:vAlign w:val="center"/>
            <w:hideMark/>
          </w:tcPr>
          <w:p w14:paraId="49B8534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65.9</w:t>
            </w:r>
          </w:p>
        </w:tc>
        <w:tc>
          <w:tcPr>
            <w:tcW w:w="0" w:type="auto"/>
            <w:vAlign w:val="center"/>
            <w:hideMark/>
          </w:tcPr>
          <w:p w14:paraId="3F5F742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68.3</w:t>
            </w:r>
          </w:p>
        </w:tc>
        <w:tc>
          <w:tcPr>
            <w:tcW w:w="0" w:type="auto"/>
            <w:vAlign w:val="center"/>
            <w:hideMark/>
          </w:tcPr>
          <w:p w14:paraId="4BF7E03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66.6</w:t>
            </w:r>
          </w:p>
        </w:tc>
        <w:tc>
          <w:tcPr>
            <w:tcW w:w="0" w:type="auto"/>
            <w:vAlign w:val="center"/>
            <w:hideMark/>
          </w:tcPr>
          <w:p w14:paraId="7F60CAC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65.6</w:t>
            </w:r>
          </w:p>
        </w:tc>
        <w:tc>
          <w:tcPr>
            <w:tcW w:w="0" w:type="auto"/>
            <w:vAlign w:val="center"/>
            <w:hideMark/>
          </w:tcPr>
          <w:p w14:paraId="3F514F9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2D66954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+2.4</w:t>
            </w:r>
          </w:p>
        </w:tc>
        <w:tc>
          <w:tcPr>
            <w:tcW w:w="0" w:type="auto"/>
            <w:vAlign w:val="center"/>
            <w:hideMark/>
          </w:tcPr>
          <w:p w14:paraId="537A1E6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-1.7</w:t>
            </w:r>
          </w:p>
        </w:tc>
        <w:tc>
          <w:tcPr>
            <w:tcW w:w="0" w:type="auto"/>
            <w:vAlign w:val="center"/>
            <w:hideMark/>
          </w:tcPr>
          <w:p w14:paraId="0EEC820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2244F3A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6FB7AF12" w14:textId="77777777" w:rsidTr="00E8449B">
        <w:trPr>
          <w:tblCellSpacing w:w="15" w:type="dxa"/>
          <w:jc w:val="center"/>
        </w:trPr>
        <w:tc>
          <w:tcPr>
            <w:tcW w:w="0" w:type="auto"/>
            <w:vAlign w:val="center"/>
            <w:hideMark/>
          </w:tcPr>
          <w:p w14:paraId="2FEC6318"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1AA26477"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Scotland</w:t>
            </w:r>
          </w:p>
        </w:tc>
        <w:tc>
          <w:tcPr>
            <w:tcW w:w="0" w:type="auto"/>
            <w:vAlign w:val="center"/>
            <w:hideMark/>
          </w:tcPr>
          <w:p w14:paraId="62F4ED6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76.9</w:t>
            </w:r>
          </w:p>
        </w:tc>
        <w:tc>
          <w:tcPr>
            <w:tcW w:w="0" w:type="auto"/>
            <w:vAlign w:val="center"/>
            <w:hideMark/>
          </w:tcPr>
          <w:p w14:paraId="6944E09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77.2</w:t>
            </w:r>
          </w:p>
        </w:tc>
        <w:tc>
          <w:tcPr>
            <w:tcW w:w="0" w:type="auto"/>
            <w:vAlign w:val="center"/>
            <w:hideMark/>
          </w:tcPr>
          <w:p w14:paraId="1268B59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76.1</w:t>
            </w:r>
          </w:p>
        </w:tc>
        <w:tc>
          <w:tcPr>
            <w:tcW w:w="0" w:type="auto"/>
            <w:vAlign w:val="center"/>
            <w:hideMark/>
          </w:tcPr>
          <w:p w14:paraId="560BD05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76.3</w:t>
            </w:r>
          </w:p>
        </w:tc>
        <w:tc>
          <w:tcPr>
            <w:tcW w:w="0" w:type="auto"/>
            <w:vAlign w:val="center"/>
            <w:hideMark/>
          </w:tcPr>
          <w:p w14:paraId="1E44ECC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553B7CB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+0.3</w:t>
            </w:r>
          </w:p>
        </w:tc>
        <w:tc>
          <w:tcPr>
            <w:tcW w:w="0" w:type="auto"/>
            <w:vAlign w:val="center"/>
            <w:hideMark/>
          </w:tcPr>
          <w:p w14:paraId="662C085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-1.1</w:t>
            </w:r>
          </w:p>
        </w:tc>
        <w:tc>
          <w:tcPr>
            <w:tcW w:w="0" w:type="auto"/>
            <w:vAlign w:val="center"/>
            <w:hideMark/>
          </w:tcPr>
          <w:p w14:paraId="4249C51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+0.2</w:t>
            </w:r>
          </w:p>
        </w:tc>
        <w:tc>
          <w:tcPr>
            <w:tcW w:w="0" w:type="auto"/>
            <w:vAlign w:val="center"/>
            <w:hideMark/>
          </w:tcPr>
          <w:p w14:paraId="231B772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1A824500" w14:textId="77777777" w:rsidTr="00E8449B">
        <w:trPr>
          <w:tblCellSpacing w:w="15" w:type="dxa"/>
          <w:jc w:val="center"/>
        </w:trPr>
        <w:tc>
          <w:tcPr>
            <w:tcW w:w="0" w:type="auto"/>
            <w:vAlign w:val="center"/>
            <w:hideMark/>
          </w:tcPr>
          <w:p w14:paraId="74C42871"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24506E44"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South Korea</w:t>
            </w:r>
          </w:p>
        </w:tc>
        <w:tc>
          <w:tcPr>
            <w:tcW w:w="0" w:type="auto"/>
            <w:vAlign w:val="center"/>
            <w:hideMark/>
          </w:tcPr>
          <w:p w14:paraId="3CA2D9E1"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79.1</w:t>
            </w:r>
          </w:p>
        </w:tc>
        <w:tc>
          <w:tcPr>
            <w:tcW w:w="0" w:type="auto"/>
            <w:vAlign w:val="center"/>
            <w:hideMark/>
          </w:tcPr>
          <w:p w14:paraId="4E8D68E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80.5</w:t>
            </w:r>
          </w:p>
        </w:tc>
        <w:tc>
          <w:tcPr>
            <w:tcW w:w="0" w:type="auto"/>
            <w:vAlign w:val="center"/>
            <w:hideMark/>
          </w:tcPr>
          <w:p w14:paraId="21FE296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80.7</w:t>
            </w:r>
          </w:p>
        </w:tc>
        <w:tc>
          <w:tcPr>
            <w:tcW w:w="0" w:type="auto"/>
            <w:vAlign w:val="center"/>
            <w:hideMark/>
          </w:tcPr>
          <w:p w14:paraId="2E882DB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80.7</w:t>
            </w:r>
          </w:p>
        </w:tc>
        <w:tc>
          <w:tcPr>
            <w:tcW w:w="0" w:type="auto"/>
            <w:vAlign w:val="center"/>
            <w:hideMark/>
          </w:tcPr>
          <w:p w14:paraId="394D92C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7004ADF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+1.4</w:t>
            </w:r>
          </w:p>
        </w:tc>
        <w:tc>
          <w:tcPr>
            <w:tcW w:w="0" w:type="auto"/>
            <w:vAlign w:val="center"/>
            <w:hideMark/>
          </w:tcPr>
          <w:p w14:paraId="7E92B61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+0.2*</w:t>
            </w:r>
          </w:p>
        </w:tc>
        <w:tc>
          <w:tcPr>
            <w:tcW w:w="0" w:type="auto"/>
            <w:vAlign w:val="center"/>
            <w:hideMark/>
          </w:tcPr>
          <w:p w14:paraId="5D61918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+0.0</w:t>
            </w:r>
          </w:p>
        </w:tc>
        <w:tc>
          <w:tcPr>
            <w:tcW w:w="0" w:type="auto"/>
            <w:vAlign w:val="center"/>
            <w:hideMark/>
          </w:tcPr>
          <w:p w14:paraId="031A141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34882E57" w14:textId="77777777" w:rsidTr="00E8449B">
        <w:trPr>
          <w:tblCellSpacing w:w="15" w:type="dxa"/>
          <w:jc w:val="center"/>
        </w:trPr>
        <w:tc>
          <w:tcPr>
            <w:tcW w:w="0" w:type="auto"/>
            <w:vAlign w:val="center"/>
            <w:hideMark/>
          </w:tcPr>
          <w:p w14:paraId="129DC7C7"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4A05DF4E"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Spain</w:t>
            </w:r>
          </w:p>
        </w:tc>
        <w:tc>
          <w:tcPr>
            <w:tcW w:w="0" w:type="auto"/>
            <w:vAlign w:val="center"/>
            <w:hideMark/>
          </w:tcPr>
          <w:p w14:paraId="5E548E2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79.7</w:t>
            </w:r>
          </w:p>
        </w:tc>
        <w:tc>
          <w:tcPr>
            <w:tcW w:w="0" w:type="auto"/>
            <w:vAlign w:val="center"/>
            <w:hideMark/>
          </w:tcPr>
          <w:p w14:paraId="6CDE2756"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80.6</w:t>
            </w:r>
          </w:p>
        </w:tc>
        <w:tc>
          <w:tcPr>
            <w:tcW w:w="0" w:type="auto"/>
            <w:vAlign w:val="center"/>
            <w:hideMark/>
          </w:tcPr>
          <w:p w14:paraId="2197FEC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79.4</w:t>
            </w:r>
          </w:p>
        </w:tc>
        <w:tc>
          <w:tcPr>
            <w:tcW w:w="0" w:type="auto"/>
            <w:vAlign w:val="center"/>
            <w:hideMark/>
          </w:tcPr>
          <w:p w14:paraId="5F16384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80.1</w:t>
            </w:r>
          </w:p>
        </w:tc>
        <w:tc>
          <w:tcPr>
            <w:tcW w:w="0" w:type="auto"/>
            <w:vAlign w:val="center"/>
            <w:hideMark/>
          </w:tcPr>
          <w:p w14:paraId="72795AF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34A3ED3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0FD0C42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-1.2</w:t>
            </w:r>
          </w:p>
        </w:tc>
        <w:tc>
          <w:tcPr>
            <w:tcW w:w="0" w:type="auto"/>
            <w:vAlign w:val="center"/>
            <w:hideMark/>
          </w:tcPr>
          <w:p w14:paraId="5700FBB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5BC520C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0157E2D9" w14:textId="77777777" w:rsidTr="00E8449B">
        <w:trPr>
          <w:tblCellSpacing w:w="15" w:type="dxa"/>
          <w:jc w:val="center"/>
        </w:trPr>
        <w:tc>
          <w:tcPr>
            <w:tcW w:w="0" w:type="auto"/>
            <w:vAlign w:val="center"/>
            <w:hideMark/>
          </w:tcPr>
          <w:p w14:paraId="67669F96"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6705317B"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Sweden</w:t>
            </w:r>
          </w:p>
        </w:tc>
        <w:tc>
          <w:tcPr>
            <w:tcW w:w="0" w:type="auto"/>
            <w:vAlign w:val="center"/>
            <w:hideMark/>
          </w:tcPr>
          <w:p w14:paraId="4D481C6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80.2</w:t>
            </w:r>
          </w:p>
        </w:tc>
        <w:tc>
          <w:tcPr>
            <w:tcW w:w="0" w:type="auto"/>
            <w:vAlign w:val="center"/>
            <w:hideMark/>
          </w:tcPr>
          <w:p w14:paraId="6276FB74"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81.2</w:t>
            </w:r>
          </w:p>
        </w:tc>
        <w:tc>
          <w:tcPr>
            <w:tcW w:w="0" w:type="auto"/>
            <w:vAlign w:val="center"/>
            <w:hideMark/>
          </w:tcPr>
          <w:p w14:paraId="09996F0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80.4</w:t>
            </w:r>
          </w:p>
        </w:tc>
        <w:tc>
          <w:tcPr>
            <w:tcW w:w="0" w:type="auto"/>
            <w:vAlign w:val="center"/>
            <w:hideMark/>
          </w:tcPr>
          <w:p w14:paraId="5E4529D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81.1</w:t>
            </w:r>
          </w:p>
        </w:tc>
        <w:tc>
          <w:tcPr>
            <w:tcW w:w="0" w:type="auto"/>
            <w:vAlign w:val="center"/>
            <w:hideMark/>
          </w:tcPr>
          <w:p w14:paraId="1E64310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81.2</w:t>
            </w:r>
          </w:p>
        </w:tc>
        <w:tc>
          <w:tcPr>
            <w:tcW w:w="0" w:type="auto"/>
            <w:vAlign w:val="center"/>
            <w:hideMark/>
          </w:tcPr>
          <w:p w14:paraId="04BA5575"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7B6D108A"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-0.8</w:t>
            </w:r>
          </w:p>
        </w:tc>
        <w:tc>
          <w:tcPr>
            <w:tcW w:w="0" w:type="auto"/>
            <w:vAlign w:val="center"/>
            <w:hideMark/>
          </w:tcPr>
          <w:p w14:paraId="2220705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5181F319"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+0.1</w:t>
            </w:r>
          </w:p>
        </w:tc>
      </w:tr>
      <w:tr w:rsidR="00E468B9" w:rsidRPr="00564CB4" w14:paraId="6E65D9E7" w14:textId="77777777" w:rsidTr="00E8449B">
        <w:trPr>
          <w:tblCellSpacing w:w="15" w:type="dxa"/>
          <w:jc w:val="center"/>
        </w:trPr>
        <w:tc>
          <w:tcPr>
            <w:tcW w:w="0" w:type="auto"/>
            <w:vAlign w:val="center"/>
            <w:hideMark/>
          </w:tcPr>
          <w:p w14:paraId="23A64D5D"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vAlign w:val="center"/>
            <w:hideMark/>
          </w:tcPr>
          <w:p w14:paraId="3DF2BAE8"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Switzerland</w:t>
            </w:r>
          </w:p>
        </w:tc>
        <w:tc>
          <w:tcPr>
            <w:tcW w:w="0" w:type="auto"/>
            <w:vAlign w:val="center"/>
            <w:hideMark/>
          </w:tcPr>
          <w:p w14:paraId="23F93E9F"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80.6</w:t>
            </w:r>
          </w:p>
        </w:tc>
        <w:tc>
          <w:tcPr>
            <w:tcW w:w="0" w:type="auto"/>
            <w:vAlign w:val="center"/>
            <w:hideMark/>
          </w:tcPr>
          <w:p w14:paraId="2BE41DF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81.9</w:t>
            </w:r>
          </w:p>
        </w:tc>
        <w:tc>
          <w:tcPr>
            <w:tcW w:w="0" w:type="auto"/>
            <w:vAlign w:val="center"/>
            <w:hideMark/>
          </w:tcPr>
          <w:p w14:paraId="695DB1F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80.9</w:t>
            </w:r>
          </w:p>
        </w:tc>
        <w:tc>
          <w:tcPr>
            <w:tcW w:w="0" w:type="auto"/>
            <w:vAlign w:val="center"/>
            <w:hideMark/>
          </w:tcPr>
          <w:p w14:paraId="4A82386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81.6</w:t>
            </w:r>
          </w:p>
        </w:tc>
        <w:tc>
          <w:tcPr>
            <w:tcW w:w="0" w:type="auto"/>
            <w:vAlign w:val="center"/>
            <w:hideMark/>
          </w:tcPr>
          <w:p w14:paraId="00BA0303"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c>
          <w:tcPr>
            <w:tcW w:w="0" w:type="auto"/>
            <w:vAlign w:val="center"/>
            <w:hideMark/>
          </w:tcPr>
          <w:p w14:paraId="7B1243C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+1.2</w:t>
            </w:r>
          </w:p>
        </w:tc>
        <w:tc>
          <w:tcPr>
            <w:tcW w:w="0" w:type="auto"/>
            <w:vAlign w:val="center"/>
            <w:hideMark/>
          </w:tcPr>
          <w:p w14:paraId="06BF4A9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-0.9</w:t>
            </w:r>
          </w:p>
        </w:tc>
        <w:tc>
          <w:tcPr>
            <w:tcW w:w="0" w:type="auto"/>
            <w:vAlign w:val="center"/>
            <w:hideMark/>
          </w:tcPr>
          <w:p w14:paraId="739E5142"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vAlign w:val="center"/>
            <w:hideMark/>
          </w:tcPr>
          <w:p w14:paraId="1BA0443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w:t>
            </w:r>
          </w:p>
        </w:tc>
      </w:tr>
      <w:tr w:rsidR="00E468B9" w:rsidRPr="00564CB4" w14:paraId="1DE2CA60" w14:textId="77777777" w:rsidTr="00E8449B">
        <w:trPr>
          <w:tblCellSpacing w:w="15" w:type="dxa"/>
          <w:jc w:val="center"/>
        </w:trPr>
        <w:tc>
          <w:tcPr>
            <w:tcW w:w="0" w:type="auto"/>
            <w:tcBorders>
              <w:bottom w:val="single" w:sz="4" w:space="0" w:color="auto"/>
            </w:tcBorders>
            <w:vAlign w:val="center"/>
            <w:hideMark/>
          </w:tcPr>
          <w:p w14:paraId="546570A6" w14:textId="77777777" w:rsidR="00E468B9" w:rsidRPr="00564CB4" w:rsidRDefault="00E468B9" w:rsidP="003B15EA">
            <w:pPr>
              <w:spacing w:line="240" w:lineRule="auto"/>
              <w:rPr>
                <w:rFonts w:ascii="Times New Roman" w:eastAsia="Times New Roman" w:hAnsi="Times New Roman" w:cs="Times New Roman"/>
                <w:sz w:val="24"/>
                <w:szCs w:val="24"/>
              </w:rPr>
            </w:pPr>
          </w:p>
        </w:tc>
        <w:tc>
          <w:tcPr>
            <w:tcW w:w="0" w:type="auto"/>
            <w:tcBorders>
              <w:bottom w:val="single" w:sz="4" w:space="0" w:color="auto"/>
            </w:tcBorders>
            <w:vAlign w:val="center"/>
            <w:hideMark/>
          </w:tcPr>
          <w:p w14:paraId="529F625A"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USA</w:t>
            </w:r>
          </w:p>
        </w:tc>
        <w:tc>
          <w:tcPr>
            <w:tcW w:w="0" w:type="auto"/>
            <w:tcBorders>
              <w:bottom w:val="single" w:sz="4" w:space="0" w:color="auto"/>
            </w:tcBorders>
            <w:vAlign w:val="center"/>
            <w:hideMark/>
          </w:tcPr>
          <w:p w14:paraId="478CEC9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76.5</w:t>
            </w:r>
          </w:p>
        </w:tc>
        <w:tc>
          <w:tcPr>
            <w:tcW w:w="0" w:type="auto"/>
            <w:tcBorders>
              <w:bottom w:val="single" w:sz="4" w:space="0" w:color="auto"/>
            </w:tcBorders>
            <w:vAlign w:val="center"/>
            <w:hideMark/>
          </w:tcPr>
          <w:p w14:paraId="045C304D"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76.7</w:t>
            </w:r>
          </w:p>
        </w:tc>
        <w:tc>
          <w:tcPr>
            <w:tcW w:w="0" w:type="auto"/>
            <w:tcBorders>
              <w:bottom w:val="single" w:sz="4" w:space="0" w:color="auto"/>
            </w:tcBorders>
            <w:vAlign w:val="center"/>
            <w:hideMark/>
          </w:tcPr>
          <w:p w14:paraId="5FB5A13C"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74.6</w:t>
            </w:r>
          </w:p>
        </w:tc>
        <w:tc>
          <w:tcPr>
            <w:tcW w:w="0" w:type="auto"/>
            <w:tcBorders>
              <w:bottom w:val="single" w:sz="4" w:space="0" w:color="auto"/>
            </w:tcBorders>
            <w:vAlign w:val="center"/>
            <w:hideMark/>
          </w:tcPr>
          <w:p w14:paraId="55F75B87"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74.0</w:t>
            </w:r>
          </w:p>
        </w:tc>
        <w:tc>
          <w:tcPr>
            <w:tcW w:w="0" w:type="auto"/>
            <w:tcBorders>
              <w:bottom w:val="single" w:sz="4" w:space="0" w:color="auto"/>
            </w:tcBorders>
            <w:vAlign w:val="center"/>
            <w:hideMark/>
          </w:tcPr>
          <w:p w14:paraId="0D7F36F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75.2</w:t>
            </w:r>
          </w:p>
        </w:tc>
        <w:tc>
          <w:tcPr>
            <w:tcW w:w="0" w:type="auto"/>
            <w:tcBorders>
              <w:bottom w:val="single" w:sz="4" w:space="0" w:color="auto"/>
            </w:tcBorders>
            <w:vAlign w:val="center"/>
            <w:hideMark/>
          </w:tcPr>
          <w:p w14:paraId="646D65CB"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+0.2</w:t>
            </w:r>
          </w:p>
        </w:tc>
        <w:tc>
          <w:tcPr>
            <w:tcW w:w="0" w:type="auto"/>
            <w:tcBorders>
              <w:bottom w:val="single" w:sz="4" w:space="0" w:color="auto"/>
            </w:tcBorders>
            <w:vAlign w:val="center"/>
            <w:hideMark/>
          </w:tcPr>
          <w:p w14:paraId="53E70D70"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-2.1</w:t>
            </w:r>
          </w:p>
        </w:tc>
        <w:tc>
          <w:tcPr>
            <w:tcW w:w="0" w:type="auto"/>
            <w:tcBorders>
              <w:bottom w:val="single" w:sz="4" w:space="0" w:color="auto"/>
            </w:tcBorders>
            <w:vAlign w:val="center"/>
            <w:hideMark/>
          </w:tcPr>
          <w:p w14:paraId="61FB62B8"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-0.7</w:t>
            </w:r>
          </w:p>
        </w:tc>
        <w:tc>
          <w:tcPr>
            <w:tcW w:w="0" w:type="auto"/>
            <w:tcBorders>
              <w:bottom w:val="single" w:sz="4" w:space="0" w:color="auto"/>
            </w:tcBorders>
            <w:vAlign w:val="center"/>
            <w:hideMark/>
          </w:tcPr>
          <w:p w14:paraId="04070F4E" w14:textId="77777777" w:rsidR="00E468B9" w:rsidRPr="00564CB4" w:rsidRDefault="00E468B9" w:rsidP="003B15EA">
            <w:pPr>
              <w:spacing w:line="240" w:lineRule="auto"/>
              <w:jc w:val="center"/>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+1.3</w:t>
            </w:r>
          </w:p>
        </w:tc>
      </w:tr>
      <w:tr w:rsidR="00E468B9" w:rsidRPr="00564CB4" w14:paraId="190E1C57" w14:textId="77777777" w:rsidTr="00E8449B">
        <w:trPr>
          <w:tblCellSpacing w:w="15" w:type="dxa"/>
          <w:jc w:val="center"/>
        </w:trPr>
        <w:tc>
          <w:tcPr>
            <w:tcW w:w="0" w:type="auto"/>
            <w:gridSpan w:val="11"/>
            <w:vAlign w:val="center"/>
            <w:hideMark/>
          </w:tcPr>
          <w:p w14:paraId="207A90B4" w14:textId="77777777" w:rsidR="00E468B9" w:rsidRPr="00564CB4" w:rsidRDefault="00E468B9" w:rsidP="003B15EA">
            <w:pPr>
              <w:spacing w:line="240" w:lineRule="auto"/>
              <w:rPr>
                <w:rFonts w:ascii="Times New Roman" w:eastAsia="Times New Roman" w:hAnsi="Times New Roman" w:cs="Times New Roman"/>
                <w:sz w:val="24"/>
                <w:szCs w:val="24"/>
              </w:rPr>
            </w:pPr>
            <w:r w:rsidRPr="00564CB4">
              <w:rPr>
                <w:rFonts w:ascii="Times New Roman" w:eastAsia="Times New Roman" w:hAnsi="Times New Roman" w:cs="Times New Roman"/>
                <w:sz w:val="24"/>
                <w:szCs w:val="24"/>
              </w:rPr>
              <w:t>* Life expectancy increase in authors</w:t>
            </w:r>
            <w:r>
              <w:rPr>
                <w:rFonts w:ascii="Times New Roman" w:eastAsia="Times New Roman" w:hAnsi="Times New Roman" w:cs="Times New Roman"/>
                <w:sz w:val="24"/>
                <w:szCs w:val="24"/>
              </w:rPr>
              <w:t>’</w:t>
            </w:r>
            <w:r w:rsidRPr="00564CB4">
              <w:rPr>
                <w:rFonts w:ascii="Times New Roman" w:eastAsia="Times New Roman" w:hAnsi="Times New Roman" w:cs="Times New Roman"/>
                <w:sz w:val="24"/>
                <w:szCs w:val="24"/>
              </w:rPr>
              <w:t xml:space="preserve"> </w:t>
            </w:r>
            <w:proofErr w:type="gramStart"/>
            <w:r w:rsidRPr="00564CB4">
              <w:rPr>
                <w:rFonts w:ascii="Times New Roman" w:eastAsia="Times New Roman" w:hAnsi="Times New Roman" w:cs="Times New Roman"/>
                <w:sz w:val="24"/>
                <w:szCs w:val="24"/>
              </w:rPr>
              <w:t>dataset, but</w:t>
            </w:r>
            <w:proofErr w:type="gramEnd"/>
            <w:r w:rsidRPr="00564CB4">
              <w:rPr>
                <w:rFonts w:ascii="Times New Roman" w:eastAsia="Times New Roman" w:hAnsi="Times New Roman" w:cs="Times New Roman"/>
                <w:sz w:val="24"/>
                <w:szCs w:val="24"/>
              </w:rPr>
              <w:t xml:space="preserve"> decrease in UNWPP.</w:t>
            </w:r>
            <w:r w:rsidRPr="00564CB4">
              <w:rPr>
                <w:rFonts w:ascii="Times New Roman" w:eastAsia="Times New Roman" w:hAnsi="Times New Roman" w:cs="Times New Roman"/>
                <w:sz w:val="24"/>
                <w:szCs w:val="24"/>
              </w:rPr>
              <w:br/>
              <w:t>** Life expectancy decrease in authors</w:t>
            </w:r>
            <w:r>
              <w:rPr>
                <w:rFonts w:ascii="Times New Roman" w:eastAsia="Times New Roman" w:hAnsi="Times New Roman" w:cs="Times New Roman"/>
                <w:sz w:val="24"/>
                <w:szCs w:val="24"/>
              </w:rPr>
              <w:t>’</w:t>
            </w:r>
            <w:r w:rsidRPr="00564CB4">
              <w:rPr>
                <w:rFonts w:ascii="Times New Roman" w:eastAsia="Times New Roman" w:hAnsi="Times New Roman" w:cs="Times New Roman"/>
                <w:sz w:val="24"/>
                <w:szCs w:val="24"/>
              </w:rPr>
              <w:t xml:space="preserve"> dataset, but increase in UNWPP.</w:t>
            </w:r>
          </w:p>
        </w:tc>
      </w:tr>
    </w:tbl>
    <w:p w14:paraId="1C2B1A87" w14:textId="072F00F5" w:rsidR="00647522" w:rsidRPr="00DF39A4" w:rsidRDefault="00647522" w:rsidP="00252023">
      <w:pPr>
        <w:pStyle w:val="NoSpacing"/>
        <w:spacing w:line="480" w:lineRule="auto"/>
        <w:jc w:val="both"/>
        <w:rPr>
          <w:rFonts w:ascii="Times New Roman" w:hAnsi="Times New Roman" w:cs="Times New Roman"/>
          <w:sz w:val="24"/>
          <w:szCs w:val="24"/>
          <w:lang w:val="en-US"/>
        </w:rPr>
      </w:pPr>
    </w:p>
    <w:p w14:paraId="701E68EA" w14:textId="77777777" w:rsidR="00E468B9" w:rsidRDefault="00E468B9" w:rsidP="00252023">
      <w:pPr>
        <w:spacing w:line="480" w:lineRule="auto"/>
        <w:rPr>
          <w:rFonts w:ascii="Times New Roman" w:hAnsi="Times New Roman" w:cs="Times New Roman"/>
          <w:i/>
          <w:iCs/>
          <w:sz w:val="24"/>
          <w:szCs w:val="24"/>
        </w:rPr>
      </w:pPr>
      <w:r>
        <w:rPr>
          <w:rFonts w:ascii="Times New Roman" w:hAnsi="Times New Roman" w:cs="Times New Roman"/>
          <w:i/>
          <w:iCs/>
          <w:sz w:val="24"/>
          <w:szCs w:val="24"/>
        </w:rPr>
        <w:br w:type="page"/>
      </w:r>
    </w:p>
    <w:p w14:paraId="0507E271" w14:textId="2F5FBE29" w:rsidR="0016378E" w:rsidRDefault="0016378E" w:rsidP="00252023">
      <w:pPr>
        <w:pStyle w:val="NoSpacing"/>
        <w:spacing w:line="480" w:lineRule="auto"/>
        <w:jc w:val="both"/>
        <w:rPr>
          <w:rFonts w:ascii="Times New Roman" w:hAnsi="Times New Roman" w:cs="Times New Roman"/>
          <w:i/>
          <w:iCs/>
          <w:sz w:val="24"/>
          <w:szCs w:val="24"/>
          <w:lang w:val="en-US"/>
        </w:rPr>
      </w:pPr>
      <w:r>
        <w:rPr>
          <w:rFonts w:ascii="Times New Roman" w:hAnsi="Times New Roman" w:cs="Times New Roman"/>
          <w:i/>
          <w:iCs/>
          <w:sz w:val="24"/>
          <w:szCs w:val="24"/>
          <w:lang w:val="en-US"/>
        </w:rPr>
        <w:lastRenderedPageBreak/>
        <w:t xml:space="preserve">3.3.2. </w:t>
      </w:r>
      <w:r w:rsidR="0093329F" w:rsidRPr="00DF39A4">
        <w:rPr>
          <w:rFonts w:ascii="Times New Roman" w:hAnsi="Times New Roman" w:cs="Times New Roman"/>
          <w:i/>
          <w:iCs/>
          <w:sz w:val="24"/>
          <w:szCs w:val="24"/>
          <w:lang w:val="en-US"/>
        </w:rPr>
        <w:t xml:space="preserve">Cause-of-death contributions. </w:t>
      </w:r>
    </w:p>
    <w:p w14:paraId="18787656" w14:textId="7F7F9A8A" w:rsidR="0093329F" w:rsidRPr="00DF39A4" w:rsidRDefault="0093329F"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1 shows cause-of-death-specific contributions to changes in female life expectancy in months over the periods 2015–2019, 2019–2020, 2020–2021, and 2021–2022 for each of the 2</w:t>
      </w:r>
      <w:r w:rsidR="00083A7D" w:rsidRPr="00DF39A4">
        <w:rPr>
          <w:rFonts w:ascii="Times New Roman" w:hAnsi="Times New Roman" w:cs="Times New Roman"/>
          <w:iCs/>
          <w:sz w:val="24"/>
          <w:szCs w:val="24"/>
          <w:lang w:val="en-US"/>
        </w:rPr>
        <w:t>4</w:t>
      </w:r>
      <w:r w:rsidRPr="00DF39A4">
        <w:rPr>
          <w:rFonts w:ascii="Times New Roman" w:hAnsi="Times New Roman" w:cs="Times New Roman"/>
          <w:iCs/>
          <w:sz w:val="24"/>
          <w:szCs w:val="24"/>
          <w:lang w:val="en-US"/>
        </w:rPr>
        <w:t xml:space="preserve"> countries. For the period 2015–2019, 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1 shows average annual contributions over the four-year observation window. Contributions for each country–period–cause combination are represented by square tiles, with darker tiles indicating larger negative or positive contributions and lighter tiles representing smaller negative or positive contributions. Negative values indicate that a given cause of death contributed to losses in life expectancy over a given period, whereas positive values indicate life expectancy gains. Gray tiles for a given period indicate </w:t>
      </w:r>
      <w:r w:rsidR="00C942F6">
        <w:rPr>
          <w:rFonts w:ascii="Times New Roman" w:hAnsi="Times New Roman" w:cs="Times New Roman"/>
          <w:iCs/>
          <w:sz w:val="24"/>
          <w:szCs w:val="24"/>
          <w:lang w:val="en-US"/>
        </w:rPr>
        <w:t xml:space="preserve">a </w:t>
      </w:r>
      <w:r w:rsidRPr="00DF39A4">
        <w:rPr>
          <w:rFonts w:ascii="Times New Roman" w:hAnsi="Times New Roman" w:cs="Times New Roman"/>
          <w:iCs/>
          <w:sz w:val="24"/>
          <w:szCs w:val="24"/>
          <w:lang w:val="en-US"/>
        </w:rPr>
        <w:t xml:space="preserve">lack of available cause-of-death information. The countries in 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1 are ordered according to the contribution from deaths coded as COVID-19 to life expectancy changes over the period 2019–2020, the first year of the pandemic. The black dots in 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1 serve as visual guide. The Materials and </w:t>
      </w:r>
      <w:r w:rsidR="00B52FFB">
        <w:rPr>
          <w:rFonts w:ascii="Times New Roman" w:hAnsi="Times New Roman" w:cs="Times New Roman"/>
          <w:iCs/>
          <w:sz w:val="24"/>
          <w:szCs w:val="24"/>
          <w:lang w:val="en-US"/>
        </w:rPr>
        <w:t>m</w:t>
      </w:r>
      <w:r w:rsidRPr="00DF39A4">
        <w:rPr>
          <w:rFonts w:ascii="Times New Roman" w:hAnsi="Times New Roman" w:cs="Times New Roman"/>
          <w:iCs/>
          <w:sz w:val="24"/>
          <w:szCs w:val="24"/>
          <w:lang w:val="en-US"/>
        </w:rPr>
        <w:t>ethods section describes our coding and decomposition procedures in more detail. Additionally, Figure S</w:t>
      </w:r>
      <w:r w:rsidR="00DE49B1">
        <w:rPr>
          <w:rFonts w:ascii="Times New Roman" w:hAnsi="Times New Roman" w:cs="Times New Roman"/>
          <w:iCs/>
          <w:sz w:val="24"/>
          <w:szCs w:val="24"/>
          <w:lang w:val="en-US"/>
        </w:rPr>
        <w:t>7</w:t>
      </w:r>
      <w:r w:rsidRPr="00DF39A4">
        <w:rPr>
          <w:rFonts w:ascii="Times New Roman" w:hAnsi="Times New Roman" w:cs="Times New Roman"/>
          <w:iCs/>
          <w:sz w:val="24"/>
          <w:szCs w:val="24"/>
          <w:lang w:val="en-US"/>
        </w:rPr>
        <w:t xml:space="preserve"> break</w:t>
      </w:r>
      <w:r w:rsidR="003B0EE2">
        <w:rPr>
          <w:rFonts w:ascii="Times New Roman" w:hAnsi="Times New Roman" w:cs="Times New Roman"/>
          <w:iCs/>
          <w:sz w:val="24"/>
          <w:szCs w:val="24"/>
          <w:lang w:val="en-US"/>
        </w:rPr>
        <w:t>s</w:t>
      </w:r>
      <w:r w:rsidRPr="00DF39A4">
        <w:rPr>
          <w:rFonts w:ascii="Times New Roman" w:hAnsi="Times New Roman" w:cs="Times New Roman"/>
          <w:iCs/>
          <w:sz w:val="24"/>
          <w:szCs w:val="24"/>
          <w:lang w:val="en-US"/>
        </w:rPr>
        <w:t xml:space="preserve"> down the cause-specific contributions by ten-year age groups (0–9, 10–19, ..., 70–79, 80+).</w:t>
      </w:r>
    </w:p>
    <w:p w14:paraId="60608799" w14:textId="77777777" w:rsidR="0093329F" w:rsidRDefault="0093329F" w:rsidP="00252023">
      <w:pPr>
        <w:pStyle w:val="NoSpacing"/>
        <w:spacing w:line="480" w:lineRule="auto"/>
        <w:rPr>
          <w:rFonts w:ascii="Times New Roman" w:hAnsi="Times New Roman" w:cs="Times New Roman"/>
          <w:iCs/>
          <w:sz w:val="24"/>
          <w:szCs w:val="24"/>
          <w:lang w:val="en-US"/>
        </w:rPr>
      </w:pPr>
      <w:r w:rsidRPr="00DF39A4">
        <w:rPr>
          <w:rFonts w:ascii="Times New Roman" w:hAnsi="Times New Roman" w:cs="Times New Roman"/>
          <w:iCs/>
          <w:sz w:val="24"/>
          <w:szCs w:val="24"/>
          <w:lang w:val="en-US"/>
        </w:rPr>
        <w:t> </w:t>
      </w:r>
    </w:p>
    <w:p w14:paraId="1E68FD21" w14:textId="3D72AC1A" w:rsidR="00010359" w:rsidRPr="00DF39A4" w:rsidRDefault="00B13A78" w:rsidP="003B15EA">
      <w:pPr>
        <w:pStyle w:val="NoSpacing"/>
        <w:spacing w:line="480" w:lineRule="auto"/>
        <w:jc w:val="both"/>
        <w:rPr>
          <w:rFonts w:ascii="Times New Roman" w:hAnsi="Times New Roman" w:cs="Times New Roman"/>
          <w:iCs/>
          <w:sz w:val="24"/>
          <w:szCs w:val="24"/>
          <w:lang w:val="en-US"/>
        </w:rPr>
      </w:pPr>
      <w:r>
        <w:rPr>
          <w:noProof/>
        </w:rPr>
        <w:lastRenderedPageBreak/>
        <w:drawing>
          <wp:inline distT="0" distB="0" distL="0" distR="0" wp14:anchorId="7341270D" wp14:editId="0DBF66B6">
            <wp:extent cx="5943600" cy="4523740"/>
            <wp:effectExtent l="0" t="0" r="0" b="0"/>
            <wp:docPr id="32682053" name="Picture 1" descr="A chart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82053" name="Picture 1" descr="A chart of different colored squares&#10;&#10;Description automatically generated"/>
                    <pic:cNvPicPr/>
                  </pic:nvPicPr>
                  <pic:blipFill>
                    <a:blip r:embed="rId11"/>
                    <a:stretch>
                      <a:fillRect/>
                    </a:stretch>
                  </pic:blipFill>
                  <pic:spPr>
                    <a:xfrm>
                      <a:off x="0" y="0"/>
                      <a:ext cx="5943600" cy="4523740"/>
                    </a:xfrm>
                    <a:prstGeom prst="rect">
                      <a:avLst/>
                    </a:prstGeom>
                  </pic:spPr>
                </pic:pic>
              </a:graphicData>
            </a:graphic>
          </wp:inline>
        </w:drawing>
      </w:r>
    </w:p>
    <w:p w14:paraId="5FB31BA0" w14:textId="36A69C59" w:rsidR="00E468B9" w:rsidRPr="00E468B9" w:rsidRDefault="00E468B9" w:rsidP="003B15EA">
      <w:pPr>
        <w:pStyle w:val="NoSpacing"/>
        <w:jc w:val="both"/>
        <w:rPr>
          <w:rFonts w:ascii="Times New Roman" w:hAnsi="Times New Roman" w:cs="Times New Roman"/>
          <w:bCs/>
          <w:sz w:val="24"/>
          <w:szCs w:val="24"/>
        </w:rPr>
      </w:pPr>
      <w:r w:rsidRPr="001D6F81">
        <w:rPr>
          <w:rFonts w:ascii="Times New Roman" w:hAnsi="Times New Roman" w:cs="Times New Roman"/>
          <w:b/>
          <w:sz w:val="24"/>
          <w:szCs w:val="24"/>
          <w:lang w:eastAsia="zh-CN"/>
        </w:rPr>
        <w:t xml:space="preserve">Figure </w:t>
      </w:r>
      <w:r w:rsidR="009309BD">
        <w:rPr>
          <w:rFonts w:ascii="Times New Roman" w:hAnsi="Times New Roman" w:cs="Times New Roman"/>
          <w:b/>
          <w:sz w:val="24"/>
          <w:szCs w:val="24"/>
          <w:lang w:eastAsia="zh-CN"/>
        </w:rPr>
        <w:t>3-</w:t>
      </w:r>
      <w:r>
        <w:rPr>
          <w:rFonts w:ascii="Times New Roman" w:hAnsi="Times New Roman" w:cs="Times New Roman"/>
          <w:b/>
          <w:sz w:val="24"/>
          <w:szCs w:val="24"/>
          <w:lang w:eastAsia="zh-CN"/>
        </w:rPr>
        <w:t>1.</w:t>
      </w:r>
      <w:r>
        <w:rPr>
          <w:rFonts w:ascii="Times New Roman" w:hAnsi="Times New Roman" w:cs="Times New Roman"/>
          <w:sz w:val="24"/>
          <w:szCs w:val="24"/>
          <w:lang w:eastAsia="zh-CN"/>
        </w:rPr>
        <w:t xml:space="preserve"> </w:t>
      </w:r>
      <w:r>
        <w:rPr>
          <w:rFonts w:ascii="Times New Roman" w:hAnsi="Times New Roman" w:cs="Times New Roman"/>
          <w:bCs/>
          <w:sz w:val="24"/>
          <w:szCs w:val="24"/>
        </w:rPr>
        <w:t>Cause-of-death-specific c</w:t>
      </w:r>
      <w:r w:rsidRPr="001D6F81">
        <w:rPr>
          <w:rFonts w:ascii="Times New Roman" w:hAnsi="Times New Roman" w:cs="Times New Roman"/>
          <w:bCs/>
          <w:sz w:val="24"/>
          <w:szCs w:val="24"/>
        </w:rPr>
        <w:t xml:space="preserve">ontributions to changes in </w:t>
      </w:r>
      <w:r>
        <w:rPr>
          <w:rFonts w:ascii="Times New Roman" w:hAnsi="Times New Roman" w:cs="Times New Roman"/>
          <w:bCs/>
          <w:sz w:val="24"/>
          <w:szCs w:val="24"/>
        </w:rPr>
        <w:t xml:space="preserve">female </w:t>
      </w:r>
      <w:r w:rsidRPr="001D6F81">
        <w:rPr>
          <w:rFonts w:ascii="Times New Roman" w:hAnsi="Times New Roman" w:cs="Times New Roman"/>
          <w:bCs/>
          <w:sz w:val="24"/>
          <w:szCs w:val="24"/>
        </w:rPr>
        <w:t xml:space="preserve">life expectancy at birth by </w:t>
      </w:r>
      <w:r>
        <w:rPr>
          <w:rFonts w:ascii="Times New Roman" w:hAnsi="Times New Roman" w:cs="Times New Roman"/>
          <w:bCs/>
          <w:sz w:val="24"/>
          <w:szCs w:val="24"/>
        </w:rPr>
        <w:t xml:space="preserve">country and </w:t>
      </w:r>
      <w:r w:rsidRPr="001D6F81">
        <w:rPr>
          <w:rFonts w:ascii="Times New Roman" w:hAnsi="Times New Roman" w:cs="Times New Roman"/>
          <w:bCs/>
          <w:sz w:val="24"/>
          <w:szCs w:val="24"/>
        </w:rPr>
        <w:t>period.</w:t>
      </w:r>
      <w:r>
        <w:rPr>
          <w:rFonts w:ascii="Times New Roman" w:hAnsi="Times New Roman" w:cs="Times New Roman"/>
          <w:bCs/>
          <w:sz w:val="24"/>
          <w:szCs w:val="24"/>
        </w:rPr>
        <w:t xml:space="preserve"> </w:t>
      </w:r>
      <w:r w:rsidRPr="6C5E14B3">
        <w:rPr>
          <w:rFonts w:ascii="Times New Roman" w:hAnsi="Times New Roman" w:cs="Times New Roman"/>
          <w:i/>
          <w:iCs/>
          <w:sz w:val="24"/>
          <w:szCs w:val="24"/>
          <w:lang w:val="en-US"/>
        </w:rPr>
        <w:t>Note:</w:t>
      </w:r>
      <w:r w:rsidRPr="6C5E14B3">
        <w:rPr>
          <w:rFonts w:ascii="Times New Roman" w:hAnsi="Times New Roman" w:cs="Times New Roman"/>
          <w:sz w:val="24"/>
          <w:szCs w:val="24"/>
          <w:lang w:val="en-US"/>
        </w:rPr>
        <w:t xml:space="preserve"> Contributions in months. Tiles for period 2015–2019 show average annual contributions. Cause-of-death data for period 2021–2022 only available for: Australia, Canada, England and Wales, Hungary, Lithuania, the Netherlands, Sweden, and the </w:t>
      </w:r>
      <w:r w:rsidR="00CB671F">
        <w:rPr>
          <w:rFonts w:ascii="Times New Roman" w:hAnsi="Times New Roman" w:cs="Times New Roman"/>
          <w:sz w:val="24"/>
          <w:szCs w:val="24"/>
          <w:lang w:val="en-US"/>
        </w:rPr>
        <w:t>USA</w:t>
      </w:r>
      <w:r w:rsidRPr="6C5E14B3">
        <w:rPr>
          <w:rFonts w:ascii="Times New Roman" w:hAnsi="Times New Roman" w:cs="Times New Roman"/>
          <w:sz w:val="24"/>
          <w:szCs w:val="24"/>
          <w:lang w:val="en-US"/>
        </w:rPr>
        <w:t>.</w:t>
      </w:r>
    </w:p>
    <w:p w14:paraId="3CA56C6F" w14:textId="77777777" w:rsidR="00647522" w:rsidRPr="00DF39A4" w:rsidRDefault="00647522" w:rsidP="00252023">
      <w:pPr>
        <w:pStyle w:val="NoSpacing"/>
        <w:spacing w:line="480" w:lineRule="auto"/>
        <w:jc w:val="both"/>
        <w:rPr>
          <w:rFonts w:ascii="Times New Roman" w:hAnsi="Times New Roman" w:cs="Times New Roman"/>
          <w:iCs/>
          <w:sz w:val="24"/>
          <w:szCs w:val="24"/>
          <w:lang w:val="en-US"/>
        </w:rPr>
      </w:pPr>
    </w:p>
    <w:p w14:paraId="20073D54" w14:textId="05408B71" w:rsidR="00D232F6" w:rsidRPr="00DF39A4" w:rsidRDefault="00D232F6"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The first two panels in 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1 respectively show the contributions from COVID-19 and all non-COVID-19 mortality to changes in female life expectancy, on a scale ranging from</w:t>
      </w:r>
      <w:r w:rsidR="00AC41E8">
        <w:rPr>
          <w:rFonts w:ascii="Times New Roman" w:hAnsi="Times New Roman" w:cs="Times New Roman"/>
          <w:iCs/>
          <w:sz w:val="24"/>
          <w:szCs w:val="24"/>
          <w:lang w:val="en-US"/>
        </w:rPr>
        <w:t xml:space="preserve"> </w:t>
      </w:r>
      <w:r w:rsidRPr="00DF39A4">
        <w:rPr>
          <w:rFonts w:ascii="Times New Roman" w:hAnsi="Times New Roman" w:cs="Times New Roman"/>
          <w:iCs/>
          <w:sz w:val="24"/>
          <w:szCs w:val="24"/>
          <w:lang w:val="en-US"/>
        </w:rPr>
        <w:t>negative contributions</w:t>
      </w:r>
      <w:r w:rsidR="00AC41E8">
        <w:rPr>
          <w:rFonts w:ascii="Times New Roman" w:hAnsi="Times New Roman" w:cs="Times New Roman"/>
          <w:iCs/>
          <w:sz w:val="24"/>
          <w:szCs w:val="24"/>
          <w:lang w:val="en-US"/>
        </w:rPr>
        <w:t xml:space="preserve"> (red)</w:t>
      </w:r>
      <w:r w:rsidRPr="00DF39A4">
        <w:rPr>
          <w:rFonts w:ascii="Times New Roman" w:hAnsi="Times New Roman" w:cs="Times New Roman"/>
          <w:iCs/>
          <w:sz w:val="24"/>
          <w:szCs w:val="24"/>
          <w:lang w:val="en-US"/>
        </w:rPr>
        <w:t xml:space="preserve"> over no contributions</w:t>
      </w:r>
      <w:r w:rsidR="00AC41E8">
        <w:rPr>
          <w:rFonts w:ascii="Times New Roman" w:hAnsi="Times New Roman" w:cs="Times New Roman"/>
          <w:iCs/>
          <w:sz w:val="24"/>
          <w:szCs w:val="24"/>
          <w:lang w:val="en-US"/>
        </w:rPr>
        <w:t xml:space="preserve"> (</w:t>
      </w:r>
      <w:r w:rsidR="00AC41E8" w:rsidRPr="00DF39A4">
        <w:rPr>
          <w:rFonts w:ascii="Times New Roman" w:hAnsi="Times New Roman" w:cs="Times New Roman"/>
          <w:iCs/>
          <w:sz w:val="24"/>
          <w:szCs w:val="24"/>
          <w:lang w:val="en-US"/>
        </w:rPr>
        <w:t>white</w:t>
      </w:r>
      <w:r w:rsidR="00AC41E8">
        <w:rPr>
          <w:rFonts w:ascii="Times New Roman" w:hAnsi="Times New Roman" w:cs="Times New Roman"/>
          <w:iCs/>
          <w:sz w:val="24"/>
          <w:szCs w:val="24"/>
          <w:lang w:val="en-US"/>
        </w:rPr>
        <w:t>)</w:t>
      </w:r>
      <w:r w:rsidRPr="00DF39A4">
        <w:rPr>
          <w:rFonts w:ascii="Times New Roman" w:hAnsi="Times New Roman" w:cs="Times New Roman"/>
          <w:iCs/>
          <w:sz w:val="24"/>
          <w:szCs w:val="24"/>
          <w:lang w:val="en-US"/>
        </w:rPr>
        <w:t xml:space="preserve"> to positive contributions</w:t>
      </w:r>
      <w:r w:rsidR="00AC41E8">
        <w:rPr>
          <w:rFonts w:ascii="Times New Roman" w:hAnsi="Times New Roman" w:cs="Times New Roman"/>
          <w:iCs/>
          <w:sz w:val="24"/>
          <w:szCs w:val="24"/>
          <w:lang w:val="en-US"/>
        </w:rPr>
        <w:t xml:space="preserve"> (</w:t>
      </w:r>
      <w:r w:rsidR="00AC41E8" w:rsidRPr="00DF39A4">
        <w:rPr>
          <w:rFonts w:ascii="Times New Roman" w:hAnsi="Times New Roman" w:cs="Times New Roman"/>
          <w:iCs/>
          <w:sz w:val="24"/>
          <w:szCs w:val="24"/>
          <w:lang w:val="en-US"/>
        </w:rPr>
        <w:t>blue</w:t>
      </w:r>
      <w:r w:rsidRPr="00DF39A4">
        <w:rPr>
          <w:rFonts w:ascii="Times New Roman" w:hAnsi="Times New Roman" w:cs="Times New Roman"/>
          <w:iCs/>
          <w:sz w:val="24"/>
          <w:szCs w:val="24"/>
          <w:lang w:val="en-US"/>
        </w:rPr>
        <w:t xml:space="preserve">). In 2019–2020, COVID-19 contributed to sizeable losses in female life expectancy in almost all countries (leftmost panel in 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1). The largest losses from COVID-19 were seen in Spain (-14.</w:t>
      </w:r>
      <w:r w:rsidR="001F735D" w:rsidRPr="00DF39A4">
        <w:rPr>
          <w:rFonts w:ascii="Times New Roman" w:hAnsi="Times New Roman" w:cs="Times New Roman"/>
          <w:iCs/>
          <w:sz w:val="24"/>
          <w:szCs w:val="24"/>
          <w:lang w:val="en-US"/>
        </w:rPr>
        <w:t>4 months</w:t>
      </w:r>
      <w:r w:rsidRPr="00DF39A4">
        <w:rPr>
          <w:rFonts w:ascii="Times New Roman" w:hAnsi="Times New Roman" w:cs="Times New Roman"/>
          <w:iCs/>
          <w:sz w:val="24"/>
          <w:szCs w:val="24"/>
          <w:lang w:val="en-US"/>
        </w:rPr>
        <w:t xml:space="preserve">), </w:t>
      </w:r>
      <w:r w:rsidR="001F735D" w:rsidRPr="00DF39A4">
        <w:rPr>
          <w:rFonts w:ascii="Times New Roman" w:hAnsi="Times New Roman" w:cs="Times New Roman"/>
          <w:iCs/>
          <w:sz w:val="24"/>
          <w:szCs w:val="24"/>
          <w:lang w:val="en-US"/>
        </w:rPr>
        <w:t xml:space="preserve">Brazil (-17.8), and </w:t>
      </w:r>
      <w:r w:rsidRPr="00DF39A4">
        <w:rPr>
          <w:rFonts w:ascii="Times New Roman" w:hAnsi="Times New Roman" w:cs="Times New Roman"/>
          <w:iCs/>
          <w:sz w:val="24"/>
          <w:szCs w:val="24"/>
          <w:lang w:val="en-US"/>
        </w:rPr>
        <w:t>Chile (-</w:t>
      </w:r>
      <w:r w:rsidR="00D3651E" w:rsidRPr="00DF39A4">
        <w:rPr>
          <w:rFonts w:ascii="Times New Roman" w:hAnsi="Times New Roman" w:cs="Times New Roman"/>
          <w:iCs/>
          <w:sz w:val="24"/>
          <w:szCs w:val="24"/>
          <w:lang w:val="en-US"/>
        </w:rPr>
        <w:t>18</w:t>
      </w:r>
      <w:r w:rsidRPr="00DF39A4">
        <w:rPr>
          <w:rFonts w:ascii="Times New Roman" w:hAnsi="Times New Roman" w:cs="Times New Roman"/>
          <w:iCs/>
          <w:sz w:val="24"/>
          <w:szCs w:val="24"/>
          <w:lang w:val="en-US"/>
        </w:rPr>
        <w:t>.</w:t>
      </w:r>
      <w:r w:rsidR="001F735D" w:rsidRPr="00DF39A4">
        <w:rPr>
          <w:rFonts w:ascii="Times New Roman" w:hAnsi="Times New Roman" w:cs="Times New Roman"/>
          <w:iCs/>
          <w:sz w:val="24"/>
          <w:szCs w:val="24"/>
          <w:lang w:val="en-US"/>
        </w:rPr>
        <w:t>7</w:t>
      </w:r>
      <w:r w:rsidRPr="00DF39A4">
        <w:rPr>
          <w:rFonts w:ascii="Times New Roman" w:hAnsi="Times New Roman" w:cs="Times New Roman"/>
          <w:iCs/>
          <w:sz w:val="24"/>
          <w:szCs w:val="24"/>
          <w:lang w:val="en-US"/>
        </w:rPr>
        <w:t xml:space="preserve">), while </w:t>
      </w:r>
      <w:r w:rsidR="00837990" w:rsidRPr="00DF39A4">
        <w:rPr>
          <w:rFonts w:ascii="Times New Roman" w:hAnsi="Times New Roman" w:cs="Times New Roman"/>
          <w:iCs/>
          <w:sz w:val="24"/>
          <w:szCs w:val="24"/>
          <w:lang w:val="en-US"/>
        </w:rPr>
        <w:t xml:space="preserve">Australia (-0.5 months), </w:t>
      </w:r>
      <w:r w:rsidRPr="00DF39A4">
        <w:rPr>
          <w:rFonts w:ascii="Times New Roman" w:hAnsi="Times New Roman" w:cs="Times New Roman"/>
          <w:iCs/>
          <w:sz w:val="24"/>
          <w:szCs w:val="24"/>
          <w:lang w:val="en-US"/>
        </w:rPr>
        <w:t>South Korea (-0.</w:t>
      </w:r>
      <w:r w:rsidR="00C803CD" w:rsidRPr="00DF39A4">
        <w:rPr>
          <w:rFonts w:ascii="Times New Roman" w:hAnsi="Times New Roman" w:cs="Times New Roman"/>
          <w:iCs/>
          <w:sz w:val="24"/>
          <w:szCs w:val="24"/>
          <w:lang w:val="en-US"/>
        </w:rPr>
        <w:t>4</w:t>
      </w:r>
      <w:r w:rsidRPr="00DF39A4">
        <w:rPr>
          <w:rFonts w:ascii="Times New Roman" w:hAnsi="Times New Roman" w:cs="Times New Roman"/>
          <w:iCs/>
          <w:sz w:val="24"/>
          <w:szCs w:val="24"/>
          <w:lang w:val="en-US"/>
        </w:rPr>
        <w:t xml:space="preserve">), </w:t>
      </w:r>
      <w:r w:rsidR="00837990" w:rsidRPr="00DF39A4">
        <w:rPr>
          <w:rFonts w:ascii="Times New Roman" w:hAnsi="Times New Roman" w:cs="Times New Roman"/>
          <w:iCs/>
          <w:sz w:val="24"/>
          <w:szCs w:val="24"/>
          <w:lang w:val="en-US"/>
        </w:rPr>
        <w:t xml:space="preserve">and </w:t>
      </w:r>
      <w:r w:rsidRPr="00DF39A4">
        <w:rPr>
          <w:rFonts w:ascii="Times New Roman" w:hAnsi="Times New Roman" w:cs="Times New Roman"/>
          <w:iCs/>
          <w:sz w:val="24"/>
          <w:szCs w:val="24"/>
          <w:lang w:val="en-US"/>
        </w:rPr>
        <w:t xml:space="preserve">Japan (-0.2) experienced the smallest losses. In 2020–2021, COVID-19 contributed to additional losses in female life expectancy, particularly in Brazil, </w:t>
      </w:r>
      <w:r w:rsidRPr="00DF39A4">
        <w:rPr>
          <w:rFonts w:ascii="Times New Roman" w:hAnsi="Times New Roman" w:cs="Times New Roman"/>
          <w:iCs/>
          <w:sz w:val="24"/>
          <w:szCs w:val="24"/>
          <w:lang w:val="en-US"/>
        </w:rPr>
        <w:lastRenderedPageBreak/>
        <w:t>Russia, and among Central and Eastern European and Baltic countries. Although COVID-19 mortality was mostly concentrated in older age groups, many of the latter countries also had substantial negative contributions at middle adult ages (see Figure S</w:t>
      </w:r>
      <w:r w:rsidR="003B0EE2">
        <w:rPr>
          <w:rFonts w:ascii="Times New Roman" w:hAnsi="Times New Roman" w:cs="Times New Roman"/>
          <w:iCs/>
          <w:sz w:val="24"/>
          <w:szCs w:val="24"/>
          <w:lang w:val="en-US"/>
        </w:rPr>
        <w:t>7</w:t>
      </w:r>
      <w:r w:rsidRPr="00DF39A4">
        <w:rPr>
          <w:rFonts w:ascii="Times New Roman" w:hAnsi="Times New Roman" w:cs="Times New Roman"/>
          <w:iCs/>
          <w:sz w:val="24"/>
          <w:szCs w:val="24"/>
          <w:lang w:val="en-US"/>
        </w:rPr>
        <w:t>). Finally, most of the countries with available cause-of-death data in 2021–2022 experienced improvements in COVID-19 mortality, except for Australia</w:t>
      </w:r>
      <w:r w:rsidR="00A43A30" w:rsidRPr="00DF39A4">
        <w:rPr>
          <w:rFonts w:ascii="Times New Roman" w:hAnsi="Times New Roman" w:cs="Times New Roman"/>
          <w:iCs/>
          <w:sz w:val="24"/>
          <w:szCs w:val="24"/>
          <w:lang w:val="en-US"/>
        </w:rPr>
        <w:t xml:space="preserve"> and</w:t>
      </w:r>
      <w:r w:rsidRPr="00DF39A4">
        <w:rPr>
          <w:rFonts w:ascii="Times New Roman" w:hAnsi="Times New Roman" w:cs="Times New Roman"/>
          <w:iCs/>
          <w:sz w:val="24"/>
          <w:szCs w:val="24"/>
          <w:lang w:val="en-US"/>
        </w:rPr>
        <w:t xml:space="preserve"> Canada, where COVID-19 mortality worsened (further).</w:t>
      </w:r>
    </w:p>
    <w:p w14:paraId="12EDDFD9" w14:textId="77777777" w:rsidR="00D232F6" w:rsidRPr="00DF39A4" w:rsidRDefault="00D232F6" w:rsidP="00252023">
      <w:pPr>
        <w:pStyle w:val="NoSpacing"/>
        <w:spacing w:line="480" w:lineRule="auto"/>
        <w:jc w:val="both"/>
        <w:rPr>
          <w:rFonts w:ascii="Times New Roman" w:hAnsi="Times New Roman" w:cs="Times New Roman"/>
          <w:iCs/>
          <w:sz w:val="24"/>
          <w:szCs w:val="24"/>
          <w:lang w:val="en-US"/>
        </w:rPr>
      </w:pPr>
    </w:p>
    <w:p w14:paraId="563CC1D9" w14:textId="3F53BA9E" w:rsidR="00D232F6" w:rsidRPr="00DF39A4" w:rsidRDefault="006B4D6B"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Moving to mortality from all non-COVID-19 causes</w:t>
      </w:r>
      <w:r w:rsidR="00E35E6F">
        <w:rPr>
          <w:rFonts w:ascii="Times New Roman" w:hAnsi="Times New Roman" w:cs="Times New Roman"/>
          <w:iCs/>
          <w:sz w:val="24"/>
          <w:szCs w:val="24"/>
          <w:lang w:val="en-US"/>
        </w:rPr>
        <w:t xml:space="preserve"> </w:t>
      </w:r>
      <w:r w:rsidR="00E35E6F" w:rsidRPr="00DF39A4">
        <w:rPr>
          <w:rFonts w:ascii="Times New Roman" w:hAnsi="Times New Roman" w:cs="Times New Roman"/>
          <w:iCs/>
          <w:sz w:val="24"/>
          <w:szCs w:val="24"/>
          <w:lang w:val="en-US"/>
        </w:rPr>
        <w:t xml:space="preserve">(second panel in Figure </w:t>
      </w:r>
      <w:r w:rsidR="009309BD">
        <w:rPr>
          <w:rFonts w:ascii="Times New Roman" w:hAnsi="Times New Roman" w:cs="Times New Roman"/>
          <w:iCs/>
          <w:sz w:val="24"/>
          <w:szCs w:val="24"/>
          <w:lang w:val="en-US"/>
        </w:rPr>
        <w:t>3-</w:t>
      </w:r>
      <w:r w:rsidR="00E35E6F"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 all countries experienced gains in female life expectancy over the period 2015–2019. These contributions ranged from an average of 0.</w:t>
      </w:r>
      <w:r w:rsidR="00B20932" w:rsidRPr="00DF39A4">
        <w:rPr>
          <w:rFonts w:ascii="Times New Roman" w:hAnsi="Times New Roman" w:cs="Times New Roman"/>
          <w:iCs/>
          <w:sz w:val="24"/>
          <w:szCs w:val="24"/>
          <w:lang w:val="en-US"/>
        </w:rPr>
        <w:t>8</w:t>
      </w:r>
      <w:r w:rsidR="00B2337C" w:rsidRPr="00DF39A4">
        <w:rPr>
          <w:rFonts w:ascii="Times New Roman" w:hAnsi="Times New Roman" w:cs="Times New Roman"/>
          <w:iCs/>
          <w:sz w:val="24"/>
          <w:szCs w:val="24"/>
          <w:lang w:val="en-US"/>
        </w:rPr>
        <w:t xml:space="preserve"> </w:t>
      </w:r>
      <w:r w:rsidRPr="00DF39A4">
        <w:rPr>
          <w:rFonts w:ascii="Times New Roman" w:hAnsi="Times New Roman" w:cs="Times New Roman"/>
          <w:iCs/>
          <w:sz w:val="24"/>
          <w:szCs w:val="24"/>
          <w:lang w:val="en-US"/>
        </w:rPr>
        <w:t>months per year in Scotland to 4.</w:t>
      </w:r>
      <w:r w:rsidR="002C7356" w:rsidRPr="00DF39A4">
        <w:rPr>
          <w:rFonts w:ascii="Times New Roman" w:hAnsi="Times New Roman" w:cs="Times New Roman"/>
          <w:iCs/>
          <w:sz w:val="24"/>
          <w:szCs w:val="24"/>
          <w:lang w:val="en-US"/>
        </w:rPr>
        <w:t>4</w:t>
      </w:r>
      <w:r w:rsidRPr="00DF39A4">
        <w:rPr>
          <w:rFonts w:ascii="Times New Roman" w:hAnsi="Times New Roman" w:cs="Times New Roman"/>
          <w:iCs/>
          <w:sz w:val="24"/>
          <w:szCs w:val="24"/>
          <w:lang w:val="en-US"/>
        </w:rPr>
        <w:t xml:space="preserve"> months per year in Russia. In contrast, we observed large heterogeneity in life expectancy contributions for the periods 2019–2020, 2020–2021, and 2021–2022, with sizeable life expectancy losses due to non-COVID-19 mortality in Russia (-1</w:t>
      </w:r>
      <w:r w:rsidR="002C7356"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w:t>
      </w:r>
      <w:r w:rsidR="002C7356" w:rsidRPr="00DF39A4">
        <w:rPr>
          <w:rFonts w:ascii="Times New Roman" w:hAnsi="Times New Roman" w:cs="Times New Roman"/>
          <w:iCs/>
          <w:sz w:val="24"/>
          <w:szCs w:val="24"/>
          <w:lang w:val="en-US"/>
        </w:rPr>
        <w:t>2</w:t>
      </w:r>
      <w:r w:rsidRPr="00DF39A4">
        <w:rPr>
          <w:rFonts w:ascii="Times New Roman" w:hAnsi="Times New Roman" w:cs="Times New Roman"/>
          <w:iCs/>
          <w:sz w:val="24"/>
          <w:szCs w:val="24"/>
          <w:lang w:val="en-US"/>
        </w:rPr>
        <w:t xml:space="preserve"> months), Lithuania (-6.</w:t>
      </w:r>
      <w:r w:rsidR="002C7356" w:rsidRPr="00DF39A4">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 months), </w:t>
      </w:r>
      <w:r w:rsidR="006A28FF" w:rsidRPr="00DF39A4">
        <w:rPr>
          <w:rFonts w:ascii="Times New Roman" w:hAnsi="Times New Roman" w:cs="Times New Roman"/>
          <w:iCs/>
          <w:sz w:val="24"/>
          <w:szCs w:val="24"/>
          <w:lang w:val="en-US"/>
        </w:rPr>
        <w:t xml:space="preserve">the </w:t>
      </w:r>
      <w:r w:rsidR="00025184">
        <w:rPr>
          <w:rFonts w:ascii="Times New Roman" w:hAnsi="Times New Roman" w:cs="Times New Roman"/>
          <w:iCs/>
          <w:sz w:val="24"/>
          <w:szCs w:val="24"/>
          <w:lang w:val="en-US"/>
        </w:rPr>
        <w:t>USA</w:t>
      </w:r>
      <w:r w:rsidR="006A28FF" w:rsidRPr="00DF39A4">
        <w:rPr>
          <w:rFonts w:ascii="Times New Roman" w:hAnsi="Times New Roman" w:cs="Times New Roman"/>
          <w:iCs/>
          <w:sz w:val="24"/>
          <w:szCs w:val="24"/>
          <w:lang w:val="en-US"/>
        </w:rPr>
        <w:t xml:space="preserve"> (-</w:t>
      </w:r>
      <w:r w:rsidR="00AF44FE" w:rsidRPr="00DF39A4">
        <w:rPr>
          <w:rFonts w:ascii="Times New Roman" w:hAnsi="Times New Roman" w:cs="Times New Roman"/>
          <w:iCs/>
          <w:sz w:val="24"/>
          <w:szCs w:val="24"/>
          <w:lang w:val="en-US"/>
        </w:rPr>
        <w:t>5</w:t>
      </w:r>
      <w:r w:rsidR="006A28FF" w:rsidRPr="00DF39A4">
        <w:rPr>
          <w:rFonts w:ascii="Times New Roman" w:hAnsi="Times New Roman" w:cs="Times New Roman"/>
          <w:iCs/>
          <w:sz w:val="24"/>
          <w:szCs w:val="24"/>
          <w:lang w:val="en-US"/>
        </w:rPr>
        <w:t>.</w:t>
      </w:r>
      <w:r w:rsidR="00AF44FE" w:rsidRPr="00DF39A4">
        <w:rPr>
          <w:rFonts w:ascii="Times New Roman" w:hAnsi="Times New Roman" w:cs="Times New Roman"/>
          <w:iCs/>
          <w:sz w:val="24"/>
          <w:szCs w:val="24"/>
          <w:lang w:val="en-US"/>
        </w:rPr>
        <w:t>9</w:t>
      </w:r>
      <w:r w:rsidR="006A28FF" w:rsidRPr="00DF39A4">
        <w:rPr>
          <w:rFonts w:ascii="Times New Roman" w:hAnsi="Times New Roman" w:cs="Times New Roman"/>
          <w:iCs/>
          <w:sz w:val="24"/>
          <w:szCs w:val="24"/>
          <w:lang w:val="en-US"/>
        </w:rPr>
        <w:t xml:space="preserve"> months), </w:t>
      </w:r>
      <w:r w:rsidRPr="00DF39A4">
        <w:rPr>
          <w:rFonts w:ascii="Times New Roman" w:hAnsi="Times New Roman" w:cs="Times New Roman"/>
          <w:iCs/>
          <w:sz w:val="24"/>
          <w:szCs w:val="24"/>
          <w:lang w:val="en-US"/>
        </w:rPr>
        <w:t>and all Central and Eastern European countries (-</w:t>
      </w:r>
      <w:r w:rsidR="00B049BF" w:rsidRPr="00DF39A4">
        <w:rPr>
          <w:rFonts w:ascii="Times New Roman" w:hAnsi="Times New Roman" w:cs="Times New Roman"/>
          <w:iCs/>
          <w:sz w:val="24"/>
          <w:szCs w:val="24"/>
          <w:lang w:val="en-US"/>
        </w:rPr>
        <w:t>0.</w:t>
      </w:r>
      <w:r w:rsidR="00BC2F72">
        <w:rPr>
          <w:rFonts w:ascii="Times New Roman" w:hAnsi="Times New Roman" w:cs="Times New Roman"/>
          <w:iCs/>
          <w:sz w:val="24"/>
          <w:szCs w:val="24"/>
          <w:lang w:val="en-US"/>
        </w:rPr>
        <w:t>6</w:t>
      </w:r>
      <w:r w:rsidRPr="00DF39A4">
        <w:rPr>
          <w:rFonts w:ascii="Times New Roman" w:hAnsi="Times New Roman" w:cs="Times New Roman"/>
          <w:iCs/>
          <w:sz w:val="24"/>
          <w:szCs w:val="24"/>
          <w:lang w:val="en-US"/>
        </w:rPr>
        <w:t xml:space="preserve"> months in </w:t>
      </w:r>
      <w:r w:rsidR="00BC2F72">
        <w:rPr>
          <w:rFonts w:ascii="Times New Roman" w:hAnsi="Times New Roman" w:cs="Times New Roman"/>
          <w:iCs/>
          <w:sz w:val="24"/>
          <w:szCs w:val="24"/>
          <w:lang w:val="en-US"/>
        </w:rPr>
        <w:t>Croatia</w:t>
      </w:r>
      <w:r w:rsidRPr="00DF39A4">
        <w:rPr>
          <w:rFonts w:ascii="Times New Roman" w:hAnsi="Times New Roman" w:cs="Times New Roman"/>
          <w:iCs/>
          <w:sz w:val="24"/>
          <w:szCs w:val="24"/>
          <w:lang w:val="en-US"/>
        </w:rPr>
        <w:t xml:space="preserve"> to -</w:t>
      </w:r>
      <w:r w:rsidR="00AF44FE" w:rsidRPr="00DF39A4">
        <w:rPr>
          <w:rFonts w:ascii="Times New Roman" w:hAnsi="Times New Roman" w:cs="Times New Roman"/>
          <w:iCs/>
          <w:sz w:val="24"/>
          <w:szCs w:val="24"/>
          <w:lang w:val="en-US"/>
        </w:rPr>
        <w:t>6</w:t>
      </w:r>
      <w:r w:rsidRPr="00DF39A4">
        <w:rPr>
          <w:rFonts w:ascii="Times New Roman" w:hAnsi="Times New Roman" w:cs="Times New Roman"/>
          <w:iCs/>
          <w:sz w:val="24"/>
          <w:szCs w:val="24"/>
          <w:lang w:val="en-US"/>
        </w:rPr>
        <w:t>.</w:t>
      </w:r>
      <w:r w:rsidR="00AF44FE"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 xml:space="preserve"> months in Bulgaria) in 2020. In 2021, losses in female life expectancy due to non-COVID-19 mortality were geographically more dispersed. Many of these losses persisted even in 2022, with only Hungary and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xml:space="preserve"> experiencing recovery.</w:t>
      </w:r>
    </w:p>
    <w:p w14:paraId="1989687A" w14:textId="77777777" w:rsidR="006B4D6B" w:rsidRPr="00DF39A4" w:rsidRDefault="006B4D6B" w:rsidP="00252023">
      <w:pPr>
        <w:pStyle w:val="NoSpacing"/>
        <w:spacing w:line="480" w:lineRule="auto"/>
        <w:jc w:val="both"/>
        <w:rPr>
          <w:rFonts w:ascii="Times New Roman" w:hAnsi="Times New Roman" w:cs="Times New Roman"/>
          <w:iCs/>
          <w:sz w:val="24"/>
          <w:szCs w:val="24"/>
          <w:lang w:val="en-US"/>
        </w:rPr>
      </w:pPr>
    </w:p>
    <w:p w14:paraId="7C24844B" w14:textId="342D2167" w:rsidR="00B827B0" w:rsidRPr="00DF39A4" w:rsidRDefault="00B827B0"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The remaining panels in 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1 break the contributions from non-COVID-19 mortality down into more detailed causes of death. We differentiate between mortality from (1) cardiovascular diseases (CVD), (2) cancer, (3) acute respiratory diseases, (4) chronic obstructive pulmonary disease (COPD), (5) certain infectious diseases, and (6) substance and external </w:t>
      </w:r>
      <w:r w:rsidR="0035506C" w:rsidRPr="00DF39A4">
        <w:rPr>
          <w:rFonts w:ascii="Times New Roman" w:hAnsi="Times New Roman" w:cs="Times New Roman"/>
          <w:iCs/>
          <w:sz w:val="24"/>
          <w:szCs w:val="24"/>
          <w:lang w:val="en-US"/>
        </w:rPr>
        <w:t>mortality</w:t>
      </w:r>
      <w:r w:rsidRPr="00DF39A4">
        <w:rPr>
          <w:rFonts w:ascii="Times New Roman" w:hAnsi="Times New Roman" w:cs="Times New Roman"/>
          <w:iCs/>
          <w:sz w:val="24"/>
          <w:szCs w:val="24"/>
          <w:lang w:val="en-US"/>
        </w:rPr>
        <w:t>, with all remaining causes of death grouped into a residual category. Contributions from these seven causes of death are shown on a scale ranging from negative contributions</w:t>
      </w:r>
      <w:r w:rsidR="009A1AB8">
        <w:rPr>
          <w:rFonts w:ascii="Times New Roman" w:hAnsi="Times New Roman" w:cs="Times New Roman"/>
          <w:iCs/>
          <w:sz w:val="24"/>
          <w:szCs w:val="24"/>
          <w:lang w:val="en-US"/>
        </w:rPr>
        <w:t xml:space="preserve"> </w:t>
      </w:r>
      <w:r w:rsidR="00084EF1">
        <w:rPr>
          <w:rFonts w:ascii="Times New Roman" w:hAnsi="Times New Roman" w:cs="Times New Roman"/>
          <w:iCs/>
          <w:sz w:val="24"/>
          <w:szCs w:val="24"/>
          <w:lang w:val="en-US"/>
        </w:rPr>
        <w:t xml:space="preserve">(pink) </w:t>
      </w:r>
      <w:r w:rsidRPr="00DF39A4">
        <w:rPr>
          <w:rFonts w:ascii="Times New Roman" w:hAnsi="Times New Roman" w:cs="Times New Roman"/>
          <w:iCs/>
          <w:sz w:val="24"/>
          <w:szCs w:val="24"/>
          <w:lang w:val="en-US"/>
        </w:rPr>
        <w:t xml:space="preserve">over no contributions </w:t>
      </w:r>
      <w:r w:rsidR="00084EF1">
        <w:rPr>
          <w:rFonts w:ascii="Times New Roman" w:hAnsi="Times New Roman" w:cs="Times New Roman"/>
          <w:iCs/>
          <w:sz w:val="24"/>
          <w:szCs w:val="24"/>
          <w:lang w:val="en-US"/>
        </w:rPr>
        <w:t xml:space="preserve">(white) </w:t>
      </w:r>
      <w:r w:rsidRPr="00DF39A4">
        <w:rPr>
          <w:rFonts w:ascii="Times New Roman" w:hAnsi="Times New Roman" w:cs="Times New Roman"/>
          <w:iCs/>
          <w:sz w:val="24"/>
          <w:szCs w:val="24"/>
          <w:lang w:val="en-US"/>
        </w:rPr>
        <w:t>to positive contributions</w:t>
      </w:r>
      <w:r w:rsidR="00084EF1">
        <w:rPr>
          <w:rFonts w:ascii="Times New Roman" w:hAnsi="Times New Roman" w:cs="Times New Roman"/>
          <w:iCs/>
          <w:sz w:val="24"/>
          <w:szCs w:val="24"/>
          <w:lang w:val="en-US"/>
        </w:rPr>
        <w:t xml:space="preserve"> (green)</w:t>
      </w:r>
      <w:r w:rsidRPr="00DF39A4">
        <w:rPr>
          <w:rFonts w:ascii="Times New Roman" w:hAnsi="Times New Roman" w:cs="Times New Roman"/>
          <w:iCs/>
          <w:sz w:val="24"/>
          <w:szCs w:val="24"/>
          <w:lang w:val="en-US"/>
        </w:rPr>
        <w:t xml:space="preserve">. Figure </w:t>
      </w:r>
      <w:r w:rsidRPr="00DF39A4">
        <w:rPr>
          <w:rFonts w:ascii="Times New Roman" w:hAnsi="Times New Roman" w:cs="Times New Roman"/>
          <w:iCs/>
          <w:sz w:val="24"/>
          <w:szCs w:val="24"/>
          <w:lang w:val="en-US"/>
        </w:rPr>
        <w:lastRenderedPageBreak/>
        <w:t>S</w:t>
      </w:r>
      <w:r w:rsidR="00EE39A5">
        <w:rPr>
          <w:rFonts w:ascii="Times New Roman" w:hAnsi="Times New Roman" w:cs="Times New Roman"/>
          <w:iCs/>
          <w:sz w:val="24"/>
          <w:szCs w:val="24"/>
          <w:lang w:val="en-US"/>
        </w:rPr>
        <w:t>5</w:t>
      </w:r>
      <w:r w:rsidRPr="00DF39A4">
        <w:rPr>
          <w:rFonts w:ascii="Times New Roman" w:hAnsi="Times New Roman" w:cs="Times New Roman"/>
          <w:iCs/>
          <w:sz w:val="24"/>
          <w:szCs w:val="24"/>
          <w:lang w:val="en-US"/>
        </w:rPr>
        <w:t xml:space="preserve"> further disaggregate</w:t>
      </w:r>
      <w:r w:rsidR="003B0EE2">
        <w:rPr>
          <w:rFonts w:ascii="Times New Roman" w:hAnsi="Times New Roman" w:cs="Times New Roman"/>
          <w:iCs/>
          <w:sz w:val="24"/>
          <w:szCs w:val="24"/>
          <w:lang w:val="en-US"/>
        </w:rPr>
        <w:t>s</w:t>
      </w:r>
      <w:r w:rsidRPr="00DF39A4">
        <w:rPr>
          <w:rFonts w:ascii="Times New Roman" w:hAnsi="Times New Roman" w:cs="Times New Roman"/>
          <w:iCs/>
          <w:sz w:val="24"/>
          <w:szCs w:val="24"/>
          <w:lang w:val="en-US"/>
        </w:rPr>
        <w:t xml:space="preserve"> the category “CVD” into “Acute CVD” and “Other CVD,” and further disaggregate</w:t>
      </w:r>
      <w:r w:rsidR="00CE2DDA">
        <w:rPr>
          <w:rFonts w:ascii="Times New Roman" w:hAnsi="Times New Roman" w:cs="Times New Roman"/>
          <w:iCs/>
          <w:sz w:val="24"/>
          <w:szCs w:val="24"/>
          <w:lang w:val="en-US"/>
        </w:rPr>
        <w:t>s</w:t>
      </w:r>
      <w:r w:rsidRPr="00DF39A4">
        <w:rPr>
          <w:rFonts w:ascii="Times New Roman" w:hAnsi="Times New Roman" w:cs="Times New Roman"/>
          <w:iCs/>
          <w:sz w:val="24"/>
          <w:szCs w:val="24"/>
          <w:lang w:val="en-US"/>
        </w:rPr>
        <w:t xml:space="preserve"> the category “Substance/external” into “Alcohol,” “Drug,” “Suicide,” and “Other </w:t>
      </w:r>
      <w:r w:rsidR="00FF58E0">
        <w:rPr>
          <w:rFonts w:ascii="Times New Roman" w:hAnsi="Times New Roman" w:cs="Times New Roman"/>
          <w:iCs/>
          <w:sz w:val="24"/>
          <w:szCs w:val="24"/>
          <w:lang w:val="en-US"/>
        </w:rPr>
        <w:t>e</w:t>
      </w:r>
      <w:r w:rsidRPr="00DF39A4">
        <w:rPr>
          <w:rFonts w:ascii="Times New Roman" w:hAnsi="Times New Roman" w:cs="Times New Roman"/>
          <w:iCs/>
          <w:sz w:val="24"/>
          <w:szCs w:val="24"/>
          <w:lang w:val="en-US"/>
        </w:rPr>
        <w:t>xternal.”</w:t>
      </w:r>
    </w:p>
    <w:p w14:paraId="27ABDFA8" w14:textId="77777777" w:rsidR="006B4D6B" w:rsidRPr="00DF39A4" w:rsidRDefault="006B4D6B" w:rsidP="00252023">
      <w:pPr>
        <w:pStyle w:val="NoSpacing"/>
        <w:spacing w:line="480" w:lineRule="auto"/>
        <w:jc w:val="both"/>
        <w:rPr>
          <w:rFonts w:ascii="Times New Roman" w:hAnsi="Times New Roman" w:cs="Times New Roman"/>
          <w:iCs/>
          <w:sz w:val="24"/>
          <w:szCs w:val="24"/>
          <w:lang w:val="en-US"/>
        </w:rPr>
      </w:pPr>
    </w:p>
    <w:p w14:paraId="7AB12D25" w14:textId="7B3B5E79" w:rsidR="00B827B0" w:rsidRPr="00DF39A4" w:rsidRDefault="006B466F"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Improvements in CVD mortality constituted one of the largest sources of gains in female life expectancy over the period 2015–2019. On average, CVD mortality contributed to life expectancy gains of 0.</w:t>
      </w:r>
      <w:r w:rsidR="002357F8" w:rsidRPr="00DF39A4">
        <w:rPr>
          <w:rFonts w:ascii="Times New Roman" w:hAnsi="Times New Roman" w:cs="Times New Roman"/>
          <w:iCs/>
          <w:sz w:val="24"/>
          <w:szCs w:val="24"/>
          <w:lang w:val="en-US"/>
        </w:rPr>
        <w:t>5</w:t>
      </w:r>
      <w:r w:rsidRPr="00DF39A4">
        <w:rPr>
          <w:rFonts w:ascii="Times New Roman" w:hAnsi="Times New Roman" w:cs="Times New Roman"/>
          <w:iCs/>
          <w:sz w:val="24"/>
          <w:szCs w:val="24"/>
          <w:lang w:val="en-US"/>
        </w:rPr>
        <w:t xml:space="preserve"> (USA) to 3.0 (Lithuania) months per year. Improvements were seen in mortality from both acute and non-acute CVD </w:t>
      </w:r>
      <w:r w:rsidR="00C3342E">
        <w:rPr>
          <w:rFonts w:ascii="Times New Roman" w:hAnsi="Times New Roman" w:cs="Times New Roman"/>
          <w:iCs/>
          <w:sz w:val="24"/>
          <w:szCs w:val="24"/>
          <w:lang w:val="en-US"/>
        </w:rPr>
        <w:t xml:space="preserve">(see Figure S5) </w:t>
      </w:r>
      <w:r w:rsidRPr="00DF39A4">
        <w:rPr>
          <w:rFonts w:ascii="Times New Roman" w:hAnsi="Times New Roman" w:cs="Times New Roman"/>
          <w:iCs/>
          <w:sz w:val="24"/>
          <w:szCs w:val="24"/>
          <w:lang w:val="en-US"/>
        </w:rPr>
        <w:t>and were concentrated above age 60 (see Figure S</w:t>
      </w:r>
      <w:r w:rsidR="003B0EE2">
        <w:rPr>
          <w:rFonts w:ascii="Times New Roman" w:hAnsi="Times New Roman" w:cs="Times New Roman"/>
          <w:iCs/>
          <w:sz w:val="24"/>
          <w:szCs w:val="24"/>
          <w:lang w:val="en-US"/>
        </w:rPr>
        <w:t>7</w:t>
      </w:r>
      <w:r w:rsidRPr="00DF39A4">
        <w:rPr>
          <w:rFonts w:ascii="Times New Roman" w:hAnsi="Times New Roman" w:cs="Times New Roman"/>
          <w:iCs/>
          <w:sz w:val="24"/>
          <w:szCs w:val="24"/>
          <w:lang w:val="en-US"/>
        </w:rPr>
        <w:t>). In the first two years of the pandemic, earlier improvements in CVD mortality were reversed in several countries, with the largest losses seen in Russia in 2019–2020 (-</w:t>
      </w:r>
      <w:r w:rsidR="007A71D9" w:rsidRPr="00DF39A4">
        <w:rPr>
          <w:rFonts w:ascii="Times New Roman" w:hAnsi="Times New Roman" w:cs="Times New Roman"/>
          <w:iCs/>
          <w:sz w:val="24"/>
          <w:szCs w:val="24"/>
          <w:lang w:val="en-US"/>
        </w:rPr>
        <w:t>5</w:t>
      </w:r>
      <w:r w:rsidRPr="00DF39A4">
        <w:rPr>
          <w:rFonts w:ascii="Times New Roman" w:hAnsi="Times New Roman" w:cs="Times New Roman"/>
          <w:iCs/>
          <w:sz w:val="24"/>
          <w:szCs w:val="24"/>
          <w:lang w:val="en-US"/>
        </w:rPr>
        <w:t>.</w:t>
      </w:r>
      <w:r w:rsidR="003411A4" w:rsidRPr="00DF39A4">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 months) and Bulgaria in 2020–2021 (-5.</w:t>
      </w:r>
      <w:r w:rsidR="00AB7459" w:rsidRPr="00DF39A4">
        <w:rPr>
          <w:rFonts w:ascii="Times New Roman" w:hAnsi="Times New Roman" w:cs="Times New Roman"/>
          <w:iCs/>
          <w:sz w:val="24"/>
          <w:szCs w:val="24"/>
          <w:lang w:val="en-US"/>
        </w:rPr>
        <w:t>5</w:t>
      </w:r>
      <w:r w:rsidRPr="00DF39A4">
        <w:rPr>
          <w:rFonts w:ascii="Times New Roman" w:hAnsi="Times New Roman" w:cs="Times New Roman"/>
          <w:iCs/>
          <w:sz w:val="24"/>
          <w:szCs w:val="24"/>
          <w:lang w:val="en-US"/>
        </w:rPr>
        <w:t xml:space="preserve"> months). These losses were disproportionately driven by rising mortality from non-acute CVD. In Russia as well as many Central and Eastern European and Baltic countries, the age profile of CVD- and COVID-19-related life expectancy losses strongly overlapped. Among many countries with available cause-of-death data, life expectancy losses from CVD mortality persisted even in 2021–2022, such as in </w:t>
      </w:r>
      <w:r w:rsidR="00AB7459" w:rsidRPr="00DF39A4">
        <w:rPr>
          <w:rFonts w:ascii="Times New Roman" w:hAnsi="Times New Roman" w:cs="Times New Roman"/>
          <w:iCs/>
          <w:sz w:val="24"/>
          <w:szCs w:val="24"/>
          <w:lang w:val="en-US"/>
        </w:rPr>
        <w:t>England and Wales</w:t>
      </w:r>
      <w:r w:rsidRPr="00DF39A4">
        <w:rPr>
          <w:rFonts w:ascii="Times New Roman" w:hAnsi="Times New Roman" w:cs="Times New Roman"/>
          <w:iCs/>
          <w:sz w:val="24"/>
          <w:szCs w:val="24"/>
          <w:lang w:val="en-US"/>
        </w:rPr>
        <w:t xml:space="preserve"> (-</w:t>
      </w:r>
      <w:r w:rsidR="001A013C" w:rsidRPr="00DF39A4">
        <w:rPr>
          <w:rFonts w:ascii="Times New Roman" w:hAnsi="Times New Roman" w:cs="Times New Roman"/>
          <w:iCs/>
          <w:sz w:val="24"/>
          <w:szCs w:val="24"/>
          <w:lang w:val="en-US"/>
        </w:rPr>
        <w:t>0</w:t>
      </w:r>
      <w:r w:rsidRPr="00DF39A4">
        <w:rPr>
          <w:rFonts w:ascii="Times New Roman" w:hAnsi="Times New Roman" w:cs="Times New Roman"/>
          <w:iCs/>
          <w:sz w:val="24"/>
          <w:szCs w:val="24"/>
          <w:lang w:val="en-US"/>
        </w:rPr>
        <w:t>.</w:t>
      </w:r>
      <w:r w:rsidR="00AB7459" w:rsidRPr="00DF39A4">
        <w:rPr>
          <w:rFonts w:ascii="Times New Roman" w:hAnsi="Times New Roman" w:cs="Times New Roman"/>
          <w:iCs/>
          <w:sz w:val="24"/>
          <w:szCs w:val="24"/>
          <w:lang w:val="en-US"/>
        </w:rPr>
        <w:t>5</w:t>
      </w:r>
      <w:r w:rsidRPr="00DF39A4">
        <w:rPr>
          <w:rFonts w:ascii="Times New Roman" w:hAnsi="Times New Roman" w:cs="Times New Roman"/>
          <w:iCs/>
          <w:sz w:val="24"/>
          <w:szCs w:val="24"/>
          <w:lang w:val="en-US"/>
        </w:rPr>
        <w:t xml:space="preserve"> months).</w:t>
      </w:r>
    </w:p>
    <w:p w14:paraId="1578E869" w14:textId="77777777" w:rsidR="006B466F" w:rsidRPr="00DF39A4" w:rsidRDefault="006B466F" w:rsidP="00252023">
      <w:pPr>
        <w:pStyle w:val="NoSpacing"/>
        <w:spacing w:line="480" w:lineRule="auto"/>
        <w:jc w:val="both"/>
        <w:rPr>
          <w:rFonts w:ascii="Times New Roman" w:hAnsi="Times New Roman" w:cs="Times New Roman"/>
          <w:iCs/>
          <w:sz w:val="24"/>
          <w:szCs w:val="24"/>
          <w:lang w:val="en-US"/>
        </w:rPr>
      </w:pPr>
    </w:p>
    <w:p w14:paraId="1B4D8009" w14:textId="2FA445C3" w:rsidR="006B466F" w:rsidRPr="00DF39A4" w:rsidRDefault="003A0E8C"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Next, reductions in cancer mortality contributed substantially to gains in female life expectancy in most countries, including during pandemic years. The bulk of these improvements in cancer mortality happened above age 50 (see Figure S</w:t>
      </w:r>
      <w:r w:rsidR="003B0EE2">
        <w:rPr>
          <w:rFonts w:ascii="Times New Roman" w:hAnsi="Times New Roman" w:cs="Times New Roman"/>
          <w:iCs/>
          <w:sz w:val="24"/>
          <w:szCs w:val="24"/>
          <w:lang w:val="en-US"/>
        </w:rPr>
        <w:t>7</w:t>
      </w:r>
      <w:r w:rsidRPr="00DF39A4">
        <w:rPr>
          <w:rFonts w:ascii="Times New Roman" w:hAnsi="Times New Roman" w:cs="Times New Roman"/>
          <w:iCs/>
          <w:sz w:val="24"/>
          <w:szCs w:val="24"/>
          <w:lang w:val="en-US"/>
        </w:rPr>
        <w:t xml:space="preserve">). During the pandemic years, individual countries experienced increases in cancer mortality, most notably Lithuania in 2021–2022, where rising cancer mortality led to life expectancy losses of </w:t>
      </w:r>
      <w:r w:rsidR="0013275C"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w:t>
      </w:r>
      <w:r w:rsidR="0013275C" w:rsidRPr="00DF39A4">
        <w:rPr>
          <w:rFonts w:ascii="Times New Roman" w:hAnsi="Times New Roman" w:cs="Times New Roman"/>
          <w:iCs/>
          <w:sz w:val="24"/>
          <w:szCs w:val="24"/>
          <w:lang w:val="en-US"/>
        </w:rPr>
        <w:t>6</w:t>
      </w:r>
      <w:r w:rsidRPr="00DF39A4">
        <w:rPr>
          <w:rFonts w:ascii="Times New Roman" w:hAnsi="Times New Roman" w:cs="Times New Roman"/>
          <w:iCs/>
          <w:sz w:val="24"/>
          <w:szCs w:val="24"/>
          <w:lang w:val="en-US"/>
        </w:rPr>
        <w:t xml:space="preserve"> months among females.</w:t>
      </w:r>
    </w:p>
    <w:p w14:paraId="1EB0473C" w14:textId="77777777" w:rsidR="003A0E8C" w:rsidRPr="00DF39A4" w:rsidRDefault="003A0E8C" w:rsidP="00252023">
      <w:pPr>
        <w:pStyle w:val="NoSpacing"/>
        <w:spacing w:line="480" w:lineRule="auto"/>
        <w:jc w:val="both"/>
        <w:rPr>
          <w:rFonts w:ascii="Times New Roman" w:hAnsi="Times New Roman" w:cs="Times New Roman"/>
          <w:iCs/>
          <w:sz w:val="24"/>
          <w:szCs w:val="24"/>
          <w:lang w:val="en-US"/>
        </w:rPr>
      </w:pPr>
    </w:p>
    <w:p w14:paraId="31F8A947" w14:textId="4C1522C8" w:rsidR="003A0E8C" w:rsidRPr="00DF39A4" w:rsidRDefault="00DD7455"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lastRenderedPageBreak/>
        <w:t>The following three panels show contributions from acute respiratory diseases, COPD, and infectious diseases to female life expectancy changes. These contributions were generally small and mixed. Particularly noteworthy were the large gains from acute respiratory diseases in Chile (</w:t>
      </w:r>
      <w:r w:rsidR="002E7346" w:rsidRPr="00DF39A4">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w:t>
      </w:r>
      <w:r w:rsidR="00C9025E" w:rsidRPr="00DF39A4">
        <w:rPr>
          <w:rFonts w:ascii="Times New Roman" w:hAnsi="Times New Roman" w:cs="Times New Roman"/>
          <w:iCs/>
          <w:sz w:val="24"/>
          <w:szCs w:val="24"/>
          <w:lang w:val="en-US"/>
        </w:rPr>
        <w:t>2</w:t>
      </w:r>
      <w:r w:rsidRPr="00DF39A4">
        <w:rPr>
          <w:rFonts w:ascii="Times New Roman" w:hAnsi="Times New Roman" w:cs="Times New Roman"/>
          <w:iCs/>
          <w:sz w:val="24"/>
          <w:szCs w:val="24"/>
          <w:lang w:val="en-US"/>
        </w:rPr>
        <w:t xml:space="preserve"> months) in 2019–2020 as well as the large losses in Russia in 2019–2020 and 202</w:t>
      </w:r>
      <w:r w:rsidR="009D076C" w:rsidRPr="00DF39A4">
        <w:rPr>
          <w:rFonts w:ascii="Times New Roman" w:hAnsi="Times New Roman" w:cs="Times New Roman"/>
          <w:iCs/>
          <w:sz w:val="24"/>
          <w:szCs w:val="24"/>
          <w:lang w:val="en-US"/>
        </w:rPr>
        <w:t>0</w:t>
      </w:r>
      <w:r w:rsidRPr="00DF39A4">
        <w:rPr>
          <w:rFonts w:ascii="Times New Roman" w:hAnsi="Times New Roman" w:cs="Times New Roman"/>
          <w:iCs/>
          <w:sz w:val="24"/>
          <w:szCs w:val="24"/>
          <w:lang w:val="en-US"/>
        </w:rPr>
        <w:t>–202</w:t>
      </w:r>
      <w:r w:rsidR="009D076C"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 xml:space="preserve"> (-2.</w:t>
      </w:r>
      <w:r w:rsidR="00D851EE" w:rsidRPr="00DF39A4">
        <w:rPr>
          <w:rFonts w:ascii="Times New Roman" w:hAnsi="Times New Roman" w:cs="Times New Roman"/>
          <w:iCs/>
          <w:sz w:val="24"/>
          <w:szCs w:val="24"/>
          <w:lang w:val="en-US"/>
        </w:rPr>
        <w:t>6</w:t>
      </w:r>
      <w:r w:rsidRPr="00DF39A4">
        <w:rPr>
          <w:rFonts w:ascii="Times New Roman" w:hAnsi="Times New Roman" w:cs="Times New Roman"/>
          <w:iCs/>
          <w:sz w:val="24"/>
          <w:szCs w:val="24"/>
          <w:lang w:val="en-US"/>
        </w:rPr>
        <w:t xml:space="preserve"> and -1.</w:t>
      </w:r>
      <w:r w:rsidR="00D851EE"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 xml:space="preserve"> months, respectively). In Bulgaria and Russia, the negative contributions from COVID-19 and acute respiratory mortality had similar age profiles</w:t>
      </w:r>
      <w:r w:rsidR="00710948">
        <w:rPr>
          <w:rFonts w:ascii="Times New Roman" w:hAnsi="Times New Roman" w:cs="Times New Roman"/>
          <w:iCs/>
          <w:sz w:val="24"/>
          <w:szCs w:val="24"/>
          <w:lang w:val="en-US"/>
        </w:rPr>
        <w:t xml:space="preserve"> (see Figure S</w:t>
      </w:r>
      <w:r w:rsidR="003B0EE2">
        <w:rPr>
          <w:rFonts w:ascii="Times New Roman" w:hAnsi="Times New Roman" w:cs="Times New Roman"/>
          <w:iCs/>
          <w:sz w:val="24"/>
          <w:szCs w:val="24"/>
          <w:lang w:val="en-US"/>
        </w:rPr>
        <w:t>7</w:t>
      </w:r>
      <w:r w:rsidR="00710948">
        <w:rPr>
          <w:rFonts w:ascii="Times New Roman" w:hAnsi="Times New Roman" w:cs="Times New Roman"/>
          <w:iCs/>
          <w:sz w:val="24"/>
          <w:szCs w:val="24"/>
          <w:lang w:val="en-US"/>
        </w:rPr>
        <w:t>)</w:t>
      </w:r>
      <w:r w:rsidRPr="00DF39A4">
        <w:rPr>
          <w:rFonts w:ascii="Times New Roman" w:hAnsi="Times New Roman" w:cs="Times New Roman"/>
          <w:iCs/>
          <w:sz w:val="24"/>
          <w:szCs w:val="24"/>
          <w:lang w:val="en-US"/>
        </w:rPr>
        <w:t>.</w:t>
      </w:r>
    </w:p>
    <w:p w14:paraId="7C751E59" w14:textId="77777777" w:rsidR="00DD7455" w:rsidRPr="00DF39A4" w:rsidRDefault="00DD7455" w:rsidP="00252023">
      <w:pPr>
        <w:pStyle w:val="NoSpacing"/>
        <w:spacing w:line="480" w:lineRule="auto"/>
        <w:jc w:val="both"/>
        <w:rPr>
          <w:rFonts w:ascii="Times New Roman" w:hAnsi="Times New Roman" w:cs="Times New Roman"/>
          <w:iCs/>
          <w:sz w:val="24"/>
          <w:szCs w:val="24"/>
          <w:lang w:val="en-US"/>
        </w:rPr>
      </w:pPr>
    </w:p>
    <w:p w14:paraId="13177FB6" w14:textId="01A845BA" w:rsidR="00DD7455" w:rsidRDefault="004D3154"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Contributions from substance and external mortality to female life expectancy changes were generally small. In 2019–2020, negative contributions were particularly pronounced for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xml:space="preserve"> (-2.</w:t>
      </w:r>
      <w:r w:rsidR="003652FB"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 xml:space="preserve"> months) and </w:t>
      </w:r>
      <w:r w:rsidR="003652FB" w:rsidRPr="00DF39A4">
        <w:rPr>
          <w:rFonts w:ascii="Times New Roman" w:hAnsi="Times New Roman" w:cs="Times New Roman"/>
          <w:iCs/>
          <w:sz w:val="24"/>
          <w:szCs w:val="24"/>
          <w:lang w:val="en-US"/>
        </w:rPr>
        <w:t>Lithuania</w:t>
      </w:r>
      <w:r w:rsidRPr="00DF39A4">
        <w:rPr>
          <w:rFonts w:ascii="Times New Roman" w:hAnsi="Times New Roman" w:cs="Times New Roman"/>
          <w:iCs/>
          <w:sz w:val="24"/>
          <w:szCs w:val="24"/>
          <w:lang w:val="en-US"/>
        </w:rPr>
        <w:t xml:space="preserve"> (-</w:t>
      </w:r>
      <w:r w:rsidR="003652FB" w:rsidRPr="00DF39A4">
        <w:rPr>
          <w:rFonts w:ascii="Times New Roman" w:hAnsi="Times New Roman" w:cs="Times New Roman"/>
          <w:iCs/>
          <w:sz w:val="24"/>
          <w:szCs w:val="24"/>
          <w:lang w:val="en-US"/>
        </w:rPr>
        <w:t>1</w:t>
      </w:r>
      <w:r w:rsidRPr="00DF39A4">
        <w:rPr>
          <w:rFonts w:ascii="Times New Roman" w:hAnsi="Times New Roman" w:cs="Times New Roman"/>
          <w:iCs/>
          <w:sz w:val="24"/>
          <w:szCs w:val="24"/>
          <w:lang w:val="en-US"/>
        </w:rPr>
        <w:t>.</w:t>
      </w:r>
      <w:r w:rsidR="003652FB" w:rsidRPr="00DF39A4">
        <w:rPr>
          <w:rFonts w:ascii="Times New Roman" w:hAnsi="Times New Roman" w:cs="Times New Roman"/>
          <w:iCs/>
          <w:sz w:val="24"/>
          <w:szCs w:val="24"/>
          <w:lang w:val="en-US"/>
        </w:rPr>
        <w:t>4</w:t>
      </w:r>
      <w:r w:rsidRPr="00DF39A4">
        <w:rPr>
          <w:rFonts w:ascii="Times New Roman" w:hAnsi="Times New Roman" w:cs="Times New Roman"/>
          <w:iCs/>
          <w:sz w:val="24"/>
          <w:szCs w:val="24"/>
          <w:lang w:val="en-US"/>
        </w:rPr>
        <w:t xml:space="preserve"> months). While increasing drug-related mortality in middle adulthood was mostly responsible for the negative contributions in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xml:space="preserve">, </w:t>
      </w:r>
      <w:r w:rsidR="003652FB" w:rsidRPr="00DF39A4">
        <w:rPr>
          <w:rFonts w:ascii="Times New Roman" w:hAnsi="Times New Roman" w:cs="Times New Roman"/>
          <w:iCs/>
          <w:sz w:val="24"/>
          <w:szCs w:val="24"/>
          <w:lang w:val="en-US"/>
        </w:rPr>
        <w:t xml:space="preserve">alcohol </w:t>
      </w:r>
      <w:r w:rsidRPr="00DF39A4">
        <w:rPr>
          <w:rFonts w:ascii="Times New Roman" w:hAnsi="Times New Roman" w:cs="Times New Roman"/>
          <w:iCs/>
          <w:sz w:val="24"/>
          <w:szCs w:val="24"/>
          <w:lang w:val="en-US"/>
        </w:rPr>
        <w:t xml:space="preserve">mortality was driving the patterns in </w:t>
      </w:r>
      <w:r w:rsidR="003652FB" w:rsidRPr="00DF39A4">
        <w:rPr>
          <w:rFonts w:ascii="Times New Roman" w:hAnsi="Times New Roman" w:cs="Times New Roman"/>
          <w:iCs/>
          <w:sz w:val="24"/>
          <w:szCs w:val="24"/>
          <w:lang w:val="en-US"/>
        </w:rPr>
        <w:t>Lithuania</w:t>
      </w:r>
      <w:r w:rsidR="00BB40D2">
        <w:rPr>
          <w:rFonts w:ascii="Times New Roman" w:hAnsi="Times New Roman" w:cs="Times New Roman"/>
          <w:iCs/>
          <w:sz w:val="24"/>
          <w:szCs w:val="24"/>
          <w:lang w:val="en-US"/>
        </w:rPr>
        <w:t xml:space="preserve"> (Figure S5)</w:t>
      </w:r>
      <w:r w:rsidRPr="00DF39A4">
        <w:rPr>
          <w:rFonts w:ascii="Times New Roman" w:hAnsi="Times New Roman" w:cs="Times New Roman"/>
          <w:iCs/>
          <w:sz w:val="24"/>
          <w:szCs w:val="24"/>
          <w:lang w:val="en-US"/>
        </w:rPr>
        <w:t>. In 2020–2021, negative contributions from substance and external mortality also stood out in Latvia (-</w:t>
      </w:r>
      <w:r w:rsidR="001E5752" w:rsidRPr="00DF39A4">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w:t>
      </w:r>
      <w:r w:rsidR="001E5752" w:rsidRPr="00DF39A4">
        <w:rPr>
          <w:rFonts w:ascii="Times New Roman" w:hAnsi="Times New Roman" w:cs="Times New Roman"/>
          <w:iCs/>
          <w:sz w:val="24"/>
          <w:szCs w:val="24"/>
          <w:lang w:val="en-US"/>
        </w:rPr>
        <w:t>7</w:t>
      </w:r>
      <w:r w:rsidRPr="00DF39A4">
        <w:rPr>
          <w:rFonts w:ascii="Times New Roman" w:hAnsi="Times New Roman" w:cs="Times New Roman"/>
          <w:iCs/>
          <w:sz w:val="24"/>
          <w:szCs w:val="24"/>
          <w:lang w:val="en-US"/>
        </w:rPr>
        <w:t xml:space="preserve"> months), which were driven by alcohol and accident mortality. While generally small, alcohol-related losses in female life expectancy were visible across a broad range of countries during the pandemic, whereas drug-related losses were mostly visible in Canada, Northern Ireland, Scotland, and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xml:space="preserve">. Suicide mortality declined in many countries during the pandemic years, with comparatively large increases in Japan </w:t>
      </w:r>
      <w:r w:rsidR="00AD1EC4">
        <w:rPr>
          <w:rFonts w:ascii="Times New Roman" w:hAnsi="Times New Roman" w:cs="Times New Roman"/>
          <w:iCs/>
          <w:sz w:val="24"/>
          <w:szCs w:val="24"/>
          <w:lang w:val="en-US"/>
        </w:rPr>
        <w:t>(-</w:t>
      </w:r>
      <w:r w:rsidR="00441BDE">
        <w:rPr>
          <w:rFonts w:ascii="Times New Roman" w:hAnsi="Times New Roman" w:cs="Times New Roman"/>
          <w:iCs/>
          <w:sz w:val="24"/>
          <w:szCs w:val="24"/>
          <w:lang w:val="en-US"/>
        </w:rPr>
        <w:t xml:space="preserve">0.7 </w:t>
      </w:r>
      <w:r w:rsidR="00AD1EC4">
        <w:rPr>
          <w:rFonts w:ascii="Times New Roman" w:hAnsi="Times New Roman" w:cs="Times New Roman"/>
          <w:iCs/>
          <w:sz w:val="24"/>
          <w:szCs w:val="24"/>
          <w:lang w:val="en-US"/>
        </w:rPr>
        <w:t xml:space="preserve">months) </w:t>
      </w:r>
      <w:r w:rsidRPr="00DF39A4">
        <w:rPr>
          <w:rFonts w:ascii="Times New Roman" w:hAnsi="Times New Roman" w:cs="Times New Roman"/>
          <w:iCs/>
          <w:sz w:val="24"/>
          <w:szCs w:val="24"/>
          <w:lang w:val="en-US"/>
        </w:rPr>
        <w:t xml:space="preserve">and Northern Ireland </w:t>
      </w:r>
      <w:r w:rsidR="00AD1EC4">
        <w:rPr>
          <w:rFonts w:ascii="Times New Roman" w:hAnsi="Times New Roman" w:cs="Times New Roman"/>
          <w:iCs/>
          <w:sz w:val="24"/>
          <w:szCs w:val="24"/>
          <w:lang w:val="en-US"/>
        </w:rPr>
        <w:t>(-</w:t>
      </w:r>
      <w:r w:rsidR="00441BDE">
        <w:rPr>
          <w:rFonts w:ascii="Times New Roman" w:hAnsi="Times New Roman" w:cs="Times New Roman"/>
          <w:iCs/>
          <w:sz w:val="24"/>
          <w:szCs w:val="24"/>
          <w:lang w:val="en-US"/>
        </w:rPr>
        <w:t>0.7</w:t>
      </w:r>
      <w:r w:rsidR="00AD1EC4">
        <w:rPr>
          <w:rFonts w:ascii="Times New Roman" w:hAnsi="Times New Roman" w:cs="Times New Roman"/>
          <w:iCs/>
          <w:sz w:val="24"/>
          <w:szCs w:val="24"/>
          <w:lang w:val="en-US"/>
        </w:rPr>
        <w:t xml:space="preserve"> months) </w:t>
      </w:r>
      <w:r w:rsidRPr="00DF39A4">
        <w:rPr>
          <w:rFonts w:ascii="Times New Roman" w:hAnsi="Times New Roman" w:cs="Times New Roman"/>
          <w:iCs/>
          <w:sz w:val="24"/>
          <w:szCs w:val="24"/>
          <w:lang w:val="en-US"/>
        </w:rPr>
        <w:t>in 2019–2020.</w:t>
      </w:r>
    </w:p>
    <w:p w14:paraId="65C16A31" w14:textId="77777777" w:rsidR="00B312B4" w:rsidRPr="00DF39A4" w:rsidRDefault="00B312B4" w:rsidP="00252023">
      <w:pPr>
        <w:pStyle w:val="NoSpacing"/>
        <w:spacing w:line="480" w:lineRule="auto"/>
        <w:jc w:val="both"/>
        <w:rPr>
          <w:rFonts w:ascii="Times New Roman" w:hAnsi="Times New Roman" w:cs="Times New Roman"/>
          <w:iCs/>
          <w:sz w:val="24"/>
          <w:szCs w:val="24"/>
          <w:lang w:val="en-US"/>
        </w:rPr>
      </w:pPr>
    </w:p>
    <w:p w14:paraId="4D83DE36" w14:textId="4F7A6C70" w:rsidR="004D3154" w:rsidRDefault="00B227B8"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Finally, while more difficult to interpret, we note that </w:t>
      </w:r>
      <w:proofErr w:type="gramStart"/>
      <w:r w:rsidRPr="00DF39A4">
        <w:rPr>
          <w:rFonts w:ascii="Times New Roman" w:hAnsi="Times New Roman" w:cs="Times New Roman"/>
          <w:iCs/>
          <w:sz w:val="24"/>
          <w:szCs w:val="24"/>
          <w:lang w:val="en-US"/>
        </w:rPr>
        <w:t>a large number of</w:t>
      </w:r>
      <w:proofErr w:type="gramEnd"/>
      <w:r w:rsidRPr="00DF39A4">
        <w:rPr>
          <w:rFonts w:ascii="Times New Roman" w:hAnsi="Times New Roman" w:cs="Times New Roman"/>
          <w:iCs/>
          <w:sz w:val="24"/>
          <w:szCs w:val="24"/>
          <w:lang w:val="en-US"/>
        </w:rPr>
        <w:t xml:space="preserve"> countries experienced losses in female life expectancy due to mortality increases in the residual category (up to -</w:t>
      </w:r>
      <w:r w:rsidR="003B5850" w:rsidRPr="00DF39A4">
        <w:rPr>
          <w:rFonts w:ascii="Times New Roman" w:hAnsi="Times New Roman" w:cs="Times New Roman"/>
          <w:iCs/>
          <w:sz w:val="24"/>
          <w:szCs w:val="24"/>
          <w:lang w:val="en-US"/>
        </w:rPr>
        <w:t>5</w:t>
      </w:r>
      <w:r w:rsidRPr="00DF39A4">
        <w:rPr>
          <w:rFonts w:ascii="Times New Roman" w:hAnsi="Times New Roman" w:cs="Times New Roman"/>
          <w:iCs/>
          <w:sz w:val="24"/>
          <w:szCs w:val="24"/>
          <w:lang w:val="en-US"/>
        </w:rPr>
        <w:t>.</w:t>
      </w:r>
      <w:r w:rsidR="003B5850" w:rsidRPr="00DF39A4">
        <w:rPr>
          <w:rFonts w:ascii="Times New Roman" w:hAnsi="Times New Roman" w:cs="Times New Roman"/>
          <w:iCs/>
          <w:sz w:val="24"/>
          <w:szCs w:val="24"/>
          <w:lang w:val="en-US"/>
        </w:rPr>
        <w:t>7</w:t>
      </w:r>
      <w:r w:rsidRPr="00DF39A4">
        <w:rPr>
          <w:rFonts w:ascii="Times New Roman" w:hAnsi="Times New Roman" w:cs="Times New Roman"/>
          <w:iCs/>
          <w:sz w:val="24"/>
          <w:szCs w:val="24"/>
          <w:lang w:val="en-US"/>
        </w:rPr>
        <w:t xml:space="preserve"> months in </w:t>
      </w:r>
      <w:r w:rsidR="003B5850" w:rsidRPr="00DF39A4">
        <w:rPr>
          <w:rFonts w:ascii="Times New Roman" w:hAnsi="Times New Roman" w:cs="Times New Roman"/>
          <w:iCs/>
          <w:sz w:val="24"/>
          <w:szCs w:val="24"/>
          <w:lang w:val="en-US"/>
        </w:rPr>
        <w:t>Canada</w:t>
      </w:r>
      <w:r w:rsidR="00C247AF" w:rsidRPr="00DF39A4">
        <w:rPr>
          <w:rFonts w:ascii="Times New Roman" w:hAnsi="Times New Roman" w:cs="Times New Roman"/>
          <w:iCs/>
          <w:sz w:val="24"/>
          <w:szCs w:val="24"/>
          <w:lang w:val="en-US"/>
        </w:rPr>
        <w:t xml:space="preserve"> in 2021–2022</w:t>
      </w:r>
      <w:r w:rsidRPr="00DF39A4">
        <w:rPr>
          <w:rFonts w:ascii="Times New Roman" w:hAnsi="Times New Roman" w:cs="Times New Roman"/>
          <w:iCs/>
          <w:sz w:val="24"/>
          <w:szCs w:val="24"/>
          <w:lang w:val="en-US"/>
        </w:rPr>
        <w:t xml:space="preserve">). Nonetheless, some relatively large </w:t>
      </w:r>
      <w:r w:rsidRPr="00DF39A4">
        <w:rPr>
          <w:rFonts w:ascii="Times New Roman" w:hAnsi="Times New Roman" w:cs="Times New Roman"/>
          <w:iCs/>
          <w:sz w:val="24"/>
          <w:szCs w:val="24"/>
          <w:lang w:val="en-US"/>
        </w:rPr>
        <w:lastRenderedPageBreak/>
        <w:t>improvements were also visible, such as for England and Wales in 2020–2021 (4.0 months).</w:t>
      </w:r>
    </w:p>
    <w:p w14:paraId="37246926" w14:textId="77777777" w:rsidR="00B312B4" w:rsidRPr="00DF39A4" w:rsidRDefault="00B312B4" w:rsidP="00252023">
      <w:pPr>
        <w:pStyle w:val="NoSpacing"/>
        <w:spacing w:line="480" w:lineRule="auto"/>
        <w:jc w:val="both"/>
        <w:rPr>
          <w:rFonts w:ascii="Times New Roman" w:hAnsi="Times New Roman" w:cs="Times New Roman"/>
          <w:iCs/>
          <w:sz w:val="24"/>
          <w:szCs w:val="24"/>
          <w:lang w:val="en-US"/>
        </w:rPr>
      </w:pPr>
    </w:p>
    <w:p w14:paraId="0BD888CC" w14:textId="67315563" w:rsidR="00CD310D" w:rsidRPr="00DF39A4" w:rsidRDefault="000E067C"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Figure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2 shows the decomposition results for changes in male life expectancy. To facilitate comparison, the decomposition results for females and males are shown on the same scale. Like for females, the countries on the vertical axis are ordered according to the contributions from COVID-19 mortality in 2019–2020. Although the order of countries in Figures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 xml:space="preserve">1 and </w:t>
      </w:r>
      <w:r w:rsidR="009309BD">
        <w:rPr>
          <w:rFonts w:ascii="Times New Roman" w:hAnsi="Times New Roman" w:cs="Times New Roman"/>
          <w:iCs/>
          <w:sz w:val="24"/>
          <w:szCs w:val="24"/>
          <w:lang w:val="en-US"/>
        </w:rPr>
        <w:t>3-</w:t>
      </w:r>
      <w:r w:rsidRPr="00DF39A4">
        <w:rPr>
          <w:rFonts w:ascii="Times New Roman" w:hAnsi="Times New Roman" w:cs="Times New Roman"/>
          <w:iCs/>
          <w:sz w:val="24"/>
          <w:szCs w:val="24"/>
          <w:lang w:val="en-US"/>
        </w:rPr>
        <w:t>2 is different, the countries with the smallest (</w:t>
      </w:r>
      <w:r w:rsidR="00F0733E" w:rsidRPr="00DF39A4">
        <w:rPr>
          <w:rFonts w:ascii="Times New Roman" w:hAnsi="Times New Roman" w:cs="Times New Roman"/>
          <w:iCs/>
          <w:sz w:val="24"/>
          <w:szCs w:val="24"/>
          <w:lang w:val="en-US"/>
        </w:rPr>
        <w:t xml:space="preserve">Australia, </w:t>
      </w:r>
      <w:r w:rsidRPr="00DF39A4">
        <w:rPr>
          <w:rFonts w:ascii="Times New Roman" w:hAnsi="Times New Roman" w:cs="Times New Roman"/>
          <w:iCs/>
          <w:sz w:val="24"/>
          <w:szCs w:val="24"/>
          <w:lang w:val="en-US"/>
        </w:rPr>
        <w:t>Japan, South Korea) and largest (Brazil, Chile, Spain) contributions from deaths coded as COVID-19 in 2019–2020 were the same for females and males. In 2020–2021, a few countries (Denmark, England and Wales, Scotland, Spain, Sweden, and Switzerland) experienced gains in male life expectancy due to reductions in COVID-19 mortality, while most countries experienced further losses. Brazil, Russia, the Baltics, and several Central and Eastern European countries experienced the largest COVID-19-related declines during this period. In contrast, in 2021–2022, we observed life expectancy gains due to COVID-19 in most countries with available cause-of-death data, except for Australia</w:t>
      </w:r>
      <w:r w:rsidR="004429ED" w:rsidRPr="00DF39A4">
        <w:rPr>
          <w:rFonts w:ascii="Times New Roman" w:hAnsi="Times New Roman" w:cs="Times New Roman"/>
          <w:iCs/>
          <w:sz w:val="24"/>
          <w:szCs w:val="24"/>
          <w:lang w:val="en-US"/>
        </w:rPr>
        <w:t xml:space="preserve"> and</w:t>
      </w:r>
      <w:r w:rsidRPr="00DF39A4">
        <w:rPr>
          <w:rFonts w:ascii="Times New Roman" w:hAnsi="Times New Roman" w:cs="Times New Roman"/>
          <w:iCs/>
          <w:sz w:val="24"/>
          <w:szCs w:val="24"/>
          <w:lang w:val="en-US"/>
        </w:rPr>
        <w:t xml:space="preserve"> Canada.</w:t>
      </w:r>
    </w:p>
    <w:p w14:paraId="1BA43ED9" w14:textId="4E2D97DF" w:rsidR="00B13A78" w:rsidRDefault="00736718" w:rsidP="00252023">
      <w:pPr>
        <w:pStyle w:val="NoSpacing"/>
        <w:spacing w:line="480" w:lineRule="auto"/>
        <w:jc w:val="both"/>
        <w:rPr>
          <w:rFonts w:ascii="Times New Roman" w:hAnsi="Times New Roman" w:cs="Times New Roman"/>
          <w:iCs/>
          <w:sz w:val="24"/>
          <w:szCs w:val="24"/>
          <w:lang w:val="en-US"/>
        </w:rPr>
      </w:pPr>
      <w:r>
        <w:rPr>
          <w:noProof/>
        </w:rPr>
        <w:lastRenderedPageBreak/>
        <w:drawing>
          <wp:inline distT="0" distB="0" distL="0" distR="0" wp14:anchorId="462828EB" wp14:editId="0B6F0E86">
            <wp:extent cx="5943600" cy="4611370"/>
            <wp:effectExtent l="0" t="0" r="0" b="0"/>
            <wp:docPr id="776562358"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62358" name="Picture 1" descr="A screenshot of a graph&#10;&#10;Description automatically generated"/>
                    <pic:cNvPicPr/>
                  </pic:nvPicPr>
                  <pic:blipFill>
                    <a:blip r:embed="rId12"/>
                    <a:stretch>
                      <a:fillRect/>
                    </a:stretch>
                  </pic:blipFill>
                  <pic:spPr>
                    <a:xfrm>
                      <a:off x="0" y="0"/>
                      <a:ext cx="5943600" cy="4611370"/>
                    </a:xfrm>
                    <a:prstGeom prst="rect">
                      <a:avLst/>
                    </a:prstGeom>
                  </pic:spPr>
                </pic:pic>
              </a:graphicData>
            </a:graphic>
          </wp:inline>
        </w:drawing>
      </w:r>
    </w:p>
    <w:p w14:paraId="18316365" w14:textId="4F7540A6" w:rsidR="00010359" w:rsidRPr="00010359" w:rsidRDefault="00010359" w:rsidP="003B15EA">
      <w:pPr>
        <w:pStyle w:val="NoSpacing"/>
        <w:jc w:val="both"/>
        <w:rPr>
          <w:rFonts w:ascii="Times New Roman" w:hAnsi="Times New Roman" w:cs="Times New Roman"/>
          <w:bCs/>
          <w:sz w:val="24"/>
          <w:szCs w:val="24"/>
        </w:rPr>
      </w:pPr>
      <w:r w:rsidRPr="001D6F81">
        <w:rPr>
          <w:rFonts w:ascii="Times New Roman" w:hAnsi="Times New Roman" w:cs="Times New Roman"/>
          <w:b/>
          <w:sz w:val="24"/>
          <w:szCs w:val="24"/>
          <w:lang w:eastAsia="zh-CN"/>
        </w:rPr>
        <w:t xml:space="preserve">Figure </w:t>
      </w:r>
      <w:r w:rsidR="009309BD">
        <w:rPr>
          <w:rFonts w:ascii="Times New Roman" w:hAnsi="Times New Roman" w:cs="Times New Roman"/>
          <w:b/>
          <w:sz w:val="24"/>
          <w:szCs w:val="24"/>
          <w:lang w:eastAsia="zh-CN"/>
        </w:rPr>
        <w:t>3-</w:t>
      </w:r>
      <w:r>
        <w:rPr>
          <w:rFonts w:ascii="Times New Roman" w:hAnsi="Times New Roman" w:cs="Times New Roman"/>
          <w:b/>
          <w:sz w:val="24"/>
          <w:szCs w:val="24"/>
          <w:lang w:eastAsia="zh-CN"/>
        </w:rPr>
        <w:t>2.</w:t>
      </w:r>
      <w:r>
        <w:rPr>
          <w:rFonts w:ascii="Times New Roman" w:hAnsi="Times New Roman" w:cs="Times New Roman"/>
          <w:sz w:val="24"/>
          <w:szCs w:val="24"/>
          <w:lang w:eastAsia="zh-CN"/>
        </w:rPr>
        <w:t xml:space="preserve"> </w:t>
      </w:r>
      <w:r>
        <w:rPr>
          <w:rFonts w:ascii="Times New Roman" w:hAnsi="Times New Roman" w:cs="Times New Roman"/>
          <w:bCs/>
          <w:sz w:val="24"/>
          <w:szCs w:val="24"/>
        </w:rPr>
        <w:t>Cause-of-death-specific c</w:t>
      </w:r>
      <w:r w:rsidRPr="001D6F81">
        <w:rPr>
          <w:rFonts w:ascii="Times New Roman" w:hAnsi="Times New Roman" w:cs="Times New Roman"/>
          <w:bCs/>
          <w:sz w:val="24"/>
          <w:szCs w:val="24"/>
        </w:rPr>
        <w:t xml:space="preserve">ontributions to changes in </w:t>
      </w:r>
      <w:r>
        <w:rPr>
          <w:rFonts w:ascii="Times New Roman" w:hAnsi="Times New Roman" w:cs="Times New Roman"/>
          <w:bCs/>
          <w:sz w:val="24"/>
          <w:szCs w:val="24"/>
        </w:rPr>
        <w:t xml:space="preserve">male </w:t>
      </w:r>
      <w:r w:rsidRPr="001D6F81">
        <w:rPr>
          <w:rFonts w:ascii="Times New Roman" w:hAnsi="Times New Roman" w:cs="Times New Roman"/>
          <w:bCs/>
          <w:sz w:val="24"/>
          <w:szCs w:val="24"/>
        </w:rPr>
        <w:t xml:space="preserve">life expectancy at birth by </w:t>
      </w:r>
      <w:r>
        <w:rPr>
          <w:rFonts w:ascii="Times New Roman" w:hAnsi="Times New Roman" w:cs="Times New Roman"/>
          <w:bCs/>
          <w:sz w:val="24"/>
          <w:szCs w:val="24"/>
        </w:rPr>
        <w:t xml:space="preserve">country and </w:t>
      </w:r>
      <w:r w:rsidRPr="001D6F81">
        <w:rPr>
          <w:rFonts w:ascii="Times New Roman" w:hAnsi="Times New Roman" w:cs="Times New Roman"/>
          <w:bCs/>
          <w:sz w:val="24"/>
          <w:szCs w:val="24"/>
        </w:rPr>
        <w:t>period.</w:t>
      </w:r>
      <w:r>
        <w:rPr>
          <w:rFonts w:ascii="Times New Roman" w:hAnsi="Times New Roman" w:cs="Times New Roman"/>
          <w:bCs/>
          <w:sz w:val="24"/>
          <w:szCs w:val="24"/>
        </w:rPr>
        <w:t xml:space="preserve"> </w:t>
      </w:r>
      <w:r w:rsidRPr="6C5E14B3">
        <w:rPr>
          <w:rFonts w:ascii="Times New Roman" w:hAnsi="Times New Roman" w:cs="Times New Roman"/>
          <w:i/>
          <w:iCs/>
          <w:sz w:val="24"/>
          <w:szCs w:val="24"/>
          <w:lang w:val="en-US"/>
        </w:rPr>
        <w:t>Note:</w:t>
      </w:r>
      <w:r w:rsidRPr="6C5E14B3">
        <w:rPr>
          <w:rFonts w:ascii="Times New Roman" w:hAnsi="Times New Roman" w:cs="Times New Roman"/>
          <w:sz w:val="24"/>
          <w:szCs w:val="24"/>
          <w:lang w:val="en-US"/>
        </w:rPr>
        <w:t xml:space="preserve"> Contributions in months. Tiles for period 2015–2019 show average annual contributions. Cause-of-death data for period 2021–2022 only available for: Australia, Canada, England and Wales, Hungary, Lithuania, the Netherlands, Sweden, and the </w:t>
      </w:r>
      <w:r w:rsidR="00025184">
        <w:rPr>
          <w:rFonts w:ascii="Times New Roman" w:hAnsi="Times New Roman" w:cs="Times New Roman"/>
          <w:sz w:val="24"/>
          <w:szCs w:val="24"/>
          <w:lang w:val="en-US"/>
        </w:rPr>
        <w:t>USA</w:t>
      </w:r>
      <w:r w:rsidRPr="6C5E14B3">
        <w:rPr>
          <w:rFonts w:ascii="Times New Roman" w:hAnsi="Times New Roman" w:cs="Times New Roman"/>
          <w:sz w:val="24"/>
          <w:szCs w:val="24"/>
          <w:lang w:val="en-US"/>
        </w:rPr>
        <w:t>.</w:t>
      </w:r>
    </w:p>
    <w:p w14:paraId="241C0637" w14:textId="77777777" w:rsidR="001E7E4E" w:rsidRPr="00010359" w:rsidRDefault="001E7E4E" w:rsidP="00252023">
      <w:pPr>
        <w:pStyle w:val="NoSpacing"/>
        <w:spacing w:line="480" w:lineRule="auto"/>
        <w:jc w:val="both"/>
        <w:rPr>
          <w:rFonts w:ascii="Times New Roman" w:hAnsi="Times New Roman" w:cs="Times New Roman"/>
          <w:iCs/>
          <w:sz w:val="24"/>
          <w:szCs w:val="24"/>
        </w:rPr>
      </w:pPr>
    </w:p>
    <w:p w14:paraId="64FF9211" w14:textId="05E33453" w:rsidR="000E067C" w:rsidRPr="00DF39A4" w:rsidRDefault="00E44D0C"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In 2019–2020, Russia, Lithuania, and many Central and Eastern Europe</w:t>
      </w:r>
      <w:r w:rsidR="00716FC2">
        <w:rPr>
          <w:rFonts w:ascii="Times New Roman" w:hAnsi="Times New Roman" w:cs="Times New Roman"/>
          <w:iCs/>
          <w:sz w:val="24"/>
          <w:szCs w:val="24"/>
          <w:lang w:val="en-US"/>
        </w:rPr>
        <w:t>an</w:t>
      </w:r>
      <w:r w:rsidRPr="00DF39A4">
        <w:rPr>
          <w:rFonts w:ascii="Times New Roman" w:hAnsi="Times New Roman" w:cs="Times New Roman"/>
          <w:iCs/>
          <w:sz w:val="24"/>
          <w:szCs w:val="24"/>
          <w:lang w:val="en-US"/>
        </w:rPr>
        <w:t xml:space="preserve"> and Anglo</w:t>
      </w:r>
      <w:r w:rsidR="00A01CED">
        <w:rPr>
          <w:rFonts w:ascii="Times New Roman" w:hAnsi="Times New Roman" w:cs="Times New Roman"/>
          <w:iCs/>
          <w:sz w:val="24"/>
          <w:szCs w:val="24"/>
          <w:lang w:val="en-US"/>
        </w:rPr>
        <w:t>-S</w:t>
      </w:r>
      <w:r w:rsidRPr="00DF39A4">
        <w:rPr>
          <w:rFonts w:ascii="Times New Roman" w:hAnsi="Times New Roman" w:cs="Times New Roman"/>
          <w:iCs/>
          <w:sz w:val="24"/>
          <w:szCs w:val="24"/>
          <w:lang w:val="en-US"/>
        </w:rPr>
        <w:t xml:space="preserve">axon countries (Canada, </w:t>
      </w:r>
      <w:r w:rsidR="002F4EF6">
        <w:rPr>
          <w:rFonts w:ascii="Times New Roman" w:hAnsi="Times New Roman" w:cs="Times New Roman"/>
          <w:iCs/>
          <w:sz w:val="24"/>
          <w:szCs w:val="24"/>
          <w:lang w:val="en-US"/>
        </w:rPr>
        <w:t xml:space="preserve">Northern Ireland, </w:t>
      </w:r>
      <w:r w:rsidRPr="00DF39A4">
        <w:rPr>
          <w:rFonts w:ascii="Times New Roman" w:hAnsi="Times New Roman" w:cs="Times New Roman"/>
          <w:iCs/>
          <w:sz w:val="24"/>
          <w:szCs w:val="24"/>
          <w:lang w:val="en-US"/>
        </w:rPr>
        <w:t xml:space="preserve">Scotland, </w:t>
      </w:r>
      <w:r w:rsidR="00177849">
        <w:rPr>
          <w:rFonts w:ascii="Times New Roman" w:hAnsi="Times New Roman" w:cs="Times New Roman"/>
          <w:iCs/>
          <w:sz w:val="24"/>
          <w:szCs w:val="24"/>
          <w:lang w:val="en-US"/>
        </w:rPr>
        <w:t xml:space="preserve">and the </w:t>
      </w:r>
      <w:r w:rsidRPr="00DF39A4">
        <w:rPr>
          <w:rFonts w:ascii="Times New Roman" w:hAnsi="Times New Roman" w:cs="Times New Roman"/>
          <w:iCs/>
          <w:sz w:val="24"/>
          <w:szCs w:val="24"/>
          <w:lang w:val="en-US"/>
        </w:rPr>
        <w:t>USA) saw male life expectancy losses due to rising non-COVID-19 mortality. Similar losses were seen on a geographically wider scale in 2020–2021 and continued in 2021–2022, except for Hungary</w:t>
      </w:r>
      <w:r w:rsidR="0029235F" w:rsidRPr="00DF39A4">
        <w:rPr>
          <w:rFonts w:ascii="Times New Roman" w:hAnsi="Times New Roman" w:cs="Times New Roman"/>
          <w:iCs/>
          <w:sz w:val="24"/>
          <w:szCs w:val="24"/>
          <w:lang w:val="en-US"/>
        </w:rPr>
        <w:t>, Lithuania,</w:t>
      </w:r>
      <w:r w:rsidRPr="00DF39A4">
        <w:rPr>
          <w:rFonts w:ascii="Times New Roman" w:hAnsi="Times New Roman" w:cs="Times New Roman"/>
          <w:iCs/>
          <w:sz w:val="24"/>
          <w:szCs w:val="24"/>
          <w:lang w:val="en-US"/>
        </w:rPr>
        <w:t xml:space="preserve"> and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CVD mortality, particularly non-acute CVD, appeared to be the main driver of changes in non-COVID-19 mortality during the pandemic years (see Figure S</w:t>
      </w:r>
      <w:r w:rsidR="009448F8">
        <w:rPr>
          <w:rFonts w:ascii="Times New Roman" w:hAnsi="Times New Roman" w:cs="Times New Roman"/>
          <w:iCs/>
          <w:sz w:val="24"/>
          <w:szCs w:val="24"/>
          <w:lang w:val="en-US"/>
        </w:rPr>
        <w:t>6</w:t>
      </w:r>
      <w:r w:rsidRPr="00DF39A4">
        <w:rPr>
          <w:rFonts w:ascii="Times New Roman" w:hAnsi="Times New Roman" w:cs="Times New Roman"/>
          <w:iCs/>
          <w:sz w:val="24"/>
          <w:szCs w:val="24"/>
          <w:lang w:val="en-US"/>
        </w:rPr>
        <w:t>).</w:t>
      </w:r>
    </w:p>
    <w:p w14:paraId="3CB1340E" w14:textId="59CF5233" w:rsidR="00E44D0C" w:rsidRPr="00DF39A4" w:rsidRDefault="006158F2"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lastRenderedPageBreak/>
        <w:t xml:space="preserve">Before and during the pandemic, we observed widespread positive contributions to changes in male life expectancy from reductions in cancer mortality, with few exceptions. Contributions from acute respiratory diseases, COPD, and infectious diseases were small and mixed, with some exceptionally large positive or negative contributions from acute respiratory diseases in </w:t>
      </w:r>
      <w:r w:rsidR="00443F81" w:rsidRPr="00DF39A4">
        <w:rPr>
          <w:rFonts w:ascii="Times New Roman" w:hAnsi="Times New Roman" w:cs="Times New Roman"/>
          <w:iCs/>
          <w:sz w:val="24"/>
          <w:szCs w:val="24"/>
          <w:lang w:val="en-US"/>
        </w:rPr>
        <w:t xml:space="preserve">Bulgaria, </w:t>
      </w:r>
      <w:r w:rsidRPr="00DF39A4">
        <w:rPr>
          <w:rFonts w:ascii="Times New Roman" w:hAnsi="Times New Roman" w:cs="Times New Roman"/>
          <w:iCs/>
          <w:sz w:val="24"/>
          <w:szCs w:val="24"/>
          <w:lang w:val="en-US"/>
        </w:rPr>
        <w:t>Chile</w:t>
      </w:r>
      <w:r w:rsidR="00443F81" w:rsidRPr="00DF39A4">
        <w:rPr>
          <w:rFonts w:ascii="Times New Roman" w:hAnsi="Times New Roman" w:cs="Times New Roman"/>
          <w:iCs/>
          <w:sz w:val="24"/>
          <w:szCs w:val="24"/>
          <w:lang w:val="en-US"/>
        </w:rPr>
        <w:t>,</w:t>
      </w:r>
      <w:r w:rsidRPr="00DF39A4">
        <w:rPr>
          <w:rFonts w:ascii="Times New Roman" w:hAnsi="Times New Roman" w:cs="Times New Roman"/>
          <w:iCs/>
          <w:sz w:val="24"/>
          <w:szCs w:val="24"/>
          <w:lang w:val="en-US"/>
        </w:rPr>
        <w:t xml:space="preserve"> and </w:t>
      </w:r>
      <w:r w:rsidR="00443F81" w:rsidRPr="00DF39A4">
        <w:rPr>
          <w:rFonts w:ascii="Times New Roman" w:hAnsi="Times New Roman" w:cs="Times New Roman"/>
          <w:iCs/>
          <w:sz w:val="24"/>
          <w:szCs w:val="24"/>
          <w:lang w:val="en-US"/>
        </w:rPr>
        <w:t>Russia</w:t>
      </w:r>
      <w:r w:rsidRPr="00DF39A4">
        <w:rPr>
          <w:rFonts w:ascii="Times New Roman" w:hAnsi="Times New Roman" w:cs="Times New Roman"/>
          <w:iCs/>
          <w:sz w:val="24"/>
          <w:szCs w:val="24"/>
          <w:lang w:val="en-US"/>
        </w:rPr>
        <w:t xml:space="preserve"> during the pandemic.</w:t>
      </w:r>
    </w:p>
    <w:p w14:paraId="78E0D296" w14:textId="77777777" w:rsidR="006158F2" w:rsidRPr="00DF39A4" w:rsidRDefault="006158F2" w:rsidP="00252023">
      <w:pPr>
        <w:pStyle w:val="NoSpacing"/>
        <w:spacing w:line="480" w:lineRule="auto"/>
        <w:jc w:val="both"/>
        <w:rPr>
          <w:rFonts w:ascii="Times New Roman" w:hAnsi="Times New Roman" w:cs="Times New Roman"/>
          <w:iCs/>
          <w:sz w:val="24"/>
          <w:szCs w:val="24"/>
          <w:lang w:val="en-US"/>
        </w:rPr>
      </w:pPr>
    </w:p>
    <w:p w14:paraId="28B4F4DF" w14:textId="613E7311" w:rsidR="009002D5" w:rsidRPr="00DF39A4" w:rsidRDefault="009002D5"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Contributions from substance and external mortality were generally larger among males vs. females. Before the pandemic, life expectancy losses due to</w:t>
      </w:r>
      <w:r w:rsidR="00486590" w:rsidRPr="00DF39A4">
        <w:rPr>
          <w:rFonts w:ascii="Times New Roman" w:hAnsi="Times New Roman" w:cs="Times New Roman"/>
          <w:iCs/>
          <w:sz w:val="24"/>
          <w:szCs w:val="24"/>
          <w:lang w:val="en-US"/>
        </w:rPr>
        <w:t xml:space="preserve"> substances and</w:t>
      </w:r>
      <w:r w:rsidRPr="00DF39A4">
        <w:rPr>
          <w:rFonts w:ascii="Times New Roman" w:hAnsi="Times New Roman" w:cs="Times New Roman"/>
          <w:iCs/>
          <w:sz w:val="24"/>
          <w:szCs w:val="24"/>
          <w:lang w:val="en-US"/>
        </w:rPr>
        <w:t xml:space="preserve"> external causes were particularly visible for Canada, Scotland, and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xml:space="preserve">. These negative contributions were predominantly driven by rising drug-related mortality, which continued to worsen during the pandemic, except for Scotland in 2020–2021 and Canada and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xml:space="preserve"> in 2021–2022 (see Figure S</w:t>
      </w:r>
      <w:r w:rsidR="00D94A04">
        <w:rPr>
          <w:rFonts w:ascii="Times New Roman" w:hAnsi="Times New Roman" w:cs="Times New Roman"/>
          <w:iCs/>
          <w:sz w:val="24"/>
          <w:szCs w:val="24"/>
          <w:lang w:val="en-US"/>
        </w:rPr>
        <w:t>6</w:t>
      </w:r>
      <w:r w:rsidRPr="00DF39A4">
        <w:rPr>
          <w:rFonts w:ascii="Times New Roman" w:hAnsi="Times New Roman" w:cs="Times New Roman"/>
          <w:iCs/>
          <w:sz w:val="24"/>
          <w:szCs w:val="24"/>
          <w:lang w:val="en-US"/>
        </w:rPr>
        <w:t xml:space="preserve">). In the </w:t>
      </w:r>
      <w:r w:rsidR="00025184">
        <w:rPr>
          <w:rFonts w:ascii="Times New Roman" w:hAnsi="Times New Roman" w:cs="Times New Roman"/>
          <w:iCs/>
          <w:sz w:val="24"/>
          <w:szCs w:val="24"/>
          <w:lang w:val="en-US"/>
        </w:rPr>
        <w:t>USA</w:t>
      </w:r>
      <w:r w:rsidRPr="00DF39A4">
        <w:rPr>
          <w:rFonts w:ascii="Times New Roman" w:hAnsi="Times New Roman" w:cs="Times New Roman"/>
          <w:iCs/>
          <w:sz w:val="24"/>
          <w:szCs w:val="24"/>
          <w:lang w:val="en-US"/>
        </w:rPr>
        <w:t>, mortality from other external causes, including accidents, also worsened noticeably during the pandemic. Several other countries experienced losses in male life expectancy due to rising substance and external mortality during the pandemic years. Our more detailed decomposition results in Figure S</w:t>
      </w:r>
      <w:r w:rsidR="00D94A04">
        <w:rPr>
          <w:rFonts w:ascii="Times New Roman" w:hAnsi="Times New Roman" w:cs="Times New Roman"/>
          <w:iCs/>
          <w:sz w:val="24"/>
          <w:szCs w:val="24"/>
          <w:lang w:val="en-US"/>
        </w:rPr>
        <w:t>6</w:t>
      </w:r>
      <w:r w:rsidRPr="00DF39A4">
        <w:rPr>
          <w:rFonts w:ascii="Times New Roman" w:hAnsi="Times New Roman" w:cs="Times New Roman"/>
          <w:iCs/>
          <w:sz w:val="24"/>
          <w:szCs w:val="24"/>
          <w:lang w:val="en-US"/>
        </w:rPr>
        <w:t xml:space="preserve"> suggest that these negative contributions were </w:t>
      </w:r>
      <w:proofErr w:type="gramStart"/>
      <w:r w:rsidRPr="00DF39A4">
        <w:rPr>
          <w:rFonts w:ascii="Times New Roman" w:hAnsi="Times New Roman" w:cs="Times New Roman"/>
          <w:iCs/>
          <w:sz w:val="24"/>
          <w:szCs w:val="24"/>
          <w:lang w:val="en-US"/>
        </w:rPr>
        <w:t>to a large extent</w:t>
      </w:r>
      <w:proofErr w:type="gramEnd"/>
      <w:r w:rsidRPr="00DF39A4">
        <w:rPr>
          <w:rFonts w:ascii="Times New Roman" w:hAnsi="Times New Roman" w:cs="Times New Roman"/>
          <w:iCs/>
          <w:sz w:val="24"/>
          <w:szCs w:val="24"/>
          <w:lang w:val="en-US"/>
        </w:rPr>
        <w:t xml:space="preserve"> driven by alcohol and/or drug mortality, which increased in many countries during the pandemic, most notably in Latvia in 2020–2021. Like for females, suicide and accident mortality often declined during the pandemic years, with many of the positive contributions appearing larger for males, especially for accident mortality.</w:t>
      </w:r>
    </w:p>
    <w:p w14:paraId="4122E973" w14:textId="77777777" w:rsidR="009002D5" w:rsidRPr="00DF39A4" w:rsidRDefault="009002D5"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 </w:t>
      </w:r>
    </w:p>
    <w:p w14:paraId="115841B7" w14:textId="7362C3D4" w:rsidR="006158F2" w:rsidRPr="00DF39A4" w:rsidRDefault="009002D5" w:rsidP="00252023">
      <w:pPr>
        <w:pStyle w:val="NoSpacing"/>
        <w:spacing w:line="480" w:lineRule="auto"/>
        <w:jc w:val="both"/>
        <w:rPr>
          <w:rFonts w:ascii="Times New Roman" w:hAnsi="Times New Roman" w:cs="Times New Roman"/>
          <w:iCs/>
          <w:sz w:val="24"/>
          <w:szCs w:val="24"/>
          <w:lang w:val="en-US"/>
        </w:rPr>
      </w:pPr>
      <w:r w:rsidRPr="00DF39A4">
        <w:rPr>
          <w:rFonts w:ascii="Times New Roman" w:hAnsi="Times New Roman" w:cs="Times New Roman"/>
          <w:iCs/>
          <w:sz w:val="24"/>
          <w:szCs w:val="24"/>
          <w:lang w:val="en-US"/>
        </w:rPr>
        <w:t xml:space="preserve">Finally, </w:t>
      </w:r>
      <w:proofErr w:type="gramStart"/>
      <w:r w:rsidRPr="00DF39A4">
        <w:rPr>
          <w:rFonts w:ascii="Times New Roman" w:hAnsi="Times New Roman" w:cs="Times New Roman"/>
          <w:iCs/>
          <w:sz w:val="24"/>
          <w:szCs w:val="24"/>
          <w:lang w:val="en-US"/>
        </w:rPr>
        <w:t>similar to</w:t>
      </w:r>
      <w:proofErr w:type="gramEnd"/>
      <w:r w:rsidRPr="00DF39A4">
        <w:rPr>
          <w:rFonts w:ascii="Times New Roman" w:hAnsi="Times New Roman" w:cs="Times New Roman"/>
          <w:iCs/>
          <w:sz w:val="24"/>
          <w:szCs w:val="24"/>
          <w:lang w:val="en-US"/>
        </w:rPr>
        <w:t xml:space="preserve"> the decomposition results for females, we observed widespread losses in male life expectancy due to rising mortality in the residual category, with some exceptions, such as England and Wales in 2020–2021.</w:t>
      </w:r>
    </w:p>
    <w:p w14:paraId="24CAFFB5" w14:textId="77777777" w:rsidR="000E465B" w:rsidRDefault="000E465B">
      <w:pPr>
        <w:rPr>
          <w:rFonts w:ascii="Times New Roman" w:hAnsi="Times New Roman" w:cs="Times New Roman"/>
          <w:b/>
          <w:bCs/>
          <w:iCs/>
          <w:sz w:val="24"/>
          <w:szCs w:val="24"/>
        </w:rPr>
      </w:pPr>
      <w:r>
        <w:rPr>
          <w:rFonts w:ascii="Times New Roman" w:hAnsi="Times New Roman" w:cs="Times New Roman"/>
          <w:b/>
          <w:bCs/>
          <w:iCs/>
          <w:sz w:val="24"/>
          <w:szCs w:val="24"/>
        </w:rPr>
        <w:br w:type="page"/>
      </w:r>
    </w:p>
    <w:p w14:paraId="313DAB6D" w14:textId="772D6D67" w:rsidR="00647522" w:rsidRPr="00C41903" w:rsidRDefault="001178EE" w:rsidP="00252023">
      <w:pPr>
        <w:pStyle w:val="NoSpacing"/>
        <w:spacing w:line="480" w:lineRule="auto"/>
        <w:jc w:val="both"/>
        <w:rPr>
          <w:rFonts w:ascii="Times New Roman" w:hAnsi="Times New Roman" w:cs="Times New Roman"/>
          <w:b/>
          <w:bCs/>
          <w:sz w:val="24"/>
          <w:szCs w:val="24"/>
          <w:lang w:val="en-US"/>
        </w:rPr>
      </w:pPr>
      <w:r w:rsidRPr="00C41903">
        <w:rPr>
          <w:rFonts w:ascii="Times New Roman" w:hAnsi="Times New Roman" w:cs="Times New Roman"/>
          <w:b/>
          <w:bCs/>
          <w:iCs/>
          <w:sz w:val="24"/>
          <w:szCs w:val="24"/>
          <w:lang w:val="en-US"/>
        </w:rPr>
        <w:lastRenderedPageBreak/>
        <w:t xml:space="preserve">3.4. </w:t>
      </w:r>
      <w:r w:rsidR="00647522" w:rsidRPr="00C41903">
        <w:rPr>
          <w:rFonts w:ascii="Times New Roman" w:hAnsi="Times New Roman" w:cs="Times New Roman"/>
          <w:b/>
          <w:bCs/>
          <w:iCs/>
          <w:sz w:val="24"/>
          <w:szCs w:val="24"/>
          <w:lang w:val="en-US"/>
        </w:rPr>
        <w:t>Discussion</w:t>
      </w:r>
    </w:p>
    <w:p w14:paraId="6E47C492" w14:textId="5969A8BE"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The first waves of the COVID-19 pandemic in 2020 induced sizable life expectancy losses in many countries around the world, with very few exceptions</w:t>
      </w:r>
      <w:r w:rsidR="00520186">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{"citationID":"VXtAD62E","properties":{"formattedCitation":"(Aburto, Sch\\uc0\\u246{}ley, et al., 2022; Heuveline, 2022; Mazzuco &amp; Campostrini, 2022; Sch\\uc0\\u246{}ley et al., 2022)","plainCitation":"(Aburto, Schöley, et al., 2022; Heuveline, 2022; Mazzuco &amp; Campostrini, 2022; Schöley et al., 2022)","noteIndex":0},"citationItems":[{"id":2616,"uris":["http://zotero.org/groups/5842698/items/Z8JJVCAC"],"itemData":{"id":2616,"type":"article-journal","container-title":"International Journal of Epidemiology","DOI":"10.1093/ije/dyab207","issue":"1","language":"en","page":"63-74","title":"Quantifying impacts of the COVID-19 pandemic through life-expectancy losses: a population-level study of 29 countries","volume":"51","author":[{"family":"Aburto","given":"José Manuel"},{"family":"Schöley","given":"Jonas"},{"family":"Kashnitsky","given":"Ilya"},{"family":"Zhang","given":"Luyin"},{"family":"Rahal","given":"Charles"},{"family":"Missov","given":"Trifon I."},{"family":"Mills","given":"Melinda C."},{"family":"Dowd","given":"Jennifer B."},{"family":"Kashyap","given":"Ridhi"}],"issued":{"date-parts":[["2022"]]}}},{"id":2658,"uris":["http://zotero.org/groups/5842698/items/6EBEX9I3"],"itemData":{"id":2658,"type":"article-journal","container-title":"PLOS ONE","DOI":"10.1371/journal.pone.0262846","issue":"1","language":"en","page":"e0262846","title":"Life expectancy drop in 2020. Estimates based on Human Mortality Database","volume":"17","author":[{"family":"Mazzuco","given":"Stefano"},{"family":"Campostrini","given":"Stefano"}],"issued":{"date-parts":[["2022"]]}}},{"id":2638,"uris":["http://zotero.org/groups/5842698/items/QXCK3TMC"],"itemData":{"id":2638,"type":"article-journal","container-title":"Population and Development Review","DOI":"10.1111/padr.12477","issue":"1","language":"en","page":"31-50","title":"Global and national declines in life expectancy: an end-of-2021 assessment","volume":"48","author":[{"family":"Heuveline","given":"Patrick"}],"issued":{"date-parts":[["2022"]]}}},{"id":2671,"uris":["http://zotero.org/groups/5842698/items/XPKGS9DR"],"itemData":{"id":2671,"type":"article-journal","container-title":"Nature Human Behaviour","DOI":"10.1038/s41562-022-01450-3","language":"en","page":"1649-1659","title":"Life expectancy changes since COVID-19","volume":"6","author":[{"family":"Schöley","given":"Jonas"},{"family":"Aburto","given":"José Manuel"},{"family":"Kashnitsky","given":"Ilya"},{"family":"Kniffka","given":"Maxi S."},{"family":"Zhang","given":"Luyin"},{"family":"Jaadla","given":"Hannaliis"},{"family":"Dowd","given":"Jennifer B."},{"family":"Kashyap","given":"Ridhi"}],"issued":{"date-parts":[["2022"]]}}}],"schema":"https://github.com/citation-style-language/schema/raw/master/csl-citation.json"}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(Aburto, Schöley, et al., 2022; Heuveline, 2022; Mazzuco &amp; Campostrini, 2022; Schöley et al., 2022)</w:t>
      </w:r>
      <w:r w:rsidR="004907E3">
        <w:rPr>
          <w:rFonts w:ascii="Times New Roman" w:hAnsi="Times New Roman" w:cs="Times New Roman"/>
          <w:sz w:val="24"/>
          <w:szCs w:val="24"/>
          <w:lang w:val="en-US"/>
        </w:rPr>
        <w:fldChar w:fldCharType="end"/>
      </w:r>
      <w:r w:rsidR="00520186" w:rsidRPr="00DF39A4">
        <w:rPr>
          <w:rFonts w:ascii="Times New Roman" w:hAnsi="Times New Roman" w:cs="Times New Roman"/>
          <w:sz w:val="24"/>
          <w:szCs w:val="24"/>
          <w:lang w:val="en-US"/>
        </w:rPr>
        <w:t>.</w:t>
      </w:r>
      <w:r w:rsidRPr="00DF39A4">
        <w:rPr>
          <w:rFonts w:ascii="Times New Roman" w:hAnsi="Times New Roman" w:cs="Times New Roman"/>
          <w:sz w:val="24"/>
          <w:szCs w:val="24"/>
          <w:vertAlign w:val="superscript"/>
          <w:lang w:val="en-US"/>
        </w:rPr>
        <w:t xml:space="preserve"> </w:t>
      </w:r>
      <w:r w:rsidRPr="00DF39A4">
        <w:rPr>
          <w:rFonts w:ascii="Times New Roman" w:hAnsi="Times New Roman" w:cs="Times New Roman"/>
          <w:sz w:val="24"/>
          <w:szCs w:val="24"/>
          <w:lang w:val="en-US"/>
        </w:rPr>
        <w:t>In many countries, life expectancy continued to deteriorate in 2021 and had still not returned to pre-pandemic levels by 2022</w:t>
      </w:r>
      <w:r w:rsidR="00520186">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{"citationID":"PLtFG1yL","properties":{"formattedCitation":"(Huang et al., 2024)","plainCitation":"(Huang et al., 2024)","noteIndex":0},"citationItems":[{"id":2643,"uris":["http://zotero.org/groups/5842698/items/5UWV2GZN"],"itemData":{"id":2643,"type":"article-journal","container-title":"SSM - Population Health","DOI":"10.1016/j.ssmph.2023.101568","language":"en","page":"101568","title":"Changing impact of COVID-19 on life expectancy 2019–2023 and its decomposition: Findings from 27 countries","volume":"25","author":[{"family":"Huang","given":"Guogui"},{"family":"Guo","given":"Fei"},{"family":"Liu","given":"Lihua"},{"family":"Taksa","given":"Lucy"},{"family":"Cheng","given":"Zhiming"},{"family":"Tani","given":"Massimiliano"},{"family":"Zimmermann","given":"Klaus F."},{"family":"Franklin","given":"Marika"},{"family":"Silva","given":"S. Sandun Malpriya"}],"issued":{"date-parts":[["2024"]]}}}],"schema":"https://github.com/citation-style-language/schema/raw/master/csl-citation.json"}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(Huang et al., 2024)</w:t>
      </w:r>
      <w:r w:rsidR="004907E3">
        <w:rPr>
          <w:rFonts w:ascii="Times New Roman" w:hAnsi="Times New Roman" w:cs="Times New Roman"/>
          <w:sz w:val="24"/>
          <w:szCs w:val="24"/>
          <w:lang w:val="en-US"/>
        </w:rPr>
        <w:fldChar w:fldCharType="end"/>
      </w:r>
      <w:r w:rsidR="00520186"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In this study, we comprehensively analyzed life expectancy changes due to </w:t>
      </w:r>
      <w:r w:rsidR="00A12397">
        <w:rPr>
          <w:rFonts w:ascii="Times New Roman" w:hAnsi="Times New Roman" w:cs="Times New Roman"/>
          <w:sz w:val="24"/>
          <w:szCs w:val="24"/>
          <w:lang w:val="en-US"/>
        </w:rPr>
        <w:t>12</w:t>
      </w:r>
      <w:r w:rsidRPr="00DF39A4">
        <w:rPr>
          <w:rFonts w:ascii="Times New Roman" w:hAnsi="Times New Roman" w:cs="Times New Roman"/>
          <w:sz w:val="24"/>
          <w:szCs w:val="24"/>
          <w:lang w:val="en-US"/>
        </w:rPr>
        <w:t xml:space="preserve"> major causes of death in 24 countries during the period 2015–2021, and in eight countries through 2022. Comparing changes before the COVID-19 pandemic with those in 2020–2022 puts into perspective the magnitude and diversity of the sharp mortality changes observed since the first SARS-CoV-2 outbreaks. While most countries in our study experienced life expectancy declines at some point during the pandemic, life expectancy trajectories showed considerable variability </w:t>
      </w:r>
      <w:r w:rsidR="00A216A5">
        <w:rPr>
          <w:rFonts w:ascii="Times New Roman" w:hAnsi="Times New Roman" w:cs="Times New Roman"/>
          <w:sz w:val="24"/>
          <w:szCs w:val="24"/>
          <w:lang w:val="en-US"/>
        </w:rPr>
        <w:t>after 2019</w:t>
      </w:r>
      <w:r w:rsidRPr="00DF39A4">
        <w:rPr>
          <w:rFonts w:ascii="Times New Roman" w:hAnsi="Times New Roman" w:cs="Times New Roman"/>
          <w:sz w:val="24"/>
          <w:szCs w:val="24"/>
          <w:lang w:val="en-US"/>
        </w:rPr>
        <w:t xml:space="preserve">. </w:t>
      </w:r>
      <w:proofErr w:type="gramStart"/>
      <w:r w:rsidRPr="00DF39A4">
        <w:rPr>
          <w:rFonts w:ascii="Times New Roman" w:hAnsi="Times New Roman" w:cs="Times New Roman"/>
          <w:sz w:val="24"/>
          <w:szCs w:val="24"/>
          <w:lang w:val="en-US"/>
        </w:rPr>
        <w:t>In particular</w:t>
      </w:r>
      <w:r w:rsidR="00294B1A"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our</w:t>
      </w:r>
      <w:proofErr w:type="gramEnd"/>
      <w:r w:rsidRPr="00DF39A4">
        <w:rPr>
          <w:rFonts w:ascii="Times New Roman" w:hAnsi="Times New Roman" w:cs="Times New Roman"/>
          <w:sz w:val="24"/>
          <w:szCs w:val="24"/>
          <w:lang w:val="en-US"/>
        </w:rPr>
        <w:t xml:space="preserve"> results highlight how different causes of death were driving life expectancy trends over this period.</w:t>
      </w:r>
    </w:p>
    <w:p w14:paraId="524CFB64"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6E5509F6" w14:textId="1BB9F87E"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We find that prior to the pandemic, declines in cardiovascular and cancer mortality were the main </w:t>
      </w:r>
      <w:proofErr w:type="gramStart"/>
      <w:r w:rsidRPr="00DF39A4">
        <w:rPr>
          <w:rFonts w:ascii="Times New Roman" w:hAnsi="Times New Roman" w:cs="Times New Roman"/>
          <w:sz w:val="24"/>
          <w:szCs w:val="24"/>
          <w:lang w:val="en-US"/>
        </w:rPr>
        <w:t>drivers</w:t>
      </w:r>
      <w:proofErr w:type="gramEnd"/>
      <w:r w:rsidRPr="00DF39A4">
        <w:rPr>
          <w:rFonts w:ascii="Times New Roman" w:hAnsi="Times New Roman" w:cs="Times New Roman"/>
          <w:sz w:val="24"/>
          <w:szCs w:val="24"/>
          <w:lang w:val="en-US"/>
        </w:rPr>
        <w:t xml:space="preserve"> of increases in life expectancy. Russia as well as many Central and Eastern European and Baltic countries experienced particularly large gains due to improvements in CVD mortality, consistent with their late onset of the cardiovascular mortality transition</w:t>
      </w:r>
      <w:r w:rsidR="00520186">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{"citationID":"XQp0iLer","properties":{"formattedCitation":"(Aburto &amp; van Raalte, 2018; Grigoriev et al., 2014)","plainCitation":"(Aburto &amp; van Raalte, 2018; Grigoriev et al., 2014)","noteIndex":0},"citationItems":[{"id":2618,"uris":["http://zotero.org/groups/5842698/items/WUMBEG84"],"itemData":{"id":2618,"type":"article-journal","container-title":"Demography","DOI":"10.1007/s13524-018-0729-9","issue":"6","language":"en","page":"2071-2096","title":"Lifespan dispersion in times of life expectancy fluctuation: the case of Central and Eastern Europe","volume":"55","author":[{"family":"Aburto","given":"José Manuel"},{"family":"Raalte","given":"Alyson","non-dropping-particle":"van"}],"issued":{"date-parts":[["2018"]]}}},{"id":2637,"uris":["http://zotero.org/groups/5842698/items/UPIN7S83"],"itemData":{"id":2637,"type":"article-journal","container-title":"Population and Development Review","DOI":"10.1111/j.1728-4457.2014.00652.x","issue":"1","language":"en","page":"107-129","title":"The recent mortality decline in Russia: beginning of the cardiovascular revolution?","volume":"40","author":[{"family":"Grigoriev","given":"Pavel"},{"family":"Meslé","given":"France"},{"family":"Shkolnikov","given":"Vladimir M."},{"family":"Andreev","given":"Evgeny"},{"family":"Fihel","given":"Agnieszka"},{"family":"Pechholdova","given":"Marketa"},{"family":"Vallin","given":"Jacques"}],"issued":{"date-parts":[["2014"]]}}}],"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(Aburto &amp; van Raalte, 2018; Grigoriev et al., 2014)</w:t>
      </w:r>
      <w:r w:rsidR="004907E3">
        <w:rPr>
          <w:rFonts w:ascii="Times New Roman" w:hAnsi="Times New Roman" w:cs="Times New Roman"/>
          <w:sz w:val="24"/>
          <w:szCs w:val="24"/>
          <w:lang w:val="en-US"/>
        </w:rPr>
        <w:fldChar w:fldCharType="end"/>
      </w:r>
      <w:r w:rsidR="00520186" w:rsidRPr="00DF39A4">
        <w:rPr>
          <w:rFonts w:ascii="Times New Roman" w:hAnsi="Times New Roman" w:cs="Times New Roman"/>
          <w:sz w:val="24"/>
          <w:szCs w:val="24"/>
          <w:lang w:val="en-US"/>
        </w:rPr>
        <w:t>.</w:t>
      </w:r>
      <w:r w:rsidR="00B30447" w:rsidRPr="00DF39A4">
        <w:rPr>
          <w:rFonts w:ascii="Times New Roman" w:hAnsi="Times New Roman" w:cs="Times New Roman"/>
          <w:sz w:val="24"/>
          <w:szCs w:val="24"/>
          <w:lang w:val="en-US"/>
        </w:rPr>
        <w:t xml:space="preserve"> </w:t>
      </w:r>
      <w:r w:rsidRPr="00DF39A4">
        <w:rPr>
          <w:rFonts w:ascii="Times New Roman" w:hAnsi="Times New Roman" w:cs="Times New Roman"/>
          <w:sz w:val="24"/>
          <w:szCs w:val="24"/>
          <w:lang w:val="en-US"/>
        </w:rPr>
        <w:t xml:space="preserve">These improvements were concentrated </w:t>
      </w:r>
      <w:proofErr w:type="gramStart"/>
      <w:r w:rsidRPr="00DF39A4">
        <w:rPr>
          <w:rFonts w:ascii="Times New Roman" w:hAnsi="Times New Roman" w:cs="Times New Roman"/>
          <w:sz w:val="24"/>
          <w:szCs w:val="24"/>
          <w:lang w:val="en-US"/>
        </w:rPr>
        <w:t>at</w:t>
      </w:r>
      <w:proofErr w:type="gramEnd"/>
      <w:r w:rsidRPr="00DF39A4">
        <w:rPr>
          <w:rFonts w:ascii="Times New Roman" w:hAnsi="Times New Roman" w:cs="Times New Roman"/>
          <w:sz w:val="24"/>
          <w:szCs w:val="24"/>
          <w:lang w:val="en-US"/>
        </w:rPr>
        <w:t xml:space="preserve"> middle and older ages. In contrast, changes in CVD mortality were smaller in Canada, England and Wales, Northern Ireland, Scotland, and the USA. Stagnation in CVD mortality improvements in these countries has been linked to changes in behavioral risk factors, such as rising levels of obesity and alcohol consumption</w:t>
      </w:r>
      <w:r w:rsidR="00EA4234">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{"citationID":"ifAMlsPk","properties":{"formattedCitation":"(Acosta et al., 2022)","plainCitation":"(Acosta et al., 2022)","noteIndex":0},"citationItems":[{"id":2619,"uris":["http://zotero.org/groups/5842698/items/B6SABBSA"],"itemData":{"id":2619,"type":"article-journal","container-title":"The Journals of Gerontology: Series B","DOI":"10.1093/geronb/gbac032","issue":"Supplement_2","language":"en","page":"S148-S157","title":"Cardiovascular mortality gap between the United States and other high life expectancy countries in 2000–2016","volume":"77","author":[{"family":"Acosta","given":"Enrique"},{"family":"Mehta","given":"Neil"},{"family":"Myrskylä","given":"Mikko"},{"family":"Ebeling","given":"Marcus"}],"issued":{"date-parts":[["2022"]]}}}],"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(Acosta et al., 2022)</w:t>
      </w:r>
      <w:r w:rsidR="004907E3">
        <w:rPr>
          <w:rFonts w:ascii="Times New Roman" w:hAnsi="Times New Roman" w:cs="Times New Roman"/>
          <w:sz w:val="24"/>
          <w:szCs w:val="24"/>
          <w:lang w:val="en-US"/>
        </w:rPr>
        <w:fldChar w:fldCharType="end"/>
      </w:r>
      <w:r w:rsidR="00EA4234"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Limited gains from further reductions in smoking-related mortality have also been </w:t>
      </w:r>
      <w:r w:rsidRPr="00DF39A4">
        <w:rPr>
          <w:rFonts w:ascii="Times New Roman" w:hAnsi="Times New Roman" w:cs="Times New Roman"/>
          <w:sz w:val="24"/>
          <w:szCs w:val="24"/>
          <w:lang w:val="en-US"/>
        </w:rPr>
        <w:lastRenderedPageBreak/>
        <w:t>discussed as a potential cause for stagnating CVD mortality in Anglo</w:t>
      </w:r>
      <w:r w:rsidR="0049072D">
        <w:rPr>
          <w:rFonts w:ascii="Times New Roman" w:hAnsi="Times New Roman" w:cs="Times New Roman"/>
          <w:sz w:val="24"/>
          <w:szCs w:val="24"/>
          <w:lang w:val="en-US"/>
        </w:rPr>
        <w:t>-S</w:t>
      </w:r>
      <w:r w:rsidRPr="00DF39A4">
        <w:rPr>
          <w:rFonts w:ascii="Times New Roman" w:hAnsi="Times New Roman" w:cs="Times New Roman"/>
          <w:sz w:val="24"/>
          <w:szCs w:val="24"/>
          <w:lang w:val="en-US"/>
        </w:rPr>
        <w:t>axon countries</w:t>
      </w:r>
      <w:r w:rsidR="00EA4234">
        <w:rPr>
          <w:rFonts w:ascii="Times New Roman" w:hAnsi="Times New Roman" w:cs="Times New Roman"/>
          <w:sz w:val="24"/>
          <w:szCs w:val="24"/>
          <w:lang w:val="en-US"/>
        </w:rPr>
        <w:t xml:space="preserve"> </w:t>
      </w:r>
      <w:r w:rsidR="004907E3">
        <w:rPr>
          <w:rFonts w:ascii="Times New Roman" w:hAnsi="Times New Roman" w:cs="Times New Roman"/>
          <w:sz w:val="24"/>
          <w:vertAlign w:val="superscript"/>
        </w:rPr>
        <w:fldChar w:fldCharType="begin"/>
      </w:r>
      <w:r w:rsidR="00AB60CB">
        <w:rPr>
          <w:rFonts w:ascii="Times New Roman" w:hAnsi="Times New Roman" w:cs="Times New Roman"/>
          <w:sz w:val="24"/>
          <w:vertAlign w:val="superscript"/>
        </w:rPr>
        <w:instrText xml:space="preserve"> ADDIN ZOTERO_ITEM CSL_CITATION {"citationID":"tE9sq3Ho","properties":{"formattedCitation":"(Lopez &amp; Adair, 2019)","plainCitation":"(Lopez &amp; Adair, 2019)","noteIndex":0},"citationItems":[{"id":2653,"uris":["http://zotero.org/groups/5842698/items/CEVXRAL5"],"itemData":{"id":2653,"type":"article-journal","container-title":"International Journal of Epidemiology","DOI":"10.1093/ije/dyz143","issue":"6","language":"en","page":"1815-1823","title":"Is the long-term decline in cardiovascular-disease mortality in high-income countries over? Evidence from national vital statistics","volume":"48","author":[{"family":"Lopez","given":"Alan D"},{"family":"Adair","given":"Tim"}],"issued":{"date-parts":[["2019"]]}}}],"schema":"https://github.com/citation-style-language/schema/raw/master/csl-citation.json"} </w:instrText>
      </w:r>
      <w:r w:rsidR="004907E3">
        <w:rPr>
          <w:rFonts w:ascii="Times New Roman" w:hAnsi="Times New Roman" w:cs="Times New Roman"/>
          <w:sz w:val="24"/>
          <w:vertAlign w:val="superscript"/>
        </w:rPr>
        <w:fldChar w:fldCharType="separate"/>
      </w:r>
      <w:r w:rsidR="00AB60CB" w:rsidRPr="00AB60CB">
        <w:rPr>
          <w:rFonts w:ascii="Times New Roman" w:hAnsi="Times New Roman" w:cs="Times New Roman"/>
          <w:sz w:val="24"/>
        </w:rPr>
        <w:t>(Lopez &amp; Adair, 2019)</w:t>
      </w:r>
      <w:r w:rsidR="004907E3">
        <w:rPr>
          <w:rFonts w:ascii="Times New Roman" w:hAnsi="Times New Roman" w:cs="Times New Roman"/>
          <w:sz w:val="24"/>
          <w:vertAlign w:val="superscript"/>
        </w:rPr>
        <w:fldChar w:fldCharType="end"/>
      </w:r>
      <w:r w:rsidR="00EA4234" w:rsidRPr="00DF39A4">
        <w:rPr>
          <w:rFonts w:ascii="Times New Roman" w:hAnsi="Times New Roman" w:cs="Times New Roman"/>
          <w:sz w:val="24"/>
          <w:szCs w:val="24"/>
          <w:lang w:val="en-US"/>
        </w:rPr>
        <w:t>.</w:t>
      </w:r>
    </w:p>
    <w:p w14:paraId="4F6C0C04"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7F15D3C9" w14:textId="2C97B36F"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Our results also show that drug-related mortality contributed to life expectancy losses in most English-speaking countries prior to the pandemic. This is consistent with previous evidence showing worsening mortality due to fatal drug overdoses in these countries, especially among males</w:t>
      </w:r>
      <w:r w:rsidR="00EA4234">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{"citationID":"Olold6T2","properties":{"formattedCitation":"(Angus et al., 2023)","plainCitation":"(Angus et al., 2023)","noteIndex":0},"citationItems":[{"id":2623,"uris":["http://zotero.org/groups/5842698/items/FKCBBPTA"],"itemData":{"id":2623,"type":"article-journal","container-title":"Public Health","DOI":"10.1016/j.puhe.2023.02.019","language":"en","page":"92-96","title":"Increases in ‘deaths of despair’ during the COVID-19 pandemic in the United States and the United Kingdom","volume":"218","author":[{"family":"Angus","given":"C."},{"family":"Buckley","given":"C."},{"family":"Tilstra","given":"A. M."},{"family":"Dowd","given":"J. B."}],"issued":{"date-parts":[["2023"]]}}}],"schema":"https://github.com/citation-style-language/schema/raw/master/csl-citation.json"}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(Angus et al., 2023)</w:t>
      </w:r>
      <w:r w:rsidR="004907E3">
        <w:rPr>
          <w:rFonts w:ascii="Times New Roman" w:hAnsi="Times New Roman" w:cs="Times New Roman"/>
          <w:sz w:val="24"/>
          <w:szCs w:val="24"/>
          <w:lang w:val="en-US"/>
        </w:rPr>
        <w:fldChar w:fldCharType="end"/>
      </w:r>
      <w:r w:rsidR="00EA4234"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While synthetic opioids have played a dominant role for drug mortality trends in Canada and the USA, the United Kingdom countries have also seen a fast rise in mortality involving benzodiazepines and cocaine</w:t>
      </w:r>
      <w:r w:rsidR="00EA4234">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{"citationID":"oPW9gQzU","properties":{"formattedCitation":"(Office for National Statistics, 2023)","plainCitation":"(Office for National Statistics, 2023)","noteIndex":0},"citationItems":[{"id":2665,"uris":["http://zotero.org/groups/5842698/items/D69KME7K"],"itemData":{"id":2665,"type":"report","language":"en","title":"Deaths related to drug poisoning in England and Wales: 2022 registrations","URL":"https://www.ons.gov.uk/peoplepopulationandcommunity/birthsdeathsandmarriages/deaths/bulletins/deathsrelatedtodrugpoisoninginenglandandwales/2022registrations","author":[{"family":"Office for National Statistics","given":""}],"issued":{"date-parts":[["2023"]]}}}],"schema":"https://github.com/citation-style-language/schema/raw/master/csl-citation.json"}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(Office for National Statistics, 2023)</w:t>
      </w:r>
      <w:r w:rsidR="004907E3">
        <w:rPr>
          <w:rFonts w:ascii="Times New Roman" w:hAnsi="Times New Roman" w:cs="Times New Roman"/>
          <w:sz w:val="24"/>
          <w:szCs w:val="24"/>
          <w:lang w:val="en-US"/>
        </w:rPr>
        <w:fldChar w:fldCharType="end"/>
      </w:r>
      <w:r w:rsidR="00EA4234" w:rsidRPr="00DF39A4">
        <w:rPr>
          <w:rFonts w:ascii="Times New Roman" w:hAnsi="Times New Roman" w:cs="Times New Roman"/>
          <w:sz w:val="24"/>
          <w:szCs w:val="24"/>
          <w:lang w:val="en-US"/>
        </w:rPr>
        <w:t>.</w:t>
      </w:r>
    </w:p>
    <w:p w14:paraId="036ABA2A"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30747F5A" w14:textId="3E270F68"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Consistent with previous studies, we find that most countries suffered substantial drops in life expectancy due to COVID-19 mortality in 2019–2020. These losses were sizable in England and Wales, Spain, and the USA. However, life expectancy losses skewed much younger in the </w:t>
      </w:r>
      <w:r w:rsidR="00025184">
        <w:rPr>
          <w:rFonts w:ascii="Times New Roman" w:hAnsi="Times New Roman" w:cs="Times New Roman"/>
          <w:sz w:val="24"/>
          <w:szCs w:val="24"/>
          <w:lang w:val="en-US"/>
        </w:rPr>
        <w:t>USA</w:t>
      </w:r>
      <w:r w:rsidRPr="00DF39A4">
        <w:rPr>
          <w:rFonts w:ascii="Times New Roman" w:hAnsi="Times New Roman" w:cs="Times New Roman"/>
          <w:sz w:val="24"/>
          <w:szCs w:val="24"/>
          <w:lang w:val="en-US"/>
        </w:rPr>
        <w:t>, potentially due to more risk factors for severe COVID-19 at younger ages or social factors that increased exposure for working</w:t>
      </w:r>
      <w:r w:rsidR="00352A64">
        <w:rPr>
          <w:rFonts w:ascii="Times New Roman" w:hAnsi="Times New Roman" w:cs="Times New Roman"/>
          <w:sz w:val="24"/>
          <w:szCs w:val="24"/>
          <w:lang w:val="en-US"/>
        </w:rPr>
        <w:t>-</w:t>
      </w:r>
      <w:r w:rsidRPr="00DF39A4">
        <w:rPr>
          <w:rFonts w:ascii="Times New Roman" w:hAnsi="Times New Roman" w:cs="Times New Roman"/>
          <w:sz w:val="24"/>
          <w:szCs w:val="24"/>
          <w:lang w:val="en-US"/>
        </w:rPr>
        <w:t>age populations</w:t>
      </w:r>
      <w:r w:rsidR="00EA4234">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{"citationID":"9Lg0lcmJ","properties":{"formattedCitation":"(Aburto, Tilstra, et al., 2022; Pongiglione et al., 2022)","plainCitation":"(Aburto, Tilstra, et al., 2022; Pongiglione et al., 2022)","noteIndex":0},"citationItems":[{"id":2617,"uris":["http://zotero.org/groups/5842698/items/SIE3AC5Q"],"itemData":{"id":2617,"type":"article-journal","container-title":"Proceedings of the National Academy of Sciences","DOI":"10.1073/pnas.2205813119","issue":"35","language":"en","page":"e2205813119","title":"Significant impacts of the COVID-19 pandemic on race/ethnic differences in US mortality","volume":"119","author":[{"family":"Aburto","given":"José Manuel"},{"family":"Tilstra","given":"Andrea M."},{"family":"Floridi","given":"Ginevra"},{"family":"Dowd","given":"Jennifer Beam"}],"issued":{"date-parts":[["2022"]]}}},{"id":2667,"uris":["http://zotero.org/groups/5842698/items/ZBSC4LNE"],"itemData":{"id":2667,"type":"article-journal","container-title":"The Journals of Gerontology: Series B","DOI":"10.1093/geronb/gbac023","issue":"Supplement_2","language":"en","page":"S167-S176","title":"Older adults in the United States have worse cardiometabolic health compared to England","volume":"77","author":[{"family":"Pongiglione","given":"Benedetta"},{"family":"Ploubidis","given":"George B."},{"family":"Dowd","given":"Jennifer B."}],"issued":{"date-parts":[["2022"]]}}}],"schema":"https://github.com/citation-style-language/schema/raw/master/csl-citation.json"}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(Aburto, Tilstra, et al., 2022; Pongiglione et al., 2022)</w:t>
      </w:r>
      <w:r w:rsidR="004907E3">
        <w:rPr>
          <w:rFonts w:ascii="Times New Roman" w:hAnsi="Times New Roman" w:cs="Times New Roman"/>
          <w:sz w:val="24"/>
          <w:szCs w:val="24"/>
          <w:lang w:val="en-US"/>
        </w:rPr>
        <w:fldChar w:fldCharType="end"/>
      </w:r>
      <w:r w:rsidR="00EA4234"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Brazil and Chile also saw large life expectancy declines from COVID-19 in 2019–2020. Previous studies have documented considerable </w:t>
      </w:r>
      <w:r w:rsidR="00F03CAC">
        <w:rPr>
          <w:rFonts w:ascii="Times New Roman" w:hAnsi="Times New Roman" w:cs="Times New Roman"/>
          <w:sz w:val="24"/>
          <w:szCs w:val="24"/>
          <w:lang w:val="en-US"/>
        </w:rPr>
        <w:t>subnational</w:t>
      </w:r>
      <w:r w:rsidRPr="00DF39A4">
        <w:rPr>
          <w:rFonts w:ascii="Times New Roman" w:hAnsi="Times New Roman" w:cs="Times New Roman"/>
          <w:sz w:val="24"/>
          <w:szCs w:val="24"/>
          <w:lang w:val="en-US"/>
        </w:rPr>
        <w:t xml:space="preserve"> variation in COVID-19 mortality in these two countries</w:t>
      </w:r>
      <w:r w:rsidR="00EA4234">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{"citationID":"KL9R6Lgy","properties":{"formattedCitation":"(Castro et al., 2021; Mena &amp; Aburto, 2022)","plainCitation":"(Castro et al., 2021; Mena &amp; Aburto, 2022)","noteIndex":0},"citationItems":[{"id":2629,"uris":["http://zotero.org/groups/5842698/items/IZQWEWJ9"],"itemData":{"id":2629,"type":"article-journal","container-title":"Nature Medicine","DOI":"10.1038/s41591-021-01437-z","language":"en","page":"1629-1635","title":"Reduction in life expectancy in Brazil after COVID-19","volume":"27","author":[{"family":"Castro","given":"Marcia C."},{"family":"Gurzenda","given":"Susie"},{"family":"Turra","given":"Cassio M."},{"family":"Kim","given":"Sun"},{"family":"Andrasfay","given":"Theresa"},{"family":"Goldman","given":"Noreen"}],"issued":{"date-parts":[["2021"]]}}},{"id":2660,"uris":["http://zotero.org/groups/5842698/items/EC56DZMS"],"itemData":{"id":2660,"type":"article-journal","container-title":"BMJ Open","DOI":"10.1136/bmjopen-2021-059201","issue":"8","language":"en","page":"e059201","title":"Unequal impact of the COVID-19 pandemic in 2020 on life expectancy across urban areas in Chile: a cross-sectional demographic study","volume":"12","author":[{"family":"Mena","given":"Gonzalo"},{"family":"Aburto","given":"José Manuel"}],"issued":{"date-parts":[["2022"]]}}}],"schema":"https://github.com/citation-style-language/schema/raw/master/csl-citation.json"}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(Castro et al., 2021; Mena &amp; Aburto, 2022)</w:t>
      </w:r>
      <w:r w:rsidR="004907E3">
        <w:rPr>
          <w:rFonts w:ascii="Times New Roman" w:hAnsi="Times New Roman" w:cs="Times New Roman"/>
          <w:sz w:val="24"/>
          <w:szCs w:val="24"/>
          <w:lang w:val="en-US"/>
        </w:rPr>
        <w:fldChar w:fldCharType="end"/>
      </w:r>
      <w:r w:rsidR="00EA4234"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In addition, other Latin American countries have experienced similar or larger COVID-19-related losses in life expectancy</w:t>
      </w:r>
      <w:r w:rsidR="00E468B9">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{"citationID":"DKiu9YMw","properties":{"formattedCitation":"(Garc\\uc0\\u237{}a-Guerrero &amp; Beltr\\uc0\\u225{}n-S\\uc0\\u225{}nchez, 2021)","plainCitation":"(García-Guerrero &amp; Beltrán-Sánchez, 2021)","noteIndex":0},"citationItems":[{"id":2635,"uris":["http://zotero.org/groups/5842698/items/PC6PIR9X"],"itemData":{"id":2635,"type":"article-journal","container-title":"Canadian Studies in Population","DOI":"10.1007/s42650-021-00051-1","issue":"2","language":"en","page":"165-200","title":"Heterogeneity in excess mortality and its impact on loss of life expectancy due to COVID-19: evidence from Mexico","volume":"48","author":[{"family":"García-Guerrero","given":"Víctor M."},{"family":"Beltrán-Sánchez","given":"Hiram"}],"issued":{"date-parts":[["2021"]]}}}],"schema":"https://github.com/citation-style-language/schema/raw/master/csl-citation.json"}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(García-Guerrero &amp; Beltrán-Sánchez, 2021)</w:t>
      </w:r>
      <w:r w:rsidR="004907E3">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w:t>
      </w:r>
      <w:r w:rsidR="00FF7743" w:rsidRPr="00DF39A4">
        <w:rPr>
          <w:rFonts w:ascii="Times New Roman" w:hAnsi="Times New Roman" w:cs="Times New Roman"/>
          <w:sz w:val="24"/>
          <w:szCs w:val="24"/>
          <w:lang w:val="en-US"/>
        </w:rPr>
        <w:t>In line with previous studies</w:t>
      </w:r>
      <w:r w:rsidR="00942ED8" w:rsidRPr="00DF39A4">
        <w:rPr>
          <w:rFonts w:ascii="Times New Roman" w:hAnsi="Times New Roman" w:cs="Times New Roman"/>
          <w:sz w:val="24"/>
          <w:szCs w:val="24"/>
          <w:lang w:val="en-US"/>
        </w:rPr>
        <w:t xml:space="preserve">, </w:t>
      </w:r>
      <w:r w:rsidR="00FF7743" w:rsidRPr="00DF39A4">
        <w:rPr>
          <w:rFonts w:ascii="Times New Roman" w:hAnsi="Times New Roman" w:cs="Times New Roman"/>
          <w:sz w:val="24"/>
          <w:szCs w:val="24"/>
          <w:lang w:val="en-US"/>
        </w:rPr>
        <w:t xml:space="preserve">we find that COVID-19-related </w:t>
      </w:r>
      <w:r w:rsidR="00942ED8" w:rsidRPr="00DF39A4">
        <w:rPr>
          <w:rFonts w:ascii="Times New Roman" w:hAnsi="Times New Roman" w:cs="Times New Roman"/>
          <w:sz w:val="24"/>
          <w:szCs w:val="24"/>
          <w:lang w:val="en-US"/>
        </w:rPr>
        <w:t xml:space="preserve">life expectancy losses </w:t>
      </w:r>
      <w:r w:rsidR="00FF7743" w:rsidRPr="00DF39A4">
        <w:rPr>
          <w:rFonts w:ascii="Times New Roman" w:hAnsi="Times New Roman" w:cs="Times New Roman"/>
          <w:sz w:val="24"/>
          <w:szCs w:val="24"/>
          <w:lang w:val="en-US"/>
        </w:rPr>
        <w:t xml:space="preserve">in 2019–2020 </w:t>
      </w:r>
      <w:r w:rsidR="00942ED8" w:rsidRPr="00DF39A4">
        <w:rPr>
          <w:rFonts w:ascii="Times New Roman" w:hAnsi="Times New Roman" w:cs="Times New Roman"/>
          <w:sz w:val="24"/>
          <w:szCs w:val="24"/>
          <w:lang w:val="en-US"/>
        </w:rPr>
        <w:t>were smallest in Australia, Japan</w:t>
      </w:r>
      <w:r w:rsidR="008D0C4B">
        <w:rPr>
          <w:rFonts w:ascii="Times New Roman" w:hAnsi="Times New Roman" w:cs="Times New Roman"/>
          <w:sz w:val="24"/>
          <w:szCs w:val="24"/>
          <w:lang w:val="en-US"/>
        </w:rPr>
        <w:t>,</w:t>
      </w:r>
      <w:r w:rsidR="00942ED8" w:rsidRPr="00DF39A4">
        <w:rPr>
          <w:rFonts w:ascii="Times New Roman" w:hAnsi="Times New Roman" w:cs="Times New Roman"/>
          <w:sz w:val="24"/>
          <w:szCs w:val="24"/>
          <w:lang w:val="en-US"/>
        </w:rPr>
        <w:t xml:space="preserve"> and South Korea</w:t>
      </w:r>
      <w:r w:rsidR="00E468B9">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{"citationID":"zOpw7BfQ","properties":{"formattedCitation":"(Adair et al., 2023; Mo et al., 2023)","plainCitation":"(Adair et al., 2023; Mo et al., 2023)","noteIndex":0},"citationItems":[{"id":2661,"uris":["http://zotero.org/groups/5842698/items/ZYBHMU3H"],"itemData":{"id":2661,"type":"article-journal","container-title":"BMC Public Health","DOI":"10.1186/s12889-023-16426-9","issue":"1","language":"en","page":"1508","title":"Impacts of the COVID-19 pandemic on life expectancy at birth in Asia","volume":"23","author":[{"family":"Mo","given":"Yan"},{"family":"Feng","given":"Qiushi"},{"family":"Gu","given":"Danan"}],"issued":{"date-parts":[["2023"]]}}},{"id":2620,"uris":["http://zotero.org/groups/5842698/items/MWU544AY"],"itemData":{"id":2620,"type":"article-journal","container-title":"International Journal of Epidemiology","DOI":"10.1093/ije/dyad121","issue":"6","language":"en","page":"1735-1744","title":"Effect of the COVID-19 pandemic on life expectancy in Australia, 2020-22","volume":"52","author":[{"family":"Adair","given":"Tim"},{"family":"Houle","given":"Brian"},{"family":"Canudas-Romo","given":"Vladimir"}],"issued":{"date-parts":[["2023"]]}}}],"schema":"https://github.com/citation-style-language/schema/raw/master/csl-citation.json"}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(Adair et al., 2023; Mo et al., 2023)</w:t>
      </w:r>
      <w:r w:rsidR="004907E3">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p>
    <w:p w14:paraId="00466BFA"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28A905DA" w14:textId="18DE69B6"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lastRenderedPageBreak/>
        <w:t>In 2021, many Central and Eastern European and Baltic countries saw larger losses due to COVID-19 than in the first year of the pandemic. Like the USA, these countries generally exhibited a younger mortality profile of COVID-19 deaths than many Western European countries</w:t>
      </w:r>
      <w:r w:rsidR="00E468B9">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{"citationID":"mYzBXBXE","properties":{"formattedCitation":"(Sch\\uc0\\u246{}ley et al., 2022)","plainCitation":"(Schöley et al., 2022)","noteIndex":0},"citationItems":[{"id":2671,"uris":["http://zotero.org/groups/5842698/items/XPKGS9DR"],"itemData":{"id":2671,"type":"article-journal","container-title":"Nature Human Behaviour","DOI":"10.1038/s41562-022-01450-3","language":"en","page":"1649-1659","title":"Life expectancy changes since COVID-19","volume":"6","author":[{"family":"Schöley","given":"Jonas"},{"family":"Aburto","given":"José Manuel"},{"family":"Kashnitsky","given":"Ilya"},{"family":"Kniffka","given":"Maxi S."},{"family":"Zhang","given":"Luyin"},{"family":"Jaadla","given":"Hannaliis"},{"family":"Dowd","given":"Jennifer B."},{"family":"Kashyap","given":"Ridhi"}],"issued":{"date-parts":[["2022"]]}}}],"schema":"https://github.com/citation-style-language/schema/raw/master/csl-citation.json"}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(Schöley et al., 2022)</w:t>
      </w:r>
      <w:r w:rsidR="004907E3">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Finally, among the eight countries with available cause-of-death information for 2021–2022, females and males in Australia and Canada experienced (further) losses in life expectancy due to rising COVID-19 mortality. Evidence from Australia suggests that COVID-19-related life expectancy losses in 2022 may be due to the comparatively late relaxation of non-pharmaceutical interventions and restrictions, despite high vaccination coverage</w:t>
      </w:r>
      <w:r w:rsidR="00E468B9">
        <w:rPr>
          <w:rFonts w:ascii="Times New Roman" w:hAnsi="Times New Roman" w:cs="Times New Roman"/>
          <w:sz w:val="24"/>
          <w:szCs w:val="24"/>
          <w:lang w:val="en-US"/>
        </w:rPr>
        <w:t xml:space="preserve"> </w:t>
      </w:r>
      <w:r w:rsidR="004907E3">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{"citationID":"2VatImMH","properties":{"formattedCitation":"(Adair et al., 2023)","plainCitation":"(Adair et al., 2023)","noteIndex":0},"citationItems":[{"id":2620,"uris":["http://zotero.org/groups/5842698/items/MWU544AY"],"itemData":{"id":2620,"type":"article-journal","container-title":"International Journal of Epidemiology","DOI":"10.1093/ije/dyad121","issue":"6","language":"en","page":"1735-1744","title":"Effect of the COVID-19 pandemic on life expectancy in Australia, 2020-22","volume":"52","author":[{"family":"Adair","given":"Tim"},{"family":"Houle","given":"Brian"},{"family":"Canudas-Romo","given":"Vladimir"}],"issued":{"date-parts":[["2023"]]}}}],"schema":"https://github.com/citation-style-language/schema/raw/master/csl-citation.json"} </w:instrText>
      </w:r>
      <w:r w:rsidR="004907E3">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(Adair et al., 2023)</w:t>
      </w:r>
      <w:r w:rsidR="004907E3">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p>
    <w:p w14:paraId="7752403B"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2976FCF7"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Our cause-of-death-specific decomposition results support the hypothesis that the pandemic affected a wide range of causes of death unrelated to SARS-CoV-2. This may have occurred through the indirect impacts of non-pharmaceutical interventions, such as lockdowns, the increased strain on health care systems, pre-existing social inequalities, as well as the misclassification of COVID-19 deaths. </w:t>
      </w:r>
      <w:proofErr w:type="gramStart"/>
      <w:r w:rsidRPr="00DF39A4">
        <w:rPr>
          <w:rFonts w:ascii="Times New Roman" w:hAnsi="Times New Roman" w:cs="Times New Roman"/>
          <w:sz w:val="24"/>
          <w:szCs w:val="24"/>
          <w:lang w:val="en-US"/>
        </w:rPr>
        <w:t>In particular, in</w:t>
      </w:r>
      <w:proofErr w:type="gramEnd"/>
      <w:r w:rsidRPr="00DF39A4">
        <w:rPr>
          <w:rFonts w:ascii="Times New Roman" w:hAnsi="Times New Roman" w:cs="Times New Roman"/>
          <w:sz w:val="24"/>
          <w:szCs w:val="24"/>
          <w:lang w:val="en-US"/>
        </w:rPr>
        <w:t xml:space="preserve"> 15 out of 24 countries (females) and 16 out of 24 countries (males), rising non-COVID-19 mortality contributed to life expectancy losses in 2020 and/or 2021, albeit with large variation in magnitude. In 2022, (further) life expectancy losses from non-COVID-19 mortality were seen in six (female) and five (male) out of eight countries with available cause-of-death data.</w:t>
      </w:r>
    </w:p>
    <w:p w14:paraId="54D34800"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487E11A6" w14:textId="6233858F"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Rising CVD mortality was a </w:t>
      </w:r>
      <w:r w:rsidR="00A202A6">
        <w:rPr>
          <w:rFonts w:ascii="Times New Roman" w:hAnsi="Times New Roman" w:cs="Times New Roman"/>
          <w:sz w:val="24"/>
          <w:szCs w:val="24"/>
          <w:lang w:val="en-US"/>
        </w:rPr>
        <w:t>major</w:t>
      </w:r>
      <w:r w:rsidRPr="00DF39A4">
        <w:rPr>
          <w:rFonts w:ascii="Times New Roman" w:hAnsi="Times New Roman" w:cs="Times New Roman"/>
          <w:sz w:val="24"/>
          <w:szCs w:val="24"/>
          <w:lang w:val="en-US"/>
        </w:rPr>
        <w:t xml:space="preserve"> driver of increasing non-COVID-19 mortality during the pandemic, especially in 2019–2020 and 2020–2021. In 2020 and 2021 combined, we observed the greatest life expectancy losses from CVD among both females and males in Bulgaria, around ten months. Only females in Canada and Switzerland, males in the Netherlands, and females and males in Austria, Denmark, South Korea, and Sweden did </w:t>
      </w:r>
      <w:r w:rsidRPr="00DF39A4">
        <w:rPr>
          <w:rFonts w:ascii="Times New Roman" w:hAnsi="Times New Roman" w:cs="Times New Roman"/>
          <w:sz w:val="24"/>
          <w:szCs w:val="24"/>
          <w:lang w:val="en-US"/>
        </w:rPr>
        <w:lastRenderedPageBreak/>
        <w:t>not experience losses from CVD in 2020 and 2021. However, females in Canada and Sweden did experience subsequent losses in 2022. Miscoding of COVID-19 deaths as CVD may account for a large proportion of the changes observed</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{"citationID":"qU7hUsOr","properties":{"formattedCitation":"(Luck et al., 2023; Paglino et al., 2024)","plainCitation":"(Luck et al., 2023; Paglino et al., 2024)","noteIndex":0},"citationItems":[{"id":2655,"uris":["http://zotero.org/groups/5842698/items/4MCLP359"],"itemData":{"id":2655,"type":"article-journal","container-title":"PLOS ONE","DOI":"10.1371/journal.pone.0281683","issue":"3","language":"en","page":"e0281683","title":"Associations between mortality from COVID-19 and other causes: a state-level analysis","volume":"18","author":[{"family":"Luck","given":"Anneliese N."},{"family":"Stokes","given":"Andrew C."},{"family":"Hempstead","given":"Katherine"},{"family":"Paglino","given":"Eugenio"},{"family":"Preston","given":"Samuel H."}],"issued":{"date-parts":[["2023"]]}}},{"id":2666,"uris":["http://zotero.org/groups/5842698/items/M4US8CQU"],"itemData":{"id":2666,"type":"article-journal","container-title":"Proceedings of the National Academy of Sciences","DOI":"10.1073/pnas.2313661121","issue":"6","language":"en","page":"e2313661121","title":"Excess natural-cause mortality in US counties and its association with reported COVID-19 deaths","volume":"121","author":[{"family":"Paglino","given":"Eugenio"},{"family":"Lundberg","given":"Dielle J."},{"family":"Wrigley-Field","given":"Elizabeth"},{"family":"Zhou","given":"Zhenwei"},{"family":"Wasserman","given":"Joe A."},{"family":"Raquib","given":"Rafeya"},{"family":"Chen","given":"Yea-Hung"},{"family":"Hempstead","given":"Katherine"},{"family":"Preston","given":"Samuel H."},{"family":"Elo","given":"Irma T."},{"family":"Glymour","given":"M. Maria"},{"family":"Stokes","given":"Andrew C."}],"issued":{"date-parts":[["2024"]]}}}],"schema":"https://github.com/citation-style-language/schema/raw/master/csl-citation.json"}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(Luck et al., 2023; Paglino et al., 2024)</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In addition, evidence from multiple countries shows a substantial decrease in admission rates for acute cardiovascular </w:t>
      </w:r>
      <w:r w:rsidR="00DF781C" w:rsidRPr="00DF39A4">
        <w:rPr>
          <w:rFonts w:ascii="Times New Roman" w:hAnsi="Times New Roman" w:cs="Times New Roman"/>
          <w:sz w:val="24"/>
          <w:szCs w:val="24"/>
          <w:lang w:val="en-US"/>
        </w:rPr>
        <w:t>disease</w:t>
      </w:r>
      <w:r w:rsidRPr="00DF39A4">
        <w:rPr>
          <w:rFonts w:ascii="Times New Roman" w:hAnsi="Times New Roman" w:cs="Times New Roman"/>
          <w:sz w:val="24"/>
          <w:szCs w:val="24"/>
          <w:lang w:val="en-US"/>
        </w:rPr>
        <w:t xml:space="preserve"> during the pandemic, which may have led to an increase in untreated strokes and </w:t>
      </w:r>
      <w:r w:rsidR="00A67641" w:rsidRPr="00DF39A4">
        <w:rPr>
          <w:rFonts w:ascii="Times New Roman" w:hAnsi="Times New Roman" w:cs="Times New Roman"/>
          <w:sz w:val="24"/>
          <w:szCs w:val="24"/>
          <w:lang w:val="en-US"/>
        </w:rPr>
        <w:t>heart attacks</w:t>
      </w:r>
      <w:r w:rsidR="00E468B9">
        <w:rPr>
          <w:rFonts w:ascii="Times New Roman" w:hAnsi="Times New Roman" w:cs="Times New Roman"/>
          <w:sz w:val="24"/>
          <w:szCs w:val="24"/>
          <w:lang w:val="en-US"/>
        </w:rPr>
        <w:t xml:space="preserve"> </w:t>
      </w:r>
      <w:r w:rsidR="009B5647">
        <w:rPr>
          <w:rFonts w:ascii="Times New Roman" w:hAnsi="Times New Roman" w:cs="Times New Roman"/>
          <w:sz w:val="24"/>
          <w:vertAlign w:val="superscript"/>
        </w:rPr>
        <w:fldChar w:fldCharType="begin"/>
      </w:r>
      <w:r w:rsidR="00AB60CB">
        <w:rPr>
          <w:rFonts w:ascii="Times New Roman" w:hAnsi="Times New Roman" w:cs="Times New Roman"/>
          <w:sz w:val="24"/>
          <w:vertAlign w:val="superscript"/>
        </w:rPr>
        <w:instrText xml:space="preserve"> ADDIN ZOTERO_ITEM CSL_CITATION {"citationID":"4bRwcKXn","properties":{"formattedCitation":"(Ball et al., 2020; Hoyer et al., 2020; Kiss et al., 2021)","plainCitation":"(Ball et al., 2020; Hoyer et al., 2020; Kiss et al., 2021)","noteIndex":0},"citationItems":[{"id":2624,"uris":["http://zotero.org/groups/5842698/items/7Y6YDZZK"],"itemData":{"id":2624,"type":"article-journal","container-title":"Heart","DOI":"10.1136/heartjnl-2020-317870","issue":"24","journalAbbreviation":"Heart","language":"en","page":"1890-1897","title":"Monitoring indirect impact of COVID-19 pandemic on services for cardiovascular diseases in the UK","volume":"106","author":[{"family":"Ball","given":"Simon"},{"family":"Banerjee","given":"Amitava"},{"family":"Berry","given":"Colin"},{"family":"Boyle","given":"Jonathan R"},{"family":"Bray","given":"Benjamin"},{"family":"Bradlow","given":"William"},{"family":"Chaudhry","given":"Afzal"},{"family":"Crawley","given":"Rikki"},{"family":"Danesh","given":"John"},{"family":"Denniston","given":"Alastair"},{"family":"Falter","given":"Florian"},{"family":"Figueroa","given":"Jonine D"},{"family":"Hall","given":"Christopher"},{"family":"Hemingway","given":"Harry"},{"family":"Jefferson","given":"Emily"},{"family":"Johnson","given":"Tom"},{"family":"King","given":"Graham"},{"family":"Lee","given":"Kuan Ken"},{"family":"McKean","given":"Paul"},{"family":"Mason","given":"Suzanne"},{"family":"Mills","given":"Nicholas L"},{"family":"Pearson","given":"Ewen"},{"family":"Pirmohamed","given":"Munir"},{"family":"Poon","given":"Michael T C"},{"family":"Priedon","given":"Rouven"},{"family":"Shah","given":"Anoop"},{"family":"Sofat","given":"Reecha"},{"family":"Sterne","given":"Jonathan A C"},{"family":"Strachan","given":"Fiona E"},{"family":"Sudlow","given":"Cathie L M"},{"family":"Szarka","given":"Zsolt"},{"family":"Whiteley","given":"William"},{"family":"Wyatt","given":"Michael"}],"issued":{"date-parts":[["2020"]]}}},{"id":2648,"uris":["http://zotero.org/groups/5842698/items/WRJ7HRQU"],"itemData":{"id":2648,"type":"article-journal","container-title":"European Heart Journal - Quality of Care and Clinical Outcomes","DOI":"10.1093/ehjqcco/qcaa084","issue":"1","language":"en","page":"18-27","title":"The impact of the COVID-19 pandemic on the care and management of patients with acute cardiovascular disease: a systematic review","volume":"7","author":[{"family":"Kiss","given":"Pauline"},{"family":"Carcel","given":"Cheryl"},{"family":"Hockham","given":"Carinna"},{"family":"Peters","given":"Sanne A E"}],"issued":{"date-parts":[["2021"]]}}},{"id":2642,"uris":["http://zotero.org/groups/5842698/items/LZ3SAD3I"],"itemData":{"id":2642,"type":"article-journal","container-title":"Stroke","DOI":"10.1161/STROKEAHA.120.030395","issue":"7","language":"en","page":"2224-2227","title":"Acute stroke in times of the COVID-19 pandemic","volume":"51","author":[{"family":"Hoyer","given":"Carolin"},{"family":"Ebert","given":"Anne"},{"family":"Huttner","given":"Hagen B."},{"family":"Puetz","given":"Volker"},{"family":"Kallmünzer","given":"Bernd"},{"family":"Barlinn","given":"Kristian"},{"family":"Haverkamp","given":"Christian"},{"family":"Harloff","given":"Andreas"},{"family":"Brich","given":"Jochen"},{"family":"Platten","given":"Michael"},{"family":"Szabo","given":"Kristina"}],"issued":{"date-parts":[["2020"]]}}}],"schema":"https://github.com/citation-style-language/schema/raw/master/csl-citation.json"} </w:instrText>
      </w:r>
      <w:r w:rsidR="009B5647">
        <w:rPr>
          <w:rFonts w:ascii="Times New Roman" w:hAnsi="Times New Roman" w:cs="Times New Roman"/>
          <w:sz w:val="24"/>
          <w:vertAlign w:val="superscript"/>
        </w:rPr>
        <w:fldChar w:fldCharType="separate"/>
      </w:r>
      <w:r w:rsidR="00AB60CB" w:rsidRPr="00AB60CB">
        <w:rPr>
          <w:rFonts w:ascii="Times New Roman" w:hAnsi="Times New Roman" w:cs="Times New Roman"/>
          <w:sz w:val="24"/>
        </w:rPr>
        <w:t>(Ball et al., 2020; Hoyer et al., 2020; Kiss et al., 2021)</w:t>
      </w:r>
      <w:r w:rsidR="009B5647">
        <w:rPr>
          <w:rFonts w:ascii="Times New Roman" w:hAnsi="Times New Roman" w:cs="Times New Roman"/>
          <w:sz w:val="24"/>
          <w:vertAlign w:val="superscript"/>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explaining some of the observed life expectancy</w:t>
      </w:r>
      <w:r w:rsidR="004C52E2">
        <w:rPr>
          <w:rFonts w:ascii="Times New Roman" w:hAnsi="Times New Roman" w:cs="Times New Roman"/>
          <w:sz w:val="24"/>
          <w:szCs w:val="24"/>
          <w:lang w:val="en-US"/>
        </w:rPr>
        <w:t xml:space="preserve"> losses</w:t>
      </w:r>
      <w:r w:rsidRPr="00DF39A4">
        <w:rPr>
          <w:rFonts w:ascii="Times New Roman" w:hAnsi="Times New Roman" w:cs="Times New Roman"/>
          <w:sz w:val="24"/>
          <w:szCs w:val="24"/>
          <w:lang w:val="en-US"/>
        </w:rPr>
        <w:t xml:space="preserve">, including from non-acute CVD. More research to aid our understanding of the impacts of the pandemic on cardiovascular mortality in the medium and long term is needed. Recent evidence suggests that survivors </w:t>
      </w:r>
      <w:r w:rsidR="00177849">
        <w:rPr>
          <w:rFonts w:ascii="Times New Roman" w:hAnsi="Times New Roman" w:cs="Times New Roman"/>
          <w:sz w:val="24"/>
          <w:szCs w:val="24"/>
          <w:lang w:val="en-US"/>
        </w:rPr>
        <w:t>of</w:t>
      </w:r>
      <w:r w:rsidRPr="00DF39A4">
        <w:rPr>
          <w:rFonts w:ascii="Times New Roman" w:hAnsi="Times New Roman" w:cs="Times New Roman"/>
          <w:sz w:val="24"/>
          <w:szCs w:val="24"/>
          <w:lang w:val="en-US"/>
        </w:rPr>
        <w:t xml:space="preserve"> COVID-19 are at a higher risk of incident cardiovascular disease</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{"citationID":"WDT3WdaX","properties":{"formattedCitation":"(Xie et al., 2022)","plainCitation":"(Xie et al., 2022)","noteIndex":0},"citationItems":[{"id":2682,"uris":["http://zotero.org/groups/5842698/items/XE733RJ9"],"itemData":{"id":2682,"type":"article-journal","container-title":"Nature Medicine","DOI":"10.1038/s41591-022-01689-3","issue":"3","language":"en","page":"583-590","title":"Long-term cardiovascular outcomes of COVID-19","volume":"28","author":[{"family":"Xie","given":"Yan"},{"family":"Xu","given":"Evan"},{"family":"Bowe","given":"Benjamin"},{"family":"Al-Aly","given":"Ziyad"}],"issued":{"date-parts":[["2022"]]}}}],"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(Xie et al., 2022)</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which may be reflected in higher CVD mortality in future years.</w:t>
      </w:r>
    </w:p>
    <w:p w14:paraId="2777EB7E"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3E92009D" w14:textId="233F6E15"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In contrast to the negative pandemic trends in CVD mortality, cancer mortality usually continued to contribute to life expectancy gains, more so among males. Cumulatively in 2020 and 2021, only females in Croatia saw stagnating improvements in cancer mortality. The generally positive contributions </w:t>
      </w:r>
      <w:proofErr w:type="gramStart"/>
      <w:r w:rsidRPr="00DF39A4">
        <w:rPr>
          <w:rFonts w:ascii="Times New Roman" w:hAnsi="Times New Roman" w:cs="Times New Roman"/>
          <w:sz w:val="24"/>
          <w:szCs w:val="24"/>
          <w:lang w:val="en-US"/>
        </w:rPr>
        <w:t>for</w:t>
      </w:r>
      <w:proofErr w:type="gramEnd"/>
      <w:r w:rsidRPr="00DF39A4">
        <w:rPr>
          <w:rFonts w:ascii="Times New Roman" w:hAnsi="Times New Roman" w:cs="Times New Roman"/>
          <w:sz w:val="24"/>
          <w:szCs w:val="24"/>
          <w:lang w:val="en-US"/>
        </w:rPr>
        <w:t xml:space="preserve"> cancer mortality during the pandemic may be suggestive of limited disruptions to cancer care. Alternatively, our observed patterns may be the result of mortality displacement</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{"citationID":"W7x0wfvg","properties":{"formattedCitation":"(Islam, Shkolnikov, et al., 2021)","plainCitation":"(Islam, Shkolnikov, et al., 2021)","noteIndex":0},"citationItems":[{"id":2645,"uris":["http://zotero.org/groups/5842698/items/KN6RSTTP"],"itemData":{"id":2645,"type":"article-journal","container-title":"BMJ","DOI":"10.1136/bmj.n1137","language":"en","page":"n1137","title":"Excess deaths associated with covid-19 pandemic in 2020: age and sex disaggregated time series analysis in 29 high income countries","volume":"373","author":[{"family":"Islam","given":"Nazrul"},{"family":"Shkolnikov","given":"Vladimir M"},{"family":"Acosta","given":"Rolando J"},{"family":"Klimkin","given":"Ilya"},{"family":"Kawachi","given":"Ichiro"},{"family":"Irizarry","given":"Rafael A"},{"family":"Alicandro","given":"Gianfranco"},{"family":"Khunti","given":"Kamlesh"},{"family":"Yates","given":"Tom"},{"family":"Jdanov","given":"Dmitri A"},{"family":"White","given":"Martin"},{"family":"Lewington","given":"Sarah"},{"family":"Lacey","given":"Ben"}],"issued":{"date-parts":[["2021"]]}}}],"schema":"https://github.com/citation-style-language/schema/raw/master/csl-citation.json"}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(Islam, Shkolnikov, et al., 2021)</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with cancer patients dying of COVID-19, thereby lowering cancer-related mortality. In fact, improvements in cancer mortality in </w:t>
      </w:r>
      <w:r w:rsidR="0014546E">
        <w:rPr>
          <w:rFonts w:ascii="Times New Roman" w:hAnsi="Times New Roman" w:cs="Times New Roman"/>
          <w:sz w:val="24"/>
          <w:szCs w:val="24"/>
          <w:lang w:val="en-US"/>
        </w:rPr>
        <w:t>most</w:t>
      </w:r>
      <w:r w:rsidRPr="00DF39A4">
        <w:rPr>
          <w:rFonts w:ascii="Times New Roman" w:hAnsi="Times New Roman" w:cs="Times New Roman"/>
          <w:sz w:val="24"/>
          <w:szCs w:val="24"/>
          <w:lang w:val="en-US"/>
        </w:rPr>
        <w:t xml:space="preserve"> countries during </w:t>
      </w:r>
      <w:r w:rsidR="002479A7">
        <w:rPr>
          <w:rFonts w:ascii="Times New Roman" w:hAnsi="Times New Roman" w:cs="Times New Roman"/>
          <w:sz w:val="24"/>
          <w:szCs w:val="24"/>
          <w:lang w:val="en-US"/>
        </w:rPr>
        <w:t xml:space="preserve">the </w:t>
      </w:r>
      <w:r w:rsidRPr="00DF39A4">
        <w:rPr>
          <w:rFonts w:ascii="Times New Roman" w:hAnsi="Times New Roman" w:cs="Times New Roman"/>
          <w:sz w:val="24"/>
          <w:szCs w:val="24"/>
          <w:lang w:val="en-US"/>
        </w:rPr>
        <w:t xml:space="preserve">pandemic years exceeded average annual improvements seen in the pre-pandemic period. Still, it is possible that the positive contributions for cancer mortality documented in our study were smaller than would have been seen in the absence of the pandemic, which would be suggestive of disruptions in cancer care. Related to this point, we observed worsening cancer mortality in </w:t>
      </w:r>
      <w:r w:rsidR="007B06AD">
        <w:rPr>
          <w:rFonts w:ascii="Times New Roman" w:hAnsi="Times New Roman" w:cs="Times New Roman"/>
          <w:sz w:val="24"/>
          <w:szCs w:val="24"/>
          <w:lang w:val="en-US"/>
        </w:rPr>
        <w:t>several</w:t>
      </w:r>
      <w:r w:rsidRPr="00DF39A4">
        <w:rPr>
          <w:rFonts w:ascii="Times New Roman" w:hAnsi="Times New Roman" w:cs="Times New Roman"/>
          <w:sz w:val="24"/>
          <w:szCs w:val="24"/>
          <w:lang w:val="en-US"/>
        </w:rPr>
        <w:t xml:space="preserve"> countries during the pandemic period, possibly due to delayed diagnoses or </w:t>
      </w:r>
      <w:r w:rsidRPr="00DF39A4">
        <w:rPr>
          <w:rFonts w:ascii="Times New Roman" w:hAnsi="Times New Roman" w:cs="Times New Roman"/>
          <w:sz w:val="24"/>
          <w:szCs w:val="24"/>
          <w:lang w:val="en-US"/>
        </w:rPr>
        <w:lastRenderedPageBreak/>
        <w:t>treatment</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{"citationID":"4yxf9qwZ","properties":{"formattedCitation":"(American Association for Cancer Research, 2022)","plainCitation":"(American Association for Cancer Research, 2022)","noteIndex":0},"citationItems":[{"id":2621,"uris":["http://zotero.org/groups/5842698/items/YCAUQCUA"],"itemData":{"id":2621,"type":"report","language":"en","title":"AACR report on the impact of COVID-19 on cancer research and patient care","URL":"https://www.AACR.org/COVIDReport","author":[{"family":"American Association for Cancer Research","given":""}],"issued":{"date-parts":[["2022"]]}}}],"schema":"https://github.com/citation-style-language/schema/raw/master/csl-citation.json"}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(American Association for Cancer Research, 2022)</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We suggest that changes in cancer mortality after 2019 be further explored using counterfactual estimation approaches, such as cause-of-death-specific estimation of excess mortality</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{"citationID":"YktbYfhl","properties":{"formattedCitation":"(Degtiareva et al., 2024)","plainCitation":"(Degtiareva et al., 2024)","noteIndex":0},"citationItems":[{"id":2631,"uris":["http://zotero.org/groups/5842698/items/MGIDS7UM"],"itemData":{"id":2631,"type":"article-journal","container-title":"medRxiv","DOI":"10.1101/2024.03.05.24303783","language":"en","title":"Cause-specific excess mortality in the US during the COVID-19 pandemic","author":[{"family":"Degtiareva","given":"Ekaterina"},{"family":"Tilstra","given":"Andrea M."},{"family":"Schöley","given":"Jonas"},{"family":"Kashyap","given":"Ridhi"},{"family":"Dowd","given":"Jennifer B."}],"issued":{"date-parts":[["2024"]]}}}],"schema":"https://github.com/citation-style-language/schema/raw/master/csl-citation.json"}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(Degtiareva et al., 2024)</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to determine whether cancer mortality was higher or lower than expected in the absence of the COVID-19 pandemic. In addition, </w:t>
      </w:r>
      <w:proofErr w:type="gramStart"/>
      <w:r w:rsidRPr="00DF39A4">
        <w:rPr>
          <w:rFonts w:ascii="Times New Roman" w:hAnsi="Times New Roman" w:cs="Times New Roman"/>
          <w:sz w:val="24"/>
          <w:szCs w:val="24"/>
          <w:lang w:val="en-US"/>
        </w:rPr>
        <w:t>use</w:t>
      </w:r>
      <w:proofErr w:type="gramEnd"/>
      <w:r w:rsidRPr="00DF39A4">
        <w:rPr>
          <w:rFonts w:ascii="Times New Roman" w:hAnsi="Times New Roman" w:cs="Times New Roman"/>
          <w:sz w:val="24"/>
          <w:szCs w:val="24"/>
          <w:lang w:val="en-US"/>
        </w:rPr>
        <w:t xml:space="preserve"> of individual-level diagnostic and treatment data and a closer examination of specific slow- or fast-growing cancer types will be helpful to determine the degree to which cancer care was disrupted. It may also be possible that pandemic disruptions in cancer care will only be visible in the near or more distant future, underlining the importance of prospective data to monitor changes in cancer incidence and mortality in the coming years. </w:t>
      </w:r>
    </w:p>
    <w:p w14:paraId="022E5796"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46E2D315"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We find that COPD and acute respiratory mortality often improved during the pandemic, particularly at older ages. On the one hand, this might suggest that older age groups were particularly protected from COVID-19 and lived longer than they would have in the absence of non-pharmaceutical interventions. On the other hand, this pattern might also be suggestive of potential mortality displacement. Many older individuals that would have died from respiratory conditions may have died earlier than in the absence of the pandemic. Further research using more fine-grained mortality data is required to disentangle these two pathways.</w:t>
      </w:r>
    </w:p>
    <w:p w14:paraId="06C8B250"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5C6D5DD5" w14:textId="4E643966"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Alcohol- and drug-related deaths, suicides, and accidents contributed substantially to life expectancy losses in several countries. Females and males in Latvia and the USA, as well as males in Canada, experienced losses of more than three months in 2020 and 2021 combined. Substance- and accident-related mortality accounted for most of these losses. Latvia has historically had high levels of alcohol- and accident-related mortality, often </w:t>
      </w:r>
      <w:r w:rsidRPr="00DF39A4">
        <w:rPr>
          <w:rFonts w:ascii="Times New Roman" w:hAnsi="Times New Roman" w:cs="Times New Roman"/>
          <w:sz w:val="24"/>
          <w:szCs w:val="24"/>
          <w:lang w:val="en-US"/>
        </w:rPr>
        <w:lastRenderedPageBreak/>
        <w:t>contributing to stagnating or declining life expectancy</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{"citationID":"unZO18Go","properties":{"formattedCitation":"(Aburto &amp; van Raalte, 2018)","plainCitation":"(Aburto &amp; van Raalte, 2018)","noteIndex":0},"citationItems":[{"id":2618,"uris":["http://zotero.org/groups/5842698/items/WUMBEG84"],"itemData":{"id":2618,"type":"article-journal","container-title":"Demography","DOI":"10.1007/s13524-018-0729-9","issue":"6","language":"en","page":"2071-2096","title":"Lifespan dispersion in times of life expectancy fluctuation: the case of Central and Eastern Europe","volume":"55","author":[{"family":"Aburto","given":"José Manuel"},{"family":"Raalte","given":"Alyson","non-dropping-particle":"van"}],"issued":{"date-parts":[["2018"]]}}}],"schema":"https://github.com/citation-style-language/schema/raw/master/csl-citation.json"}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(Aburto &amp; van Raalte, 2018)</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Improvements in recent decades have led to rapid increases in life expectancy prior to 2020, which were, however, reversed during the pandemic. As discussed above, Canada, Scotland, and the USA </w:t>
      </w:r>
      <w:r w:rsidR="00262DAC">
        <w:rPr>
          <w:rFonts w:ascii="Times New Roman" w:hAnsi="Times New Roman" w:cs="Times New Roman"/>
          <w:sz w:val="24"/>
          <w:szCs w:val="24"/>
          <w:lang w:val="en-US"/>
        </w:rPr>
        <w:t>have had</w:t>
      </w:r>
      <w:r w:rsidRPr="00DF39A4">
        <w:rPr>
          <w:rFonts w:ascii="Times New Roman" w:hAnsi="Times New Roman" w:cs="Times New Roman"/>
          <w:sz w:val="24"/>
          <w:szCs w:val="24"/>
          <w:lang w:val="en-US"/>
        </w:rPr>
        <w:t xml:space="preserve"> high and rising levels of drug-related mortality before the pandemic. However, these countries experienced small improvements in mortality from lethal drug overdoses in some pandemic years, consistent with recent evidence of a level</w:t>
      </w:r>
      <w:r w:rsidR="001A0FAF" w:rsidRPr="00DF39A4">
        <w:rPr>
          <w:rFonts w:ascii="Times New Roman" w:hAnsi="Times New Roman" w:cs="Times New Roman"/>
          <w:sz w:val="24"/>
          <w:szCs w:val="24"/>
          <w:lang w:val="en-US"/>
        </w:rPr>
        <w:t>l</w:t>
      </w:r>
      <w:r w:rsidRPr="00DF39A4">
        <w:rPr>
          <w:rFonts w:ascii="Times New Roman" w:hAnsi="Times New Roman" w:cs="Times New Roman"/>
          <w:sz w:val="24"/>
          <w:szCs w:val="24"/>
          <w:lang w:val="en-US"/>
        </w:rPr>
        <w:t>ing off of drug mortality</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{"citationID":"soVHhe7F","properties":{"formattedCitation":"(Angus et al., 2023; Spencer et al., 2024)","plainCitation":"(Angus et al., 2023; Spencer et al., 2024)","noteIndex":0},"citationItems":[{"id":2623,"uris":["http://zotero.org/groups/5842698/items/FKCBBPTA"],"itemData":{"id":2623,"type":"article-journal","container-title":"Public Health","DOI":"10.1016/j.puhe.2023.02.019","language":"en","page":"92-96","title":"Increases in ‘deaths of despair’ during the COVID-19 pandemic in the United States and the United Kingdom","volume":"218","author":[{"family":"Angus","given":"C."},{"family":"Buckley","given":"C."},{"family":"Tilstra","given":"A. M."},{"family":"Dowd","given":"J. B."}],"issued":{"date-parts":[["2023"]]}}},{"id":2672,"uris":["http://zotero.org/groups/5842698/items/UE89CGA5"],"itemData":{"id":2672,"type":"report","event-place":"Hyattsville, MD: National Center for Health Statistics","language":"en","note":"DOI: 10.15620/cdc:135849","number":"NCHS Data Brief 491","publisher-place":"Hyattsville, MD: National Center for Health Statistics","title":"Drug overdose deaths in the United States, 2002-2022","author":[{"family":"Spencer","given":"Merianne R."},{"family":"Garnett","given":"Matthew F."},{"family":"Miniño","given":"Arialdi M."}],"issued":{"date-parts":[["2024"]]}}}],"schema":"https://github.com/citation-style-language/schema/raw/master/csl-citation.json"}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(Angus et al., 2023; Spencer et al., 2024)</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009B5647">
        <w:rPr>
          <w:rFonts w:ascii="Times New Roman" w:hAnsi="Times New Roman" w:cs="Times New Roman"/>
          <w:sz w:val="24"/>
          <w:szCs w:val="24"/>
          <w:lang w:val="en-US"/>
        </w:rPr>
        <w:t xml:space="preserve"> </w:t>
      </w:r>
      <w:r w:rsidRPr="00DF39A4">
        <w:rPr>
          <w:rFonts w:ascii="Times New Roman" w:hAnsi="Times New Roman" w:cs="Times New Roman"/>
          <w:sz w:val="24"/>
          <w:szCs w:val="24"/>
          <w:lang w:val="en-US"/>
        </w:rPr>
        <w:t>So far, the reasons for these trend changes in lethal drug overdoses remain underexplored and may likely reflect country- and substance-specific factors</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{"citationID":"UBwT6FIz","properties":{"formattedCitation":"(Angus et al., 2023)","plainCitation":"(Angus et al., 2023)","noteIndex":0},"citationItems":[{"id":2623,"uris":["http://zotero.org/groups/5842698/items/FKCBBPTA"],"itemData":{"id":2623,"type":"article-journal","container-title":"Public Health","DOI":"10.1016/j.puhe.2023.02.019","language":"en","page":"92-96","title":"Increases in ‘deaths of despair’ during the COVID-19 pandemic in the United States and the United Kingdom","volume":"218","author":[{"family":"Angus","given":"C."},{"family":"Buckley","given":"C."},{"family":"Tilstra","given":"A. M."},{"family":"Dowd","given":"J. B."}],"issued":{"date-parts":[["2023"]]}}}],"schema":"https://github.com/citation-style-language/schema/raw/master/csl-citation.json"}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(Angus et al., 2023)</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w:t>
      </w:r>
    </w:p>
    <w:p w14:paraId="6AB5AC1D"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5698B86A" w14:textId="692F543B"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The widespread rise in alcohol-related mortality shown in our study should be of concern, as longer-term impacts of high alcohol consumption may be anticipated in addition to the observed pandemic increases in alcohol deaths. Despite early concerns, we find no evidence that suicide mortality strongly and systematically increased during the pandemic, with many countries even showing improvements. However, females in Japan and Northern Ireland saw comparatively large losses from suicide mortality in 2019–2020. In Northern Ireland, suicide mortality appears to have followed the upward trajectory already seen before 2020</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{"citationID":"cPTlM8tE","properties":{"formattedCitation":"(NISRA Vital Statistics, 2023)","plainCitation":"(NISRA Vital Statistics, 2023)","noteIndex":0},"citationItems":[{"id":2663,"uris":["http://zotero.org/groups/5842698/items/BGUEBV5K"],"itemData":{"id":2663,"type":"report","language":"en","title":"Suicide statistics in Northern Ireland, 2002-2022","author":[{"family":"NISRA Vital Statistics","given":""}],"issued":{"date-parts":[["2023"]]}}}],"schema":"https://github.com/citation-style-language/schema/raw/master/csl-citation.json"}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(NISRA Vital Statistics, 2023)</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while in Japan, suicide mortality declined at the beginning of the pandemic only to increase in later waves</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{"citationID":"N2FnAtSL","properties":{"formattedCitation":"(Koda et al., 2022; Tanaka &amp; Okamoto, 2021)","plainCitation":"(Koda et al., 2022; Tanaka &amp; Okamoto, 2021)","noteIndex":0},"citationItems":[{"id":2649,"uris":["http://zotero.org/groups/5842698/items/YFV2CEZ8"],"itemData":{"id":2649,"type":"article-journal","container-title":"JAMA Network Open","DOI":"10.1001/jamanetworkopen.2021.45870","issue":"1","language":"en","page":"e2145870","title":"Reasons for suicide during the COVID-19 pandemic in japan","volume":"5","author":[{"family":"Koda","given":"Masahide"},{"family":"Harada","given":"Nahoko"},{"family":"Eguchi","given":"Akifumi"},{"family":"Nomura","given":"Shuhei"},{"family":"Ishida","given":"Yasushi"}],"issued":{"date-parts":[["2022"]]}}},{"id":2674,"uris":["http://zotero.org/groups/5842698/items/2SJKUQWU"],"itemData":{"id":2674,"type":"article-journal","container-title":"Nature Human Behaviour","DOI":"10.1038/s41562-020-01042-z","issue":"2","language":"en","page":"229-238","title":"Increase in suicide following an initial decline during the COVID-19 pandemic in Japan","volume":"5","author":[{"family":"Tanaka","given":"Takanao"},{"family":"Okamoto","given":"Shohei"}],"issued":{"date-parts":[["2021"]]}}}],"schema":"https://github.com/citation-style-language/schema/raw/master/csl-citation.json"}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(Koda et al., 2022; Tanaka &amp; Okamoto, 2021)</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Pandemic changes in accident mortality were more mixed, with many countries seeing small life expectancy gains from fewer accidents, especially among males. This is likely explained by lockdown measures and work-from-home schemes, including their effects on car traffic</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{"citationID":"dqYUqnFq","properties":{"formattedCitation":"(Calderon-Anyosa &amp; Kaufman, 2021)","plainCitation":"(Calderon-Anyosa &amp; Kaufman, 2021)","noteIndex":0},"citationItems":[{"id":2626,"uris":["http://zotero.org/groups/5842698/items/BS3NZWXG"],"itemData":{"id":2626,"type":"article-journal","container-title":"Preventive Medicine","DOI":"10.1016/j.ypmed.2020.106331","language":"en","page":"106331","title":"Impact of COVID-19 lockdown policy on homicide, suicide, and motor vehicle deaths in Peru","volume":"143","author":[{"family":"Calderon-Anyosa","given":"Renzo J. C."},{"family":"Kaufman","given":"Jay S."}],"issued":{"date-parts":[["2021"]]}}}],"schema":"https://github.com/citation-style-language/schema/raw/master/csl-citation.json"}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(Calderon-Anyosa &amp; Kaufman, 2021)</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p>
    <w:p w14:paraId="3BE79938"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3EEDC399" w14:textId="76CAE860"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lastRenderedPageBreak/>
        <w:t>Finally, the residual category accounted for a large share of changes due to non</w:t>
      </w:r>
      <w:r w:rsidR="00A03527"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COVID-19 mortality, and most of its contributions were negative. Although we classified deaths according to broad cause-of-death categories that feature prominently in the current discourse on pandemic mortality dynamics, our findings underline that the pandemic has noticeably affected other causes of death that are less regularly studied. For example, a recent study from Australia showed rising mortality due to Parkinson’s disease, disorders of gallbladder, biliary tract and pancreas, diseases of the musculoskeletal system and connective tissue, and other disorders of the urinary system in </w:t>
      </w:r>
      <w:r w:rsidR="00D62669" w:rsidRPr="00DF39A4">
        <w:rPr>
          <w:rFonts w:ascii="Times New Roman" w:hAnsi="Times New Roman" w:cs="Times New Roman"/>
          <w:sz w:val="24"/>
          <w:szCs w:val="24"/>
          <w:lang w:val="en-US"/>
        </w:rPr>
        <w:t>2021</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{"citationID":"WteyDWWa","properties":{"formattedCitation":"(Adair et al., 2023)","plainCitation":"(Adair et al., 2023)","noteIndex":0},"citationItems":[{"id":2620,"uris":["http://zotero.org/groups/5842698/items/MWU544AY"],"itemData":{"id":2620,"type":"article-journal","container-title":"International Journal of Epidemiology","DOI":"10.1093/ije/dyad121","issue":"6","language":"en","page":"1735-1744","title":"Effect of the COVID-19 pandemic on life expectancy in Australia, 2020-22","volume":"52","author":[{"family":"Adair","given":"Tim"},{"family":"Houle","given":"Brian"},{"family":"Canudas-Romo","given":"Vladimir"}],"issued":{"date-parts":[["2023"]]}}}],"schema":"https://github.com/citation-style-language/schema/raw/master/csl-citation.json"}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(Adair et al., 2023)</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The Australian case suggests that the indirect effects of the COVID-19 outbreak may have created unmet needs across a wide range of causes of death. The recent rise in the complexity of cause-of-death profiles in high-income countries means that it may become increasingly difficult to predict which causes of death will be most influential for life expectancy changes</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{"citationID":"Ek7vcKuv","properties":{"formattedCitation":"(Bergeron-Boucher et al., 2020)","plainCitation":"(Bergeron-Boucher et al., 2020)","noteIndex":0},"citationItems":[{"id":2625,"uris":["http://zotero.org/groups/5842698/items/HGYK4IN2"],"itemData":{"id":2625,"type":"article-journal","container-title":"BMJ Global Health","DOI":"10.1136/bmjgh-2020-002414","issue":"7","language":"en","page":"e002414","title":"Diversification in causes of death in low-mortality countries: emerging patterns and implications","volume":"5","author":[{"family":"Bergeron-Boucher","given":"Marie-Pier"},{"family":"Aburto","given":"José Manuel"},{"family":"Raalte","given":"Alyson","non-dropping-particle":"van"}],"issued":{"date-parts":[["2020"]]}}}],"schema":"https://github.com/citation-style-language/schema/raw/master/csl-citation.json"}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(Bergeron-Boucher et al., 2020)</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0053077B" w:rsidRPr="0053077B">
        <w:t xml:space="preserve"> </w:t>
      </w:r>
      <w:r w:rsidR="0053077B" w:rsidRPr="0053077B">
        <w:rPr>
          <w:rFonts w:ascii="Times New Roman" w:hAnsi="Times New Roman" w:cs="Times New Roman"/>
          <w:sz w:val="24"/>
          <w:szCs w:val="24"/>
          <w:lang w:val="en-US"/>
        </w:rPr>
        <w:t>Future studies and policies should increase efforts to account for this growing diversity of causes of death.</w:t>
      </w:r>
    </w:p>
    <w:p w14:paraId="42759EA5"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35540685" w14:textId="1756536D"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Our study has several limitations. First, our analysis is restricted to 24 countries. Understanding the experience of more countries</w:t>
      </w:r>
      <w:r w:rsidR="00B324EC">
        <w:rPr>
          <w:rFonts w:ascii="Times New Roman" w:hAnsi="Times New Roman" w:cs="Times New Roman"/>
          <w:sz w:val="24"/>
          <w:szCs w:val="24"/>
          <w:lang w:val="en-US"/>
        </w:rPr>
        <w:t>, including low- and middle-income countries,</w:t>
      </w:r>
      <w:r w:rsidRPr="00DF39A4">
        <w:rPr>
          <w:rFonts w:ascii="Times New Roman" w:hAnsi="Times New Roman" w:cs="Times New Roman"/>
          <w:sz w:val="24"/>
          <w:szCs w:val="24"/>
          <w:lang w:val="en-US"/>
        </w:rPr>
        <w:t xml:space="preserve"> in this comparative perspective would be valuable. Second, while our estimated life expectancy trends tend to agree well with those of more established sources such as the UNWPP, there are a few cases where the directions of life expectancy </w:t>
      </w:r>
      <w:proofErr w:type="gramStart"/>
      <w:r w:rsidRPr="00DF39A4">
        <w:rPr>
          <w:rFonts w:ascii="Times New Roman" w:hAnsi="Times New Roman" w:cs="Times New Roman"/>
          <w:sz w:val="24"/>
          <w:szCs w:val="24"/>
          <w:lang w:val="en-US"/>
        </w:rPr>
        <w:t>changes</w:t>
      </w:r>
      <w:proofErr w:type="gramEnd"/>
      <w:r w:rsidRPr="00DF39A4">
        <w:rPr>
          <w:rFonts w:ascii="Times New Roman" w:hAnsi="Times New Roman" w:cs="Times New Roman"/>
          <w:sz w:val="24"/>
          <w:szCs w:val="24"/>
          <w:lang w:val="en-US"/>
        </w:rPr>
        <w:t xml:space="preserve"> differ. One example is Denmark, where life expectancy increased in 2020</w:t>
      </w:r>
      <w:r w:rsidR="00902D56"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2021 according to our estimates, but decreased according to UNWPP estimates. Further examination of the mortality age schedules from both sources suggests that this deviation may be due to an underestimation of young adult mortality in our dataset. We note that we have used the most recent </w:t>
      </w:r>
      <w:proofErr w:type="gramStart"/>
      <w:r w:rsidRPr="00DF39A4">
        <w:rPr>
          <w:rFonts w:ascii="Times New Roman" w:hAnsi="Times New Roman" w:cs="Times New Roman"/>
          <w:sz w:val="24"/>
          <w:szCs w:val="24"/>
          <w:lang w:val="en-US"/>
        </w:rPr>
        <w:t>available data</w:t>
      </w:r>
      <w:proofErr w:type="gramEnd"/>
      <w:r w:rsidRPr="00DF39A4">
        <w:rPr>
          <w:rFonts w:ascii="Times New Roman" w:hAnsi="Times New Roman" w:cs="Times New Roman"/>
          <w:sz w:val="24"/>
          <w:szCs w:val="24"/>
          <w:lang w:val="en-US"/>
        </w:rPr>
        <w:t xml:space="preserve"> on </w:t>
      </w:r>
      <w:r w:rsidR="006D79F1" w:rsidRPr="00DF39A4">
        <w:rPr>
          <w:rFonts w:ascii="Times New Roman" w:hAnsi="Times New Roman" w:cs="Times New Roman"/>
          <w:sz w:val="24"/>
          <w:szCs w:val="24"/>
          <w:lang w:val="en-US"/>
        </w:rPr>
        <w:t xml:space="preserve">population </w:t>
      </w:r>
      <w:r w:rsidRPr="00DF39A4">
        <w:rPr>
          <w:rFonts w:ascii="Times New Roman" w:hAnsi="Times New Roman" w:cs="Times New Roman"/>
          <w:sz w:val="24"/>
          <w:szCs w:val="24"/>
          <w:lang w:val="en-US"/>
        </w:rPr>
        <w:t xml:space="preserve">and deaths by cause to estimate mortality </w:t>
      </w:r>
      <w:r w:rsidRPr="00DF39A4">
        <w:rPr>
          <w:rFonts w:ascii="Times New Roman" w:hAnsi="Times New Roman" w:cs="Times New Roman"/>
          <w:sz w:val="24"/>
          <w:szCs w:val="24"/>
          <w:lang w:val="en-US"/>
        </w:rPr>
        <w:lastRenderedPageBreak/>
        <w:t xml:space="preserve">dynamics during the COVID-19 pandemic as accurately as possible, and we have highlighted deviations </w:t>
      </w:r>
      <w:r w:rsidR="00E83845">
        <w:rPr>
          <w:rFonts w:ascii="Times New Roman" w:hAnsi="Times New Roman" w:cs="Times New Roman"/>
          <w:sz w:val="24"/>
          <w:szCs w:val="24"/>
          <w:lang w:val="en-US"/>
        </w:rPr>
        <w:t xml:space="preserve">between data sources </w:t>
      </w:r>
      <w:r w:rsidRPr="00DF39A4">
        <w:rPr>
          <w:rFonts w:ascii="Times New Roman" w:hAnsi="Times New Roman" w:cs="Times New Roman"/>
          <w:sz w:val="24"/>
          <w:szCs w:val="24"/>
          <w:lang w:val="en-US"/>
        </w:rPr>
        <w:t>where they occurred. Finally, the process of cause-of-death coding varies across countries, and pandemic-associated impacts, such as misclassification between underlying and contributory causes of deaths, delays in registration, and the location of deaths (at home vs. hospital or nursing home), could affect estimates</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{"citationID":"bjymWa9B","properties":{"formattedCitation":"(Stokes et al., 2021)","plainCitation":"(Stokes et al., 2021)","noteIndex":0},"citationItems":[{"id":2673,"uris":["http://zotero.org/groups/5842698/items/89JQDI93"],"itemData":{"id":2673,"type":"article-journal","container-title":"JAMA Network Open","DOI":"10.1001/jamanetworkopen.2021.25287","issue":"9","language":"en","page":"e2125287","title":"Association of health care factors with excess deaths not assigned to COVID-19 in the US","volume":"4","author":[{"family":"Stokes","given":"Andrew C."},{"family":"Lundberg","given":"Dielle J."},{"family":"Bor","given":"Jacob"},{"family":"Elo","given":"Irma T."},{"family":"Hempstead","given":"Katherine"},{"family":"Preston","given":"Samuel H."}],"issued":{"date-parts":[["2021"]]}}}],"schema":"https://github.com/citation-style-language/schema/raw/master/csl-citation.json"}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(Stokes et al., 2021)</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Importantly, differences in testing capacities and willingness to assign COVID-19 as an underlying cause of death mean that an increase in CVD and respiratory mortality in some countries may reflect undercounted COVID-19 deaths</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{"citationID":"TlcMWykU","properties":{"formattedCitation":"(Luck et al., 2023; Paglino et al., 2024)","plainCitation":"(Luck et al., 2023; Paglino et al., 2024)","noteIndex":0},"citationItems":[{"id":2655,"uris":["http://zotero.org/groups/5842698/items/4MCLP359"],"itemData":{"id":2655,"type":"article-journal","container-title":"PLOS ONE","DOI":"10.1371/journal.pone.0281683","issue":"3","language":"en","page":"e0281683","title":"Associations between mortality from COVID-19 and other causes: a state-level analysis","volume":"18","author":[{"family":"Luck","given":"Anneliese N."},{"family":"Stokes","given":"Andrew C."},{"family":"Hempstead","given":"Katherine"},{"family":"Paglino","given":"Eugenio"},{"family":"Preston","given":"Samuel H."}],"issued":{"date-parts":[["2023"]]}}},{"id":2666,"uris":["http://zotero.org/groups/5842698/items/M4US8CQU"],"itemData":{"id":2666,"type":"article-journal","container-title":"Proceedings of the National Academy of Sciences","DOI":"10.1073/pnas.2313661121","issue":"6","language":"en","page":"e2313661121","title":"Excess natural-cause mortality in US counties and its association with reported COVID-19 deaths","volume":"121","author":[{"family":"Paglino","given":"Eugenio"},{"family":"Lundberg","given":"Dielle J."},{"family":"Wrigley-Field","given":"Elizabeth"},{"family":"Zhou","given":"Zhenwei"},{"family":"Wasserman","given":"Joe A."},{"family":"Raquib","given":"Rafeya"},{"family":"Chen","given":"Yea-Hung"},{"family":"Hempstead","given":"Katherine"},{"family":"Preston","given":"Samuel H."},{"family":"Elo","given":"Irma T."},{"family":"Glymour","given":"M. Maria"},{"family":"Stokes","given":"Andrew C."}],"issued":{"date-parts":[["2024"]]}}}],"schema":"https://github.com/citation-style-language/schema/raw/master/csl-citation.json"}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(Luck et al., 2023; Paglino et al., 2024)</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For example, we observed a strong overlap in the age patterns of COVID-19, CVD, and acute respiratory mortality in Bulgaria and Russia, pointing towards potential large under-detection of COVID-19 deaths in vital statistics, particularly during the first year of the pandemic</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{"citationID":"mNzunmEr","properties":{"formattedCitation":"(Dyer, 2020; Timonin et al., 2022)","plainCitation":"(Dyer, 2020; Timonin et al., 2022)","noteIndex":0},"citationItems":[{"id":2632,"uris":["http://zotero.org/groups/5842698/items/DAIUA2U6"],"itemData":{"id":2632,"type":"article-journal","container-title":"BMJ","DOI":"10.1136/bmj.m4975","language":"en","page":"m4975","title":"Covid-19: Russia admits to understating deaths by more than two thirds","volume":"371","author":[{"family":"Dyer","given":"Owen"}],"issued":{"date-parts":[["2020"]]}}},{"id":2676,"uris":["http://zotero.org/groups/5842698/items/ETH9P4MX"],"itemData":{"id":2676,"type":"article-journal","container-title":"SSM - Population Health","DOI":"10.1016/j.ssmph.2021.101006","language":"en","page":"101006","title":"Excess mortality in Russia and its regions compared to high income countries: An analysis of monthly series of 2020","volume":"17","author":[{"family":"Timonin","given":"Sergey"},{"family":"Klimkin","given":"Ilya"},{"family":"Shkolnikov","given":"Vladimir M."},{"family":"Andreev","given":"Evgeny"},{"family":"McKee","given":"Martin"},{"family":"Leon","given":"David A."}],"issued":{"date-parts":[["2022"]]}}}],"schema":"https://github.com/citation-style-language/schema/raw/master/csl-citation.json"}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(Dyer, 2020; Timonin et al., 2022)</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Detailed analysis of the temporal and geographic patterns of non-COVID-19 excess </w:t>
      </w:r>
      <w:r w:rsidR="002C090E">
        <w:rPr>
          <w:rFonts w:ascii="Times New Roman" w:hAnsi="Times New Roman" w:cs="Times New Roman"/>
          <w:sz w:val="24"/>
          <w:szCs w:val="24"/>
          <w:lang w:val="en-US"/>
        </w:rPr>
        <w:t xml:space="preserve">mortality </w:t>
      </w:r>
      <w:r w:rsidRPr="00DF39A4">
        <w:rPr>
          <w:rFonts w:ascii="Times New Roman" w:hAnsi="Times New Roman" w:cs="Times New Roman"/>
          <w:sz w:val="24"/>
          <w:szCs w:val="24"/>
          <w:lang w:val="en-US"/>
        </w:rPr>
        <w:t>in the USA suggests that a high proportion were likely undercounted COVID-19 deaths</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{"citationID":"I5eORmpG","properties":{"formattedCitation":"(Paglino et al., 2024)","plainCitation":"(Paglino et al., 2024)","noteIndex":0},"citationItems":[{"id":2666,"uris":["http://zotero.org/groups/5842698/items/M4US8CQU"],"itemData":{"id":2666,"type":"article-journal","container-title":"Proceedings of the National Academy of Sciences","DOI":"10.1073/pnas.2313661121","issue":"6","language":"en","page":"e2313661121","title":"Excess natural-cause mortality in US counties and its association with reported COVID-19 deaths","volume":"121","author":[{"family":"Paglino","given":"Eugenio"},{"family":"Lundberg","given":"Dielle J."},{"family":"Wrigley-Field","given":"Elizabeth"},{"family":"Zhou","given":"Zhenwei"},{"family":"Wasserman","given":"Joe A."},{"family":"Raquib","given":"Rafeya"},{"family":"Chen","given":"Yea-Hung"},{"family":"Hempstead","given":"Katherine"},{"family":"Preston","given":"Samuel H."},{"family":"Elo","given":"Irma T."},{"family":"Glymour","given":"M. Maria"},{"family":"Stokes","given":"Andrew C."}],"issued":{"date-parts":[["2024"]]}}}],"schema":"https://github.com/citation-style-language/schema/raw/master/csl-citation.json"}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(Paglino et al., 2024)</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Moreover, it is estimated that causes of death other than COVID-19 represented 19.6% of the total mortality burden associated with COVID-19 during the first year of the pandemic in the USA, with circulatory diseases making up the highest percentage of these</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{"citationID":"gyvJJrP1","properties":{"formattedCitation":"(Luck et al., 2023)","plainCitation":"(Luck et al., 2023)","noteIndex":0},"citationItems":[{"id":2655,"uris":["http://zotero.org/groups/5842698/items/4MCLP359"],"itemData":{"id":2655,"type":"article-journal","container-title":"PLOS ONE","DOI":"10.1371/journal.pone.0281683","issue":"3","language":"en","page":"e0281683","title":"Associations between mortality from COVID-19 and other causes: a state-level analysis","volume":"18","author":[{"family":"Luck","given":"Anneliese N."},{"family":"Stokes","given":"Andrew C."},{"family":"Hempstead","given":"Katherine"},{"family":"Paglino","given":"Eugenio"},{"family":"Preston","given":"Samuel H."}],"issued":{"date-parts":[["2023"]]}}}],"schema":"https://github.com/citation-style-language/schema/raw/master/csl-citation.json"}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(Luck et al., 2023)</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While difficult to test directly, we suspect that undercounting also accounts for much of the increased CVD mortality in Central and Eastern European and Baltic countries as well as Russia, which had even higher ratios of excess deaths to official COVID-19 deaths</w:t>
      </w:r>
      <w:r w:rsidR="001A1738">
        <w:rPr>
          <w:rFonts w:ascii="Times New Roman" w:hAnsi="Times New Roman" w:cs="Times New Roman"/>
          <w:sz w:val="24"/>
          <w:szCs w:val="24"/>
          <w:lang w:val="en-US"/>
        </w:rPr>
        <w:t xml:space="preserve"> than the USA</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{"citationID":"JcjkadXQ","properties":{"formattedCitation":"(Karlinsky &amp; Kobak, 2021; Wang et al., 2022)","plainCitation":"(Karlinsky &amp; Kobak, 2021; Wang et al., 2022)","noteIndex":0},"citationItems":[{"id":2647,"uris":["http://zotero.org/groups/5842698/items/MCISUJXJ"],"itemData":{"id":2647,"type":"article-journal","container-title":"eLife","DOI":"10.7554/eLife.69336","language":"en","page":"e69336","title":"Tracking excess mortality across countries during the COVID-19 pandemic with the World Mortality Dataset","volume":"10","author":[{"family":"Karlinsky","given":"Ariel"},{"family":"Kobak","given":"Dmitry"}],"issued":{"date-parts":[["2021"]]}}},{"id":2679,"uris":["http://zotero.org/groups/5842698/items/VAYAC3UV"],"itemData":{"id":2679,"type":"article-journal","container-title":"The Lancet","DOI":"10.1016/S0140-6736(21)02796-3","issue":"10334","language":"en","page":"1513-1536","title":"Estimating excess mortality due to the COVID-19 pandemic: a systematic analysis of COVID-19-related mortality, 2020–21","volume":"399","author":[{"family":"Wang","given":"Haidong"},{"family":"Paulson","given":"Katherine R"},{"family":"Pease","given":"Spencer A"},{"family":"Watson","given":"Stefanie"},{"family":"Comfort","given":"Haley"},{"family":"Zheng","given":"Peng"},{"family":"Aravkin","given":"Aleksandr Y"},{"family":"Bisignano","given":"Catherine"},{"family":"Barber","given":"Ryan M"},{"family":"Alam","given":"Tahiya"},{"family":"Fuller","given":"John E"},{"family":"May","given":"Erin A"},{"family":"Jones","given":"Darwin Phan"},{"family":"Frisch","given":"Meghan E"},{"family":"Abbafati","given":"Cristiana"},{"family":"Adolph","given":"Christopher"},{"family":"Allorant","given":"Adrien"},{"family":"Amlag","given":"Joanne O"},{"family":"Bang-Jensen","given":"Bree"},{"family":"Bertolacci","given":"Gregory J"},{"family":"Bloom","given":"Sabina S"},{"family":"Carter","given":"Austin"},{"family":"Castro","given":"Emma"},{"family":"Chakrabarti","given":"Suman"},{"family":"Chattopadhyay","given":"Jhilik"},{"family":"Cogen","given":"Rebecca M"},{"family":"Collins","given":"James K"},{"family":"Cooperrider","given":"Kimberly"},{"family":"Dai","given":"Xiaochen"},{"family":"Dangel","given":"William James"},{"family":"Daoud","given":"Farah"},{"family":"Dapper","given":"Carolyn"},{"family":"Deen","given":"Amanda"},{"family":"Duncan","given":"Bruce B"},{"family":"Erickson","given":"Megan"},{"family":"Ewald","given":"Samuel B"},{"family":"Fedosseeva","given":"Tatiana"},{"family":"Ferrari","given":"Alize J"},{"family":"Frostad","given":"Joseph Jon"},{"family":"Fullman","given":"Nancy"},{"family":"Gallagher","given":"John"},{"family":"Gamkrelidze","given":"Amiran"},{"family":"Guo","given":"Gaorui"},{"family":"He","given":"Jiawei"},{"family":"Helak","given":"Monika"},{"family":"Henry","given":"Nathaniel J"},{"family":"Hulland","given":"Erin N"},{"family":"Huntley","given":"Bethany M"},{"family":"Kereselidze","given":"Maia"},{"family":"Lazzar-Atwood","given":"Alice"},{"family":"LeGrand","given":"Kate E"},{"family":"Lindstrom","given":"Akiaja"},{"family":"Linebarger","given":"Emily"},{"family":"Lotufo","given":"Paulo A"},{"family":"Lozano","given":"Rafael"},{"family":"Magistro","given":"Beatrice"},{"family":"Malta","given":"Deborah Carvalho"},{"family":"Månsson","given":"Johan"},{"family":"Mantilla Herrera","given":"Ana M"},{"family":"Marinho","given":"Fatima"},{"family":"Mirkuzie","given":"Alemnesh H"},{"family":"Misganaw","given":"Awoke Temesgen"},{"family":"Monasta","given":"Lorenzo"},{"family":"Naik","given":"Paulami"},{"family":"Nomura","given":"Shuhei"},{"family":"O'Brien","given":"Edward G"},{"family":"O'Halloran","given":"James Kevin"},{"family":"Olana","given":"Latera Tesfaye"},{"family":"Ostroff","given":"Samuel M"},{"family":"Penberthy","given":"Louise"},{"family":"Reiner Jr","given":"Robert C"},{"family":"Reinke","given":"Grace"},{"family":"Ribeiro","given":"Antonio Luiz P"},{"family":"Santomauro","given":"Damian Francesco"},{"family":"Schmidt","given":"Maria Inês"},{"family":"Shaw","given":"David H"},{"family":"Sheena","given":"Brittney S"},{"family":"Sholokhov","given":"Aleksei"},{"family":"Skhvitaridze","given":"Natia"},{"family":"Sorensen","given":"Reed J D"},{"family":"Spurlock","given":"Emma Elizabeth"},{"family":"Syailendrawati","given":"Ruri"},{"family":"Topor-Madry","given":"Roman"},{"family":"Troeger","given":"Christopher E"},{"family":"Walcott","given":"Rebecca"},{"family":"Walker","given":"Ally"},{"family":"Wiysonge","given":"Charles Shey"},{"family":"Worku","given":"Nahom Alemseged"},{"family":"Zigler","given":"Bethany"},{"family":"Pigott","given":"David M"},{"family":"Naghavi","given":"Mohsen"},{"family":"Mokdad","given":"Ali H"},{"family":"Lim","given":"Stephen S"},{"family":"Hay","given":"Simon I"},{"family":"Gakidou","given":"Emmanuela"},{"family":"Murray","given":"Christopher J L"}],"issued":{"date-parts":[["2022"]]}}}],"schema":"https://github.com/citation-style-language/schema/raw/master/csl-citation.json"}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(Karlinsky &amp; Kobak, 2021; Wang et al., 2022)</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Furthermore, the fact that these countries saw large gains in life expectancy due to CVD before the pandemic as well as noticeable CVD-related losses during the pandemic may be related to the poorer public health and medical infrastructure in these countries, which may have contributed to both a later ‘cardiovascular revolution’ and </w:t>
      </w:r>
      <w:r w:rsidRPr="00DF39A4">
        <w:rPr>
          <w:rFonts w:ascii="Times New Roman" w:hAnsi="Times New Roman" w:cs="Times New Roman"/>
          <w:sz w:val="24"/>
          <w:szCs w:val="24"/>
          <w:lang w:val="en-US"/>
        </w:rPr>
        <w:lastRenderedPageBreak/>
        <w:t xml:space="preserve">COVID-19 underreporting. Our findings highlight the need for high-quality data on causes of death, which are often lacking in many countries, and the need to develop methods to mitigate existing data limitations, such as miscoding of causes of death and </w:t>
      </w:r>
      <w:r w:rsidR="00E416C2">
        <w:rPr>
          <w:rFonts w:ascii="Times New Roman" w:hAnsi="Times New Roman" w:cs="Times New Roman"/>
          <w:sz w:val="24"/>
          <w:szCs w:val="24"/>
          <w:lang w:val="en-US"/>
        </w:rPr>
        <w:t xml:space="preserve">a </w:t>
      </w:r>
      <w:r w:rsidRPr="00DF39A4">
        <w:rPr>
          <w:rFonts w:ascii="Times New Roman" w:hAnsi="Times New Roman" w:cs="Times New Roman"/>
          <w:sz w:val="24"/>
          <w:szCs w:val="24"/>
          <w:lang w:val="en-US"/>
        </w:rPr>
        <w:t>lack of data on multiple causes of death. </w:t>
      </w:r>
    </w:p>
    <w:p w14:paraId="738AE957"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3326A452"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To summarize, we find that the indirect effects of the COVID-19 pandemic on mortality varied across countries, even those with a comparable burden of COVID-19 mortality. This variation may suggest that some explanations for changes in non-COVID-19 mortality, such as mortality displacement, do not provide a comprehensive explanation for the cross-country variation observed in our study. Rather, our results highlight variability in the impact of the pandemic on overall population health through the (non-)implementation of pharmaceutical and non-pharmaceutical interventions, as well as pre-existing vulnerabilities in the population. The variable impact of the COVID-19 pandemic across countries has therefore contributed to a further diversification of life expectancy trajectories, a trend already observed prior to the outbreak of SARS-CoV-2. Importantly, the continued life expectancy losses due to rising non-COVID-19 mortality, even in 2022, represent a major puzzle and an important point of intervention for public health efforts and research in the post-pandemic period.</w:t>
      </w:r>
    </w:p>
    <w:p w14:paraId="22E17A36" w14:textId="77777777" w:rsidR="00ED1DA5" w:rsidRPr="00DF39A4" w:rsidRDefault="00ED1DA5" w:rsidP="00252023">
      <w:pPr>
        <w:pStyle w:val="NoSpacing"/>
        <w:suppressLineNumbers/>
        <w:spacing w:line="480" w:lineRule="auto"/>
        <w:jc w:val="both"/>
        <w:rPr>
          <w:rFonts w:ascii="Times New Roman" w:hAnsi="Times New Roman" w:cs="Times New Roman"/>
          <w:sz w:val="24"/>
          <w:szCs w:val="24"/>
          <w:lang w:val="en-US"/>
        </w:rPr>
      </w:pPr>
    </w:p>
    <w:p w14:paraId="048B0498" w14:textId="2A2EAA75" w:rsidR="00B676CC" w:rsidRPr="00C41903" w:rsidRDefault="001178EE" w:rsidP="00252023">
      <w:pPr>
        <w:pStyle w:val="NoSpacing"/>
        <w:spacing w:line="480" w:lineRule="auto"/>
        <w:jc w:val="both"/>
        <w:rPr>
          <w:rFonts w:ascii="Times New Roman" w:hAnsi="Times New Roman" w:cs="Times New Roman"/>
          <w:b/>
          <w:bCs/>
          <w:iCs/>
          <w:sz w:val="24"/>
          <w:szCs w:val="24"/>
          <w:lang w:val="en-US"/>
        </w:rPr>
      </w:pPr>
      <w:r w:rsidRPr="00C41903">
        <w:rPr>
          <w:rFonts w:ascii="Times New Roman" w:hAnsi="Times New Roman" w:cs="Times New Roman"/>
          <w:b/>
          <w:bCs/>
          <w:iCs/>
          <w:sz w:val="24"/>
          <w:szCs w:val="24"/>
          <w:lang w:val="en-US"/>
        </w:rPr>
        <w:t xml:space="preserve">3.5. </w:t>
      </w:r>
      <w:r w:rsidR="00B676CC" w:rsidRPr="00C41903">
        <w:rPr>
          <w:rFonts w:ascii="Times New Roman" w:hAnsi="Times New Roman" w:cs="Times New Roman"/>
          <w:b/>
          <w:bCs/>
          <w:iCs/>
          <w:sz w:val="24"/>
          <w:szCs w:val="24"/>
          <w:lang w:val="en-US"/>
        </w:rPr>
        <w:t xml:space="preserve">Materials and </w:t>
      </w:r>
      <w:r w:rsidR="00B52FFB">
        <w:rPr>
          <w:rFonts w:ascii="Times New Roman" w:hAnsi="Times New Roman" w:cs="Times New Roman"/>
          <w:b/>
          <w:bCs/>
          <w:iCs/>
          <w:sz w:val="24"/>
          <w:szCs w:val="24"/>
          <w:lang w:val="en-US"/>
        </w:rPr>
        <w:t>m</w:t>
      </w:r>
      <w:r w:rsidR="00B676CC" w:rsidRPr="00C41903">
        <w:rPr>
          <w:rFonts w:ascii="Times New Roman" w:hAnsi="Times New Roman" w:cs="Times New Roman"/>
          <w:b/>
          <w:bCs/>
          <w:iCs/>
          <w:sz w:val="24"/>
          <w:szCs w:val="24"/>
          <w:lang w:val="en-US"/>
        </w:rPr>
        <w:t>ethods</w:t>
      </w:r>
    </w:p>
    <w:p w14:paraId="7040A029" w14:textId="53483F6B" w:rsidR="00043AE2" w:rsidRPr="00DF39A4" w:rsidRDefault="00B676CC" w:rsidP="00252023">
      <w:pPr>
        <w:pStyle w:val="NoSpacing"/>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We use</w:t>
      </w:r>
      <w:r w:rsidR="007E3A33" w:rsidRPr="00DF39A4">
        <w:rPr>
          <w:rFonts w:ascii="Times New Roman" w:hAnsi="Times New Roman" w:cs="Times New Roman"/>
          <w:sz w:val="24"/>
          <w:szCs w:val="24"/>
          <w:lang w:val="en-US"/>
        </w:rPr>
        <w:t>d</w:t>
      </w:r>
      <w:r w:rsidRPr="00DF39A4">
        <w:rPr>
          <w:rFonts w:ascii="Times New Roman" w:hAnsi="Times New Roman" w:cs="Times New Roman"/>
          <w:sz w:val="24"/>
          <w:szCs w:val="24"/>
          <w:lang w:val="en-US"/>
        </w:rPr>
        <w:t xml:space="preserve"> data for the 2015–</w:t>
      </w:r>
      <w:r w:rsidR="007F7393" w:rsidRPr="00DF39A4">
        <w:rPr>
          <w:rFonts w:ascii="Times New Roman" w:hAnsi="Times New Roman" w:cs="Times New Roman"/>
          <w:sz w:val="24"/>
          <w:szCs w:val="24"/>
          <w:lang w:val="en-US"/>
        </w:rPr>
        <w:t xml:space="preserve">2022 </w:t>
      </w:r>
      <w:r w:rsidRPr="00DF39A4">
        <w:rPr>
          <w:rFonts w:ascii="Times New Roman" w:hAnsi="Times New Roman" w:cs="Times New Roman"/>
          <w:sz w:val="24"/>
          <w:szCs w:val="24"/>
          <w:lang w:val="en-US"/>
        </w:rPr>
        <w:t xml:space="preserve">period for </w:t>
      </w:r>
      <w:r w:rsidR="007F7393" w:rsidRPr="00DF39A4">
        <w:rPr>
          <w:rFonts w:ascii="Times New Roman" w:hAnsi="Times New Roman" w:cs="Times New Roman"/>
          <w:sz w:val="24"/>
          <w:szCs w:val="24"/>
          <w:lang w:val="en-US"/>
        </w:rPr>
        <w:t>2</w:t>
      </w:r>
      <w:r w:rsidR="003806F8" w:rsidRPr="00DF39A4">
        <w:rPr>
          <w:rFonts w:ascii="Times New Roman" w:hAnsi="Times New Roman" w:cs="Times New Roman"/>
          <w:sz w:val="24"/>
          <w:szCs w:val="24"/>
          <w:lang w:val="en-US"/>
        </w:rPr>
        <w:t>4</w:t>
      </w:r>
      <w:r w:rsidR="007F7393" w:rsidRPr="00DF39A4">
        <w:rPr>
          <w:rFonts w:ascii="Times New Roman" w:hAnsi="Times New Roman" w:cs="Times New Roman"/>
          <w:sz w:val="24"/>
          <w:szCs w:val="24"/>
          <w:lang w:val="en-US"/>
        </w:rPr>
        <w:t xml:space="preserve"> </w:t>
      </w:r>
      <w:r w:rsidRPr="00DF39A4">
        <w:rPr>
          <w:rFonts w:ascii="Times New Roman" w:hAnsi="Times New Roman" w:cs="Times New Roman"/>
          <w:sz w:val="24"/>
          <w:szCs w:val="24"/>
          <w:lang w:val="en-US"/>
        </w:rPr>
        <w:t xml:space="preserve">countries: </w:t>
      </w:r>
      <w:r w:rsidR="00652684" w:rsidRPr="00DF39A4">
        <w:rPr>
          <w:rFonts w:ascii="Times New Roman" w:hAnsi="Times New Roman" w:cs="Times New Roman"/>
          <w:sz w:val="24"/>
          <w:szCs w:val="24"/>
          <w:lang w:val="en-US"/>
        </w:rPr>
        <w:t>Australia, Austria, Brazil, Bulgaria, Canada, Chile, Croatia, Czech</w:t>
      </w:r>
      <w:r w:rsidR="004A5BB4">
        <w:rPr>
          <w:rFonts w:ascii="Times New Roman" w:hAnsi="Times New Roman" w:cs="Times New Roman"/>
          <w:sz w:val="24"/>
          <w:szCs w:val="24"/>
          <w:lang w:val="en-US"/>
        </w:rPr>
        <w:t>ia</w:t>
      </w:r>
      <w:r w:rsidR="00652684" w:rsidRPr="00DF39A4">
        <w:rPr>
          <w:rFonts w:ascii="Times New Roman" w:hAnsi="Times New Roman" w:cs="Times New Roman"/>
          <w:sz w:val="24"/>
          <w:szCs w:val="24"/>
          <w:lang w:val="en-US"/>
        </w:rPr>
        <w:t>, Denmark, England and Wales</w:t>
      </w:r>
      <w:r w:rsidR="006926E7">
        <w:rPr>
          <w:rFonts w:ascii="Times New Roman" w:hAnsi="Times New Roman" w:cs="Times New Roman"/>
          <w:sz w:val="24"/>
          <w:szCs w:val="24"/>
          <w:lang w:val="en-US"/>
        </w:rPr>
        <w:t xml:space="preserve"> (treated as one country)</w:t>
      </w:r>
      <w:r w:rsidR="00652684" w:rsidRPr="00DF39A4">
        <w:rPr>
          <w:rFonts w:ascii="Times New Roman" w:hAnsi="Times New Roman" w:cs="Times New Roman"/>
          <w:sz w:val="24"/>
          <w:szCs w:val="24"/>
          <w:lang w:val="en-US"/>
        </w:rPr>
        <w:t xml:space="preserve">, Hungary, Japan, Latvia, Lithuania, the Netherlands, Northern Ireland, Poland, Russia, Scotland, South Korea, Spain, Sweden, Switzerland, and the </w:t>
      </w:r>
      <w:r w:rsidR="00025184">
        <w:rPr>
          <w:rFonts w:ascii="Times New Roman" w:hAnsi="Times New Roman" w:cs="Times New Roman"/>
          <w:sz w:val="24"/>
          <w:szCs w:val="24"/>
          <w:lang w:val="en-US"/>
        </w:rPr>
        <w:t>U</w:t>
      </w:r>
      <w:r w:rsidR="00556B01">
        <w:rPr>
          <w:rFonts w:ascii="Times New Roman" w:hAnsi="Times New Roman" w:cs="Times New Roman"/>
          <w:sz w:val="24"/>
          <w:szCs w:val="24"/>
          <w:lang w:val="en-US"/>
        </w:rPr>
        <w:t xml:space="preserve">nited States of </w:t>
      </w:r>
      <w:r w:rsidR="00556B01">
        <w:rPr>
          <w:rFonts w:ascii="Times New Roman" w:hAnsi="Times New Roman" w:cs="Times New Roman"/>
          <w:sz w:val="24"/>
          <w:szCs w:val="24"/>
          <w:lang w:val="en-US"/>
        </w:rPr>
        <w:lastRenderedPageBreak/>
        <w:t>America</w:t>
      </w:r>
      <w:r w:rsidR="0032470B" w:rsidRPr="00DF39A4">
        <w:rPr>
          <w:rFonts w:ascii="Times New Roman" w:hAnsi="Times New Roman" w:cs="Times New Roman"/>
          <w:sz w:val="24"/>
          <w:szCs w:val="24"/>
          <w:lang w:val="en-US"/>
        </w:rPr>
        <w:t xml:space="preserve"> (USA)</w:t>
      </w:r>
      <w:r w:rsidRPr="00DF39A4">
        <w:rPr>
          <w:rFonts w:ascii="Times New Roman" w:hAnsi="Times New Roman" w:cs="Times New Roman"/>
          <w:sz w:val="24"/>
          <w:szCs w:val="24"/>
          <w:lang w:val="en-US"/>
        </w:rPr>
        <w:t>.</w:t>
      </w:r>
      <w:r w:rsidR="00350D40">
        <w:rPr>
          <w:rFonts w:ascii="Times New Roman" w:hAnsi="Times New Roman" w:cs="Times New Roman"/>
          <w:sz w:val="24"/>
          <w:szCs w:val="24"/>
          <w:lang w:val="en-US"/>
        </w:rPr>
        <w:t xml:space="preserve"> </w:t>
      </w:r>
      <w:r w:rsidR="00CD6772">
        <w:rPr>
          <w:rFonts w:ascii="Times New Roman" w:hAnsi="Times New Roman" w:cs="Times New Roman"/>
          <w:sz w:val="24"/>
          <w:szCs w:val="24"/>
          <w:lang w:val="en-US"/>
        </w:rPr>
        <w:t xml:space="preserve">We describe our </w:t>
      </w:r>
      <w:proofErr w:type="gramStart"/>
      <w:r w:rsidR="00CD6772">
        <w:rPr>
          <w:rFonts w:ascii="Times New Roman" w:hAnsi="Times New Roman" w:cs="Times New Roman"/>
          <w:sz w:val="24"/>
          <w:szCs w:val="24"/>
          <w:lang w:val="en-US"/>
        </w:rPr>
        <w:t>country</w:t>
      </w:r>
      <w:proofErr w:type="gramEnd"/>
      <w:r w:rsidR="00CD6772">
        <w:rPr>
          <w:rFonts w:ascii="Times New Roman" w:hAnsi="Times New Roman" w:cs="Times New Roman"/>
          <w:sz w:val="24"/>
          <w:szCs w:val="24"/>
          <w:lang w:val="en-US"/>
        </w:rPr>
        <w:t xml:space="preserve"> selection in more detail in the</w:t>
      </w:r>
      <w:r w:rsidR="00DB63B9">
        <w:rPr>
          <w:rFonts w:ascii="Times New Roman" w:hAnsi="Times New Roman" w:cs="Times New Roman"/>
          <w:sz w:val="24"/>
          <w:szCs w:val="24"/>
          <w:lang w:val="en-US"/>
        </w:rPr>
        <w:t xml:space="preserve"> Supplementary </w:t>
      </w:r>
      <w:r w:rsidR="00615D07">
        <w:rPr>
          <w:rFonts w:ascii="Times New Roman" w:hAnsi="Times New Roman" w:cs="Times New Roman"/>
          <w:sz w:val="24"/>
          <w:szCs w:val="24"/>
          <w:lang w:val="en-US"/>
        </w:rPr>
        <w:t>Information</w:t>
      </w:r>
      <w:r w:rsidR="00CD6772">
        <w:rPr>
          <w:rFonts w:ascii="Times New Roman" w:hAnsi="Times New Roman" w:cs="Times New Roman"/>
          <w:sz w:val="24"/>
          <w:szCs w:val="24"/>
          <w:lang w:val="en-US"/>
        </w:rPr>
        <w:t>.</w:t>
      </w:r>
    </w:p>
    <w:p w14:paraId="17A3FBDF" w14:textId="77777777" w:rsidR="00043AE2" w:rsidRPr="00DF39A4" w:rsidRDefault="00043AE2" w:rsidP="00252023">
      <w:pPr>
        <w:pStyle w:val="NoSpacing"/>
        <w:spacing w:line="480" w:lineRule="auto"/>
        <w:jc w:val="both"/>
        <w:rPr>
          <w:rFonts w:ascii="Times New Roman" w:hAnsi="Times New Roman" w:cs="Times New Roman"/>
          <w:sz w:val="24"/>
          <w:szCs w:val="24"/>
          <w:lang w:val="en-US"/>
        </w:rPr>
      </w:pPr>
    </w:p>
    <w:p w14:paraId="643BE88C" w14:textId="47DABCAA" w:rsidR="00B676CC" w:rsidRPr="00DF39A4" w:rsidRDefault="00B676CC" w:rsidP="00252023">
      <w:pPr>
        <w:pStyle w:val="NoSpacing"/>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Annual death counts by sex, </w:t>
      </w:r>
      <w:r w:rsidR="00BD1E5A" w:rsidRPr="00DF39A4">
        <w:rPr>
          <w:rFonts w:ascii="Times New Roman" w:hAnsi="Times New Roman" w:cs="Times New Roman"/>
          <w:sz w:val="24"/>
          <w:szCs w:val="24"/>
          <w:lang w:val="en-US"/>
        </w:rPr>
        <w:t>age group</w:t>
      </w:r>
      <w:r w:rsidR="00A0533D" w:rsidRPr="00DF39A4">
        <w:rPr>
          <w:rFonts w:ascii="Times New Roman" w:hAnsi="Times New Roman" w:cs="Times New Roman"/>
          <w:sz w:val="24"/>
          <w:szCs w:val="24"/>
          <w:lang w:val="en-US"/>
        </w:rPr>
        <w:t xml:space="preserve"> (</w:t>
      </w:r>
      <w:r w:rsidR="00070524" w:rsidRPr="00DF39A4">
        <w:rPr>
          <w:rFonts w:ascii="Times New Roman" w:hAnsi="Times New Roman" w:cs="Times New Roman"/>
          <w:sz w:val="24"/>
          <w:szCs w:val="24"/>
          <w:lang w:val="en-US"/>
        </w:rPr>
        <w:t xml:space="preserve">0, 1–4, 5–9, 10–14, ..., </w:t>
      </w:r>
      <w:r w:rsidR="00A20A83" w:rsidRPr="00DF39A4">
        <w:rPr>
          <w:rFonts w:ascii="Times New Roman" w:hAnsi="Times New Roman" w:cs="Times New Roman"/>
          <w:sz w:val="24"/>
          <w:szCs w:val="24"/>
          <w:lang w:val="en-US"/>
        </w:rPr>
        <w:t>85+/</w:t>
      </w:r>
      <w:r w:rsidR="00707636" w:rsidRPr="00DF39A4">
        <w:rPr>
          <w:rFonts w:ascii="Times New Roman" w:hAnsi="Times New Roman" w:cs="Times New Roman"/>
          <w:sz w:val="24"/>
          <w:szCs w:val="24"/>
          <w:lang w:val="en-US"/>
        </w:rPr>
        <w:t>90+/</w:t>
      </w:r>
      <w:r w:rsidR="00A20A83" w:rsidRPr="00DF39A4">
        <w:rPr>
          <w:rFonts w:ascii="Times New Roman" w:hAnsi="Times New Roman" w:cs="Times New Roman"/>
          <w:sz w:val="24"/>
          <w:szCs w:val="24"/>
          <w:lang w:val="en-US"/>
        </w:rPr>
        <w:t>95+/100+)</w:t>
      </w:r>
      <w:r w:rsidRPr="00DF39A4">
        <w:rPr>
          <w:rFonts w:ascii="Times New Roman" w:hAnsi="Times New Roman" w:cs="Times New Roman"/>
          <w:sz w:val="24"/>
          <w:szCs w:val="24"/>
          <w:lang w:val="en-US"/>
        </w:rPr>
        <w:t xml:space="preserve">, and cause of death </w:t>
      </w:r>
      <w:r w:rsidR="007E3A33" w:rsidRPr="00DF39A4">
        <w:rPr>
          <w:rFonts w:ascii="Times New Roman" w:hAnsi="Times New Roman" w:cs="Times New Roman"/>
          <w:sz w:val="24"/>
          <w:szCs w:val="24"/>
          <w:lang w:val="en-US"/>
        </w:rPr>
        <w:t xml:space="preserve">were </w:t>
      </w:r>
      <w:r w:rsidRPr="00DF39A4">
        <w:rPr>
          <w:rFonts w:ascii="Times New Roman" w:hAnsi="Times New Roman" w:cs="Times New Roman"/>
          <w:sz w:val="24"/>
          <w:szCs w:val="24"/>
          <w:lang w:val="en-US"/>
        </w:rPr>
        <w:t>taken from: (1)</w:t>
      </w:r>
      <w:r w:rsidR="00BD24B7" w:rsidRPr="00DF39A4">
        <w:rPr>
          <w:rFonts w:ascii="Times New Roman" w:hAnsi="Times New Roman" w:cs="Times New Roman"/>
          <w:sz w:val="24"/>
          <w:szCs w:val="24"/>
          <w:lang w:val="en-US"/>
        </w:rPr>
        <w:t xml:space="preserve"> for England and Wales in 202</w:t>
      </w:r>
      <w:r w:rsidR="002F1870" w:rsidRPr="00DF39A4">
        <w:rPr>
          <w:rFonts w:ascii="Times New Roman" w:hAnsi="Times New Roman" w:cs="Times New Roman"/>
          <w:sz w:val="24"/>
          <w:szCs w:val="24"/>
          <w:lang w:val="en-US"/>
        </w:rPr>
        <w:t>1 and 202</w:t>
      </w:r>
      <w:r w:rsidR="00BD24B7" w:rsidRPr="00DF39A4">
        <w:rPr>
          <w:rFonts w:ascii="Times New Roman" w:hAnsi="Times New Roman" w:cs="Times New Roman"/>
          <w:sz w:val="24"/>
          <w:szCs w:val="24"/>
          <w:lang w:val="en-US"/>
        </w:rPr>
        <w:t>2, the United Kingdom Office for National Statistics (ONS)</w:t>
      </w:r>
      <w:r w:rsidRPr="00DF39A4">
        <w:rPr>
          <w:rFonts w:ascii="Times New Roman" w:hAnsi="Times New Roman" w:cs="Times New Roman"/>
          <w:sz w:val="24"/>
          <w:szCs w:val="24"/>
          <w:lang w:val="en-US"/>
        </w:rPr>
        <w:t>, (2) for Russia, the</w:t>
      </w:r>
      <w:r w:rsidRPr="00DF39A4">
        <w:rPr>
          <w:lang w:val="en-US"/>
        </w:rPr>
        <w:t xml:space="preserve"> </w:t>
      </w:r>
      <w:r w:rsidRPr="00DF39A4">
        <w:rPr>
          <w:rFonts w:ascii="Times New Roman" w:hAnsi="Times New Roman" w:cs="Times New Roman"/>
          <w:sz w:val="24"/>
          <w:szCs w:val="24"/>
          <w:lang w:val="en-US"/>
        </w:rPr>
        <w:t xml:space="preserve">depersonalized death records </w:t>
      </w:r>
      <w:bookmarkStart w:id="0" w:name="_Hlk149594570"/>
      <w:r w:rsidRPr="00DF39A4">
        <w:rPr>
          <w:rFonts w:ascii="Times New Roman" w:hAnsi="Times New Roman" w:cs="Times New Roman"/>
          <w:sz w:val="24"/>
          <w:szCs w:val="24"/>
          <w:lang w:val="en-US"/>
        </w:rPr>
        <w:t xml:space="preserve">provided by the Russian </w:t>
      </w:r>
      <w:r w:rsidR="008F48FC">
        <w:rPr>
          <w:rFonts w:ascii="Times New Roman" w:hAnsi="Times New Roman" w:cs="Times New Roman"/>
          <w:sz w:val="24"/>
          <w:szCs w:val="24"/>
          <w:lang w:val="en-US"/>
        </w:rPr>
        <w:t xml:space="preserve">Federal </w:t>
      </w:r>
      <w:r w:rsidRPr="00DF39A4">
        <w:rPr>
          <w:rFonts w:ascii="Times New Roman" w:hAnsi="Times New Roman" w:cs="Times New Roman"/>
          <w:sz w:val="24"/>
          <w:szCs w:val="24"/>
          <w:lang w:val="en-US"/>
        </w:rPr>
        <w:t xml:space="preserve">State </w:t>
      </w:r>
      <w:r w:rsidR="008F48FC" w:rsidRPr="00DF39A4">
        <w:rPr>
          <w:rFonts w:ascii="Times New Roman" w:hAnsi="Times New Roman" w:cs="Times New Roman"/>
          <w:sz w:val="24"/>
          <w:szCs w:val="24"/>
          <w:lang w:val="en-US"/>
        </w:rPr>
        <w:t>Statistic</w:t>
      </w:r>
      <w:r w:rsidR="008F48FC">
        <w:rPr>
          <w:rFonts w:ascii="Times New Roman" w:hAnsi="Times New Roman" w:cs="Times New Roman"/>
          <w:sz w:val="24"/>
          <w:szCs w:val="24"/>
          <w:lang w:val="en-US"/>
        </w:rPr>
        <w:t>s</w:t>
      </w:r>
      <w:r w:rsidR="008F48FC" w:rsidRPr="00DF39A4">
        <w:rPr>
          <w:rFonts w:ascii="Times New Roman" w:hAnsi="Times New Roman" w:cs="Times New Roman"/>
          <w:sz w:val="24"/>
          <w:szCs w:val="24"/>
          <w:lang w:val="en-US"/>
        </w:rPr>
        <w:t xml:space="preserve"> </w:t>
      </w:r>
      <w:r w:rsidRPr="00DF39A4">
        <w:rPr>
          <w:rFonts w:ascii="Times New Roman" w:hAnsi="Times New Roman" w:cs="Times New Roman"/>
          <w:sz w:val="24"/>
          <w:szCs w:val="24"/>
          <w:lang w:val="en-US"/>
        </w:rPr>
        <w:t>Service</w:t>
      </w:r>
      <w:bookmarkEnd w:id="0"/>
      <w:r w:rsidRPr="00DF39A4">
        <w:rPr>
          <w:rFonts w:ascii="Times New Roman" w:hAnsi="Times New Roman" w:cs="Times New Roman"/>
          <w:sz w:val="24"/>
          <w:szCs w:val="24"/>
          <w:lang w:val="en-US"/>
        </w:rPr>
        <w:t xml:space="preserve">, (3) </w:t>
      </w:r>
      <w:r w:rsidR="004F0036" w:rsidRPr="00DF39A4">
        <w:rPr>
          <w:rFonts w:ascii="Times New Roman" w:hAnsi="Times New Roman" w:cs="Times New Roman"/>
          <w:sz w:val="24"/>
          <w:szCs w:val="24"/>
          <w:lang w:val="en-US"/>
        </w:rPr>
        <w:t>for the USA</w:t>
      </w:r>
      <w:r w:rsidR="00CE6D6F" w:rsidRPr="00DF39A4">
        <w:rPr>
          <w:rFonts w:ascii="Times New Roman" w:hAnsi="Times New Roman" w:cs="Times New Roman"/>
          <w:sz w:val="24"/>
          <w:szCs w:val="24"/>
          <w:lang w:val="en-US"/>
        </w:rPr>
        <w:t xml:space="preserve"> </w:t>
      </w:r>
      <w:r w:rsidR="00120609" w:rsidRPr="00DF39A4">
        <w:rPr>
          <w:rFonts w:ascii="Times New Roman" w:hAnsi="Times New Roman" w:cs="Times New Roman"/>
          <w:sz w:val="24"/>
          <w:szCs w:val="24"/>
          <w:lang w:val="en-US"/>
        </w:rPr>
        <w:t>in 2022</w:t>
      </w:r>
      <w:r w:rsidR="004F0036" w:rsidRPr="00DF39A4">
        <w:rPr>
          <w:rFonts w:ascii="Times New Roman" w:hAnsi="Times New Roman" w:cs="Times New Roman"/>
          <w:sz w:val="24"/>
          <w:szCs w:val="24"/>
          <w:lang w:val="en-US"/>
        </w:rPr>
        <w:t xml:space="preserve">, the Underlying Cause of Death Database compiled by the Centers for Disease Control and Prevention, (4) </w:t>
      </w:r>
      <w:r w:rsidRPr="00DF39A4">
        <w:rPr>
          <w:rFonts w:ascii="Times New Roman" w:hAnsi="Times New Roman" w:cs="Times New Roman"/>
          <w:sz w:val="24"/>
          <w:szCs w:val="24"/>
          <w:lang w:val="en-US"/>
        </w:rPr>
        <w:t xml:space="preserve">for all remaining </w:t>
      </w:r>
      <w:r w:rsidR="004F0036" w:rsidRPr="00DF39A4">
        <w:rPr>
          <w:rFonts w:ascii="Times New Roman" w:hAnsi="Times New Roman" w:cs="Times New Roman"/>
          <w:sz w:val="24"/>
          <w:szCs w:val="24"/>
          <w:lang w:val="en-US"/>
        </w:rPr>
        <w:t>country–year combinations</w:t>
      </w:r>
      <w:r w:rsidRPr="00DF39A4">
        <w:rPr>
          <w:rFonts w:ascii="Times New Roman" w:hAnsi="Times New Roman" w:cs="Times New Roman"/>
          <w:sz w:val="24"/>
          <w:szCs w:val="24"/>
          <w:lang w:val="en-US"/>
        </w:rPr>
        <w:t xml:space="preserve">, the World Health Organization Mortality Database. </w:t>
      </w:r>
      <w:r w:rsidR="00BD24B7" w:rsidRPr="00DF39A4">
        <w:rPr>
          <w:rFonts w:ascii="Times New Roman" w:hAnsi="Times New Roman" w:cs="Times New Roman"/>
          <w:sz w:val="24"/>
          <w:szCs w:val="24"/>
          <w:lang w:val="en-US"/>
        </w:rPr>
        <w:t>Cause</w:t>
      </w:r>
      <w:r w:rsidR="00957E4B" w:rsidRPr="00DF39A4">
        <w:rPr>
          <w:rFonts w:ascii="Times New Roman" w:hAnsi="Times New Roman" w:cs="Times New Roman"/>
          <w:sz w:val="24"/>
          <w:szCs w:val="24"/>
          <w:lang w:val="en-US"/>
        </w:rPr>
        <w:t>-</w:t>
      </w:r>
      <w:r w:rsidR="00BD24B7" w:rsidRPr="00DF39A4">
        <w:rPr>
          <w:rFonts w:ascii="Times New Roman" w:hAnsi="Times New Roman" w:cs="Times New Roman"/>
          <w:sz w:val="24"/>
          <w:szCs w:val="24"/>
          <w:lang w:val="en-US"/>
        </w:rPr>
        <w:t>of</w:t>
      </w:r>
      <w:r w:rsidR="00957E4B" w:rsidRPr="00DF39A4">
        <w:rPr>
          <w:rFonts w:ascii="Times New Roman" w:hAnsi="Times New Roman" w:cs="Times New Roman"/>
          <w:sz w:val="24"/>
          <w:szCs w:val="24"/>
          <w:lang w:val="en-US"/>
        </w:rPr>
        <w:t>-</w:t>
      </w:r>
      <w:r w:rsidR="00BD24B7" w:rsidRPr="00DF39A4">
        <w:rPr>
          <w:rFonts w:ascii="Times New Roman" w:hAnsi="Times New Roman" w:cs="Times New Roman"/>
          <w:sz w:val="24"/>
          <w:szCs w:val="24"/>
          <w:lang w:val="en-US"/>
        </w:rPr>
        <w:t xml:space="preserve">death information was available for all </w:t>
      </w:r>
      <w:r w:rsidR="00992453" w:rsidRPr="00DF39A4">
        <w:rPr>
          <w:rFonts w:ascii="Times New Roman" w:hAnsi="Times New Roman" w:cs="Times New Roman"/>
          <w:sz w:val="24"/>
          <w:szCs w:val="24"/>
          <w:lang w:val="en-US"/>
        </w:rPr>
        <w:t>2</w:t>
      </w:r>
      <w:r w:rsidR="00957E4B" w:rsidRPr="00DF39A4">
        <w:rPr>
          <w:rFonts w:ascii="Times New Roman" w:hAnsi="Times New Roman" w:cs="Times New Roman"/>
          <w:sz w:val="24"/>
          <w:szCs w:val="24"/>
          <w:lang w:val="en-US"/>
        </w:rPr>
        <w:t>4</w:t>
      </w:r>
      <w:r w:rsidR="00992453" w:rsidRPr="00DF39A4">
        <w:rPr>
          <w:rFonts w:ascii="Times New Roman" w:hAnsi="Times New Roman" w:cs="Times New Roman"/>
          <w:sz w:val="24"/>
          <w:szCs w:val="24"/>
          <w:lang w:val="en-US"/>
        </w:rPr>
        <w:t xml:space="preserve"> </w:t>
      </w:r>
      <w:r w:rsidR="00BD24B7" w:rsidRPr="00DF39A4">
        <w:rPr>
          <w:rFonts w:ascii="Times New Roman" w:hAnsi="Times New Roman" w:cs="Times New Roman"/>
          <w:sz w:val="24"/>
          <w:szCs w:val="24"/>
          <w:lang w:val="en-US"/>
        </w:rPr>
        <w:t>countries f</w:t>
      </w:r>
      <w:r w:rsidR="00992453" w:rsidRPr="00DF39A4">
        <w:rPr>
          <w:rFonts w:ascii="Times New Roman" w:hAnsi="Times New Roman" w:cs="Times New Roman"/>
          <w:sz w:val="24"/>
          <w:szCs w:val="24"/>
          <w:lang w:val="en-US"/>
        </w:rPr>
        <w:t xml:space="preserve">or the period 2015–2021, and available for </w:t>
      </w:r>
      <w:r w:rsidR="00CD023E" w:rsidRPr="00DF39A4">
        <w:rPr>
          <w:rFonts w:ascii="Times New Roman" w:hAnsi="Times New Roman" w:cs="Times New Roman"/>
          <w:sz w:val="24"/>
          <w:szCs w:val="24"/>
          <w:lang w:val="en-US"/>
        </w:rPr>
        <w:t>eight</w:t>
      </w:r>
      <w:r w:rsidR="00992453" w:rsidRPr="00DF39A4">
        <w:rPr>
          <w:rFonts w:ascii="Times New Roman" w:hAnsi="Times New Roman" w:cs="Times New Roman"/>
          <w:sz w:val="24"/>
          <w:szCs w:val="24"/>
          <w:lang w:val="en-US"/>
        </w:rPr>
        <w:t xml:space="preserve"> countries for the </w:t>
      </w:r>
      <w:r w:rsidR="00E27CCE" w:rsidRPr="00DF39A4">
        <w:rPr>
          <w:rFonts w:ascii="Times New Roman" w:hAnsi="Times New Roman" w:cs="Times New Roman"/>
          <w:sz w:val="24"/>
          <w:szCs w:val="24"/>
          <w:lang w:val="en-US"/>
        </w:rPr>
        <w:t xml:space="preserve">year </w:t>
      </w:r>
      <w:r w:rsidR="00992453" w:rsidRPr="00DF39A4">
        <w:rPr>
          <w:rFonts w:ascii="Times New Roman" w:hAnsi="Times New Roman" w:cs="Times New Roman"/>
          <w:sz w:val="24"/>
          <w:szCs w:val="24"/>
          <w:lang w:val="en-US"/>
        </w:rPr>
        <w:t>202</w:t>
      </w:r>
      <w:r w:rsidR="00AF5CC1" w:rsidRPr="00DF39A4">
        <w:rPr>
          <w:rFonts w:ascii="Times New Roman" w:hAnsi="Times New Roman" w:cs="Times New Roman"/>
          <w:sz w:val="24"/>
          <w:szCs w:val="24"/>
          <w:lang w:val="en-US"/>
        </w:rPr>
        <w:t>2</w:t>
      </w:r>
      <w:r w:rsidR="00992453" w:rsidRPr="00DF39A4">
        <w:rPr>
          <w:rFonts w:ascii="Times New Roman" w:hAnsi="Times New Roman" w:cs="Times New Roman"/>
          <w:sz w:val="24"/>
          <w:szCs w:val="24"/>
          <w:lang w:val="en-US"/>
        </w:rPr>
        <w:t xml:space="preserve">: </w:t>
      </w:r>
      <w:r w:rsidR="00E1511C" w:rsidRPr="00DF39A4">
        <w:rPr>
          <w:rFonts w:ascii="Times New Roman" w:hAnsi="Times New Roman" w:cs="Times New Roman"/>
          <w:sz w:val="24"/>
          <w:szCs w:val="24"/>
          <w:lang w:val="en-US"/>
        </w:rPr>
        <w:t xml:space="preserve">Australia, Canada, </w:t>
      </w:r>
      <w:r w:rsidR="00992453" w:rsidRPr="00DF39A4">
        <w:rPr>
          <w:rFonts w:ascii="Times New Roman" w:hAnsi="Times New Roman" w:cs="Times New Roman"/>
          <w:sz w:val="24"/>
          <w:szCs w:val="24"/>
          <w:lang w:val="en-US"/>
        </w:rPr>
        <w:t xml:space="preserve">England and Wales, </w:t>
      </w:r>
      <w:r w:rsidR="00E1511C" w:rsidRPr="00DF39A4">
        <w:rPr>
          <w:rFonts w:ascii="Times New Roman" w:hAnsi="Times New Roman" w:cs="Times New Roman"/>
          <w:sz w:val="24"/>
          <w:szCs w:val="24"/>
          <w:lang w:val="en-US"/>
        </w:rPr>
        <w:t>Hungary, Lithuania, the Netherlands, Sweden</w:t>
      </w:r>
      <w:r w:rsidR="001263CF" w:rsidRPr="00DF39A4">
        <w:rPr>
          <w:rFonts w:ascii="Times New Roman" w:hAnsi="Times New Roman" w:cs="Times New Roman"/>
          <w:sz w:val="24"/>
          <w:szCs w:val="24"/>
          <w:lang w:val="en-US"/>
        </w:rPr>
        <w:t>,</w:t>
      </w:r>
      <w:r w:rsidR="00E1511C" w:rsidRPr="00DF39A4">
        <w:rPr>
          <w:rFonts w:ascii="Times New Roman" w:hAnsi="Times New Roman" w:cs="Times New Roman"/>
          <w:sz w:val="24"/>
          <w:szCs w:val="24"/>
          <w:lang w:val="en-US"/>
        </w:rPr>
        <w:t xml:space="preserve"> and the </w:t>
      </w:r>
      <w:r w:rsidR="00E1511C" w:rsidRPr="00C773A3">
        <w:rPr>
          <w:rFonts w:ascii="Times New Roman" w:hAnsi="Times New Roman" w:cs="Times New Roman"/>
          <w:color w:val="000000" w:themeColor="text1"/>
          <w:sz w:val="24"/>
          <w:szCs w:val="24"/>
          <w:lang w:val="en-US"/>
        </w:rPr>
        <w:t>USA.</w:t>
      </w:r>
      <w:r w:rsidR="006415D0" w:rsidRPr="00C773A3">
        <w:rPr>
          <w:rFonts w:ascii="Times New Roman" w:eastAsia="Times New Roman" w:hAnsi="Times New Roman" w:cs="Times New Roman"/>
          <w:color w:val="000000" w:themeColor="text1"/>
          <w:sz w:val="24"/>
          <w:szCs w:val="24"/>
          <w:lang w:val="en-GB"/>
        </w:rPr>
        <w:t xml:space="preserve"> Recogni</w:t>
      </w:r>
      <w:r w:rsidR="00A35FC5">
        <w:rPr>
          <w:rFonts w:ascii="Times New Roman" w:eastAsia="Times New Roman" w:hAnsi="Times New Roman" w:cs="Times New Roman"/>
          <w:color w:val="000000" w:themeColor="text1"/>
          <w:sz w:val="24"/>
          <w:szCs w:val="24"/>
          <w:lang w:val="en-GB"/>
        </w:rPr>
        <w:t>z</w:t>
      </w:r>
      <w:r w:rsidR="006415D0" w:rsidRPr="00C773A3">
        <w:rPr>
          <w:rFonts w:ascii="Times New Roman" w:eastAsia="Times New Roman" w:hAnsi="Times New Roman" w:cs="Times New Roman"/>
          <w:color w:val="000000" w:themeColor="text1"/>
          <w:sz w:val="24"/>
          <w:szCs w:val="24"/>
          <w:lang w:val="en-GB"/>
        </w:rPr>
        <w:t xml:space="preserve">ing the variation in death certification practices between countries, we categorized deaths by assigning ICD-10 codes to create </w:t>
      </w:r>
      <w:r w:rsidR="009563AB">
        <w:rPr>
          <w:rFonts w:ascii="Times New Roman" w:eastAsia="Times New Roman" w:hAnsi="Times New Roman" w:cs="Times New Roman"/>
          <w:color w:val="000000" w:themeColor="text1"/>
          <w:sz w:val="24"/>
          <w:szCs w:val="24"/>
          <w:lang w:val="en-GB"/>
        </w:rPr>
        <w:t>12</w:t>
      </w:r>
      <w:r w:rsidR="006415D0" w:rsidRPr="00C773A3">
        <w:rPr>
          <w:rFonts w:ascii="Times New Roman" w:eastAsia="Times New Roman" w:hAnsi="Times New Roman" w:cs="Times New Roman"/>
          <w:color w:val="000000" w:themeColor="text1"/>
          <w:sz w:val="24"/>
          <w:szCs w:val="24"/>
          <w:lang w:val="en-GB"/>
        </w:rPr>
        <w:t xml:space="preserve"> cause-of-death groups of public health and clinical relevance, in line with previous analyses (</w:t>
      </w:r>
      <w:r w:rsidR="002F7D5C">
        <w:rPr>
          <w:rFonts w:ascii="Times New Roman" w:eastAsia="Times New Roman" w:hAnsi="Times New Roman" w:cs="Times New Roman"/>
          <w:color w:val="000000" w:themeColor="text1"/>
          <w:sz w:val="24"/>
          <w:szCs w:val="24"/>
          <w:lang w:val="en-GB"/>
        </w:rPr>
        <w:t>s</w:t>
      </w:r>
      <w:r w:rsidR="006415D0" w:rsidRPr="00C773A3">
        <w:rPr>
          <w:rFonts w:ascii="Times New Roman" w:eastAsia="Times New Roman" w:hAnsi="Times New Roman" w:cs="Times New Roman"/>
          <w:color w:val="000000" w:themeColor="text1"/>
          <w:sz w:val="24"/>
          <w:szCs w:val="24"/>
          <w:lang w:val="en-GB"/>
        </w:rPr>
        <w:t>ee Table S1)</w:t>
      </w:r>
      <w:r w:rsidRPr="00C773A3">
        <w:rPr>
          <w:rFonts w:ascii="Times New Roman" w:hAnsi="Times New Roman" w:cs="Times New Roman"/>
          <w:color w:val="000000" w:themeColor="text1"/>
          <w:sz w:val="24"/>
          <w:szCs w:val="24"/>
          <w:lang w:val="en-US"/>
        </w:rPr>
        <w:t xml:space="preserve">: </w:t>
      </w:r>
      <w:r w:rsidRPr="00DF39A4">
        <w:rPr>
          <w:rFonts w:ascii="Times New Roman" w:hAnsi="Times New Roman" w:cs="Times New Roman"/>
          <w:sz w:val="24"/>
          <w:szCs w:val="24"/>
          <w:lang w:val="en-US"/>
        </w:rPr>
        <w:t xml:space="preserve">(1) Acute cardiovascular diseases (CVD) (acute ischemic heart disease and strokes), (2) other CVD, (3) acute respiratory diseases, (4) chronic obstructive pulmonary disease (COPD), (5) certain infectious diseases, (6) suicide, (7) drug-related deaths, (8) alcohol-related deaths, (9) cancers, (10) other external causes of death, (11) COVID-19, and (12) remaining causes of death. </w:t>
      </w:r>
      <w:r w:rsidR="00A20A83" w:rsidRPr="00DF39A4">
        <w:rPr>
          <w:rFonts w:ascii="Times New Roman" w:eastAsia="Times New Roman" w:hAnsi="Times New Roman" w:cs="Times New Roman"/>
          <w:color w:val="000000" w:themeColor="text1"/>
          <w:sz w:val="24"/>
          <w:szCs w:val="24"/>
          <w:lang w:val="en-US"/>
        </w:rPr>
        <w:t xml:space="preserve">For each country, annual cause-of-death counts </w:t>
      </w:r>
      <w:r w:rsidR="00676B52" w:rsidRPr="00DF39A4">
        <w:rPr>
          <w:rFonts w:ascii="Times New Roman" w:eastAsia="Times New Roman" w:hAnsi="Times New Roman" w:cs="Times New Roman"/>
          <w:color w:val="000000" w:themeColor="text1"/>
          <w:sz w:val="24"/>
          <w:szCs w:val="24"/>
          <w:lang w:val="en-US"/>
        </w:rPr>
        <w:t>were</w:t>
      </w:r>
      <w:r w:rsidR="00A20A83" w:rsidRPr="00DF39A4">
        <w:rPr>
          <w:rFonts w:ascii="Times New Roman" w:eastAsia="Times New Roman" w:hAnsi="Times New Roman" w:cs="Times New Roman"/>
          <w:color w:val="000000" w:themeColor="text1"/>
          <w:sz w:val="24"/>
          <w:szCs w:val="24"/>
          <w:lang w:val="en-US"/>
        </w:rPr>
        <w:t xml:space="preserve"> harmonized into consistent age groups</w:t>
      </w:r>
      <w:r w:rsidR="00C75172" w:rsidRPr="00DF39A4">
        <w:rPr>
          <w:rFonts w:ascii="Times New Roman" w:eastAsia="Times New Roman" w:hAnsi="Times New Roman" w:cs="Times New Roman"/>
          <w:color w:val="000000" w:themeColor="text1"/>
          <w:sz w:val="24"/>
          <w:szCs w:val="24"/>
          <w:lang w:val="en-US"/>
        </w:rPr>
        <w:t>.</w:t>
      </w:r>
      <w:r w:rsidR="00A20A83" w:rsidRPr="00DF39A4">
        <w:rPr>
          <w:rFonts w:ascii="Times New Roman" w:eastAsia="Times New Roman" w:hAnsi="Times New Roman" w:cs="Times New Roman"/>
          <w:color w:val="000000" w:themeColor="text1"/>
          <w:sz w:val="24"/>
          <w:szCs w:val="24"/>
          <w:lang w:val="en-US"/>
        </w:rPr>
        <w:t xml:space="preserve"> </w:t>
      </w:r>
      <w:r w:rsidR="00C75172" w:rsidRPr="00DF39A4">
        <w:rPr>
          <w:rFonts w:ascii="Times New Roman" w:eastAsia="Times New Roman" w:hAnsi="Times New Roman" w:cs="Times New Roman"/>
          <w:color w:val="000000" w:themeColor="text1"/>
          <w:sz w:val="24"/>
          <w:szCs w:val="24"/>
          <w:lang w:val="en-US"/>
        </w:rPr>
        <w:t>W</w:t>
      </w:r>
      <w:r w:rsidR="00A20A83" w:rsidRPr="00DF39A4">
        <w:rPr>
          <w:rFonts w:ascii="Times New Roman" w:eastAsia="Times New Roman" w:hAnsi="Times New Roman" w:cs="Times New Roman"/>
          <w:color w:val="000000" w:themeColor="text1"/>
          <w:sz w:val="24"/>
          <w:szCs w:val="24"/>
          <w:lang w:val="en-US"/>
        </w:rPr>
        <w:t>e use</w:t>
      </w:r>
      <w:r w:rsidR="00676B52" w:rsidRPr="00DF39A4">
        <w:rPr>
          <w:rFonts w:ascii="Times New Roman" w:eastAsia="Times New Roman" w:hAnsi="Times New Roman" w:cs="Times New Roman"/>
          <w:color w:val="000000" w:themeColor="text1"/>
          <w:sz w:val="24"/>
          <w:szCs w:val="24"/>
          <w:lang w:val="en-US"/>
        </w:rPr>
        <w:t>d</w:t>
      </w:r>
      <w:r w:rsidR="00A20A83" w:rsidRPr="00DF39A4">
        <w:rPr>
          <w:rFonts w:ascii="Times New Roman" w:eastAsia="Times New Roman" w:hAnsi="Times New Roman" w:cs="Times New Roman"/>
          <w:color w:val="000000" w:themeColor="text1"/>
          <w:sz w:val="24"/>
          <w:szCs w:val="24"/>
          <w:lang w:val="en-US"/>
        </w:rPr>
        <w:t xml:space="preserve"> </w:t>
      </w:r>
      <w:r w:rsidR="00654710" w:rsidRPr="00DF39A4">
        <w:rPr>
          <w:rFonts w:ascii="Times New Roman" w:eastAsia="Times New Roman" w:hAnsi="Times New Roman" w:cs="Times New Roman"/>
          <w:color w:val="000000" w:themeColor="text1"/>
          <w:sz w:val="24"/>
          <w:szCs w:val="24"/>
          <w:lang w:val="en-US"/>
        </w:rPr>
        <w:t>85+ as open-ended age group for Canada</w:t>
      </w:r>
      <w:r w:rsidR="00D42EB0" w:rsidRPr="00DF39A4">
        <w:rPr>
          <w:rFonts w:ascii="Times New Roman" w:eastAsia="Times New Roman" w:hAnsi="Times New Roman" w:cs="Times New Roman"/>
          <w:color w:val="000000" w:themeColor="text1"/>
          <w:sz w:val="24"/>
          <w:szCs w:val="24"/>
          <w:lang w:val="en-US"/>
        </w:rPr>
        <w:t xml:space="preserve"> and</w:t>
      </w:r>
      <w:r w:rsidR="00654710" w:rsidRPr="00DF39A4">
        <w:rPr>
          <w:rFonts w:ascii="Times New Roman" w:eastAsia="Times New Roman" w:hAnsi="Times New Roman" w:cs="Times New Roman"/>
          <w:color w:val="000000" w:themeColor="text1"/>
          <w:sz w:val="24"/>
          <w:szCs w:val="24"/>
          <w:lang w:val="en-US"/>
        </w:rPr>
        <w:t xml:space="preserve"> England and Wales</w:t>
      </w:r>
      <w:r w:rsidR="00693A8A" w:rsidRPr="00DF39A4">
        <w:rPr>
          <w:rFonts w:ascii="Times New Roman" w:eastAsia="Times New Roman" w:hAnsi="Times New Roman" w:cs="Times New Roman"/>
          <w:color w:val="000000" w:themeColor="text1"/>
          <w:sz w:val="24"/>
          <w:szCs w:val="24"/>
          <w:lang w:val="en-US"/>
        </w:rPr>
        <w:t>;</w:t>
      </w:r>
      <w:r w:rsidR="00654710" w:rsidRPr="00DF39A4">
        <w:rPr>
          <w:rFonts w:ascii="Times New Roman" w:eastAsia="Times New Roman" w:hAnsi="Times New Roman" w:cs="Times New Roman"/>
          <w:color w:val="000000" w:themeColor="text1"/>
          <w:sz w:val="24"/>
          <w:szCs w:val="24"/>
          <w:lang w:val="en-US"/>
        </w:rPr>
        <w:t xml:space="preserve"> 90+ as open-ended age group for Northern Ireland and Scotland</w:t>
      </w:r>
      <w:r w:rsidR="00693A8A" w:rsidRPr="00DF39A4">
        <w:rPr>
          <w:rFonts w:ascii="Times New Roman" w:eastAsia="Times New Roman" w:hAnsi="Times New Roman" w:cs="Times New Roman"/>
          <w:color w:val="000000" w:themeColor="text1"/>
          <w:sz w:val="24"/>
          <w:szCs w:val="24"/>
          <w:lang w:val="en-US"/>
        </w:rPr>
        <w:t>;</w:t>
      </w:r>
      <w:r w:rsidR="00654710" w:rsidRPr="00DF39A4">
        <w:rPr>
          <w:rFonts w:ascii="Times New Roman" w:eastAsia="Times New Roman" w:hAnsi="Times New Roman" w:cs="Times New Roman"/>
          <w:color w:val="000000" w:themeColor="text1"/>
          <w:sz w:val="24"/>
          <w:szCs w:val="24"/>
          <w:lang w:val="en-US"/>
        </w:rPr>
        <w:t xml:space="preserve"> </w:t>
      </w:r>
      <w:r w:rsidR="00A20A83" w:rsidRPr="00DF39A4">
        <w:rPr>
          <w:rFonts w:ascii="Times New Roman" w:eastAsia="Times New Roman" w:hAnsi="Times New Roman" w:cs="Times New Roman"/>
          <w:color w:val="000000" w:themeColor="text1"/>
          <w:sz w:val="24"/>
          <w:szCs w:val="24"/>
          <w:lang w:val="en-US"/>
        </w:rPr>
        <w:t>100</w:t>
      </w:r>
      <w:r w:rsidR="007534AC" w:rsidRPr="00DF39A4">
        <w:rPr>
          <w:rFonts w:ascii="Times New Roman" w:eastAsia="Times New Roman" w:hAnsi="Times New Roman" w:cs="Times New Roman"/>
          <w:color w:val="000000" w:themeColor="text1"/>
          <w:sz w:val="24"/>
          <w:szCs w:val="24"/>
          <w:lang w:val="en-US"/>
        </w:rPr>
        <w:t>+</w:t>
      </w:r>
      <w:r w:rsidR="00A20A83" w:rsidRPr="00DF39A4">
        <w:rPr>
          <w:rFonts w:ascii="Times New Roman" w:eastAsia="Times New Roman" w:hAnsi="Times New Roman" w:cs="Times New Roman"/>
          <w:color w:val="000000" w:themeColor="text1"/>
          <w:sz w:val="24"/>
          <w:szCs w:val="24"/>
          <w:lang w:val="en-US"/>
        </w:rPr>
        <w:t xml:space="preserve"> as open-ended age </w:t>
      </w:r>
      <w:r w:rsidR="007534AC" w:rsidRPr="00DF39A4">
        <w:rPr>
          <w:rFonts w:ascii="Times New Roman" w:eastAsia="Times New Roman" w:hAnsi="Times New Roman" w:cs="Times New Roman"/>
          <w:color w:val="000000" w:themeColor="text1"/>
          <w:sz w:val="24"/>
          <w:szCs w:val="24"/>
          <w:lang w:val="en-US"/>
        </w:rPr>
        <w:t>group</w:t>
      </w:r>
      <w:r w:rsidR="00A20A83" w:rsidRPr="00DF39A4">
        <w:rPr>
          <w:rFonts w:ascii="Times New Roman" w:eastAsia="Times New Roman" w:hAnsi="Times New Roman" w:cs="Times New Roman"/>
          <w:color w:val="000000" w:themeColor="text1"/>
          <w:sz w:val="24"/>
          <w:szCs w:val="24"/>
          <w:lang w:val="en-US"/>
        </w:rPr>
        <w:t xml:space="preserve"> for Russia</w:t>
      </w:r>
      <w:r w:rsidR="00693A8A" w:rsidRPr="00DF39A4">
        <w:rPr>
          <w:rFonts w:ascii="Times New Roman" w:eastAsia="Times New Roman" w:hAnsi="Times New Roman" w:cs="Times New Roman"/>
          <w:color w:val="000000" w:themeColor="text1"/>
          <w:sz w:val="24"/>
          <w:szCs w:val="24"/>
          <w:lang w:val="en-US"/>
        </w:rPr>
        <w:t>;</w:t>
      </w:r>
      <w:r w:rsidR="00A20A83" w:rsidRPr="00DF39A4">
        <w:rPr>
          <w:rFonts w:ascii="Times New Roman" w:eastAsia="Times New Roman" w:hAnsi="Times New Roman" w:cs="Times New Roman"/>
          <w:color w:val="000000" w:themeColor="text1"/>
          <w:sz w:val="24"/>
          <w:szCs w:val="24"/>
          <w:lang w:val="en-US"/>
        </w:rPr>
        <w:t xml:space="preserve"> and 95</w:t>
      </w:r>
      <w:r w:rsidR="007534AC" w:rsidRPr="00DF39A4">
        <w:rPr>
          <w:rFonts w:ascii="Times New Roman" w:eastAsia="Times New Roman" w:hAnsi="Times New Roman" w:cs="Times New Roman"/>
          <w:color w:val="000000" w:themeColor="text1"/>
          <w:sz w:val="24"/>
          <w:szCs w:val="24"/>
          <w:lang w:val="en-US"/>
        </w:rPr>
        <w:t>+</w:t>
      </w:r>
      <w:r w:rsidR="00A20A83" w:rsidRPr="00DF39A4">
        <w:rPr>
          <w:rFonts w:ascii="Times New Roman" w:eastAsia="Times New Roman" w:hAnsi="Times New Roman" w:cs="Times New Roman"/>
          <w:color w:val="000000" w:themeColor="text1"/>
          <w:sz w:val="24"/>
          <w:szCs w:val="24"/>
          <w:lang w:val="en-US"/>
        </w:rPr>
        <w:t xml:space="preserve"> as open-ended age </w:t>
      </w:r>
      <w:r w:rsidR="007534AC" w:rsidRPr="00DF39A4">
        <w:rPr>
          <w:rFonts w:ascii="Times New Roman" w:eastAsia="Times New Roman" w:hAnsi="Times New Roman" w:cs="Times New Roman"/>
          <w:color w:val="000000" w:themeColor="text1"/>
          <w:sz w:val="24"/>
          <w:szCs w:val="24"/>
          <w:lang w:val="en-US"/>
        </w:rPr>
        <w:t>group</w:t>
      </w:r>
      <w:r w:rsidR="00A20A83" w:rsidRPr="00DF39A4">
        <w:rPr>
          <w:rFonts w:ascii="Times New Roman" w:eastAsia="Times New Roman" w:hAnsi="Times New Roman" w:cs="Times New Roman"/>
          <w:color w:val="000000" w:themeColor="text1"/>
          <w:sz w:val="24"/>
          <w:szCs w:val="24"/>
          <w:lang w:val="en-US"/>
        </w:rPr>
        <w:t xml:space="preserve"> for all remaining countries.</w:t>
      </w:r>
    </w:p>
    <w:p w14:paraId="69553EF0" w14:textId="77777777" w:rsidR="00B676CC" w:rsidRPr="00DF39A4" w:rsidRDefault="00B676CC" w:rsidP="00252023">
      <w:pPr>
        <w:pStyle w:val="NoSpacing"/>
        <w:spacing w:line="480" w:lineRule="auto"/>
        <w:jc w:val="both"/>
        <w:rPr>
          <w:rFonts w:ascii="Times New Roman" w:hAnsi="Times New Roman" w:cs="Times New Roman"/>
          <w:sz w:val="24"/>
          <w:szCs w:val="24"/>
          <w:lang w:val="en-US"/>
        </w:rPr>
      </w:pPr>
    </w:p>
    <w:p w14:paraId="367E73BF" w14:textId="04697BED" w:rsidR="00AF2B18" w:rsidRPr="00DF39A4" w:rsidRDefault="00B676CC" w:rsidP="00252023">
      <w:pPr>
        <w:pStyle w:val="NoSpacing"/>
        <w:spacing w:line="480" w:lineRule="auto"/>
        <w:jc w:val="both"/>
        <w:rPr>
          <w:rFonts w:ascii="Times New Roman" w:hAnsi="Times New Roman" w:cs="Times New Roman"/>
          <w:sz w:val="24"/>
          <w:szCs w:val="24"/>
          <w:lang w:val="en-US"/>
        </w:rPr>
      </w:pPr>
      <w:bookmarkStart w:id="1" w:name="_Hlk149594381"/>
      <w:r w:rsidRPr="00DF39A4">
        <w:rPr>
          <w:rFonts w:ascii="Times New Roman" w:hAnsi="Times New Roman" w:cs="Times New Roman"/>
          <w:sz w:val="24"/>
          <w:szCs w:val="24"/>
          <w:lang w:val="en-US"/>
        </w:rPr>
        <w:lastRenderedPageBreak/>
        <w:t xml:space="preserve">We </w:t>
      </w:r>
      <w:r w:rsidR="0094023D" w:rsidRPr="00DF39A4">
        <w:rPr>
          <w:rFonts w:ascii="Times New Roman" w:hAnsi="Times New Roman" w:cs="Times New Roman"/>
          <w:sz w:val="24"/>
          <w:szCs w:val="24"/>
          <w:lang w:val="en-US"/>
        </w:rPr>
        <w:t xml:space="preserve">used </w:t>
      </w:r>
      <w:r w:rsidR="00AF2B18" w:rsidRPr="00DF39A4">
        <w:rPr>
          <w:rFonts w:ascii="Times New Roman" w:hAnsi="Times New Roman" w:cs="Times New Roman"/>
          <w:sz w:val="24"/>
          <w:szCs w:val="24"/>
          <w:lang w:val="en-US"/>
        </w:rPr>
        <w:t xml:space="preserve">annual </w:t>
      </w:r>
      <w:r w:rsidRPr="00DF39A4">
        <w:rPr>
          <w:rFonts w:ascii="Times New Roman" w:hAnsi="Times New Roman" w:cs="Times New Roman"/>
          <w:sz w:val="24"/>
          <w:szCs w:val="24"/>
          <w:lang w:val="en-US"/>
        </w:rPr>
        <w:t>sex- and age-</w:t>
      </w:r>
      <w:r w:rsidR="008A55CF" w:rsidRPr="00DF39A4">
        <w:rPr>
          <w:rFonts w:ascii="Times New Roman" w:hAnsi="Times New Roman" w:cs="Times New Roman"/>
          <w:sz w:val="24"/>
          <w:szCs w:val="24"/>
          <w:lang w:val="en-US"/>
        </w:rPr>
        <w:t>group-</w:t>
      </w:r>
      <w:r w:rsidRPr="00DF39A4">
        <w:rPr>
          <w:rFonts w:ascii="Times New Roman" w:hAnsi="Times New Roman" w:cs="Times New Roman"/>
          <w:sz w:val="24"/>
          <w:szCs w:val="24"/>
          <w:lang w:val="en-US"/>
        </w:rPr>
        <w:t xml:space="preserve">specific </w:t>
      </w:r>
      <w:r w:rsidR="00DA34CD" w:rsidRPr="00DF39A4">
        <w:rPr>
          <w:rFonts w:ascii="Times New Roman" w:hAnsi="Times New Roman" w:cs="Times New Roman"/>
          <w:sz w:val="24"/>
          <w:szCs w:val="24"/>
          <w:lang w:val="en-US"/>
        </w:rPr>
        <w:t>population exposures for the period 2015–2022 provided in</w:t>
      </w:r>
      <w:r w:rsidR="00DA34CD" w:rsidRPr="00DF39A4" w:rsidDel="00DA34CD">
        <w:rPr>
          <w:rFonts w:ascii="Times New Roman" w:hAnsi="Times New Roman" w:cs="Times New Roman"/>
          <w:sz w:val="24"/>
          <w:szCs w:val="24"/>
          <w:lang w:val="en-US"/>
        </w:rPr>
        <w:t xml:space="preserve"> </w:t>
      </w:r>
      <w:r w:rsidRPr="00DF39A4">
        <w:rPr>
          <w:rFonts w:ascii="Times New Roman" w:hAnsi="Times New Roman" w:cs="Times New Roman"/>
          <w:sz w:val="24"/>
          <w:szCs w:val="24"/>
          <w:lang w:val="en-US"/>
        </w:rPr>
        <w:t>the United Nations World Population Prospects (UNWPP)</w:t>
      </w:r>
      <w:r w:rsidR="009C1DA6" w:rsidRPr="00DF39A4">
        <w:rPr>
          <w:rFonts w:ascii="Times New Roman" w:hAnsi="Times New Roman" w:cs="Times New Roman"/>
          <w:sz w:val="24"/>
          <w:szCs w:val="24"/>
          <w:lang w:val="en-US"/>
        </w:rPr>
        <w:t xml:space="preserve"> 2024 revision</w:t>
      </w:r>
      <w:r w:rsidRPr="00DF39A4">
        <w:rPr>
          <w:rFonts w:ascii="Times New Roman" w:hAnsi="Times New Roman" w:cs="Times New Roman"/>
          <w:sz w:val="24"/>
          <w:szCs w:val="24"/>
          <w:lang w:val="en-US"/>
        </w:rPr>
        <w:t xml:space="preserve">. </w:t>
      </w:r>
      <w:r w:rsidR="006274E7" w:rsidRPr="00DF39A4">
        <w:rPr>
          <w:rFonts w:ascii="Times New Roman" w:hAnsi="Times New Roman" w:cs="Times New Roman"/>
          <w:sz w:val="24"/>
          <w:szCs w:val="24"/>
          <w:lang w:val="en-US"/>
        </w:rPr>
        <w:t>P</w:t>
      </w:r>
      <w:r w:rsidR="00393672" w:rsidRPr="00DF39A4">
        <w:rPr>
          <w:rFonts w:ascii="Times New Roman" w:hAnsi="Times New Roman" w:cs="Times New Roman"/>
          <w:sz w:val="24"/>
          <w:szCs w:val="24"/>
          <w:lang w:val="en-US"/>
        </w:rPr>
        <w:t>opulation</w:t>
      </w:r>
      <w:r w:rsidR="00945826" w:rsidRPr="00DF39A4">
        <w:rPr>
          <w:rFonts w:ascii="Times New Roman" w:hAnsi="Times New Roman" w:cs="Times New Roman"/>
          <w:sz w:val="24"/>
          <w:szCs w:val="24"/>
          <w:lang w:val="en-US"/>
        </w:rPr>
        <w:t xml:space="preserve"> exposures in UNWPP are provided by single year</w:t>
      </w:r>
      <w:r w:rsidR="00CD6E45" w:rsidRPr="00DF39A4">
        <w:rPr>
          <w:rFonts w:ascii="Times New Roman" w:hAnsi="Times New Roman" w:cs="Times New Roman"/>
          <w:sz w:val="24"/>
          <w:szCs w:val="24"/>
          <w:lang w:val="en-US"/>
        </w:rPr>
        <w:t xml:space="preserve">s </w:t>
      </w:r>
      <w:r w:rsidR="00945826" w:rsidRPr="00DF39A4">
        <w:rPr>
          <w:rFonts w:ascii="Times New Roman" w:hAnsi="Times New Roman" w:cs="Times New Roman"/>
          <w:sz w:val="24"/>
          <w:szCs w:val="24"/>
          <w:lang w:val="en-US"/>
        </w:rPr>
        <w:t>of age (0, 1, ..., 99, 100+). We aggregate</w:t>
      </w:r>
      <w:r w:rsidR="00AE6BDE" w:rsidRPr="00DF39A4">
        <w:rPr>
          <w:rFonts w:ascii="Times New Roman" w:hAnsi="Times New Roman" w:cs="Times New Roman"/>
          <w:sz w:val="24"/>
          <w:szCs w:val="24"/>
          <w:lang w:val="en-US"/>
        </w:rPr>
        <w:t>d</w:t>
      </w:r>
      <w:r w:rsidR="00945826" w:rsidRPr="00DF39A4">
        <w:rPr>
          <w:rFonts w:ascii="Times New Roman" w:hAnsi="Times New Roman" w:cs="Times New Roman"/>
          <w:sz w:val="24"/>
          <w:szCs w:val="24"/>
          <w:lang w:val="en-US"/>
        </w:rPr>
        <w:t xml:space="preserve"> </w:t>
      </w:r>
      <w:r w:rsidR="003A0733" w:rsidRPr="00DF39A4">
        <w:rPr>
          <w:rFonts w:ascii="Times New Roman" w:hAnsi="Times New Roman" w:cs="Times New Roman"/>
          <w:sz w:val="24"/>
          <w:szCs w:val="24"/>
          <w:lang w:val="en-US"/>
        </w:rPr>
        <w:t>the population exposures for each country to</w:t>
      </w:r>
      <w:r w:rsidR="00393672" w:rsidRPr="00DF39A4">
        <w:rPr>
          <w:rFonts w:ascii="Times New Roman" w:hAnsi="Times New Roman" w:cs="Times New Roman"/>
          <w:sz w:val="24"/>
          <w:szCs w:val="24"/>
          <w:lang w:val="en-US"/>
        </w:rPr>
        <w:t xml:space="preserve"> </w:t>
      </w:r>
      <w:r w:rsidR="003A0733" w:rsidRPr="00DF39A4">
        <w:rPr>
          <w:rFonts w:ascii="Times New Roman" w:hAnsi="Times New Roman" w:cs="Times New Roman"/>
          <w:sz w:val="24"/>
          <w:szCs w:val="24"/>
          <w:lang w:val="en-US"/>
        </w:rPr>
        <w:t>match the age group</w:t>
      </w:r>
      <w:r w:rsidR="002C0E88" w:rsidRPr="00DF39A4">
        <w:rPr>
          <w:rFonts w:ascii="Times New Roman" w:hAnsi="Times New Roman" w:cs="Times New Roman"/>
          <w:sz w:val="24"/>
          <w:szCs w:val="24"/>
          <w:lang w:val="en-US"/>
        </w:rPr>
        <w:t>s</w:t>
      </w:r>
      <w:r w:rsidR="00D85CA7" w:rsidRPr="00DF39A4">
        <w:rPr>
          <w:rFonts w:ascii="Times New Roman" w:hAnsi="Times New Roman" w:cs="Times New Roman"/>
          <w:sz w:val="24"/>
          <w:szCs w:val="24"/>
          <w:lang w:val="en-US"/>
        </w:rPr>
        <w:t xml:space="preserve"> used</w:t>
      </w:r>
      <w:r w:rsidR="002C0E88" w:rsidRPr="00DF39A4">
        <w:rPr>
          <w:rFonts w:ascii="Times New Roman" w:hAnsi="Times New Roman" w:cs="Times New Roman"/>
          <w:sz w:val="24"/>
          <w:szCs w:val="24"/>
          <w:lang w:val="en-US"/>
        </w:rPr>
        <w:t xml:space="preserve"> in the cause-of-death data. </w:t>
      </w:r>
      <w:r w:rsidRPr="00DF39A4">
        <w:rPr>
          <w:rFonts w:ascii="Times New Roman" w:hAnsi="Times New Roman" w:cs="Times New Roman"/>
          <w:sz w:val="24"/>
          <w:szCs w:val="24"/>
          <w:lang w:val="en-US"/>
        </w:rPr>
        <w:t xml:space="preserve">Since </w:t>
      </w:r>
      <w:r w:rsidR="005003EE" w:rsidRPr="00DF39A4">
        <w:rPr>
          <w:rFonts w:ascii="Times New Roman" w:hAnsi="Times New Roman" w:cs="Times New Roman"/>
          <w:sz w:val="24"/>
          <w:szCs w:val="24"/>
          <w:lang w:val="en-US"/>
        </w:rPr>
        <w:t xml:space="preserve">UNWPP does not provide separate data </w:t>
      </w:r>
      <w:r w:rsidRPr="00DF39A4">
        <w:rPr>
          <w:rFonts w:ascii="Times New Roman" w:hAnsi="Times New Roman" w:cs="Times New Roman"/>
          <w:sz w:val="24"/>
          <w:szCs w:val="24"/>
          <w:lang w:val="en-US"/>
        </w:rPr>
        <w:t>for England and Wales</w:t>
      </w:r>
      <w:r w:rsidR="006F02DE"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t>
      </w:r>
      <w:r w:rsidR="006F02DE" w:rsidRPr="00DF39A4">
        <w:rPr>
          <w:rFonts w:ascii="Times New Roman" w:hAnsi="Times New Roman" w:cs="Times New Roman"/>
          <w:sz w:val="24"/>
          <w:szCs w:val="24"/>
          <w:lang w:val="en-US"/>
        </w:rPr>
        <w:t xml:space="preserve">Northern Ireland, and </w:t>
      </w:r>
      <w:r w:rsidRPr="00DF39A4">
        <w:rPr>
          <w:rFonts w:ascii="Times New Roman" w:hAnsi="Times New Roman" w:cs="Times New Roman"/>
          <w:sz w:val="24"/>
          <w:szCs w:val="24"/>
          <w:lang w:val="en-US"/>
        </w:rPr>
        <w:t xml:space="preserve">Scotland, we </w:t>
      </w:r>
      <w:r w:rsidR="000C423A" w:rsidRPr="00DF39A4">
        <w:rPr>
          <w:rFonts w:ascii="Times New Roman" w:hAnsi="Times New Roman" w:cs="Times New Roman"/>
          <w:sz w:val="24"/>
          <w:szCs w:val="24"/>
          <w:lang w:val="en-US"/>
        </w:rPr>
        <w:t>used population exposures</w:t>
      </w:r>
      <w:r w:rsidRPr="00DF39A4">
        <w:rPr>
          <w:rFonts w:ascii="Times New Roman" w:hAnsi="Times New Roman" w:cs="Times New Roman"/>
          <w:sz w:val="24"/>
          <w:szCs w:val="24"/>
          <w:lang w:val="en-US"/>
        </w:rPr>
        <w:t xml:space="preserve"> for these </w:t>
      </w:r>
      <w:r w:rsidR="002C3E98" w:rsidRPr="00DF39A4">
        <w:rPr>
          <w:rFonts w:ascii="Times New Roman" w:hAnsi="Times New Roman" w:cs="Times New Roman"/>
          <w:sz w:val="24"/>
          <w:szCs w:val="24"/>
          <w:lang w:val="en-US"/>
        </w:rPr>
        <w:t>three countries</w:t>
      </w:r>
      <w:r w:rsidR="00746BE6" w:rsidRPr="00DF39A4">
        <w:rPr>
          <w:rFonts w:ascii="Times New Roman" w:hAnsi="Times New Roman" w:cs="Times New Roman"/>
          <w:sz w:val="24"/>
          <w:szCs w:val="24"/>
          <w:lang w:val="en-US"/>
        </w:rPr>
        <w:t xml:space="preserve"> </w:t>
      </w:r>
      <w:r w:rsidR="00695276" w:rsidRPr="00DF39A4">
        <w:rPr>
          <w:rFonts w:ascii="Times New Roman" w:hAnsi="Times New Roman" w:cs="Times New Roman"/>
          <w:sz w:val="24"/>
          <w:szCs w:val="24"/>
          <w:lang w:val="en-US"/>
        </w:rPr>
        <w:t xml:space="preserve">as </w:t>
      </w:r>
      <w:r w:rsidR="00192E69" w:rsidRPr="00DF39A4">
        <w:rPr>
          <w:rFonts w:ascii="Times New Roman" w:hAnsi="Times New Roman" w:cs="Times New Roman"/>
          <w:sz w:val="24"/>
          <w:szCs w:val="24"/>
          <w:lang w:val="en-US"/>
        </w:rPr>
        <w:t>provided by</w:t>
      </w:r>
      <w:r w:rsidR="002C3E98" w:rsidRPr="00DF39A4">
        <w:rPr>
          <w:rFonts w:ascii="Times New Roman" w:hAnsi="Times New Roman" w:cs="Times New Roman"/>
          <w:sz w:val="24"/>
          <w:szCs w:val="24"/>
          <w:lang w:val="en-US"/>
        </w:rPr>
        <w:t xml:space="preserve"> ONS</w:t>
      </w:r>
      <w:r w:rsidRPr="00DF39A4">
        <w:rPr>
          <w:rFonts w:ascii="Times New Roman" w:hAnsi="Times New Roman" w:cs="Times New Roman"/>
          <w:sz w:val="24"/>
          <w:szCs w:val="24"/>
          <w:lang w:val="en-US"/>
        </w:rPr>
        <w:t>. For Russia, we use</w:t>
      </w:r>
      <w:r w:rsidR="00695276" w:rsidRPr="00DF39A4">
        <w:rPr>
          <w:rFonts w:ascii="Times New Roman" w:hAnsi="Times New Roman" w:cs="Times New Roman"/>
          <w:sz w:val="24"/>
          <w:szCs w:val="24"/>
          <w:lang w:val="en-US"/>
        </w:rPr>
        <w:t>d</w:t>
      </w:r>
      <w:r w:rsidRPr="00DF39A4">
        <w:rPr>
          <w:rFonts w:ascii="Times New Roman" w:hAnsi="Times New Roman" w:cs="Times New Roman"/>
          <w:sz w:val="24"/>
          <w:szCs w:val="24"/>
          <w:lang w:val="en-US"/>
        </w:rPr>
        <w:t xml:space="preserve"> population exposures from the Russian Fertility and Mortality Database.</w:t>
      </w:r>
      <w:bookmarkEnd w:id="1"/>
    </w:p>
    <w:p w14:paraId="764F4320" w14:textId="77777777" w:rsidR="00AF2B18" w:rsidRPr="00DF39A4" w:rsidRDefault="00AF2B18" w:rsidP="00252023">
      <w:pPr>
        <w:pStyle w:val="NoSpacing"/>
        <w:spacing w:line="480" w:lineRule="auto"/>
        <w:jc w:val="both"/>
        <w:rPr>
          <w:rFonts w:ascii="Times New Roman" w:hAnsi="Times New Roman" w:cs="Times New Roman"/>
          <w:sz w:val="24"/>
          <w:szCs w:val="24"/>
          <w:lang w:val="en-US"/>
        </w:rPr>
      </w:pPr>
    </w:p>
    <w:p w14:paraId="42F1DA10" w14:textId="2EA1F6DC" w:rsidR="00C642EF" w:rsidRPr="00DF39A4" w:rsidRDefault="00B676CC" w:rsidP="00252023">
      <w:pPr>
        <w:pStyle w:val="NoSpacing"/>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 xml:space="preserve">We </w:t>
      </w:r>
      <w:r w:rsidR="00E67BBE" w:rsidRPr="00DF39A4">
        <w:rPr>
          <w:rFonts w:ascii="Times New Roman" w:hAnsi="Times New Roman" w:cs="Times New Roman"/>
          <w:sz w:val="24"/>
          <w:szCs w:val="24"/>
          <w:lang w:val="en-US"/>
        </w:rPr>
        <w:t xml:space="preserve">estimated </w:t>
      </w:r>
      <w:r w:rsidR="00EF11B1" w:rsidRPr="00DF39A4">
        <w:rPr>
          <w:rFonts w:ascii="Times New Roman" w:hAnsi="Times New Roman" w:cs="Times New Roman"/>
          <w:sz w:val="24"/>
          <w:szCs w:val="24"/>
          <w:lang w:val="en-US"/>
        </w:rPr>
        <w:t xml:space="preserve">annual </w:t>
      </w:r>
      <w:r w:rsidR="00E040B2" w:rsidRPr="00DF39A4">
        <w:rPr>
          <w:rFonts w:ascii="Times New Roman" w:hAnsi="Times New Roman" w:cs="Times New Roman"/>
          <w:sz w:val="24"/>
          <w:szCs w:val="24"/>
          <w:lang w:val="en-US"/>
        </w:rPr>
        <w:t>sex</w:t>
      </w:r>
      <w:r w:rsidR="00EF11B1" w:rsidRPr="00DF39A4">
        <w:rPr>
          <w:rFonts w:ascii="Times New Roman" w:hAnsi="Times New Roman" w:cs="Times New Roman"/>
          <w:sz w:val="24"/>
          <w:szCs w:val="24"/>
          <w:lang w:val="en-US"/>
        </w:rPr>
        <w:t>-</w:t>
      </w:r>
      <w:r w:rsidR="00E040B2" w:rsidRPr="00DF39A4">
        <w:rPr>
          <w:rFonts w:ascii="Times New Roman" w:hAnsi="Times New Roman" w:cs="Times New Roman"/>
          <w:sz w:val="24"/>
          <w:szCs w:val="24"/>
          <w:lang w:val="en-US"/>
        </w:rPr>
        <w:t>, age-group</w:t>
      </w:r>
      <w:r w:rsidR="004C5DE7" w:rsidRPr="00DF39A4">
        <w:rPr>
          <w:rFonts w:ascii="Times New Roman" w:hAnsi="Times New Roman" w:cs="Times New Roman"/>
          <w:sz w:val="24"/>
          <w:szCs w:val="24"/>
          <w:lang w:val="en-US"/>
        </w:rPr>
        <w:t>-</w:t>
      </w:r>
      <w:r w:rsidR="00E040B2" w:rsidRPr="00DF39A4">
        <w:rPr>
          <w:rFonts w:ascii="Times New Roman" w:hAnsi="Times New Roman" w:cs="Times New Roman"/>
          <w:sz w:val="24"/>
          <w:szCs w:val="24"/>
          <w:lang w:val="en-US"/>
        </w:rPr>
        <w:t xml:space="preserve">, and </w:t>
      </w:r>
      <w:r w:rsidRPr="00DF39A4">
        <w:rPr>
          <w:rFonts w:ascii="Times New Roman" w:hAnsi="Times New Roman" w:cs="Times New Roman"/>
          <w:sz w:val="24"/>
          <w:szCs w:val="24"/>
          <w:lang w:val="en-US"/>
        </w:rPr>
        <w:t xml:space="preserve">cause-specific mortality rates by </w:t>
      </w:r>
      <w:r w:rsidR="00E67BBE" w:rsidRPr="00DF39A4">
        <w:rPr>
          <w:rFonts w:ascii="Times New Roman" w:hAnsi="Times New Roman" w:cs="Times New Roman"/>
          <w:sz w:val="24"/>
          <w:szCs w:val="24"/>
          <w:lang w:val="en-US"/>
        </w:rPr>
        <w:t xml:space="preserve">dividing the </w:t>
      </w:r>
      <w:r w:rsidR="00EE726F" w:rsidRPr="00DF39A4">
        <w:rPr>
          <w:rFonts w:ascii="Times New Roman" w:hAnsi="Times New Roman" w:cs="Times New Roman"/>
          <w:sz w:val="24"/>
          <w:szCs w:val="24"/>
          <w:lang w:val="en-US"/>
        </w:rPr>
        <w:t xml:space="preserve">available </w:t>
      </w:r>
      <w:r w:rsidR="00E67BBE" w:rsidRPr="00DF39A4">
        <w:rPr>
          <w:rFonts w:ascii="Times New Roman" w:hAnsi="Times New Roman" w:cs="Times New Roman"/>
          <w:sz w:val="24"/>
          <w:szCs w:val="24"/>
          <w:lang w:val="en-US"/>
        </w:rPr>
        <w:t xml:space="preserve">cause-specific death counts by the </w:t>
      </w:r>
      <w:r w:rsidR="00EE726F" w:rsidRPr="00DF39A4">
        <w:rPr>
          <w:rFonts w:ascii="Times New Roman" w:hAnsi="Times New Roman" w:cs="Times New Roman"/>
          <w:sz w:val="24"/>
          <w:szCs w:val="24"/>
          <w:lang w:val="en-US"/>
        </w:rPr>
        <w:t xml:space="preserve">corresponding </w:t>
      </w:r>
      <w:r w:rsidR="00E67BBE" w:rsidRPr="00DF39A4">
        <w:rPr>
          <w:rFonts w:ascii="Times New Roman" w:hAnsi="Times New Roman" w:cs="Times New Roman"/>
          <w:sz w:val="24"/>
          <w:szCs w:val="24"/>
          <w:lang w:val="en-US"/>
        </w:rPr>
        <w:t>population exposures</w:t>
      </w:r>
      <w:r w:rsidR="00F5485B" w:rsidRPr="00DF39A4">
        <w:rPr>
          <w:rFonts w:ascii="Times New Roman" w:hAnsi="Times New Roman" w:cs="Times New Roman"/>
          <w:sz w:val="24"/>
          <w:szCs w:val="24"/>
          <w:lang w:val="en-US"/>
        </w:rPr>
        <w:t xml:space="preserve"> for each country</w:t>
      </w:r>
      <w:r w:rsidR="00E67BBE" w:rsidRPr="00DF39A4">
        <w:rPr>
          <w:rFonts w:ascii="Times New Roman" w:hAnsi="Times New Roman" w:cs="Times New Roman"/>
          <w:sz w:val="24"/>
          <w:szCs w:val="24"/>
          <w:lang w:val="en-US"/>
        </w:rPr>
        <w:t>.</w:t>
      </w:r>
      <w:r w:rsidR="008E4AAB" w:rsidRPr="00DF39A4">
        <w:rPr>
          <w:rFonts w:ascii="Times New Roman" w:hAnsi="Times New Roman" w:cs="Times New Roman"/>
          <w:sz w:val="24"/>
          <w:szCs w:val="24"/>
          <w:lang w:val="en-US"/>
        </w:rPr>
        <w:t xml:space="preserve"> </w:t>
      </w:r>
      <w:r w:rsidR="00E67BBE" w:rsidRPr="00DF39A4">
        <w:rPr>
          <w:rFonts w:ascii="Times New Roman" w:hAnsi="Times New Roman" w:cs="Times New Roman"/>
          <w:sz w:val="24"/>
          <w:szCs w:val="24"/>
          <w:lang w:val="en-US"/>
        </w:rPr>
        <w:t>L</w:t>
      </w:r>
      <w:r w:rsidR="007B4DA8" w:rsidRPr="00DF39A4">
        <w:rPr>
          <w:rFonts w:ascii="Times New Roman" w:hAnsi="Times New Roman" w:cs="Times New Roman"/>
          <w:sz w:val="24"/>
          <w:szCs w:val="24"/>
          <w:lang w:val="en-US"/>
        </w:rPr>
        <w:t xml:space="preserve">ife expectancy at birth for each </w:t>
      </w:r>
      <w:r w:rsidR="00EE726F" w:rsidRPr="00DF39A4">
        <w:rPr>
          <w:rFonts w:ascii="Times New Roman" w:hAnsi="Times New Roman" w:cs="Times New Roman"/>
          <w:sz w:val="24"/>
          <w:szCs w:val="24"/>
          <w:lang w:val="en-US"/>
        </w:rPr>
        <w:t xml:space="preserve">available </w:t>
      </w:r>
      <w:r w:rsidR="007B4DA8" w:rsidRPr="00DF39A4">
        <w:rPr>
          <w:rFonts w:ascii="Times New Roman" w:hAnsi="Times New Roman" w:cs="Times New Roman"/>
          <w:sz w:val="24"/>
          <w:szCs w:val="24"/>
          <w:lang w:val="en-US"/>
        </w:rPr>
        <w:t xml:space="preserve">country–sex–calendar-year combination </w:t>
      </w:r>
      <w:r w:rsidR="00E67BBE" w:rsidRPr="00DF39A4">
        <w:rPr>
          <w:rFonts w:ascii="Times New Roman" w:hAnsi="Times New Roman" w:cs="Times New Roman"/>
          <w:sz w:val="24"/>
          <w:szCs w:val="24"/>
          <w:lang w:val="en-US"/>
        </w:rPr>
        <w:t xml:space="preserve">was derived </w:t>
      </w:r>
      <w:r w:rsidR="007B4DA8" w:rsidRPr="00DF39A4">
        <w:rPr>
          <w:rFonts w:ascii="Times New Roman" w:hAnsi="Times New Roman" w:cs="Times New Roman"/>
          <w:sz w:val="24"/>
          <w:szCs w:val="24"/>
          <w:lang w:val="en-US"/>
        </w:rPr>
        <w:t>from piecewise-exponential life tables constructed from the</w:t>
      </w:r>
      <w:r w:rsidR="00E67BBE" w:rsidRPr="00DF39A4">
        <w:rPr>
          <w:rFonts w:ascii="Times New Roman" w:hAnsi="Times New Roman" w:cs="Times New Roman"/>
          <w:sz w:val="24"/>
          <w:szCs w:val="24"/>
          <w:lang w:val="en-US"/>
        </w:rPr>
        <w:t>se</w:t>
      </w:r>
      <w:r w:rsidR="007B4DA8" w:rsidRPr="00DF39A4">
        <w:rPr>
          <w:rFonts w:ascii="Times New Roman" w:hAnsi="Times New Roman" w:cs="Times New Roman"/>
          <w:sz w:val="24"/>
          <w:szCs w:val="24"/>
          <w:lang w:val="en-US"/>
        </w:rPr>
        <w:t xml:space="preserve"> cause-specific mortality rates following standard procedures</w:t>
      </w:r>
      <w:bookmarkStart w:id="2" w:name="_Hlk143526822"/>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{"citationID":"nsxeMTes","properties":{"formattedCitation":"(Preston et al., 2001)","plainCitation":"(Preston et al., 2001)","noteIndex":0},"citationItems":[{"id":2668,"uris":["http://zotero.org/groups/5842698/items/VLXZNTL2"],"itemData":{"id":2668,"type":"book","language":"en","publisher":"Malden, MA: Blackwell Publishers","title":"Demography: measuring and modeling population processes","author":[{"family":"Preston","given":"Samuel H."},{"family":"Heuveline","given":"Patrick"},{"family":"Guillot","given":"Michel"}],"issued":{"date-parts":[["2001"]]}}}],"schema":"https://github.com/citation-style-language/schema/raw/master/csl-citation.json"}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(Preston et al., 2001)</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00795705">
        <w:rPr>
          <w:rFonts w:ascii="Times New Roman" w:hAnsi="Times New Roman" w:cs="Times New Roman"/>
          <w:sz w:val="24"/>
          <w:szCs w:val="24"/>
          <w:lang w:val="en-US"/>
        </w:rPr>
        <w:t xml:space="preserve"> </w:t>
      </w:r>
      <w:r w:rsidR="00DB63B9" w:rsidRPr="00DB63B9">
        <w:rPr>
          <w:rFonts w:ascii="Times New Roman" w:hAnsi="Times New Roman" w:cs="Times New Roman"/>
          <w:sz w:val="24"/>
          <w:szCs w:val="24"/>
          <w:lang w:val="en-US"/>
        </w:rPr>
        <w:t xml:space="preserve">In the Supplementary </w:t>
      </w:r>
      <w:r w:rsidR="00615D07">
        <w:rPr>
          <w:rFonts w:ascii="Times New Roman" w:hAnsi="Times New Roman" w:cs="Times New Roman"/>
          <w:sz w:val="24"/>
          <w:szCs w:val="24"/>
          <w:lang w:val="en-US"/>
        </w:rPr>
        <w:t>Information</w:t>
      </w:r>
      <w:r w:rsidR="00DB63B9" w:rsidRPr="00DB63B9">
        <w:rPr>
          <w:rFonts w:ascii="Times New Roman" w:hAnsi="Times New Roman" w:cs="Times New Roman"/>
          <w:sz w:val="24"/>
          <w:szCs w:val="24"/>
          <w:lang w:val="en-US"/>
        </w:rPr>
        <w:t xml:space="preserve"> </w:t>
      </w:r>
      <w:r w:rsidR="006402D8">
        <w:rPr>
          <w:rFonts w:ascii="Times New Roman" w:hAnsi="Times New Roman" w:cs="Times New Roman"/>
          <w:sz w:val="24"/>
          <w:szCs w:val="24"/>
          <w:lang w:val="en-US"/>
        </w:rPr>
        <w:t>(</w:t>
      </w:r>
      <w:r w:rsidR="00DB63B9" w:rsidRPr="00DB63B9">
        <w:rPr>
          <w:rFonts w:ascii="Times New Roman" w:hAnsi="Times New Roman" w:cs="Times New Roman"/>
          <w:sz w:val="24"/>
          <w:szCs w:val="24"/>
          <w:lang w:val="en-US"/>
        </w:rPr>
        <w:t>Figures S1</w:t>
      </w:r>
      <w:r w:rsidR="00DB63B9">
        <w:rPr>
          <w:rFonts w:ascii="Times New Roman" w:hAnsi="Times New Roman" w:cs="Times New Roman"/>
          <w:sz w:val="24"/>
          <w:szCs w:val="24"/>
          <w:lang w:val="en-US"/>
        </w:rPr>
        <w:t>–</w:t>
      </w:r>
      <w:r w:rsidR="00DB63B9" w:rsidRPr="00DB63B9">
        <w:rPr>
          <w:rFonts w:ascii="Times New Roman" w:hAnsi="Times New Roman" w:cs="Times New Roman"/>
          <w:sz w:val="24"/>
          <w:szCs w:val="24"/>
          <w:lang w:val="en-US"/>
        </w:rPr>
        <w:t>S4</w:t>
      </w:r>
      <w:r w:rsidR="006402D8">
        <w:rPr>
          <w:rFonts w:ascii="Times New Roman" w:hAnsi="Times New Roman" w:cs="Times New Roman"/>
          <w:sz w:val="24"/>
          <w:szCs w:val="24"/>
          <w:lang w:val="en-US"/>
        </w:rPr>
        <w:t>)</w:t>
      </w:r>
      <w:r w:rsidR="0069080E">
        <w:rPr>
          <w:rFonts w:ascii="Times New Roman" w:hAnsi="Times New Roman" w:cs="Times New Roman"/>
          <w:sz w:val="24"/>
          <w:szCs w:val="24"/>
          <w:lang w:val="en-US"/>
        </w:rPr>
        <w:t>,</w:t>
      </w:r>
      <w:r w:rsidR="00DB63B9" w:rsidRPr="00DB63B9">
        <w:rPr>
          <w:rFonts w:ascii="Times New Roman" w:hAnsi="Times New Roman" w:cs="Times New Roman"/>
          <w:sz w:val="24"/>
          <w:szCs w:val="24"/>
          <w:lang w:val="en-US"/>
        </w:rPr>
        <w:t xml:space="preserve"> we compare all-cause mortality </w:t>
      </w:r>
      <w:r w:rsidR="006402D8">
        <w:rPr>
          <w:rFonts w:ascii="Times New Roman" w:hAnsi="Times New Roman" w:cs="Times New Roman"/>
          <w:sz w:val="24"/>
          <w:szCs w:val="24"/>
          <w:lang w:val="en-US"/>
        </w:rPr>
        <w:t xml:space="preserve">rates </w:t>
      </w:r>
      <w:r w:rsidR="00DB63B9" w:rsidRPr="00DB63B9">
        <w:rPr>
          <w:rFonts w:ascii="Times New Roman" w:hAnsi="Times New Roman" w:cs="Times New Roman"/>
          <w:sz w:val="24"/>
          <w:szCs w:val="24"/>
          <w:lang w:val="en-US"/>
        </w:rPr>
        <w:t>and life expectanc</w:t>
      </w:r>
      <w:r w:rsidR="006402D8">
        <w:rPr>
          <w:rFonts w:ascii="Times New Roman" w:hAnsi="Times New Roman" w:cs="Times New Roman"/>
          <w:sz w:val="24"/>
          <w:szCs w:val="24"/>
          <w:lang w:val="en-US"/>
        </w:rPr>
        <w:t>ies</w:t>
      </w:r>
      <w:r w:rsidR="00DB63B9" w:rsidRPr="00DB63B9">
        <w:rPr>
          <w:rFonts w:ascii="Times New Roman" w:hAnsi="Times New Roman" w:cs="Times New Roman"/>
          <w:sz w:val="24"/>
          <w:szCs w:val="24"/>
          <w:lang w:val="en-US"/>
        </w:rPr>
        <w:t xml:space="preserve"> at birth based on our dataset with external sources and find generally high agreement.</w:t>
      </w:r>
    </w:p>
    <w:p w14:paraId="471DFFAC" w14:textId="77777777" w:rsidR="00C642EF" w:rsidRPr="00DF39A4" w:rsidRDefault="00C642EF" w:rsidP="00252023">
      <w:pPr>
        <w:pStyle w:val="NoSpacing"/>
        <w:spacing w:line="480" w:lineRule="auto"/>
        <w:jc w:val="both"/>
        <w:rPr>
          <w:rFonts w:ascii="Times New Roman" w:hAnsi="Times New Roman" w:cs="Times New Roman"/>
          <w:sz w:val="24"/>
          <w:szCs w:val="24"/>
          <w:lang w:val="en-US"/>
        </w:rPr>
      </w:pPr>
    </w:p>
    <w:bookmarkEnd w:id="2"/>
    <w:p w14:paraId="07D24458" w14:textId="7CD06393" w:rsidR="00940628" w:rsidRPr="00DF39A4" w:rsidRDefault="00B676CC" w:rsidP="00252023">
      <w:pPr>
        <w:pStyle w:val="NoSpacing"/>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To disentangle changes in life expectancy over time into age-</w:t>
      </w:r>
      <w:r w:rsidR="00DE277D" w:rsidRPr="00DF39A4">
        <w:rPr>
          <w:rFonts w:ascii="Times New Roman" w:hAnsi="Times New Roman" w:cs="Times New Roman"/>
          <w:sz w:val="24"/>
          <w:szCs w:val="24"/>
          <w:lang w:val="en-US"/>
        </w:rPr>
        <w:t>group-</w:t>
      </w:r>
      <w:r w:rsidRPr="00DF39A4">
        <w:rPr>
          <w:rFonts w:ascii="Times New Roman" w:hAnsi="Times New Roman" w:cs="Times New Roman"/>
          <w:sz w:val="24"/>
          <w:szCs w:val="24"/>
          <w:lang w:val="en-US"/>
        </w:rPr>
        <w:t xml:space="preserve"> and cause-specific contributions, we </w:t>
      </w:r>
      <w:r w:rsidR="00542E0C" w:rsidRPr="00DF39A4">
        <w:rPr>
          <w:rFonts w:ascii="Times New Roman" w:hAnsi="Times New Roman" w:cs="Times New Roman"/>
          <w:sz w:val="24"/>
          <w:szCs w:val="24"/>
          <w:lang w:val="en-US"/>
        </w:rPr>
        <w:t xml:space="preserve">applied </w:t>
      </w:r>
      <w:r w:rsidRPr="00DF39A4">
        <w:rPr>
          <w:rFonts w:ascii="Times New Roman" w:hAnsi="Times New Roman" w:cs="Times New Roman"/>
          <w:sz w:val="24"/>
          <w:szCs w:val="24"/>
          <w:lang w:val="en-US"/>
        </w:rPr>
        <w:t>the linear integral decomposition method</w:t>
      </w:r>
      <w:r w:rsidR="00E468B9">
        <w:rPr>
          <w:rFonts w:ascii="Times New Roman" w:hAnsi="Times New Roman" w:cs="Times New Roman"/>
          <w:sz w:val="24"/>
          <w:szCs w:val="24"/>
          <w:lang w:val="en-US"/>
        </w:rPr>
        <w:t xml:space="preserve"> </w:t>
      </w:r>
      <w:r w:rsidR="009B5647">
        <w:rPr>
          <w:rFonts w:ascii="Times New Roman" w:hAnsi="Times New Roman" w:cs="Times New Roman"/>
          <w:sz w:val="24"/>
          <w:szCs w:val="24"/>
          <w:lang w:val="en-US"/>
        </w:rPr>
        <w:fldChar w:fldCharType="begin"/>
      </w:r>
      <w:r w:rsidR="00AB60CB">
        <w:rPr>
          <w:rFonts w:ascii="Times New Roman" w:hAnsi="Times New Roman" w:cs="Times New Roman"/>
          <w:sz w:val="24"/>
          <w:szCs w:val="24"/>
          <w:lang w:val="en-US"/>
        </w:rPr>
        <w:instrText xml:space="preserve"> ADDIN ZOTERO_ITEM CSL_CITATION {"citationID":"Ew5UEDXx","properties":{"formattedCitation":"(Horiuchi et al., 2008)","plainCitation":"(Horiuchi et al., 2008)","noteIndex":0},"citationItems":[{"id":2641,"uris":["http://zotero.org/groups/5842698/items/QG4HWIWM"],"itemData":{"id":2641,"type":"article-journal","container-title":"Demography","DOI":"10.1353/dem.0.0033","issue":"4","language":"en","page":"785-801","title":"A decomposition method based on a model of continuous change","volume":"45","author":[{"family":"Horiuchi","given":"Shiro"},{"family":"Wilmoth","given":"John R."},{"family":"Pletcher","given":"Scott D."}],"issued":{"date-parts":[["2008"]]}}}],"schema":"https://github.com/citation-style-language/schema/raw/master/csl-citation.json"} </w:instrText>
      </w:r>
      <w:r w:rsidR="009B5647">
        <w:rPr>
          <w:rFonts w:ascii="Times New Roman" w:hAnsi="Times New Roman" w:cs="Times New Roman"/>
          <w:sz w:val="24"/>
          <w:szCs w:val="24"/>
          <w:lang w:val="en-US"/>
        </w:rPr>
        <w:fldChar w:fldCharType="separate"/>
      </w:r>
      <w:r w:rsidR="00AB60CB" w:rsidRPr="00AB60CB">
        <w:rPr>
          <w:rFonts w:ascii="Times New Roman" w:hAnsi="Times New Roman" w:cs="Times New Roman"/>
          <w:sz w:val="24"/>
        </w:rPr>
        <w:t>(Horiuchi et al., 2008)</w:t>
      </w:r>
      <w:r w:rsidR="009B5647">
        <w:rPr>
          <w:rFonts w:ascii="Times New Roman" w:hAnsi="Times New Roman" w:cs="Times New Roman"/>
          <w:sz w:val="24"/>
          <w:szCs w:val="24"/>
          <w:lang w:val="en-US"/>
        </w:rPr>
        <w:fldChar w:fldCharType="end"/>
      </w:r>
      <w:r w:rsidR="00E468B9"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Decomposition </w:t>
      </w:r>
      <w:r w:rsidR="00542E0C" w:rsidRPr="00DF39A4">
        <w:rPr>
          <w:rFonts w:ascii="Times New Roman" w:hAnsi="Times New Roman" w:cs="Times New Roman"/>
          <w:sz w:val="24"/>
          <w:szCs w:val="24"/>
          <w:lang w:val="en-US"/>
        </w:rPr>
        <w:t xml:space="preserve">was </w:t>
      </w:r>
      <w:r w:rsidRPr="00DF39A4">
        <w:rPr>
          <w:rFonts w:ascii="Times New Roman" w:hAnsi="Times New Roman" w:cs="Times New Roman"/>
          <w:sz w:val="24"/>
          <w:szCs w:val="24"/>
          <w:lang w:val="en-US"/>
        </w:rPr>
        <w:t>performed for adjacent years (i.e., 2015–2016, 2016–2017, …, 2019–2020, 2020–2021</w:t>
      </w:r>
      <w:r w:rsidR="00AD323D" w:rsidRPr="00DF39A4">
        <w:rPr>
          <w:rFonts w:ascii="Times New Roman" w:hAnsi="Times New Roman" w:cs="Times New Roman"/>
          <w:sz w:val="24"/>
          <w:szCs w:val="24"/>
          <w:lang w:val="en-US"/>
        </w:rPr>
        <w:t xml:space="preserve">, </w:t>
      </w:r>
      <w:r w:rsidR="00217EB2" w:rsidRPr="00DF39A4">
        <w:rPr>
          <w:rFonts w:ascii="Times New Roman" w:hAnsi="Times New Roman" w:cs="Times New Roman"/>
          <w:sz w:val="24"/>
          <w:szCs w:val="24"/>
          <w:lang w:val="en-US"/>
        </w:rPr>
        <w:t xml:space="preserve">and, where available, </w:t>
      </w:r>
      <w:r w:rsidR="00AD323D" w:rsidRPr="00DF39A4">
        <w:rPr>
          <w:rFonts w:ascii="Times New Roman" w:hAnsi="Times New Roman" w:cs="Times New Roman"/>
          <w:sz w:val="24"/>
          <w:szCs w:val="24"/>
          <w:lang w:val="en-US"/>
        </w:rPr>
        <w:t>2021–2022</w:t>
      </w:r>
      <w:r w:rsidRPr="00DF39A4">
        <w:rPr>
          <w:rFonts w:ascii="Times New Roman" w:hAnsi="Times New Roman" w:cs="Times New Roman"/>
          <w:sz w:val="24"/>
          <w:szCs w:val="24"/>
          <w:lang w:val="en-US"/>
        </w:rPr>
        <w:t xml:space="preserve">). </w:t>
      </w:r>
      <w:r w:rsidR="00217EB2" w:rsidRPr="00DF39A4">
        <w:rPr>
          <w:rFonts w:ascii="Times New Roman" w:hAnsi="Times New Roman" w:cs="Times New Roman"/>
          <w:sz w:val="24"/>
          <w:szCs w:val="24"/>
          <w:lang w:val="en-US"/>
        </w:rPr>
        <w:t xml:space="preserve">We </w:t>
      </w:r>
      <w:r w:rsidR="00473247" w:rsidRPr="00DF39A4">
        <w:rPr>
          <w:rFonts w:ascii="Times New Roman" w:hAnsi="Times New Roman" w:cs="Times New Roman"/>
          <w:sz w:val="24"/>
          <w:szCs w:val="24"/>
          <w:lang w:val="en-US"/>
        </w:rPr>
        <w:t>compare</w:t>
      </w:r>
      <w:r w:rsidR="00217EB2" w:rsidRPr="00DF39A4">
        <w:rPr>
          <w:rFonts w:ascii="Times New Roman" w:hAnsi="Times New Roman" w:cs="Times New Roman"/>
          <w:sz w:val="24"/>
          <w:szCs w:val="24"/>
          <w:lang w:val="en-US"/>
        </w:rPr>
        <w:t xml:space="preserve"> contributions over 2019–2020, 2020–2021, and</w:t>
      </w:r>
      <w:r w:rsidR="005163D1" w:rsidRPr="00DF39A4">
        <w:rPr>
          <w:rFonts w:ascii="Times New Roman" w:hAnsi="Times New Roman" w:cs="Times New Roman"/>
          <w:sz w:val="24"/>
          <w:szCs w:val="24"/>
          <w:lang w:val="en-US"/>
        </w:rPr>
        <w:t>, where available,</w:t>
      </w:r>
      <w:r w:rsidR="00217EB2" w:rsidRPr="00DF39A4">
        <w:rPr>
          <w:rFonts w:ascii="Times New Roman" w:hAnsi="Times New Roman" w:cs="Times New Roman"/>
          <w:sz w:val="24"/>
          <w:szCs w:val="24"/>
          <w:lang w:val="en-US"/>
        </w:rPr>
        <w:t xml:space="preserve"> 2021–2022 with average annual contributions before the pandemic (2015–2019). </w:t>
      </w:r>
      <w:r w:rsidRPr="00DF39A4">
        <w:rPr>
          <w:rFonts w:ascii="Times New Roman" w:hAnsi="Times New Roman" w:cs="Times New Roman"/>
          <w:sz w:val="24"/>
          <w:szCs w:val="24"/>
          <w:lang w:val="en-US"/>
        </w:rPr>
        <w:t xml:space="preserve">In the main manuscript, we </w:t>
      </w:r>
      <w:r w:rsidR="006435DC" w:rsidRPr="00DF39A4">
        <w:rPr>
          <w:rFonts w:ascii="Times New Roman" w:hAnsi="Times New Roman" w:cs="Times New Roman"/>
          <w:sz w:val="24"/>
          <w:szCs w:val="24"/>
          <w:lang w:val="en-US"/>
        </w:rPr>
        <w:t xml:space="preserve">focus on </w:t>
      </w:r>
      <w:r w:rsidR="00C2191E" w:rsidRPr="00DF39A4">
        <w:rPr>
          <w:rFonts w:ascii="Times New Roman" w:hAnsi="Times New Roman" w:cs="Times New Roman"/>
          <w:sz w:val="24"/>
          <w:szCs w:val="24"/>
          <w:lang w:val="en-US"/>
        </w:rPr>
        <w:t xml:space="preserve">total </w:t>
      </w:r>
      <w:r w:rsidRPr="00DF39A4">
        <w:rPr>
          <w:rFonts w:ascii="Times New Roman" w:hAnsi="Times New Roman" w:cs="Times New Roman"/>
          <w:sz w:val="24"/>
          <w:szCs w:val="24"/>
          <w:lang w:val="en-US"/>
        </w:rPr>
        <w:t>cause</w:t>
      </w:r>
      <w:r w:rsidR="00217EB2" w:rsidRPr="00DF39A4">
        <w:rPr>
          <w:rFonts w:ascii="Times New Roman" w:hAnsi="Times New Roman" w:cs="Times New Roman"/>
          <w:sz w:val="24"/>
          <w:szCs w:val="24"/>
          <w:lang w:val="en-US"/>
        </w:rPr>
        <w:t>-of-</w:t>
      </w:r>
      <w:r w:rsidRPr="00DF39A4">
        <w:rPr>
          <w:rFonts w:ascii="Times New Roman" w:hAnsi="Times New Roman" w:cs="Times New Roman"/>
          <w:sz w:val="24"/>
          <w:szCs w:val="24"/>
          <w:lang w:val="en-US"/>
        </w:rPr>
        <w:t>death</w:t>
      </w:r>
      <w:r w:rsidR="00217EB2" w:rsidRPr="00DF39A4">
        <w:rPr>
          <w:rFonts w:ascii="Times New Roman" w:hAnsi="Times New Roman" w:cs="Times New Roman"/>
          <w:sz w:val="24"/>
          <w:szCs w:val="24"/>
          <w:lang w:val="en-US"/>
        </w:rPr>
        <w:t>-specific contributions across all ages</w:t>
      </w:r>
      <w:r w:rsidRPr="00DF39A4">
        <w:rPr>
          <w:rFonts w:ascii="Times New Roman" w:hAnsi="Times New Roman" w:cs="Times New Roman"/>
          <w:sz w:val="24"/>
          <w:szCs w:val="24"/>
          <w:lang w:val="en-US"/>
        </w:rPr>
        <w:t xml:space="preserve">. </w:t>
      </w:r>
      <w:r w:rsidR="006A3D2C">
        <w:rPr>
          <w:rFonts w:ascii="Times New Roman" w:hAnsi="Times New Roman" w:cs="Times New Roman"/>
          <w:sz w:val="24"/>
          <w:szCs w:val="24"/>
          <w:lang w:val="en-US"/>
        </w:rPr>
        <w:t>For this purpose</w:t>
      </w:r>
      <w:r w:rsidR="00BF7922" w:rsidRPr="00DF39A4">
        <w:rPr>
          <w:rFonts w:ascii="Times New Roman" w:hAnsi="Times New Roman" w:cs="Times New Roman"/>
          <w:sz w:val="24"/>
          <w:szCs w:val="24"/>
          <w:lang w:val="en-US"/>
        </w:rPr>
        <w:t xml:space="preserve">, we combine the </w:t>
      </w:r>
      <w:r w:rsidR="00BF7922" w:rsidRPr="00DF39A4">
        <w:rPr>
          <w:rFonts w:ascii="Times New Roman" w:hAnsi="Times New Roman" w:cs="Times New Roman"/>
          <w:sz w:val="24"/>
          <w:szCs w:val="24"/>
          <w:lang w:val="en-US"/>
        </w:rPr>
        <w:lastRenderedPageBreak/>
        <w:t>categories “acute CVD” and “other CVD” into “CVD,” and combine the categories “alcohol,” “drug,” “suicide,” and “other external” into “</w:t>
      </w:r>
      <w:r w:rsidR="00BF7922">
        <w:rPr>
          <w:rFonts w:ascii="Times New Roman" w:hAnsi="Times New Roman" w:cs="Times New Roman"/>
          <w:sz w:val="24"/>
          <w:szCs w:val="24"/>
          <w:lang w:val="en-US"/>
        </w:rPr>
        <w:t>substance</w:t>
      </w:r>
      <w:r w:rsidR="00BF7922" w:rsidRPr="00DF39A4">
        <w:rPr>
          <w:rFonts w:ascii="Times New Roman" w:eastAsia="Times New Roman" w:hAnsi="Times New Roman" w:cs="Times New Roman"/>
          <w:color w:val="000000" w:themeColor="text1"/>
          <w:sz w:val="24"/>
          <w:szCs w:val="24"/>
          <w:lang w:val="en-US"/>
        </w:rPr>
        <w:t xml:space="preserve"> and </w:t>
      </w:r>
      <w:r w:rsidR="00BF7922">
        <w:rPr>
          <w:rFonts w:ascii="Times New Roman" w:eastAsia="Times New Roman" w:hAnsi="Times New Roman" w:cs="Times New Roman"/>
          <w:color w:val="000000" w:themeColor="text1"/>
          <w:sz w:val="24"/>
          <w:szCs w:val="24"/>
          <w:lang w:val="en-US"/>
        </w:rPr>
        <w:t>external</w:t>
      </w:r>
      <w:r w:rsidR="00BF7922" w:rsidRPr="00DF39A4">
        <w:rPr>
          <w:rFonts w:ascii="Times New Roman" w:eastAsia="Times New Roman" w:hAnsi="Times New Roman" w:cs="Times New Roman"/>
          <w:color w:val="000000" w:themeColor="text1"/>
          <w:sz w:val="24"/>
          <w:szCs w:val="24"/>
          <w:lang w:val="en-US"/>
        </w:rPr>
        <w:t xml:space="preserve">.” We present the full decomposition results in the Supplementary </w:t>
      </w:r>
      <w:r w:rsidR="00615D07">
        <w:rPr>
          <w:rFonts w:ascii="Times New Roman" w:eastAsia="Times New Roman" w:hAnsi="Times New Roman" w:cs="Times New Roman"/>
          <w:color w:val="000000" w:themeColor="text1"/>
          <w:sz w:val="24"/>
          <w:szCs w:val="24"/>
          <w:lang w:val="en-US"/>
        </w:rPr>
        <w:t>Information</w:t>
      </w:r>
      <w:r w:rsidR="00BF7922">
        <w:rPr>
          <w:rFonts w:ascii="Times New Roman" w:eastAsia="Times New Roman" w:hAnsi="Times New Roman" w:cs="Times New Roman"/>
          <w:color w:val="000000" w:themeColor="text1"/>
          <w:sz w:val="24"/>
          <w:szCs w:val="24"/>
          <w:lang w:val="en-US"/>
        </w:rPr>
        <w:t xml:space="preserve"> (Figures S5–S6)</w:t>
      </w:r>
      <w:r w:rsidR="00BF7922" w:rsidRPr="00DF39A4">
        <w:rPr>
          <w:rFonts w:ascii="Times New Roman" w:eastAsia="Times New Roman" w:hAnsi="Times New Roman" w:cs="Times New Roman"/>
          <w:color w:val="000000" w:themeColor="text1"/>
          <w:sz w:val="24"/>
          <w:szCs w:val="24"/>
          <w:lang w:val="en-US"/>
        </w:rPr>
        <w:t>.</w:t>
      </w:r>
      <w:r w:rsidR="00BF7922">
        <w:rPr>
          <w:rFonts w:ascii="Times New Roman" w:eastAsia="Times New Roman" w:hAnsi="Times New Roman" w:cs="Times New Roman"/>
          <w:color w:val="000000" w:themeColor="text1"/>
          <w:sz w:val="24"/>
          <w:szCs w:val="24"/>
          <w:lang w:val="en-US"/>
        </w:rPr>
        <w:t xml:space="preserve"> </w:t>
      </w:r>
      <w:r w:rsidR="00BF7922">
        <w:rPr>
          <w:rFonts w:ascii="Times New Roman" w:hAnsi="Times New Roman" w:cs="Times New Roman"/>
          <w:sz w:val="24"/>
          <w:szCs w:val="24"/>
          <w:lang w:val="en-US"/>
        </w:rPr>
        <w:t>Moreover</w:t>
      </w:r>
      <w:r w:rsidRPr="00DF39A4">
        <w:rPr>
          <w:rFonts w:ascii="Times New Roman" w:hAnsi="Times New Roman" w:cs="Times New Roman"/>
          <w:sz w:val="24"/>
          <w:szCs w:val="24"/>
          <w:lang w:val="en-US"/>
        </w:rPr>
        <w:t xml:space="preserve">, we further explore variations in cause-of-death contributions by </w:t>
      </w:r>
      <w:r w:rsidR="00F97F16" w:rsidRPr="00DF39A4">
        <w:rPr>
          <w:rFonts w:ascii="Times New Roman" w:hAnsi="Times New Roman" w:cs="Times New Roman"/>
          <w:sz w:val="24"/>
          <w:szCs w:val="24"/>
          <w:lang w:val="en-US"/>
        </w:rPr>
        <w:t xml:space="preserve">ten-year </w:t>
      </w:r>
      <w:r w:rsidRPr="00DF39A4">
        <w:rPr>
          <w:rFonts w:ascii="Times New Roman" w:hAnsi="Times New Roman" w:cs="Times New Roman"/>
          <w:sz w:val="24"/>
          <w:szCs w:val="24"/>
          <w:lang w:val="en-US"/>
        </w:rPr>
        <w:t>age</w:t>
      </w:r>
      <w:r w:rsidR="00F97F16" w:rsidRPr="00DF39A4">
        <w:rPr>
          <w:rFonts w:ascii="Times New Roman" w:hAnsi="Times New Roman" w:cs="Times New Roman"/>
          <w:sz w:val="24"/>
          <w:szCs w:val="24"/>
          <w:lang w:val="en-US"/>
        </w:rPr>
        <w:t xml:space="preserve"> group</w:t>
      </w:r>
      <w:r w:rsidR="00193E88">
        <w:rPr>
          <w:rFonts w:ascii="Times New Roman" w:hAnsi="Times New Roman" w:cs="Times New Roman"/>
          <w:sz w:val="24"/>
          <w:szCs w:val="24"/>
          <w:lang w:val="en-US"/>
        </w:rPr>
        <w:t>s</w:t>
      </w:r>
      <w:r w:rsidR="00F97F16" w:rsidRPr="00DF39A4">
        <w:rPr>
          <w:rFonts w:ascii="Times New Roman" w:hAnsi="Times New Roman" w:cs="Times New Roman"/>
          <w:sz w:val="24"/>
          <w:szCs w:val="24"/>
          <w:lang w:val="en-US"/>
        </w:rPr>
        <w:t xml:space="preserve"> (0–9, 10–19, ..., 70–79, 80+)</w:t>
      </w:r>
      <w:r w:rsidR="00E45B1D">
        <w:rPr>
          <w:rFonts w:ascii="Times New Roman" w:hAnsi="Times New Roman" w:cs="Times New Roman"/>
          <w:sz w:val="24"/>
          <w:szCs w:val="24"/>
          <w:lang w:val="en-US"/>
        </w:rPr>
        <w:t xml:space="preserve"> in</w:t>
      </w:r>
      <w:r w:rsidR="00E45B1D" w:rsidRPr="00DF39A4">
        <w:rPr>
          <w:rFonts w:ascii="Times New Roman" w:hAnsi="Times New Roman" w:cs="Times New Roman"/>
          <w:sz w:val="24"/>
          <w:szCs w:val="24"/>
          <w:lang w:val="en-US"/>
        </w:rPr>
        <w:t xml:space="preserve"> the </w:t>
      </w:r>
      <w:r w:rsidR="00E45B1D">
        <w:rPr>
          <w:rFonts w:ascii="Times New Roman" w:hAnsi="Times New Roman" w:cs="Times New Roman"/>
          <w:sz w:val="24"/>
          <w:szCs w:val="24"/>
          <w:lang w:val="en-US"/>
        </w:rPr>
        <w:t>S</w:t>
      </w:r>
      <w:r w:rsidR="00E45B1D" w:rsidRPr="00DF39A4">
        <w:rPr>
          <w:rFonts w:ascii="Times New Roman" w:hAnsi="Times New Roman" w:cs="Times New Roman"/>
          <w:sz w:val="24"/>
          <w:szCs w:val="24"/>
          <w:lang w:val="en-US"/>
        </w:rPr>
        <w:t xml:space="preserve">upplementary </w:t>
      </w:r>
      <w:r w:rsidR="00615D07">
        <w:rPr>
          <w:rFonts w:ascii="Times New Roman" w:hAnsi="Times New Roman" w:cs="Times New Roman"/>
          <w:sz w:val="24"/>
          <w:szCs w:val="24"/>
          <w:lang w:val="en-US"/>
        </w:rPr>
        <w:t>Information</w:t>
      </w:r>
      <w:r w:rsidR="00E45B1D" w:rsidRPr="00DF39A4">
        <w:rPr>
          <w:rFonts w:ascii="Times New Roman" w:hAnsi="Times New Roman" w:cs="Times New Roman"/>
          <w:sz w:val="24"/>
          <w:szCs w:val="24"/>
          <w:lang w:val="en-US"/>
        </w:rPr>
        <w:t xml:space="preserve"> (Figures S</w:t>
      </w:r>
      <w:r w:rsidR="00E45B1D">
        <w:rPr>
          <w:rFonts w:ascii="Times New Roman" w:hAnsi="Times New Roman" w:cs="Times New Roman"/>
          <w:sz w:val="24"/>
          <w:szCs w:val="24"/>
          <w:lang w:val="en-US"/>
        </w:rPr>
        <w:t>7</w:t>
      </w:r>
      <w:r w:rsidR="00E45B1D" w:rsidRPr="00DF39A4">
        <w:rPr>
          <w:rFonts w:ascii="Times New Roman" w:hAnsi="Times New Roman" w:cs="Times New Roman"/>
          <w:sz w:val="24"/>
          <w:szCs w:val="24"/>
          <w:lang w:val="en-US"/>
        </w:rPr>
        <w:t>–S</w:t>
      </w:r>
      <w:r w:rsidR="00E45B1D">
        <w:rPr>
          <w:rFonts w:ascii="Times New Roman" w:hAnsi="Times New Roman" w:cs="Times New Roman"/>
          <w:sz w:val="24"/>
          <w:szCs w:val="24"/>
          <w:lang w:val="en-US"/>
        </w:rPr>
        <w:t>8</w:t>
      </w:r>
      <w:r w:rsidR="00E45B1D" w:rsidRPr="00DF39A4">
        <w:rPr>
          <w:rFonts w:ascii="Times New Roman" w:hAnsi="Times New Roman" w:cs="Times New Roman"/>
          <w:sz w:val="24"/>
          <w:szCs w:val="24"/>
          <w:lang w:val="en-US"/>
        </w:rPr>
        <w:t>)</w:t>
      </w:r>
      <w:r w:rsidRPr="00DF39A4">
        <w:rPr>
          <w:rFonts w:ascii="Times New Roman" w:hAnsi="Times New Roman" w:cs="Times New Roman"/>
          <w:sz w:val="24"/>
          <w:szCs w:val="24"/>
          <w:lang w:val="en-US"/>
        </w:rPr>
        <w:t xml:space="preserve">. </w:t>
      </w:r>
    </w:p>
    <w:p w14:paraId="72F76FDA" w14:textId="77777777" w:rsidR="00616239" w:rsidRPr="00DF39A4" w:rsidRDefault="00616239" w:rsidP="00252023">
      <w:pPr>
        <w:spacing w:line="480" w:lineRule="auto"/>
        <w:jc w:val="both"/>
        <w:rPr>
          <w:rFonts w:ascii="Times New Roman" w:hAnsi="Times New Roman" w:cs="Times New Roman"/>
          <w:sz w:val="24"/>
          <w:szCs w:val="24"/>
        </w:rPr>
      </w:pPr>
    </w:p>
    <w:p w14:paraId="198AF171" w14:textId="73F63D97" w:rsidR="00616239" w:rsidRPr="00C01F03" w:rsidRDefault="00315398" w:rsidP="00252023">
      <w:pPr>
        <w:pStyle w:val="NoSpacing"/>
        <w:suppressLineNumbers/>
        <w:spacing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3.6. </w:t>
      </w:r>
      <w:r w:rsidR="00616239" w:rsidRPr="00C01F03">
        <w:rPr>
          <w:rFonts w:ascii="Times New Roman" w:hAnsi="Times New Roman" w:cs="Times New Roman"/>
          <w:b/>
          <w:sz w:val="24"/>
          <w:szCs w:val="24"/>
          <w:lang w:val="en-US"/>
        </w:rPr>
        <w:t>Acknowledgments</w:t>
      </w:r>
    </w:p>
    <w:p w14:paraId="63E0BD87" w14:textId="4E8E9A7C" w:rsidR="00C01F03" w:rsidRDefault="00616239" w:rsidP="00BD5983">
      <w:pPr>
        <w:spacing w:line="480" w:lineRule="auto"/>
        <w:jc w:val="both"/>
        <w:rPr>
          <w:rFonts w:ascii="Times New Roman" w:hAnsi="Times New Roman" w:cs="Times New Roman"/>
          <w:sz w:val="24"/>
          <w:szCs w:val="24"/>
        </w:rPr>
      </w:pPr>
      <w:r w:rsidRPr="00DF39A4">
        <w:rPr>
          <w:rFonts w:ascii="Times New Roman" w:hAnsi="Times New Roman" w:cs="Times New Roman"/>
          <w:sz w:val="24"/>
          <w:szCs w:val="24"/>
        </w:rPr>
        <w:t xml:space="preserve">The results and conclusions presented in this manuscript are the sole responsibility of the authors and do not necessarily reflect the views of the United Nations, the World Health Organization, or any of the funding bodies. An earlier version of this manuscript was presented at the Population Association of America annual meeting 2023. </w:t>
      </w:r>
      <w:r w:rsidR="00BD5983" w:rsidRPr="00BD5983">
        <w:rPr>
          <w:rFonts w:ascii="Times New Roman" w:hAnsi="Times New Roman" w:cs="Times New Roman"/>
          <w:sz w:val="24"/>
          <w:szCs w:val="24"/>
        </w:rPr>
        <w:t>A.P. acknowledges the resources provided by the International Max Planck Research</w:t>
      </w:r>
      <w:r w:rsidR="00BD5983">
        <w:rPr>
          <w:rFonts w:ascii="Times New Roman" w:hAnsi="Times New Roman" w:cs="Times New Roman"/>
          <w:sz w:val="24"/>
          <w:szCs w:val="24"/>
        </w:rPr>
        <w:t xml:space="preserve"> </w:t>
      </w:r>
      <w:r w:rsidR="00BD5983" w:rsidRPr="00BD5983">
        <w:rPr>
          <w:rFonts w:ascii="Times New Roman" w:hAnsi="Times New Roman" w:cs="Times New Roman"/>
          <w:sz w:val="24"/>
          <w:szCs w:val="24"/>
        </w:rPr>
        <w:t>School for Population, Health and Data Science.</w:t>
      </w:r>
    </w:p>
    <w:p w14:paraId="7844F7A1" w14:textId="77777777" w:rsidR="00AB41A3" w:rsidRDefault="00AB41A3" w:rsidP="00BD5983">
      <w:pPr>
        <w:spacing w:line="480" w:lineRule="auto"/>
        <w:jc w:val="both"/>
        <w:rPr>
          <w:rFonts w:ascii="Times New Roman" w:hAnsi="Times New Roman" w:cs="Times New Roman"/>
          <w:sz w:val="24"/>
          <w:szCs w:val="24"/>
        </w:rPr>
      </w:pPr>
    </w:p>
    <w:p w14:paraId="3E6A82AD" w14:textId="192BDA3B" w:rsidR="00C01F03" w:rsidRPr="00C01F03" w:rsidRDefault="00315398" w:rsidP="00252023">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3.7. </w:t>
      </w:r>
      <w:r w:rsidR="00C01F03" w:rsidRPr="00C01F03">
        <w:rPr>
          <w:rFonts w:ascii="Times New Roman" w:hAnsi="Times New Roman" w:cs="Times New Roman"/>
          <w:b/>
          <w:sz w:val="24"/>
          <w:szCs w:val="24"/>
        </w:rPr>
        <w:t>Funding</w:t>
      </w:r>
    </w:p>
    <w:p w14:paraId="20A3A8A4" w14:textId="318F7CF8" w:rsidR="00DE6D90" w:rsidRDefault="00616239" w:rsidP="00252023">
      <w:pPr>
        <w:spacing w:line="480" w:lineRule="auto"/>
        <w:jc w:val="both"/>
        <w:rPr>
          <w:rFonts w:ascii="Times New Roman" w:hAnsi="Times New Roman" w:cs="Times New Roman"/>
          <w:sz w:val="24"/>
          <w:szCs w:val="24"/>
        </w:rPr>
      </w:pPr>
      <w:r w:rsidRPr="00DF39A4">
        <w:rPr>
          <w:rFonts w:ascii="Times New Roman" w:hAnsi="Times New Roman" w:cs="Times New Roman"/>
          <w:sz w:val="24"/>
          <w:szCs w:val="24"/>
        </w:rPr>
        <w:t xml:space="preserve">A.P. acknowledges funding from Nuffield College and the Clarendon Fund. A.P., L.Z., A.G., J.B.D., and J.M.A. acknowledge funding from the Leverhulme Trust </w:t>
      </w:r>
      <w:r w:rsidR="003437EE" w:rsidRPr="00DF39A4">
        <w:rPr>
          <w:rFonts w:ascii="Times New Roman" w:hAnsi="Times New Roman" w:cs="Times New Roman"/>
          <w:sz w:val="24"/>
          <w:szCs w:val="24"/>
        </w:rPr>
        <w:t xml:space="preserve">grant </w:t>
      </w:r>
      <w:r w:rsidR="00BC5C8F">
        <w:rPr>
          <w:rFonts w:ascii="Times New Roman" w:hAnsi="Times New Roman" w:cs="Times New Roman"/>
          <w:sz w:val="24"/>
          <w:szCs w:val="24"/>
        </w:rPr>
        <w:t>RC-</w:t>
      </w:r>
      <w:r w:rsidR="003437EE" w:rsidRPr="00DF39A4">
        <w:rPr>
          <w:rFonts w:ascii="Times New Roman" w:hAnsi="Times New Roman" w:cs="Times New Roman"/>
          <w:sz w:val="24"/>
          <w:szCs w:val="24"/>
        </w:rPr>
        <w:t>2018-003</w:t>
      </w:r>
      <w:r w:rsidRPr="00DF39A4">
        <w:rPr>
          <w:rFonts w:ascii="Times New Roman" w:hAnsi="Times New Roman" w:cs="Times New Roman"/>
          <w:sz w:val="24"/>
          <w:szCs w:val="24"/>
        </w:rPr>
        <w:t>. A.P. and J.B.D. acknowledge funding from the European Research Council grant ERC-2021-CoG-101002587. S.T. acknowledges funding from the Australian Research Council (DP210100401). A.G. (</w:t>
      </w:r>
      <w:r w:rsidR="00FA04B0">
        <w:rPr>
          <w:rFonts w:ascii="Times New Roman" w:hAnsi="Times New Roman" w:cs="Times New Roman"/>
          <w:sz w:val="24"/>
          <w:szCs w:val="24"/>
        </w:rPr>
        <w:t>N</w:t>
      </w:r>
      <w:r w:rsidRPr="00DF39A4">
        <w:rPr>
          <w:rFonts w:ascii="Times New Roman" w:hAnsi="Times New Roman" w:cs="Times New Roman"/>
          <w:sz w:val="24"/>
          <w:szCs w:val="24"/>
        </w:rPr>
        <w:t>o. 101027598) and J.M.A</w:t>
      </w:r>
      <w:r w:rsidR="0087037B">
        <w:rPr>
          <w:rFonts w:ascii="Times New Roman" w:hAnsi="Times New Roman" w:cs="Times New Roman"/>
          <w:sz w:val="24"/>
          <w:szCs w:val="24"/>
        </w:rPr>
        <w:t>.</w:t>
      </w:r>
      <w:r w:rsidRPr="00DF39A4">
        <w:rPr>
          <w:rFonts w:ascii="Times New Roman" w:hAnsi="Times New Roman" w:cs="Times New Roman"/>
          <w:sz w:val="24"/>
          <w:szCs w:val="24"/>
        </w:rPr>
        <w:t xml:space="preserve"> (</w:t>
      </w:r>
      <w:r w:rsidR="00FA04B0">
        <w:rPr>
          <w:rFonts w:ascii="Times New Roman" w:hAnsi="Times New Roman" w:cs="Times New Roman"/>
          <w:sz w:val="24"/>
          <w:szCs w:val="24"/>
        </w:rPr>
        <w:t>N</w:t>
      </w:r>
      <w:r w:rsidRPr="00DF39A4">
        <w:rPr>
          <w:rFonts w:ascii="Times New Roman" w:hAnsi="Times New Roman" w:cs="Times New Roman"/>
          <w:sz w:val="24"/>
          <w:szCs w:val="24"/>
        </w:rPr>
        <w:t xml:space="preserve">o. 896821) acknowledge funding from the </w:t>
      </w:r>
      <w:r w:rsidR="00FA04B0" w:rsidRPr="00FA04B0">
        <w:rPr>
          <w:rFonts w:ascii="Times New Roman" w:hAnsi="Times New Roman" w:cs="Times New Roman"/>
          <w:sz w:val="24"/>
          <w:szCs w:val="24"/>
        </w:rPr>
        <w:t xml:space="preserve">H2020 Marie </w:t>
      </w:r>
      <w:proofErr w:type="spellStart"/>
      <w:r w:rsidR="00FA04B0" w:rsidRPr="00FA04B0">
        <w:rPr>
          <w:rFonts w:ascii="Times New Roman" w:hAnsi="Times New Roman" w:cs="Times New Roman"/>
          <w:sz w:val="24"/>
          <w:szCs w:val="24"/>
        </w:rPr>
        <w:t>Skłodowska</w:t>
      </w:r>
      <w:proofErr w:type="spellEnd"/>
      <w:r w:rsidR="00FA04B0" w:rsidRPr="00FA04B0">
        <w:rPr>
          <w:rFonts w:ascii="Times New Roman" w:hAnsi="Times New Roman" w:cs="Times New Roman"/>
          <w:sz w:val="24"/>
          <w:szCs w:val="24"/>
        </w:rPr>
        <w:t>-Curie Actions.</w:t>
      </w:r>
    </w:p>
    <w:p w14:paraId="4EF4D7DD" w14:textId="77777777" w:rsidR="00DE6D90" w:rsidRDefault="00DE6D90" w:rsidP="00252023">
      <w:pPr>
        <w:spacing w:line="480" w:lineRule="auto"/>
        <w:jc w:val="both"/>
        <w:rPr>
          <w:rFonts w:ascii="Times New Roman" w:hAnsi="Times New Roman" w:cs="Times New Roman"/>
          <w:sz w:val="24"/>
          <w:szCs w:val="24"/>
        </w:rPr>
      </w:pPr>
    </w:p>
    <w:p w14:paraId="1A470228" w14:textId="77777777" w:rsidR="00A568EB" w:rsidRDefault="00A568EB">
      <w:pPr>
        <w:rPr>
          <w:rFonts w:ascii="Times New Roman" w:hAnsi="Times New Roman" w:cs="Times New Roman"/>
          <w:b/>
          <w:sz w:val="24"/>
          <w:szCs w:val="24"/>
        </w:rPr>
      </w:pPr>
      <w:r>
        <w:rPr>
          <w:rFonts w:ascii="Times New Roman" w:hAnsi="Times New Roman" w:cs="Times New Roman"/>
          <w:b/>
          <w:sz w:val="24"/>
          <w:szCs w:val="24"/>
        </w:rPr>
        <w:br w:type="page"/>
      </w:r>
    </w:p>
    <w:p w14:paraId="220A26D5" w14:textId="3ABDB149" w:rsidR="00DE6D90" w:rsidRPr="00DF39A4" w:rsidRDefault="00315398" w:rsidP="00252023">
      <w:pPr>
        <w:pStyle w:val="NoSpacing"/>
        <w:suppressLineNumbers/>
        <w:spacing w:line="480" w:lineRule="auto"/>
        <w:rPr>
          <w:rFonts w:ascii="Times New Roman" w:hAnsi="Times New Roman" w:cs="Times New Roman"/>
          <w:b/>
          <w:bCs/>
          <w:sz w:val="24"/>
          <w:szCs w:val="24"/>
          <w:lang w:val="en-US"/>
        </w:rPr>
      </w:pPr>
      <w:r>
        <w:rPr>
          <w:rFonts w:ascii="Times New Roman" w:hAnsi="Times New Roman" w:cs="Times New Roman"/>
          <w:b/>
          <w:sz w:val="24"/>
          <w:szCs w:val="24"/>
          <w:lang w:val="en-US"/>
        </w:rPr>
        <w:lastRenderedPageBreak/>
        <w:t xml:space="preserve">3.8. </w:t>
      </w:r>
      <w:r w:rsidR="00DE6D90" w:rsidRPr="00DF39A4">
        <w:rPr>
          <w:rFonts w:ascii="Times New Roman" w:hAnsi="Times New Roman" w:cs="Times New Roman"/>
          <w:b/>
          <w:sz w:val="24"/>
          <w:szCs w:val="24"/>
          <w:lang w:val="en-US"/>
        </w:rPr>
        <w:t>Author contributions</w:t>
      </w:r>
    </w:p>
    <w:p w14:paraId="7A808248" w14:textId="77777777" w:rsidR="00DE6D90" w:rsidRDefault="00DE6D90" w:rsidP="00D23E00">
      <w:pPr>
        <w:pStyle w:val="NoSpacing"/>
        <w:suppressLineNumbers/>
        <w:spacing w:line="480" w:lineRule="auto"/>
        <w:jc w:val="both"/>
        <w:rPr>
          <w:rFonts w:ascii="Times New Roman" w:hAnsi="Times New Roman" w:cs="Times New Roman"/>
          <w:sz w:val="24"/>
          <w:szCs w:val="24"/>
          <w:lang w:val="en-US"/>
        </w:rPr>
      </w:pPr>
      <w:r w:rsidRPr="00DF39A4">
        <w:rPr>
          <w:rFonts w:ascii="Times New Roman" w:hAnsi="Times New Roman" w:cs="Times New Roman"/>
          <w:sz w:val="24"/>
          <w:szCs w:val="24"/>
          <w:lang w:val="en-US"/>
        </w:rPr>
        <w:t>Conceptualization: A.P. and J.M.A.; data preparation: A.P. and L.Z.; data analysis: A.P. and J.M.A.; initial draft: A.P. and J.M.A.; interpretation and final draft: A.P., L.Z, S.T., A.G., J.B.D., D.A.L., J.M.A.</w:t>
      </w:r>
    </w:p>
    <w:p w14:paraId="61A652B6" w14:textId="77777777" w:rsidR="007619CF" w:rsidRPr="00DF39A4" w:rsidRDefault="007619CF" w:rsidP="00D23E00">
      <w:pPr>
        <w:pStyle w:val="NoSpacing"/>
        <w:suppressLineNumbers/>
        <w:spacing w:line="480" w:lineRule="auto"/>
        <w:jc w:val="both"/>
        <w:rPr>
          <w:rFonts w:ascii="Times New Roman" w:hAnsi="Times New Roman" w:cs="Times New Roman"/>
          <w:sz w:val="24"/>
          <w:szCs w:val="24"/>
          <w:lang w:val="en-US"/>
        </w:rPr>
      </w:pPr>
    </w:p>
    <w:p w14:paraId="0617008E" w14:textId="6706C1B7" w:rsidR="00DE6D90" w:rsidRPr="00DF39A4" w:rsidRDefault="00315398" w:rsidP="00252023">
      <w:pPr>
        <w:pStyle w:val="NoSpacing"/>
        <w:suppressLineNumbers/>
        <w:spacing w:line="480" w:lineRule="auto"/>
        <w:jc w:val="both"/>
        <w:rPr>
          <w:rFonts w:ascii="Times New Roman" w:hAnsi="Times New Roman" w:cs="Times New Roman"/>
          <w:b/>
          <w:bCs/>
          <w:sz w:val="24"/>
          <w:szCs w:val="24"/>
          <w:lang w:val="en-US"/>
        </w:rPr>
      </w:pPr>
      <w:r>
        <w:rPr>
          <w:rFonts w:ascii="Times New Roman" w:hAnsi="Times New Roman" w:cs="Times New Roman"/>
          <w:b/>
          <w:sz w:val="24"/>
          <w:szCs w:val="24"/>
          <w:lang w:val="en-US"/>
        </w:rPr>
        <w:t xml:space="preserve">3.9. </w:t>
      </w:r>
      <w:r w:rsidR="00DE6D90" w:rsidRPr="00DF39A4">
        <w:rPr>
          <w:rFonts w:ascii="Times New Roman" w:hAnsi="Times New Roman" w:cs="Times New Roman"/>
          <w:b/>
          <w:sz w:val="24"/>
          <w:szCs w:val="24"/>
          <w:lang w:val="en-US"/>
        </w:rPr>
        <w:t>Data availability</w:t>
      </w:r>
    </w:p>
    <w:p w14:paraId="117B188C" w14:textId="6F680175" w:rsidR="00DE6D90" w:rsidRDefault="00A74456" w:rsidP="00252023">
      <w:pPr>
        <w:spacing w:line="480" w:lineRule="auto"/>
        <w:jc w:val="both"/>
        <w:rPr>
          <w:rFonts w:ascii="Times New Roman" w:hAnsi="Times New Roman" w:cs="Times New Roman"/>
          <w:sz w:val="24"/>
          <w:szCs w:val="24"/>
        </w:rPr>
      </w:pPr>
      <w:r w:rsidRPr="00A74456">
        <w:rPr>
          <w:rFonts w:ascii="Times New Roman" w:hAnsi="Times New Roman" w:cs="Times New Roman"/>
          <w:sz w:val="24"/>
          <w:szCs w:val="24"/>
        </w:rPr>
        <w:t>This study uses data from the World Health Organization Mortality Database (WHO MDB), downloaded on 13 May 2024; the U</w:t>
      </w:r>
      <w:r w:rsidR="00D23E00">
        <w:rPr>
          <w:rFonts w:ascii="Times New Roman" w:hAnsi="Times New Roman" w:cs="Times New Roman"/>
          <w:sz w:val="24"/>
          <w:szCs w:val="24"/>
        </w:rPr>
        <w:t xml:space="preserve">nited </w:t>
      </w:r>
      <w:r w:rsidRPr="00A74456">
        <w:rPr>
          <w:rFonts w:ascii="Times New Roman" w:hAnsi="Times New Roman" w:cs="Times New Roman"/>
          <w:sz w:val="24"/>
          <w:szCs w:val="24"/>
        </w:rPr>
        <w:t>N</w:t>
      </w:r>
      <w:r w:rsidR="00D23E00">
        <w:rPr>
          <w:rFonts w:ascii="Times New Roman" w:hAnsi="Times New Roman" w:cs="Times New Roman"/>
          <w:sz w:val="24"/>
          <w:szCs w:val="24"/>
        </w:rPr>
        <w:t xml:space="preserve">ations </w:t>
      </w:r>
      <w:r w:rsidRPr="00A74456">
        <w:rPr>
          <w:rFonts w:ascii="Times New Roman" w:hAnsi="Times New Roman" w:cs="Times New Roman"/>
          <w:sz w:val="24"/>
          <w:szCs w:val="24"/>
        </w:rPr>
        <w:t>W</w:t>
      </w:r>
      <w:r w:rsidR="00D23E00">
        <w:rPr>
          <w:rFonts w:ascii="Times New Roman" w:hAnsi="Times New Roman" w:cs="Times New Roman"/>
          <w:sz w:val="24"/>
          <w:szCs w:val="24"/>
        </w:rPr>
        <w:t xml:space="preserve">orld </w:t>
      </w:r>
      <w:r w:rsidRPr="00A74456">
        <w:rPr>
          <w:rFonts w:ascii="Times New Roman" w:hAnsi="Times New Roman" w:cs="Times New Roman"/>
          <w:sz w:val="24"/>
          <w:szCs w:val="24"/>
        </w:rPr>
        <w:t>P</w:t>
      </w:r>
      <w:r w:rsidR="00D23E00">
        <w:rPr>
          <w:rFonts w:ascii="Times New Roman" w:hAnsi="Times New Roman" w:cs="Times New Roman"/>
          <w:sz w:val="24"/>
          <w:szCs w:val="24"/>
        </w:rPr>
        <w:t xml:space="preserve">opulation </w:t>
      </w:r>
      <w:r w:rsidRPr="00A74456">
        <w:rPr>
          <w:rFonts w:ascii="Times New Roman" w:hAnsi="Times New Roman" w:cs="Times New Roman"/>
          <w:sz w:val="24"/>
          <w:szCs w:val="24"/>
        </w:rPr>
        <w:t>P</w:t>
      </w:r>
      <w:r w:rsidR="00D23E00">
        <w:rPr>
          <w:rFonts w:ascii="Times New Roman" w:hAnsi="Times New Roman" w:cs="Times New Roman"/>
          <w:sz w:val="24"/>
          <w:szCs w:val="24"/>
        </w:rPr>
        <w:t>rospects (UNWPP)</w:t>
      </w:r>
      <w:r w:rsidRPr="00A74456">
        <w:rPr>
          <w:rFonts w:ascii="Times New Roman" w:hAnsi="Times New Roman" w:cs="Times New Roman"/>
          <w:sz w:val="24"/>
          <w:szCs w:val="24"/>
        </w:rPr>
        <w:t>, downloaded on 14</w:t>
      </w:r>
      <w:r>
        <w:rPr>
          <w:rFonts w:ascii="Times New Roman" w:hAnsi="Times New Roman" w:cs="Times New Roman"/>
          <w:sz w:val="24"/>
          <w:szCs w:val="24"/>
        </w:rPr>
        <w:t xml:space="preserve"> </w:t>
      </w:r>
      <w:r w:rsidRPr="00A74456">
        <w:rPr>
          <w:rFonts w:ascii="Times New Roman" w:hAnsi="Times New Roman" w:cs="Times New Roman"/>
          <w:sz w:val="24"/>
          <w:szCs w:val="24"/>
        </w:rPr>
        <w:t>July 2024; the Russian Fertility and Mortality Database (</w:t>
      </w:r>
      <w:proofErr w:type="spellStart"/>
      <w:r w:rsidRPr="00A74456">
        <w:rPr>
          <w:rFonts w:ascii="Times New Roman" w:hAnsi="Times New Roman" w:cs="Times New Roman"/>
          <w:sz w:val="24"/>
          <w:szCs w:val="24"/>
        </w:rPr>
        <w:t>RusFMD</w:t>
      </w:r>
      <w:proofErr w:type="spellEnd"/>
      <w:r w:rsidRPr="00A74456">
        <w:rPr>
          <w:rFonts w:ascii="Times New Roman" w:hAnsi="Times New Roman" w:cs="Times New Roman"/>
          <w:sz w:val="24"/>
          <w:szCs w:val="24"/>
        </w:rPr>
        <w:t>), downloaded on 07 July 2024; the Russian Federal State Statistics Service (</w:t>
      </w:r>
      <w:proofErr w:type="spellStart"/>
      <w:r w:rsidRPr="00A74456">
        <w:rPr>
          <w:rFonts w:ascii="Times New Roman" w:hAnsi="Times New Roman" w:cs="Times New Roman"/>
          <w:sz w:val="24"/>
          <w:szCs w:val="24"/>
        </w:rPr>
        <w:t>Rosstat</w:t>
      </w:r>
      <w:proofErr w:type="spellEnd"/>
      <w:r w:rsidRPr="00A74456">
        <w:rPr>
          <w:rFonts w:ascii="Times New Roman" w:hAnsi="Times New Roman" w:cs="Times New Roman"/>
          <w:sz w:val="24"/>
          <w:szCs w:val="24"/>
        </w:rPr>
        <w:t>),</w:t>
      </w:r>
      <w:r>
        <w:rPr>
          <w:rFonts w:ascii="Times New Roman" w:hAnsi="Times New Roman" w:cs="Times New Roman"/>
          <w:sz w:val="24"/>
          <w:szCs w:val="24"/>
        </w:rPr>
        <w:t xml:space="preserve"> </w:t>
      </w:r>
      <w:r w:rsidRPr="00A74456">
        <w:rPr>
          <w:rFonts w:ascii="Times New Roman" w:hAnsi="Times New Roman" w:cs="Times New Roman"/>
          <w:sz w:val="24"/>
          <w:szCs w:val="24"/>
        </w:rPr>
        <w:t xml:space="preserve">downloaded on 07 July 2024; the United Kingdom ONS, downloaded on 23 May 2024; and the </w:t>
      </w:r>
      <w:r>
        <w:rPr>
          <w:rFonts w:ascii="Times New Roman" w:hAnsi="Times New Roman" w:cs="Times New Roman"/>
          <w:sz w:val="24"/>
          <w:szCs w:val="24"/>
        </w:rPr>
        <w:t>USA</w:t>
      </w:r>
      <w:r w:rsidRPr="00A74456">
        <w:rPr>
          <w:rFonts w:ascii="Times New Roman" w:hAnsi="Times New Roman" w:cs="Times New Roman"/>
          <w:sz w:val="24"/>
          <w:szCs w:val="24"/>
        </w:rPr>
        <w:t xml:space="preserve"> Centers for Disease Control and Prevention</w:t>
      </w:r>
      <w:r>
        <w:rPr>
          <w:rFonts w:ascii="Times New Roman" w:hAnsi="Times New Roman" w:cs="Times New Roman"/>
          <w:sz w:val="24"/>
          <w:szCs w:val="24"/>
        </w:rPr>
        <w:t xml:space="preserve"> </w:t>
      </w:r>
      <w:r w:rsidRPr="00A74456">
        <w:rPr>
          <w:rFonts w:ascii="Times New Roman" w:hAnsi="Times New Roman" w:cs="Times New Roman"/>
          <w:sz w:val="24"/>
          <w:szCs w:val="24"/>
        </w:rPr>
        <w:t>(CDC), downloaded on 14 May 2024.</w:t>
      </w:r>
      <w:r>
        <w:rPr>
          <w:rFonts w:ascii="Times New Roman" w:hAnsi="Times New Roman" w:cs="Times New Roman"/>
          <w:sz w:val="24"/>
          <w:szCs w:val="24"/>
        </w:rPr>
        <w:t xml:space="preserve"> </w:t>
      </w:r>
      <w:r w:rsidR="00DE6D90" w:rsidRPr="00DF39A4">
        <w:rPr>
          <w:rFonts w:ascii="Times New Roman" w:hAnsi="Times New Roman" w:cs="Times New Roman"/>
          <w:sz w:val="24"/>
          <w:szCs w:val="24"/>
        </w:rPr>
        <w:t xml:space="preserve">Data from WHO MDB are publicly available, for non-commercial purposes, from: </w:t>
      </w:r>
      <w:r w:rsidR="00DE6D90" w:rsidRPr="00DF39A4">
        <w:rPr>
          <w:rFonts w:ascii="Times New Roman" w:hAnsi="Times New Roman" w:cs="Times New Roman"/>
          <w:i/>
          <w:iCs/>
          <w:sz w:val="24"/>
          <w:szCs w:val="24"/>
        </w:rPr>
        <w:t>https://www.who.int/data/data-collection-tools/who-mortality-database</w:t>
      </w:r>
      <w:r w:rsidR="00DE6D90" w:rsidRPr="00DF39A4">
        <w:rPr>
          <w:rFonts w:ascii="Times New Roman" w:hAnsi="Times New Roman" w:cs="Times New Roman"/>
          <w:sz w:val="24"/>
          <w:szCs w:val="24"/>
        </w:rPr>
        <w:t xml:space="preserve">. Data from UNWPP are publicly available, under a Creative Commons license CC BY 3.0 IGO, from: </w:t>
      </w:r>
      <w:r w:rsidR="00DE6D90" w:rsidRPr="00DF39A4">
        <w:rPr>
          <w:rFonts w:ascii="Times New Roman" w:hAnsi="Times New Roman" w:cs="Times New Roman"/>
          <w:i/>
          <w:iCs/>
          <w:sz w:val="24"/>
          <w:szCs w:val="24"/>
        </w:rPr>
        <w:t>https://population.un.org/wpp</w:t>
      </w:r>
      <w:r w:rsidR="00DE6D90" w:rsidRPr="00DF39A4">
        <w:rPr>
          <w:rFonts w:ascii="Times New Roman" w:hAnsi="Times New Roman" w:cs="Times New Roman"/>
          <w:sz w:val="24"/>
          <w:szCs w:val="24"/>
        </w:rPr>
        <w:t xml:space="preserve">. Data from </w:t>
      </w:r>
      <w:proofErr w:type="spellStart"/>
      <w:r w:rsidR="00DE6D90" w:rsidRPr="00DF39A4">
        <w:rPr>
          <w:rFonts w:ascii="Times New Roman" w:hAnsi="Times New Roman" w:cs="Times New Roman"/>
          <w:sz w:val="24"/>
          <w:szCs w:val="24"/>
        </w:rPr>
        <w:t>RusFMD</w:t>
      </w:r>
      <w:proofErr w:type="spellEnd"/>
      <w:r w:rsidR="00DE6D90" w:rsidRPr="00DF39A4">
        <w:rPr>
          <w:rFonts w:ascii="Times New Roman" w:hAnsi="Times New Roman" w:cs="Times New Roman"/>
          <w:sz w:val="24"/>
          <w:szCs w:val="24"/>
        </w:rPr>
        <w:t xml:space="preserve"> </w:t>
      </w:r>
      <w:proofErr w:type="gramStart"/>
      <w:r w:rsidR="00DE6D90" w:rsidRPr="00DF39A4">
        <w:rPr>
          <w:rFonts w:ascii="Times New Roman" w:hAnsi="Times New Roman" w:cs="Times New Roman"/>
          <w:sz w:val="24"/>
          <w:szCs w:val="24"/>
        </w:rPr>
        <w:t>are</w:t>
      </w:r>
      <w:proofErr w:type="gramEnd"/>
      <w:r w:rsidR="00DE6D90" w:rsidRPr="00DF39A4">
        <w:rPr>
          <w:rFonts w:ascii="Times New Roman" w:hAnsi="Times New Roman" w:cs="Times New Roman"/>
          <w:sz w:val="24"/>
          <w:szCs w:val="24"/>
        </w:rPr>
        <w:t xml:space="preserve"> publicly available, for scholarly, educational, and research purposes, from: </w:t>
      </w:r>
      <w:r w:rsidR="00DE6D90" w:rsidRPr="00DF39A4">
        <w:rPr>
          <w:rFonts w:ascii="Times New Roman" w:hAnsi="Times New Roman" w:cs="Times New Roman"/>
          <w:i/>
          <w:iCs/>
          <w:sz w:val="24"/>
          <w:szCs w:val="24"/>
        </w:rPr>
        <w:t>http://demogr.nes.ru</w:t>
      </w:r>
      <w:r w:rsidR="00DE6D90" w:rsidRPr="00DF39A4">
        <w:rPr>
          <w:rFonts w:ascii="Times New Roman" w:hAnsi="Times New Roman" w:cs="Times New Roman"/>
          <w:sz w:val="24"/>
          <w:szCs w:val="24"/>
        </w:rPr>
        <w:t xml:space="preserve">. Data from </w:t>
      </w:r>
      <w:proofErr w:type="spellStart"/>
      <w:r w:rsidR="00DE6D90" w:rsidRPr="00DF39A4">
        <w:rPr>
          <w:rFonts w:ascii="Times New Roman" w:hAnsi="Times New Roman" w:cs="Times New Roman"/>
          <w:sz w:val="24"/>
          <w:szCs w:val="24"/>
        </w:rPr>
        <w:t>Rosstat</w:t>
      </w:r>
      <w:proofErr w:type="spellEnd"/>
      <w:r w:rsidR="00DE6D90" w:rsidRPr="00DF39A4">
        <w:rPr>
          <w:rFonts w:ascii="Times New Roman" w:hAnsi="Times New Roman" w:cs="Times New Roman"/>
          <w:sz w:val="24"/>
          <w:szCs w:val="24"/>
        </w:rPr>
        <w:t xml:space="preserve"> are available from: </w:t>
      </w:r>
      <w:r w:rsidR="00DE6D90" w:rsidRPr="00DF39A4">
        <w:rPr>
          <w:rFonts w:ascii="Times New Roman" w:hAnsi="Times New Roman" w:cs="Times New Roman"/>
          <w:i/>
          <w:iCs/>
          <w:sz w:val="24"/>
          <w:szCs w:val="24"/>
        </w:rPr>
        <w:t>https://rosstat.gov.ru.</w:t>
      </w:r>
      <w:r w:rsidR="00DE6D90" w:rsidRPr="00DF39A4">
        <w:rPr>
          <w:rFonts w:ascii="Times New Roman" w:hAnsi="Times New Roman" w:cs="Times New Roman"/>
          <w:sz w:val="24"/>
          <w:szCs w:val="24"/>
        </w:rPr>
        <w:t xml:space="preserve"> Data from ONS are available from: </w:t>
      </w:r>
      <w:r w:rsidR="00DE6D90" w:rsidRPr="00DF39A4">
        <w:rPr>
          <w:rFonts w:ascii="Times New Roman" w:hAnsi="Times New Roman" w:cs="Times New Roman"/>
          <w:i/>
          <w:sz w:val="24"/>
          <w:szCs w:val="24"/>
        </w:rPr>
        <w:t>https://www.ons.gov.uk.</w:t>
      </w:r>
      <w:r w:rsidR="00DE6D90" w:rsidRPr="00DF39A4">
        <w:rPr>
          <w:rFonts w:ascii="Times New Roman" w:hAnsi="Times New Roman" w:cs="Times New Roman"/>
          <w:sz w:val="24"/>
          <w:szCs w:val="24"/>
        </w:rPr>
        <w:t xml:space="preserve"> Data from CDC are publicly available, for the purpose of health statistical reporting and analysis, from: </w:t>
      </w:r>
      <w:r w:rsidR="00DE6D90" w:rsidRPr="00DF39A4">
        <w:rPr>
          <w:rFonts w:ascii="Times New Roman" w:hAnsi="Times New Roman" w:cs="Times New Roman"/>
          <w:i/>
          <w:iCs/>
          <w:sz w:val="24"/>
          <w:szCs w:val="24"/>
        </w:rPr>
        <w:t>https://wonder.cdc.gov</w:t>
      </w:r>
      <w:r w:rsidR="00DE6D90" w:rsidRPr="00DF39A4">
        <w:rPr>
          <w:rFonts w:ascii="Times New Roman" w:hAnsi="Times New Roman" w:cs="Times New Roman"/>
          <w:sz w:val="24"/>
          <w:szCs w:val="24"/>
        </w:rPr>
        <w:t xml:space="preserve">. </w:t>
      </w:r>
      <w:r w:rsidR="00DE6D90">
        <w:rPr>
          <w:rFonts w:ascii="Times New Roman" w:hAnsi="Times New Roman" w:cs="Times New Roman"/>
          <w:sz w:val="24"/>
          <w:szCs w:val="24"/>
        </w:rPr>
        <w:t>To facilitate</w:t>
      </w:r>
      <w:r w:rsidR="00DE6D90" w:rsidRPr="00DF39A4">
        <w:rPr>
          <w:rFonts w:ascii="Times New Roman" w:hAnsi="Times New Roman" w:cs="Times New Roman"/>
          <w:sz w:val="24"/>
          <w:szCs w:val="24"/>
        </w:rPr>
        <w:t xml:space="preserve"> replication, we provide source code through our Open Science Framework (OSF) </w:t>
      </w:r>
      <w:r w:rsidR="00DE6D90" w:rsidRPr="00A50868">
        <w:rPr>
          <w:rFonts w:ascii="Times New Roman" w:hAnsi="Times New Roman" w:cs="Times New Roman"/>
          <w:sz w:val="24"/>
          <w:szCs w:val="24"/>
        </w:rPr>
        <w:t>repositories:</w:t>
      </w:r>
      <w:r w:rsidR="00DE6D90" w:rsidRPr="00A50868">
        <w:rPr>
          <w:rStyle w:val="Hyperlink"/>
          <w:rFonts w:ascii="Times New Roman" w:hAnsi="Times New Roman" w:cs="Times New Roman"/>
          <w:color w:val="auto"/>
          <w:sz w:val="24"/>
          <w:szCs w:val="24"/>
          <w:u w:val="none"/>
        </w:rPr>
        <w:t xml:space="preserve"> </w:t>
      </w:r>
      <w:hyperlink r:id="rId13" w:history="1">
        <w:r w:rsidR="00DE6D90" w:rsidRPr="00D80465">
          <w:rPr>
            <w:rStyle w:val="Hyperlink"/>
            <w:rFonts w:ascii="Times New Roman" w:hAnsi="Times New Roman" w:cs="Times New Roman"/>
            <w:i/>
            <w:color w:val="auto"/>
            <w:sz w:val="24"/>
            <w:szCs w:val="24"/>
            <w:u w:val="none"/>
          </w:rPr>
          <w:t>https://doi.org/</w:t>
        </w:r>
      </w:hyperlink>
      <w:r w:rsidR="00DE6D90" w:rsidRPr="00D80465">
        <w:rPr>
          <w:rStyle w:val="Hyperlink"/>
          <w:rFonts w:ascii="Times New Roman" w:hAnsi="Times New Roman" w:cs="Times New Roman"/>
          <w:i/>
          <w:color w:val="auto"/>
          <w:sz w:val="24"/>
          <w:szCs w:val="24"/>
          <w:u w:val="none"/>
        </w:rPr>
        <w:t>10.17605/OSF.IO/</w:t>
      </w:r>
      <w:r w:rsidR="009F6F79" w:rsidRPr="00D80465">
        <w:rPr>
          <w:rStyle w:val="Hyperlink"/>
          <w:rFonts w:ascii="Times New Roman" w:hAnsi="Times New Roman" w:cs="Times New Roman"/>
          <w:i/>
          <w:color w:val="auto"/>
          <w:sz w:val="24"/>
          <w:szCs w:val="24"/>
          <w:u w:val="none"/>
        </w:rPr>
        <w:t>86PMY</w:t>
      </w:r>
      <w:r w:rsidR="00DE6D90" w:rsidRPr="00A50868">
        <w:rPr>
          <w:rStyle w:val="Hyperlink"/>
          <w:rFonts w:ascii="Times New Roman" w:hAnsi="Times New Roman" w:cs="Times New Roman"/>
          <w:color w:val="auto"/>
          <w:sz w:val="24"/>
          <w:szCs w:val="24"/>
          <w:u w:val="none"/>
        </w:rPr>
        <w:t xml:space="preserve"> and </w:t>
      </w:r>
      <w:r w:rsidR="00DE6D90" w:rsidRPr="00D80465">
        <w:rPr>
          <w:rStyle w:val="Hyperlink"/>
          <w:rFonts w:ascii="Times New Roman" w:hAnsi="Times New Roman" w:cs="Times New Roman"/>
          <w:i/>
          <w:color w:val="auto"/>
          <w:sz w:val="24"/>
          <w:szCs w:val="24"/>
          <w:u w:val="none"/>
        </w:rPr>
        <w:t>https://doi.org/10.17605/OSF.IO/89NZK</w:t>
      </w:r>
      <w:r w:rsidR="00DE6D90" w:rsidRPr="00A50868">
        <w:rPr>
          <w:rFonts w:ascii="Times New Roman" w:hAnsi="Times New Roman" w:cs="Times New Roman"/>
          <w:sz w:val="24"/>
          <w:szCs w:val="24"/>
        </w:rPr>
        <w:t>.</w:t>
      </w:r>
    </w:p>
    <w:p w14:paraId="5549A734" w14:textId="77777777" w:rsidR="00DE6D90" w:rsidRDefault="00DE6D90" w:rsidP="00252023">
      <w:pPr>
        <w:spacing w:line="480" w:lineRule="auto"/>
        <w:jc w:val="both"/>
        <w:rPr>
          <w:rFonts w:ascii="Times New Roman" w:hAnsi="Times New Roman" w:cs="Times New Roman"/>
          <w:sz w:val="24"/>
          <w:szCs w:val="24"/>
        </w:rPr>
      </w:pPr>
    </w:p>
    <w:p w14:paraId="2B956245" w14:textId="77777777" w:rsidR="000E18E7" w:rsidRDefault="000E18E7">
      <w:pPr>
        <w:rPr>
          <w:rFonts w:ascii="Times New Roman" w:hAnsi="Times New Roman" w:cs="Times New Roman"/>
          <w:b/>
          <w:sz w:val="24"/>
          <w:szCs w:val="24"/>
        </w:rPr>
      </w:pPr>
      <w:r>
        <w:rPr>
          <w:rFonts w:ascii="Times New Roman" w:hAnsi="Times New Roman" w:cs="Times New Roman"/>
          <w:b/>
          <w:sz w:val="24"/>
          <w:szCs w:val="24"/>
        </w:rPr>
        <w:br w:type="page"/>
      </w:r>
    </w:p>
    <w:p w14:paraId="3E183F70" w14:textId="0C86D490" w:rsidR="00EE309F" w:rsidRDefault="00315398" w:rsidP="00252023">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3.10. </w:t>
      </w:r>
      <w:r w:rsidR="00DE6D90" w:rsidRPr="00C41903">
        <w:rPr>
          <w:rFonts w:ascii="Times New Roman" w:hAnsi="Times New Roman" w:cs="Times New Roman"/>
          <w:b/>
          <w:sz w:val="24"/>
          <w:szCs w:val="24"/>
        </w:rPr>
        <w:t>Supplementary Information</w:t>
      </w:r>
    </w:p>
    <w:p w14:paraId="19F8EF77" w14:textId="02C5201C" w:rsidR="00EE309F" w:rsidRDefault="00EE309F" w:rsidP="00252023">
      <w:pPr>
        <w:spacing w:line="480" w:lineRule="auto"/>
        <w:jc w:val="both"/>
        <w:rPr>
          <w:rFonts w:ascii="Times New Roman" w:hAnsi="Times New Roman" w:cs="Times New Roman"/>
          <w:sz w:val="24"/>
          <w:szCs w:val="24"/>
        </w:rPr>
      </w:pPr>
      <w:r w:rsidRPr="00EE309F">
        <w:rPr>
          <w:rFonts w:ascii="Times New Roman" w:hAnsi="Times New Roman" w:cs="Times New Roman"/>
          <w:sz w:val="24"/>
          <w:szCs w:val="24"/>
        </w:rPr>
        <w:t xml:space="preserve">Due to space constraints in this </w:t>
      </w:r>
      <w:r w:rsidR="008007F0">
        <w:rPr>
          <w:rFonts w:ascii="Times New Roman" w:hAnsi="Times New Roman" w:cs="Times New Roman"/>
          <w:sz w:val="24"/>
          <w:szCs w:val="24"/>
        </w:rPr>
        <w:t>dissertation</w:t>
      </w:r>
      <w:r w:rsidRPr="00EE309F">
        <w:rPr>
          <w:rFonts w:ascii="Times New Roman" w:hAnsi="Times New Roman" w:cs="Times New Roman"/>
          <w:sz w:val="24"/>
          <w:szCs w:val="24"/>
        </w:rPr>
        <w:t>, all Supplementary Information to this chapter can be found online in the published version of this chapter, at:</w:t>
      </w:r>
    </w:p>
    <w:p w14:paraId="29A904CE" w14:textId="1CE7AF42" w:rsidR="00940628" w:rsidRDefault="00EE309F" w:rsidP="00252023">
      <w:pPr>
        <w:spacing w:line="480" w:lineRule="auto"/>
        <w:jc w:val="both"/>
        <w:rPr>
          <w:rFonts w:ascii="Times New Roman" w:hAnsi="Times New Roman" w:cs="Times New Roman"/>
          <w:sz w:val="24"/>
          <w:szCs w:val="24"/>
        </w:rPr>
      </w:pPr>
      <w:r w:rsidRPr="00235D1D">
        <w:rPr>
          <w:rFonts w:ascii="Times New Roman" w:hAnsi="Times New Roman" w:cs="Times New Roman"/>
          <w:i/>
          <w:sz w:val="24"/>
          <w:szCs w:val="24"/>
        </w:rPr>
        <w:t>https://doi.org/10.1093/pnasnexus/pgae508</w:t>
      </w:r>
      <w:r w:rsidRPr="00EE309F">
        <w:rPr>
          <w:rFonts w:ascii="Times New Roman" w:hAnsi="Times New Roman" w:cs="Times New Roman"/>
          <w:sz w:val="24"/>
          <w:szCs w:val="24"/>
        </w:rPr>
        <w:t>.</w:t>
      </w:r>
    </w:p>
    <w:p w14:paraId="20398361" w14:textId="77777777" w:rsidR="000E18E7" w:rsidRPr="00EE309F" w:rsidRDefault="000E18E7" w:rsidP="00252023">
      <w:pPr>
        <w:spacing w:line="480" w:lineRule="auto"/>
        <w:jc w:val="both"/>
        <w:rPr>
          <w:rFonts w:ascii="Times New Roman" w:hAnsi="Times New Roman" w:cs="Times New Roman"/>
          <w:sz w:val="24"/>
          <w:szCs w:val="24"/>
        </w:rPr>
      </w:pPr>
    </w:p>
    <w:p w14:paraId="340BB97C" w14:textId="69044B19" w:rsidR="00B676CC" w:rsidRPr="009E1048" w:rsidRDefault="00940628" w:rsidP="00252023">
      <w:pPr>
        <w:pStyle w:val="NoSpacing"/>
        <w:spacing w:line="480" w:lineRule="auto"/>
        <w:jc w:val="both"/>
        <w:rPr>
          <w:rFonts w:ascii="Times New Roman" w:hAnsi="Times New Roman" w:cs="Times New Roman"/>
          <w:b/>
          <w:bCs/>
          <w:sz w:val="24"/>
          <w:szCs w:val="24"/>
          <w:lang w:val="en-US"/>
        </w:rPr>
      </w:pPr>
      <w:bookmarkStart w:id="3" w:name="_Hlk189034973"/>
      <w:r w:rsidRPr="009E1048">
        <w:rPr>
          <w:rFonts w:ascii="Times New Roman" w:hAnsi="Times New Roman" w:cs="Times New Roman"/>
          <w:b/>
          <w:bCs/>
          <w:sz w:val="24"/>
          <w:szCs w:val="24"/>
          <w:lang w:val="en-US"/>
        </w:rPr>
        <w:t>References</w:t>
      </w:r>
    </w:p>
    <w:p w14:paraId="3AF27ACD" w14:textId="77777777" w:rsidR="00606FFA" w:rsidRPr="00606FFA" w:rsidRDefault="009B5647"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fldChar w:fldCharType="begin"/>
      </w:r>
      <w:r w:rsidR="00606FFA" w:rsidRPr="0020156E">
        <w:rPr>
          <w:rFonts w:ascii="Times New Roman" w:hAnsi="Times New Roman" w:cs="Times New Roman"/>
          <w:sz w:val="24"/>
          <w:szCs w:val="24"/>
          <w:lang w:val="en-GB"/>
        </w:rPr>
        <w:instrText xml:space="preserve"> ADDIN ZOTERO_BIBL {"uncited":[],"omitted":[],"custom":[]} CSL_BIBLIOGRAPHY </w:instrText>
      </w:r>
      <w:r w:rsidRPr="00606FFA">
        <w:rPr>
          <w:rFonts w:ascii="Times New Roman" w:hAnsi="Times New Roman" w:cs="Times New Roman"/>
          <w:sz w:val="24"/>
          <w:szCs w:val="24"/>
        </w:rPr>
        <w:fldChar w:fldCharType="separate"/>
      </w:r>
      <w:r w:rsidR="00606FFA" w:rsidRPr="0020156E">
        <w:rPr>
          <w:rFonts w:ascii="Times New Roman" w:hAnsi="Times New Roman" w:cs="Times New Roman"/>
          <w:sz w:val="24"/>
          <w:szCs w:val="24"/>
          <w:lang w:val="en-GB"/>
        </w:rPr>
        <w:t xml:space="preserve">Aburto, J. M., Kashyap, R., Schöley, J., Angus, C., Ermisch, J., Mills, M. C., &amp; Dowd, J. B. (2021). </w:t>
      </w:r>
      <w:r w:rsidR="00606FFA" w:rsidRPr="00606FFA">
        <w:rPr>
          <w:rFonts w:ascii="Times New Roman" w:hAnsi="Times New Roman" w:cs="Times New Roman"/>
          <w:sz w:val="24"/>
          <w:szCs w:val="24"/>
        </w:rPr>
        <w:t xml:space="preserve">Estimating the burden of the COVID-19 pandemic on mortality, life expectancy and lifespan inequality in England and Wales: A population-level analysis. </w:t>
      </w:r>
      <w:r w:rsidR="00606FFA" w:rsidRPr="00606FFA">
        <w:rPr>
          <w:rFonts w:ascii="Times New Roman" w:hAnsi="Times New Roman" w:cs="Times New Roman"/>
          <w:i/>
          <w:iCs/>
          <w:sz w:val="24"/>
          <w:szCs w:val="24"/>
        </w:rPr>
        <w:t>Journal of Epidemiology and Community Health</w:t>
      </w:r>
      <w:r w:rsidR="00606FFA" w:rsidRPr="00606FFA">
        <w:rPr>
          <w:rFonts w:ascii="Times New Roman" w:hAnsi="Times New Roman" w:cs="Times New Roman"/>
          <w:sz w:val="24"/>
          <w:szCs w:val="24"/>
        </w:rPr>
        <w:t xml:space="preserve">, </w:t>
      </w:r>
      <w:r w:rsidR="00606FFA" w:rsidRPr="00606FFA">
        <w:rPr>
          <w:rFonts w:ascii="Times New Roman" w:hAnsi="Times New Roman" w:cs="Times New Roman"/>
          <w:i/>
          <w:iCs/>
          <w:sz w:val="24"/>
          <w:szCs w:val="24"/>
        </w:rPr>
        <w:t>75</w:t>
      </w:r>
      <w:r w:rsidR="00606FFA" w:rsidRPr="00606FFA">
        <w:rPr>
          <w:rFonts w:ascii="Times New Roman" w:hAnsi="Times New Roman" w:cs="Times New Roman"/>
          <w:sz w:val="24"/>
          <w:szCs w:val="24"/>
        </w:rPr>
        <w:t>(8), 735–740. https://doi.org/10.1136/jech-2020-215505</w:t>
      </w:r>
    </w:p>
    <w:p w14:paraId="035DCBD0"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Aburto, J. M., Schöley, J., Kashnitsky, I., Zhang, L., Rahal, C., Missov, T. I., Mills, M. C., Dowd, J. B., &amp; Kashyap, R. (2022). Quantifying impacts of the COVID-19 pandemic through life-expectancy losses: A population-level study of 29 countries. </w:t>
      </w:r>
      <w:r w:rsidRPr="00606FFA">
        <w:rPr>
          <w:rFonts w:ascii="Times New Roman" w:hAnsi="Times New Roman" w:cs="Times New Roman"/>
          <w:i/>
          <w:iCs/>
          <w:sz w:val="24"/>
          <w:szCs w:val="24"/>
        </w:rPr>
        <w:t>International Journal of Epidemiology</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51</w:t>
      </w:r>
      <w:r w:rsidRPr="00606FFA">
        <w:rPr>
          <w:rFonts w:ascii="Times New Roman" w:hAnsi="Times New Roman" w:cs="Times New Roman"/>
          <w:sz w:val="24"/>
          <w:szCs w:val="24"/>
        </w:rPr>
        <w:t>(1), 63–74. https://doi.org/10.1093/ije/dyab207</w:t>
      </w:r>
    </w:p>
    <w:p w14:paraId="4060AD06"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Aburto, J. M., Tilstra, A. M., Floridi, G., &amp; Dowd, J. B. (2022). Significant impacts of the COVID-19 pandemic on race/ethnic differences in US mortality. </w:t>
      </w:r>
      <w:r w:rsidRPr="00606FFA">
        <w:rPr>
          <w:rFonts w:ascii="Times New Roman" w:hAnsi="Times New Roman" w:cs="Times New Roman"/>
          <w:i/>
          <w:iCs/>
          <w:sz w:val="24"/>
          <w:szCs w:val="24"/>
        </w:rPr>
        <w:t>Proceedings of the National Academy of Sciences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119</w:t>
      </w:r>
      <w:r w:rsidRPr="00606FFA">
        <w:rPr>
          <w:rFonts w:ascii="Times New Roman" w:hAnsi="Times New Roman" w:cs="Times New Roman"/>
          <w:sz w:val="24"/>
          <w:szCs w:val="24"/>
        </w:rPr>
        <w:t>(35), e2205813119. https://doi.org/10.1073/pnas.2205813119</w:t>
      </w:r>
    </w:p>
    <w:p w14:paraId="57DA9D70"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Aburto, J. M., &amp; van Raalte, A. (2018). Lifespan dispersion in times of life expectancy fluctuation: The case of Central and Eastern Europe. </w:t>
      </w:r>
      <w:r w:rsidRPr="00606FFA">
        <w:rPr>
          <w:rFonts w:ascii="Times New Roman" w:hAnsi="Times New Roman" w:cs="Times New Roman"/>
          <w:i/>
          <w:iCs/>
          <w:sz w:val="24"/>
          <w:szCs w:val="24"/>
        </w:rPr>
        <w:t>Demography</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55</w:t>
      </w:r>
      <w:r w:rsidRPr="00606FFA">
        <w:rPr>
          <w:rFonts w:ascii="Times New Roman" w:hAnsi="Times New Roman" w:cs="Times New Roman"/>
          <w:sz w:val="24"/>
          <w:szCs w:val="24"/>
        </w:rPr>
        <w:t>(6), 2071–2096. https://doi.org/10.1007/s13524-018-0729-9</w:t>
      </w:r>
    </w:p>
    <w:p w14:paraId="78D6BEDB"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Acosta, E., Mehta, N., Myrskylä, M., &amp; Ebeling, M. (2022). Cardiovascular mortality gap between the United States and other high life expectancy countries in 2000–2016. </w:t>
      </w:r>
      <w:r w:rsidRPr="00606FFA">
        <w:rPr>
          <w:rFonts w:ascii="Times New Roman" w:hAnsi="Times New Roman" w:cs="Times New Roman"/>
          <w:i/>
          <w:iCs/>
          <w:sz w:val="24"/>
          <w:szCs w:val="24"/>
        </w:rPr>
        <w:lastRenderedPageBreak/>
        <w:t>The Journals of Gerontology: Series B</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77</w:t>
      </w:r>
      <w:r w:rsidRPr="00606FFA">
        <w:rPr>
          <w:rFonts w:ascii="Times New Roman" w:hAnsi="Times New Roman" w:cs="Times New Roman"/>
          <w:sz w:val="24"/>
          <w:szCs w:val="24"/>
        </w:rPr>
        <w:t>(Supplement_2), S148–S157. https://doi.org/10.1093/geronb/gbac032</w:t>
      </w:r>
    </w:p>
    <w:p w14:paraId="6164CA59"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Adair, T., Houle, B., &amp; Canudas-Romo, V. (2023). Effect of the COVID-19 pandemic on life expectancy in Australia, 2020-22. </w:t>
      </w:r>
      <w:r w:rsidRPr="00606FFA">
        <w:rPr>
          <w:rFonts w:ascii="Times New Roman" w:hAnsi="Times New Roman" w:cs="Times New Roman"/>
          <w:i/>
          <w:iCs/>
          <w:sz w:val="24"/>
          <w:szCs w:val="24"/>
        </w:rPr>
        <w:t>International Journal of Epidemiology</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52</w:t>
      </w:r>
      <w:r w:rsidRPr="00606FFA">
        <w:rPr>
          <w:rFonts w:ascii="Times New Roman" w:hAnsi="Times New Roman" w:cs="Times New Roman"/>
          <w:sz w:val="24"/>
          <w:szCs w:val="24"/>
        </w:rPr>
        <w:t>(6), 1735–1744. https://doi.org/10.1093/ije/dyad121</w:t>
      </w:r>
    </w:p>
    <w:p w14:paraId="72B39CA9"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American Association for Cancer Research. (2022). </w:t>
      </w:r>
      <w:r w:rsidRPr="00606FFA">
        <w:rPr>
          <w:rFonts w:ascii="Times New Roman" w:hAnsi="Times New Roman" w:cs="Times New Roman"/>
          <w:i/>
          <w:iCs/>
          <w:sz w:val="24"/>
          <w:szCs w:val="24"/>
        </w:rPr>
        <w:t>AACR report on the impact of COVID-19 on cancer research and patient care</w:t>
      </w:r>
      <w:r w:rsidRPr="00606FFA">
        <w:rPr>
          <w:rFonts w:ascii="Times New Roman" w:hAnsi="Times New Roman" w:cs="Times New Roman"/>
          <w:sz w:val="24"/>
          <w:szCs w:val="24"/>
        </w:rPr>
        <w:t>. https://www.AACR.org/COVIDReport</w:t>
      </w:r>
    </w:p>
    <w:p w14:paraId="6F8DE18C"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Angus, C., Buckley, C., Tilstra, A. M., &amp; Dowd, J. B. (2023). Increases in ‘deaths of despair’ during the COVID-19 pandemic in the United States and the United Kingdom. </w:t>
      </w:r>
      <w:r w:rsidRPr="00606FFA">
        <w:rPr>
          <w:rFonts w:ascii="Times New Roman" w:hAnsi="Times New Roman" w:cs="Times New Roman"/>
          <w:i/>
          <w:iCs/>
          <w:sz w:val="24"/>
          <w:szCs w:val="24"/>
        </w:rPr>
        <w:t>Public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218</w:t>
      </w:r>
      <w:r w:rsidRPr="00606FFA">
        <w:rPr>
          <w:rFonts w:ascii="Times New Roman" w:hAnsi="Times New Roman" w:cs="Times New Roman"/>
          <w:sz w:val="24"/>
          <w:szCs w:val="24"/>
        </w:rPr>
        <w:t>, 92–96. https://doi.org/10.1016/j.puhe.2023.02.019</w:t>
      </w:r>
    </w:p>
    <w:p w14:paraId="3112B644"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Ball, S., Banerjee, A., Berry, C., Boyle, J. R., Bray, B., Bradlow, W., Chaudhry, A., Crawley, R., Danesh, J., Denniston, A., Falter, F., Figueroa, J. D., Hall, C., Hemingway, H., Jefferson, E., Johnson, T., King, G., Lee, K. K., McKean, P., … Wyatt, M. (2020). Monitoring indirect impact of COVID-19 pandemic on services for cardiovascular diseases in the UK. </w:t>
      </w:r>
      <w:r w:rsidRPr="00606FFA">
        <w:rPr>
          <w:rFonts w:ascii="Times New Roman" w:hAnsi="Times New Roman" w:cs="Times New Roman"/>
          <w:i/>
          <w:iCs/>
          <w:sz w:val="24"/>
          <w:szCs w:val="24"/>
        </w:rPr>
        <w:t>Heart</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106</w:t>
      </w:r>
      <w:r w:rsidRPr="00606FFA">
        <w:rPr>
          <w:rFonts w:ascii="Times New Roman" w:hAnsi="Times New Roman" w:cs="Times New Roman"/>
          <w:sz w:val="24"/>
          <w:szCs w:val="24"/>
        </w:rPr>
        <w:t>(24), 1890–1897. https://doi.org/10.1136/heartjnl-2020-317870</w:t>
      </w:r>
    </w:p>
    <w:p w14:paraId="35E712AA"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Bergeron-Boucher, M.-P., Aburto, J. M., &amp; van Raalte, A. (2020). Diversification in causes of death in low-mortality countries: Emerging patterns and implications. </w:t>
      </w:r>
      <w:r w:rsidRPr="00606FFA">
        <w:rPr>
          <w:rFonts w:ascii="Times New Roman" w:hAnsi="Times New Roman" w:cs="Times New Roman"/>
          <w:i/>
          <w:iCs/>
          <w:sz w:val="24"/>
          <w:szCs w:val="24"/>
        </w:rPr>
        <w:t>BMJ Global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5</w:t>
      </w:r>
      <w:r w:rsidRPr="00606FFA">
        <w:rPr>
          <w:rFonts w:ascii="Times New Roman" w:hAnsi="Times New Roman" w:cs="Times New Roman"/>
          <w:sz w:val="24"/>
          <w:szCs w:val="24"/>
        </w:rPr>
        <w:t>(7), e002414. https://doi.org/10.1136/bmjgh-2020-002414</w:t>
      </w:r>
    </w:p>
    <w:p w14:paraId="7CC3D3ED"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Calderon-Anyosa, R. J. C., &amp; Kaufman, J. S. (2021). Impact of COVID-19 lockdown policy on homicide, suicide, and motor vehicle deaths in Peru. </w:t>
      </w:r>
      <w:r w:rsidRPr="00606FFA">
        <w:rPr>
          <w:rFonts w:ascii="Times New Roman" w:hAnsi="Times New Roman" w:cs="Times New Roman"/>
          <w:i/>
          <w:iCs/>
          <w:sz w:val="24"/>
          <w:szCs w:val="24"/>
        </w:rPr>
        <w:t>Preventive Medicine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143</w:t>
      </w:r>
      <w:r w:rsidRPr="00606FFA">
        <w:rPr>
          <w:rFonts w:ascii="Times New Roman" w:hAnsi="Times New Roman" w:cs="Times New Roman"/>
          <w:sz w:val="24"/>
          <w:szCs w:val="24"/>
        </w:rPr>
        <w:t>, 106331. https://doi.org/10.1016/j.ypmed.2020.106331</w:t>
      </w:r>
    </w:p>
    <w:p w14:paraId="7FA638EF"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lastRenderedPageBreak/>
        <w:t xml:space="preserve">Canudas-Romo, V., &amp; Aburto, J. M. (2019). Youth lost to homicides: Disparities in survival in Latin America and the Caribbean. </w:t>
      </w:r>
      <w:r w:rsidRPr="00606FFA">
        <w:rPr>
          <w:rFonts w:ascii="Times New Roman" w:hAnsi="Times New Roman" w:cs="Times New Roman"/>
          <w:i/>
          <w:iCs/>
          <w:sz w:val="24"/>
          <w:szCs w:val="24"/>
        </w:rPr>
        <w:t>BMJ Global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w:t>
      </w:r>
      <w:r w:rsidRPr="00606FFA">
        <w:rPr>
          <w:rFonts w:ascii="Times New Roman" w:hAnsi="Times New Roman" w:cs="Times New Roman"/>
          <w:sz w:val="24"/>
          <w:szCs w:val="24"/>
        </w:rPr>
        <w:t>(2), e001275. https://doi.org/10.1136/bmjgh-2018-001275</w:t>
      </w:r>
    </w:p>
    <w:p w14:paraId="26E3232F"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Case, A., &amp; Deaton, A. (2015). Rising morbidity and mortality in midlife among white non-Hispanic Americans in the 21st century. </w:t>
      </w:r>
      <w:r w:rsidRPr="00606FFA">
        <w:rPr>
          <w:rFonts w:ascii="Times New Roman" w:hAnsi="Times New Roman" w:cs="Times New Roman"/>
          <w:i/>
          <w:iCs/>
          <w:sz w:val="24"/>
          <w:szCs w:val="24"/>
        </w:rPr>
        <w:t>Proceedings of the National Academy of Sciences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112</w:t>
      </w:r>
      <w:r w:rsidRPr="00606FFA">
        <w:rPr>
          <w:rFonts w:ascii="Times New Roman" w:hAnsi="Times New Roman" w:cs="Times New Roman"/>
          <w:sz w:val="24"/>
          <w:szCs w:val="24"/>
        </w:rPr>
        <w:t>(49), 15078–15083. https://doi.org/10.1073/pnas.1518393112</w:t>
      </w:r>
    </w:p>
    <w:p w14:paraId="72C98D60"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Castro, M. C., Gurzenda, S., Turra, C. M., Kim, S., Andrasfay, T., &amp; Goldman, N. (2021). Reduction in life expectancy in Brazil after COVID-19. </w:t>
      </w:r>
      <w:r w:rsidRPr="00606FFA">
        <w:rPr>
          <w:rFonts w:ascii="Times New Roman" w:hAnsi="Times New Roman" w:cs="Times New Roman"/>
          <w:i/>
          <w:iCs/>
          <w:sz w:val="24"/>
          <w:szCs w:val="24"/>
        </w:rPr>
        <w:t>Nature Medicine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27</w:t>
      </w:r>
      <w:r w:rsidRPr="00606FFA">
        <w:rPr>
          <w:rFonts w:ascii="Times New Roman" w:hAnsi="Times New Roman" w:cs="Times New Roman"/>
          <w:sz w:val="24"/>
          <w:szCs w:val="24"/>
        </w:rPr>
        <w:t>, 1629–1635. https://doi.org/10.1038/s41591-021-01437-z</w:t>
      </w:r>
    </w:p>
    <w:p w14:paraId="39418AC5"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Degtiareva, E., Tilstra, A. M., Schöley, J., Kashyap, R., &amp; Dowd, J. B. (2024). Cause-specific excess mortality in the US during the COVID-19 pandemic. </w:t>
      </w:r>
      <w:r w:rsidRPr="00606FFA">
        <w:rPr>
          <w:rFonts w:ascii="Times New Roman" w:hAnsi="Times New Roman" w:cs="Times New Roman"/>
          <w:i/>
          <w:iCs/>
          <w:sz w:val="24"/>
          <w:szCs w:val="24"/>
        </w:rPr>
        <w:t>medRxiv</w:t>
      </w:r>
      <w:r w:rsidRPr="00606FFA">
        <w:rPr>
          <w:rFonts w:ascii="Times New Roman" w:hAnsi="Times New Roman" w:cs="Times New Roman"/>
          <w:sz w:val="24"/>
          <w:szCs w:val="24"/>
        </w:rPr>
        <w:t>. https://doi.org/10.1101/2024.03.05.24303783</w:t>
      </w:r>
    </w:p>
    <w:p w14:paraId="22757AD0"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Dyer, O. (2020). Covid-19: Russia admits to understating deaths by more than two thirds. </w:t>
      </w:r>
      <w:r w:rsidRPr="00606FFA">
        <w:rPr>
          <w:rFonts w:ascii="Times New Roman" w:hAnsi="Times New Roman" w:cs="Times New Roman"/>
          <w:i/>
          <w:iCs/>
          <w:sz w:val="24"/>
          <w:szCs w:val="24"/>
        </w:rPr>
        <w:t>BMJ</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371</w:t>
      </w:r>
      <w:r w:rsidRPr="00606FFA">
        <w:rPr>
          <w:rFonts w:ascii="Times New Roman" w:hAnsi="Times New Roman" w:cs="Times New Roman"/>
          <w:sz w:val="24"/>
          <w:szCs w:val="24"/>
        </w:rPr>
        <w:t>, m4975. https://doi.org/10.1136/bmj.m4975</w:t>
      </w:r>
    </w:p>
    <w:p w14:paraId="0FF54FD6"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Fernandes, F., Turra, C. M., França, G. V. A., &amp; Castro, M. C. (2023). Mortality by cause of death in Brazil: Effects of the COVID-19 pandemic and contribution to changes in life expectancy at birth. </w:t>
      </w:r>
      <w:r w:rsidRPr="00606FFA">
        <w:rPr>
          <w:rFonts w:ascii="Times New Roman" w:hAnsi="Times New Roman" w:cs="Times New Roman"/>
          <w:i/>
          <w:iCs/>
          <w:sz w:val="24"/>
          <w:szCs w:val="24"/>
        </w:rPr>
        <w:t>medRxiv</w:t>
      </w:r>
      <w:r w:rsidRPr="00606FFA">
        <w:rPr>
          <w:rFonts w:ascii="Times New Roman" w:hAnsi="Times New Roman" w:cs="Times New Roman"/>
          <w:sz w:val="24"/>
          <w:szCs w:val="24"/>
        </w:rPr>
        <w:t>. https://doi.org/10.1101/2023.02.13.23285842</w:t>
      </w:r>
    </w:p>
    <w:p w14:paraId="51048927"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García-Guerrero, V. M., &amp; Beltrán-Sánchez, H. (2021). Heterogeneity in excess mortality and its impact on loss of life expectancy due to COVID-19: Evidence from Mexico. </w:t>
      </w:r>
      <w:r w:rsidRPr="00606FFA">
        <w:rPr>
          <w:rFonts w:ascii="Times New Roman" w:hAnsi="Times New Roman" w:cs="Times New Roman"/>
          <w:i/>
          <w:iCs/>
          <w:sz w:val="24"/>
          <w:szCs w:val="24"/>
        </w:rPr>
        <w:t>Canadian Studies in Population</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48</w:t>
      </w:r>
      <w:r w:rsidRPr="00606FFA">
        <w:rPr>
          <w:rFonts w:ascii="Times New Roman" w:hAnsi="Times New Roman" w:cs="Times New Roman"/>
          <w:sz w:val="24"/>
          <w:szCs w:val="24"/>
        </w:rPr>
        <w:t>(2), 165–200. https://doi.org/10.1007/s42650-021-00051-1</w:t>
      </w:r>
    </w:p>
    <w:p w14:paraId="360E70CA"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Grigoriev, P., Meslé, F., Shkolnikov, V. M., Andreev, E., Fihel, A., Pechholdova, M., &amp; Vallin, J. (2014). The recent mortality decline in Russia: Beginning of the </w:t>
      </w:r>
      <w:r w:rsidRPr="00606FFA">
        <w:rPr>
          <w:rFonts w:ascii="Times New Roman" w:hAnsi="Times New Roman" w:cs="Times New Roman"/>
          <w:sz w:val="24"/>
          <w:szCs w:val="24"/>
        </w:rPr>
        <w:lastRenderedPageBreak/>
        <w:t xml:space="preserve">cardiovascular revolution? </w:t>
      </w:r>
      <w:r w:rsidRPr="00606FFA">
        <w:rPr>
          <w:rFonts w:ascii="Times New Roman" w:hAnsi="Times New Roman" w:cs="Times New Roman"/>
          <w:i/>
          <w:iCs/>
          <w:sz w:val="24"/>
          <w:szCs w:val="24"/>
        </w:rPr>
        <w:t>Population and Development Review</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40</w:t>
      </w:r>
      <w:r w:rsidRPr="00606FFA">
        <w:rPr>
          <w:rFonts w:ascii="Times New Roman" w:hAnsi="Times New Roman" w:cs="Times New Roman"/>
          <w:sz w:val="24"/>
          <w:szCs w:val="24"/>
        </w:rPr>
        <w:t>(1), 107–129. https://doi.org/10.1111/j.1728-4457.2014.00652.x</w:t>
      </w:r>
    </w:p>
    <w:p w14:paraId="6309C421"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Heuveline, P. (2022). Global and national declines in life expectancy: An end-of-2021 assessment. </w:t>
      </w:r>
      <w:r w:rsidRPr="00606FFA">
        <w:rPr>
          <w:rFonts w:ascii="Times New Roman" w:hAnsi="Times New Roman" w:cs="Times New Roman"/>
          <w:i/>
          <w:iCs/>
          <w:sz w:val="24"/>
          <w:szCs w:val="24"/>
        </w:rPr>
        <w:t>Population and Development Review</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48</w:t>
      </w:r>
      <w:r w:rsidRPr="00606FFA">
        <w:rPr>
          <w:rFonts w:ascii="Times New Roman" w:hAnsi="Times New Roman" w:cs="Times New Roman"/>
          <w:sz w:val="24"/>
          <w:szCs w:val="24"/>
        </w:rPr>
        <w:t>(1), 31–50. https://doi.org/10.1111/padr.12477</w:t>
      </w:r>
    </w:p>
    <w:p w14:paraId="08B62286" w14:textId="77777777" w:rsidR="00606FFA" w:rsidRPr="00606FFA" w:rsidRDefault="00606FFA" w:rsidP="00606FFA">
      <w:pPr>
        <w:pStyle w:val="Bibliography"/>
        <w:rPr>
          <w:rFonts w:ascii="Times New Roman" w:hAnsi="Times New Roman" w:cs="Times New Roman"/>
          <w:sz w:val="24"/>
          <w:szCs w:val="24"/>
          <w:lang w:val="de-DE"/>
        </w:rPr>
      </w:pPr>
      <w:r w:rsidRPr="00606FFA">
        <w:rPr>
          <w:rFonts w:ascii="Times New Roman" w:hAnsi="Times New Roman" w:cs="Times New Roman"/>
          <w:sz w:val="24"/>
          <w:szCs w:val="24"/>
        </w:rPr>
        <w:t xml:space="preserve">Horiuchi, S., Wilmoth, J. R., &amp; Pletcher, S. D. (2008). A decomposition method based on a model of continuous change. </w:t>
      </w:r>
      <w:r w:rsidRPr="00606FFA">
        <w:rPr>
          <w:rFonts w:ascii="Times New Roman" w:hAnsi="Times New Roman" w:cs="Times New Roman"/>
          <w:i/>
          <w:iCs/>
          <w:sz w:val="24"/>
          <w:szCs w:val="24"/>
          <w:lang w:val="de-DE"/>
        </w:rPr>
        <w:t>Demography</w:t>
      </w:r>
      <w:r w:rsidRPr="00606FFA">
        <w:rPr>
          <w:rFonts w:ascii="Times New Roman" w:hAnsi="Times New Roman" w:cs="Times New Roman"/>
          <w:sz w:val="24"/>
          <w:szCs w:val="24"/>
          <w:lang w:val="de-DE"/>
        </w:rPr>
        <w:t xml:space="preserve">, </w:t>
      </w:r>
      <w:r w:rsidRPr="00606FFA">
        <w:rPr>
          <w:rFonts w:ascii="Times New Roman" w:hAnsi="Times New Roman" w:cs="Times New Roman"/>
          <w:i/>
          <w:iCs/>
          <w:sz w:val="24"/>
          <w:szCs w:val="24"/>
          <w:lang w:val="de-DE"/>
        </w:rPr>
        <w:t>45</w:t>
      </w:r>
      <w:r w:rsidRPr="00606FFA">
        <w:rPr>
          <w:rFonts w:ascii="Times New Roman" w:hAnsi="Times New Roman" w:cs="Times New Roman"/>
          <w:sz w:val="24"/>
          <w:szCs w:val="24"/>
          <w:lang w:val="de-DE"/>
        </w:rPr>
        <w:t>(4), 785–801. https://doi.org/10.1353/dem.0.0033</w:t>
      </w:r>
    </w:p>
    <w:p w14:paraId="4E571DCF"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lang w:val="de-DE"/>
        </w:rPr>
        <w:t xml:space="preserve">Hoyer, C., Ebert, A., Huttner, H. B., Puetz, V., Kallmünzer, B., Barlinn, K., Haverkamp, C., Harloff, A., Brich, J., Platten, M., &amp; Szabo, K. (2020). </w:t>
      </w:r>
      <w:r w:rsidRPr="00606FFA">
        <w:rPr>
          <w:rFonts w:ascii="Times New Roman" w:hAnsi="Times New Roman" w:cs="Times New Roman"/>
          <w:sz w:val="24"/>
          <w:szCs w:val="24"/>
        </w:rPr>
        <w:t xml:space="preserve">Acute stroke in times of the COVID-19 pandemic. </w:t>
      </w:r>
      <w:r w:rsidRPr="00606FFA">
        <w:rPr>
          <w:rFonts w:ascii="Times New Roman" w:hAnsi="Times New Roman" w:cs="Times New Roman"/>
          <w:i/>
          <w:iCs/>
          <w:sz w:val="24"/>
          <w:szCs w:val="24"/>
        </w:rPr>
        <w:t>Stroke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51</w:t>
      </w:r>
      <w:r w:rsidRPr="00606FFA">
        <w:rPr>
          <w:rFonts w:ascii="Times New Roman" w:hAnsi="Times New Roman" w:cs="Times New Roman"/>
          <w:sz w:val="24"/>
          <w:szCs w:val="24"/>
        </w:rPr>
        <w:t>(7), 2224–2227. https://doi.org/10.1161/STROKEAHA.120.030395</w:t>
      </w:r>
    </w:p>
    <w:p w14:paraId="7F1F71B3"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lang w:val="de-DE"/>
        </w:rPr>
        <w:t xml:space="preserve">Huang, G., Guo, F., Liu, L., Taksa, L., Cheng, Z., Tani, M., Zimmermann, K. F., Franklin, M., &amp; Silva, S. S. M. (2024). </w:t>
      </w:r>
      <w:r w:rsidRPr="00606FFA">
        <w:rPr>
          <w:rFonts w:ascii="Times New Roman" w:hAnsi="Times New Roman" w:cs="Times New Roman"/>
          <w:sz w:val="24"/>
          <w:szCs w:val="24"/>
        </w:rPr>
        <w:t xml:space="preserve">Changing impact of COVID-19 on life expectancy 2019–2023 and its decomposition: Findings from 27 countries. </w:t>
      </w:r>
      <w:r w:rsidRPr="00606FFA">
        <w:rPr>
          <w:rFonts w:ascii="Times New Roman" w:hAnsi="Times New Roman" w:cs="Times New Roman"/>
          <w:i/>
          <w:iCs/>
          <w:sz w:val="24"/>
          <w:szCs w:val="24"/>
        </w:rPr>
        <w:t>SSM - Population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25</w:t>
      </w:r>
      <w:r w:rsidRPr="00606FFA">
        <w:rPr>
          <w:rFonts w:ascii="Times New Roman" w:hAnsi="Times New Roman" w:cs="Times New Roman"/>
          <w:sz w:val="24"/>
          <w:szCs w:val="24"/>
        </w:rPr>
        <w:t>, 101568. https://doi.org/10.1016/j.ssmph.2023.101568</w:t>
      </w:r>
    </w:p>
    <w:p w14:paraId="7459E89E"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Islam, N., Jdanov, D. A., Shkolnikov, V. M., Khunti, K., Kawachi, I., White, M., Lewington, S., &amp; Lacey, B. (2021). Effects of covid-19 pandemic on life expectancy and premature mortality in 2020: Time series analysis in 37 countries. </w:t>
      </w:r>
      <w:r w:rsidRPr="00606FFA">
        <w:rPr>
          <w:rFonts w:ascii="Times New Roman" w:hAnsi="Times New Roman" w:cs="Times New Roman"/>
          <w:i/>
          <w:iCs/>
          <w:sz w:val="24"/>
          <w:szCs w:val="24"/>
        </w:rPr>
        <w:t>BMJ</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375</w:t>
      </w:r>
      <w:r w:rsidRPr="00606FFA">
        <w:rPr>
          <w:rFonts w:ascii="Times New Roman" w:hAnsi="Times New Roman" w:cs="Times New Roman"/>
          <w:sz w:val="24"/>
          <w:szCs w:val="24"/>
        </w:rPr>
        <w:t>, e066768. https://doi.org/10.1136/bmj-2021-066768</w:t>
      </w:r>
    </w:p>
    <w:p w14:paraId="383DFAB2"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Islam, N., Shkolnikov, V. M., Acosta, R. J., Klimkin, I., Kawachi, I., Irizarry, R. A., Alicandro, G., Khunti, K., Yates, T., Jdanov, D. A., White, M., Lewington, S., &amp; Lacey, B. (2021). Excess deaths associated with covid-19 pandemic in 2020: Age and sex disaggregated time series analysis in 29 high income countries. </w:t>
      </w:r>
      <w:r w:rsidRPr="00606FFA">
        <w:rPr>
          <w:rFonts w:ascii="Times New Roman" w:hAnsi="Times New Roman" w:cs="Times New Roman"/>
          <w:i/>
          <w:iCs/>
          <w:sz w:val="24"/>
          <w:szCs w:val="24"/>
        </w:rPr>
        <w:t>BMJ</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373</w:t>
      </w:r>
      <w:r w:rsidRPr="00606FFA">
        <w:rPr>
          <w:rFonts w:ascii="Times New Roman" w:hAnsi="Times New Roman" w:cs="Times New Roman"/>
          <w:sz w:val="24"/>
          <w:szCs w:val="24"/>
        </w:rPr>
        <w:t>, n1137. https://doi.org/10.1136/bmj.n1137</w:t>
      </w:r>
    </w:p>
    <w:p w14:paraId="3CC75DE6"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lastRenderedPageBreak/>
        <w:t xml:space="preserve">Karlinsky, A., &amp; Kobak, D. (2021). Tracking excess mortality across countries during the COVID-19 pandemic with the World Mortality Dataset. </w:t>
      </w:r>
      <w:r w:rsidRPr="00606FFA">
        <w:rPr>
          <w:rFonts w:ascii="Times New Roman" w:hAnsi="Times New Roman" w:cs="Times New Roman"/>
          <w:i/>
          <w:iCs/>
          <w:sz w:val="24"/>
          <w:szCs w:val="24"/>
        </w:rPr>
        <w:t>eLife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10</w:t>
      </w:r>
      <w:r w:rsidRPr="00606FFA">
        <w:rPr>
          <w:rFonts w:ascii="Times New Roman" w:hAnsi="Times New Roman" w:cs="Times New Roman"/>
          <w:sz w:val="24"/>
          <w:szCs w:val="24"/>
        </w:rPr>
        <w:t>, e69336. https://doi.org/10.7554/eLife.69336</w:t>
      </w:r>
    </w:p>
    <w:p w14:paraId="476A1539"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Kiss, P., Carcel, C., Hockham, C., &amp; Peters, S. A. E. (2021). The impact of the COVID-19 pandemic on the care and management of patients with acute cardiovascular disease: A systematic review. </w:t>
      </w:r>
      <w:r w:rsidRPr="00606FFA">
        <w:rPr>
          <w:rFonts w:ascii="Times New Roman" w:hAnsi="Times New Roman" w:cs="Times New Roman"/>
          <w:i/>
          <w:iCs/>
          <w:sz w:val="24"/>
          <w:szCs w:val="24"/>
        </w:rPr>
        <w:t>European Heart Journal - Quality of Care and Clinical Outcomes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7</w:t>
      </w:r>
      <w:r w:rsidRPr="00606FFA">
        <w:rPr>
          <w:rFonts w:ascii="Times New Roman" w:hAnsi="Times New Roman" w:cs="Times New Roman"/>
          <w:sz w:val="24"/>
          <w:szCs w:val="24"/>
        </w:rPr>
        <w:t>(1), 18–27. https://doi.org/10.1093/ehjqcco/qcaa084</w:t>
      </w:r>
    </w:p>
    <w:p w14:paraId="4BBD0F49"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Koda, M., Harada, N., Eguchi, A., Nomura, S., &amp; Ishida, Y. (2022). Reasons for suicide during the COVID-19 pandemic in japan. </w:t>
      </w:r>
      <w:r w:rsidRPr="00606FFA">
        <w:rPr>
          <w:rFonts w:ascii="Times New Roman" w:hAnsi="Times New Roman" w:cs="Times New Roman"/>
          <w:i/>
          <w:iCs/>
          <w:sz w:val="24"/>
          <w:szCs w:val="24"/>
        </w:rPr>
        <w:t>JAMA Network Open</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5</w:t>
      </w:r>
      <w:r w:rsidRPr="00606FFA">
        <w:rPr>
          <w:rFonts w:ascii="Times New Roman" w:hAnsi="Times New Roman" w:cs="Times New Roman"/>
          <w:sz w:val="24"/>
          <w:szCs w:val="24"/>
        </w:rPr>
        <w:t>(1), e2145870. https://doi.org/10.1001/jamanetworkopen.2021.45870</w:t>
      </w:r>
    </w:p>
    <w:p w14:paraId="2F004CB8"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Leon, D. A. (2011). Trends in European life expectancy: A salutary view. </w:t>
      </w:r>
      <w:r w:rsidRPr="00606FFA">
        <w:rPr>
          <w:rFonts w:ascii="Times New Roman" w:hAnsi="Times New Roman" w:cs="Times New Roman"/>
          <w:i/>
          <w:iCs/>
          <w:sz w:val="24"/>
          <w:szCs w:val="24"/>
        </w:rPr>
        <w:t>International Journal of Epidemiology</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40</w:t>
      </w:r>
      <w:r w:rsidRPr="00606FFA">
        <w:rPr>
          <w:rFonts w:ascii="Times New Roman" w:hAnsi="Times New Roman" w:cs="Times New Roman"/>
          <w:sz w:val="24"/>
          <w:szCs w:val="24"/>
        </w:rPr>
        <w:t>(2), 271–277. https://doi.org/10.1093/ije/dyr061</w:t>
      </w:r>
    </w:p>
    <w:p w14:paraId="398C0995"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Leon, D. A., Jdanov, D. A., &amp; Shkolnikov, V. M. (2019). Trends in life expectancy and age-specific mortality in England and Wales, 1970–2016, in comparison with a set of 22 high-income countries: An analysis of vital statistics data. </w:t>
      </w:r>
      <w:r w:rsidRPr="00606FFA">
        <w:rPr>
          <w:rFonts w:ascii="Times New Roman" w:hAnsi="Times New Roman" w:cs="Times New Roman"/>
          <w:i/>
          <w:iCs/>
          <w:sz w:val="24"/>
          <w:szCs w:val="24"/>
        </w:rPr>
        <w:t>The Lancet Public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w:t>
      </w:r>
      <w:r w:rsidRPr="00606FFA">
        <w:rPr>
          <w:rFonts w:ascii="Times New Roman" w:hAnsi="Times New Roman" w:cs="Times New Roman"/>
          <w:sz w:val="24"/>
          <w:szCs w:val="24"/>
        </w:rPr>
        <w:t>(11), e575–e582. https://doi.org/10.1016/S2468-2667(19)30177-X</w:t>
      </w:r>
    </w:p>
    <w:p w14:paraId="4C5871B2"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Lima, E. E. C., Vilela, E. A., Peralta, A., Rocha, M., Queiroz, B. L., Gonzaga, M. R., Piscoya-Díaz, M., Martinez-Folgar, K., García-Guerrero, V. M., &amp; Freire, F. H. M. A. (2021). Investigating regional excess mortality during 2020 COVID-19 pandemic in selected Latin American countries. </w:t>
      </w:r>
      <w:r w:rsidRPr="00606FFA">
        <w:rPr>
          <w:rFonts w:ascii="Times New Roman" w:hAnsi="Times New Roman" w:cs="Times New Roman"/>
          <w:i/>
          <w:iCs/>
          <w:sz w:val="24"/>
          <w:szCs w:val="24"/>
        </w:rPr>
        <w:t>Genus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77</w:t>
      </w:r>
      <w:r w:rsidRPr="00606FFA">
        <w:rPr>
          <w:rFonts w:ascii="Times New Roman" w:hAnsi="Times New Roman" w:cs="Times New Roman"/>
          <w:sz w:val="24"/>
          <w:szCs w:val="24"/>
        </w:rPr>
        <w:t>(1), 30. https://doi.org/10.1186/s41118-021-00139-1</w:t>
      </w:r>
    </w:p>
    <w:p w14:paraId="780E87F6"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Lopez, A. D., &amp; Adair, T. (2019). Is the long-term decline in cardiovascular-disease mortality in high-income countries over? Evidence from national vital statistics. </w:t>
      </w:r>
      <w:r w:rsidRPr="00606FFA">
        <w:rPr>
          <w:rFonts w:ascii="Times New Roman" w:hAnsi="Times New Roman" w:cs="Times New Roman"/>
          <w:i/>
          <w:iCs/>
          <w:sz w:val="24"/>
          <w:szCs w:val="24"/>
        </w:rPr>
        <w:lastRenderedPageBreak/>
        <w:t>International Journal of Epidemiology</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48</w:t>
      </w:r>
      <w:r w:rsidRPr="00606FFA">
        <w:rPr>
          <w:rFonts w:ascii="Times New Roman" w:hAnsi="Times New Roman" w:cs="Times New Roman"/>
          <w:sz w:val="24"/>
          <w:szCs w:val="24"/>
        </w:rPr>
        <w:t>(6), 1815–1823. https://doi.org/10.1093/ije/dyz143</w:t>
      </w:r>
    </w:p>
    <w:p w14:paraId="6082E173"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Luck, A. N., Stokes, A. C., Hempstead, K., Paglino, E., &amp; Preston, S. H. (2023). Associations between mortality from COVID-19 and other causes: A state-level analysis. </w:t>
      </w:r>
      <w:r w:rsidRPr="00606FFA">
        <w:rPr>
          <w:rFonts w:ascii="Times New Roman" w:hAnsi="Times New Roman" w:cs="Times New Roman"/>
          <w:i/>
          <w:iCs/>
          <w:sz w:val="24"/>
          <w:szCs w:val="24"/>
        </w:rPr>
        <w:t>PLOS ONE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18</w:t>
      </w:r>
      <w:r w:rsidRPr="00606FFA">
        <w:rPr>
          <w:rFonts w:ascii="Times New Roman" w:hAnsi="Times New Roman" w:cs="Times New Roman"/>
          <w:sz w:val="24"/>
          <w:szCs w:val="24"/>
        </w:rPr>
        <w:t>(3), e0281683. https://doi.org/10.1371/journal.pone.0281683</w:t>
      </w:r>
    </w:p>
    <w:p w14:paraId="180FE700"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Masters, R. K., Aron, L. Y., &amp; Woolf, S. H. (2022). </w:t>
      </w:r>
      <w:r w:rsidRPr="00606FFA">
        <w:rPr>
          <w:rFonts w:ascii="Times New Roman" w:hAnsi="Times New Roman" w:cs="Times New Roman"/>
          <w:i/>
          <w:iCs/>
          <w:sz w:val="24"/>
          <w:szCs w:val="24"/>
        </w:rPr>
        <w:t>Changes in life expectancy between 2019 and 2021: United States and 19 peer countries</w:t>
      </w:r>
      <w:r w:rsidRPr="00606FFA">
        <w:rPr>
          <w:rFonts w:ascii="Times New Roman" w:hAnsi="Times New Roman" w:cs="Times New Roman"/>
          <w:sz w:val="24"/>
          <w:szCs w:val="24"/>
        </w:rPr>
        <w:t>. medRxiv. https://doi.org/10.1101/2022.04.05.22273393</w:t>
      </w:r>
    </w:p>
    <w:p w14:paraId="351DA5E5"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Mazzuco, S., &amp; Campostrini, S. (2022). Life expectancy drop in 2020. Estimates based on Human Mortality Database. </w:t>
      </w:r>
      <w:r w:rsidRPr="00606FFA">
        <w:rPr>
          <w:rFonts w:ascii="Times New Roman" w:hAnsi="Times New Roman" w:cs="Times New Roman"/>
          <w:i/>
          <w:iCs/>
          <w:sz w:val="24"/>
          <w:szCs w:val="24"/>
        </w:rPr>
        <w:t>PLOS ONE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17</w:t>
      </w:r>
      <w:r w:rsidRPr="00606FFA">
        <w:rPr>
          <w:rFonts w:ascii="Times New Roman" w:hAnsi="Times New Roman" w:cs="Times New Roman"/>
          <w:sz w:val="24"/>
          <w:szCs w:val="24"/>
        </w:rPr>
        <w:t>(1), e0262846. https://doi.org/10.1371/journal.pone.0262846</w:t>
      </w:r>
    </w:p>
    <w:p w14:paraId="4D721330"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Mehta, N. K., Abrams, L. R., &amp; Myrskylä, M. (2020). US life expectancy stalls due to cardiovascular disease, not drug deaths. </w:t>
      </w:r>
      <w:r w:rsidRPr="00606FFA">
        <w:rPr>
          <w:rFonts w:ascii="Times New Roman" w:hAnsi="Times New Roman" w:cs="Times New Roman"/>
          <w:i/>
          <w:iCs/>
          <w:sz w:val="24"/>
          <w:szCs w:val="24"/>
        </w:rPr>
        <w:t>Proceedings of the National Academy of Sciences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117</w:t>
      </w:r>
      <w:r w:rsidRPr="00606FFA">
        <w:rPr>
          <w:rFonts w:ascii="Times New Roman" w:hAnsi="Times New Roman" w:cs="Times New Roman"/>
          <w:sz w:val="24"/>
          <w:szCs w:val="24"/>
        </w:rPr>
        <w:t>(13), 6998–7000. https://doi.org/10.1073/pnas.1920391117</w:t>
      </w:r>
    </w:p>
    <w:p w14:paraId="2C56FFD7" w14:textId="77777777" w:rsidR="00606FFA" w:rsidRPr="00606FFA" w:rsidRDefault="00606FFA" w:rsidP="00606FFA">
      <w:pPr>
        <w:pStyle w:val="Bibliography"/>
        <w:rPr>
          <w:rFonts w:ascii="Times New Roman" w:hAnsi="Times New Roman" w:cs="Times New Roman"/>
          <w:sz w:val="24"/>
          <w:szCs w:val="24"/>
          <w:lang w:val="de-DE"/>
        </w:rPr>
      </w:pPr>
      <w:r w:rsidRPr="00606FFA">
        <w:rPr>
          <w:rFonts w:ascii="Times New Roman" w:hAnsi="Times New Roman" w:cs="Times New Roman"/>
          <w:sz w:val="24"/>
          <w:szCs w:val="24"/>
        </w:rPr>
        <w:t xml:space="preserve">Mena, G., &amp; Aburto, J. M. (2022). Unequal impact of the COVID-19 pandemic in 2020 on life expectancy across urban areas in Chile: A cross-sectional demographic study. </w:t>
      </w:r>
      <w:r w:rsidRPr="00606FFA">
        <w:rPr>
          <w:rFonts w:ascii="Times New Roman" w:hAnsi="Times New Roman" w:cs="Times New Roman"/>
          <w:i/>
          <w:iCs/>
          <w:sz w:val="24"/>
          <w:szCs w:val="24"/>
          <w:lang w:val="de-DE"/>
        </w:rPr>
        <w:t>BMJ Open</w:t>
      </w:r>
      <w:r w:rsidRPr="00606FFA">
        <w:rPr>
          <w:rFonts w:ascii="Times New Roman" w:hAnsi="Times New Roman" w:cs="Times New Roman"/>
          <w:sz w:val="24"/>
          <w:szCs w:val="24"/>
          <w:lang w:val="de-DE"/>
        </w:rPr>
        <w:t xml:space="preserve">, </w:t>
      </w:r>
      <w:r w:rsidRPr="00606FFA">
        <w:rPr>
          <w:rFonts w:ascii="Times New Roman" w:hAnsi="Times New Roman" w:cs="Times New Roman"/>
          <w:i/>
          <w:iCs/>
          <w:sz w:val="24"/>
          <w:szCs w:val="24"/>
          <w:lang w:val="de-DE"/>
        </w:rPr>
        <w:t>12</w:t>
      </w:r>
      <w:r w:rsidRPr="00606FFA">
        <w:rPr>
          <w:rFonts w:ascii="Times New Roman" w:hAnsi="Times New Roman" w:cs="Times New Roman"/>
          <w:sz w:val="24"/>
          <w:szCs w:val="24"/>
          <w:lang w:val="de-DE"/>
        </w:rPr>
        <w:t>(8), e059201. https://doi.org/10.1136/bmjopen-2021-059201</w:t>
      </w:r>
    </w:p>
    <w:p w14:paraId="20A1A80F"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lang w:val="de-DE"/>
        </w:rPr>
        <w:t xml:space="preserve">Mo, Y., Feng, Q., &amp; Gu, D. (2023). </w:t>
      </w:r>
      <w:r w:rsidRPr="00606FFA">
        <w:rPr>
          <w:rFonts w:ascii="Times New Roman" w:hAnsi="Times New Roman" w:cs="Times New Roman"/>
          <w:sz w:val="24"/>
          <w:szCs w:val="24"/>
        </w:rPr>
        <w:t xml:space="preserve">Impacts of the COVID-19 pandemic on life expectancy at birth in Asia. </w:t>
      </w:r>
      <w:r w:rsidRPr="00606FFA">
        <w:rPr>
          <w:rFonts w:ascii="Times New Roman" w:hAnsi="Times New Roman" w:cs="Times New Roman"/>
          <w:i/>
          <w:iCs/>
          <w:sz w:val="24"/>
          <w:szCs w:val="24"/>
        </w:rPr>
        <w:t>BMC Public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23</w:t>
      </w:r>
      <w:r w:rsidRPr="00606FFA">
        <w:rPr>
          <w:rFonts w:ascii="Times New Roman" w:hAnsi="Times New Roman" w:cs="Times New Roman"/>
          <w:sz w:val="24"/>
          <w:szCs w:val="24"/>
        </w:rPr>
        <w:t>(1), 1508. https://doi.org/10.1186/s12889-023-16426-9</w:t>
      </w:r>
    </w:p>
    <w:p w14:paraId="74B90FD4"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NISRA Vital Statistics. (2023). </w:t>
      </w:r>
      <w:r w:rsidRPr="00606FFA">
        <w:rPr>
          <w:rFonts w:ascii="Times New Roman" w:hAnsi="Times New Roman" w:cs="Times New Roman"/>
          <w:i/>
          <w:iCs/>
          <w:sz w:val="24"/>
          <w:szCs w:val="24"/>
        </w:rPr>
        <w:t>Suicide statistics in Northern Ireland, 2002-2022</w:t>
      </w:r>
      <w:r w:rsidRPr="00606FFA">
        <w:rPr>
          <w:rFonts w:ascii="Times New Roman" w:hAnsi="Times New Roman" w:cs="Times New Roman"/>
          <w:sz w:val="24"/>
          <w:szCs w:val="24"/>
        </w:rPr>
        <w:t>.</w:t>
      </w:r>
    </w:p>
    <w:p w14:paraId="7AA123AF"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O’Donnell, S. B., Bone, A. E., Finucane, A. M., McAleese, J., Higginson, I. J., Barclay, S., Sleeman, K. E., &amp; Murtagh, F. E. M. (2021). Changes in mortality patterns and place of death during the COVID-19 pandemic: A descriptive analysis of </w:t>
      </w:r>
      <w:r w:rsidRPr="00606FFA">
        <w:rPr>
          <w:rFonts w:ascii="Times New Roman" w:hAnsi="Times New Roman" w:cs="Times New Roman"/>
          <w:sz w:val="24"/>
          <w:szCs w:val="24"/>
        </w:rPr>
        <w:lastRenderedPageBreak/>
        <w:t xml:space="preserve">mortality data across four nations. </w:t>
      </w:r>
      <w:r w:rsidRPr="00606FFA">
        <w:rPr>
          <w:rFonts w:ascii="Times New Roman" w:hAnsi="Times New Roman" w:cs="Times New Roman"/>
          <w:i/>
          <w:iCs/>
          <w:sz w:val="24"/>
          <w:szCs w:val="24"/>
        </w:rPr>
        <w:t>Palliative Medicine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35</w:t>
      </w:r>
      <w:r w:rsidRPr="00606FFA">
        <w:rPr>
          <w:rFonts w:ascii="Times New Roman" w:hAnsi="Times New Roman" w:cs="Times New Roman"/>
          <w:sz w:val="24"/>
          <w:szCs w:val="24"/>
        </w:rPr>
        <w:t>(10), 1975–1984. https://doi.org/10.1177/02692163211040981</w:t>
      </w:r>
    </w:p>
    <w:p w14:paraId="12E2F187"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Office for National Statistics. (2023). </w:t>
      </w:r>
      <w:r w:rsidRPr="00606FFA">
        <w:rPr>
          <w:rFonts w:ascii="Times New Roman" w:hAnsi="Times New Roman" w:cs="Times New Roman"/>
          <w:i/>
          <w:iCs/>
          <w:sz w:val="24"/>
          <w:szCs w:val="24"/>
        </w:rPr>
        <w:t>Deaths related to drug poisoning in England and Wales: 2022 registrations</w:t>
      </w:r>
      <w:r w:rsidRPr="00606FFA">
        <w:rPr>
          <w:rFonts w:ascii="Times New Roman" w:hAnsi="Times New Roman" w:cs="Times New Roman"/>
          <w:sz w:val="24"/>
          <w:szCs w:val="24"/>
        </w:rPr>
        <w:t>. https://www.ons.gov.uk/peoplepopulationandcommunity/birthsdeathsandmarriages/deaths/bulletins/deathsrelatedtodrugpoisoninginenglandandwales/2022registrations</w:t>
      </w:r>
    </w:p>
    <w:p w14:paraId="275892C0"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Paglino, E., Lundberg, D. J., Wrigley-Field, E., Zhou, Z., Wasserman, J. A., Raquib, R., Chen, Y.-H., Hempstead, K., Preston, S. H., Elo, I. T., Glymour, M. M., &amp; Stokes, A. C. (2024). Excess natural-cause mortality in US counties and its association with reported COVID-19 deaths. </w:t>
      </w:r>
      <w:r w:rsidRPr="00606FFA">
        <w:rPr>
          <w:rFonts w:ascii="Times New Roman" w:hAnsi="Times New Roman" w:cs="Times New Roman"/>
          <w:i/>
          <w:iCs/>
          <w:sz w:val="24"/>
          <w:szCs w:val="24"/>
        </w:rPr>
        <w:t>Proceedings of the National Academy of Sciences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121</w:t>
      </w:r>
      <w:r w:rsidRPr="00606FFA">
        <w:rPr>
          <w:rFonts w:ascii="Times New Roman" w:hAnsi="Times New Roman" w:cs="Times New Roman"/>
          <w:sz w:val="24"/>
          <w:szCs w:val="24"/>
        </w:rPr>
        <w:t>(6), e2313661121. https://doi.org/10.1073/pnas.2313661121</w:t>
      </w:r>
    </w:p>
    <w:p w14:paraId="0C0286E7"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Pongiglione, B., Ploubidis, G. B., &amp; Dowd, J. B. (2022). Older adults in the United States have worse cardiometabolic health compared to England. </w:t>
      </w:r>
      <w:r w:rsidRPr="00606FFA">
        <w:rPr>
          <w:rFonts w:ascii="Times New Roman" w:hAnsi="Times New Roman" w:cs="Times New Roman"/>
          <w:i/>
          <w:iCs/>
          <w:sz w:val="24"/>
          <w:szCs w:val="24"/>
        </w:rPr>
        <w:t>The Journals of Gerontology: Series B</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77</w:t>
      </w:r>
      <w:r w:rsidRPr="00606FFA">
        <w:rPr>
          <w:rFonts w:ascii="Times New Roman" w:hAnsi="Times New Roman" w:cs="Times New Roman"/>
          <w:sz w:val="24"/>
          <w:szCs w:val="24"/>
        </w:rPr>
        <w:t>(Supplement_2), S167–S176. https://doi.org/10.1093/geronb/gbac023</w:t>
      </w:r>
    </w:p>
    <w:p w14:paraId="57FDF367"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Preston, S. H., Heuveline, P., &amp; Guillot, M. (2001). </w:t>
      </w:r>
      <w:r w:rsidRPr="00606FFA">
        <w:rPr>
          <w:rFonts w:ascii="Times New Roman" w:hAnsi="Times New Roman" w:cs="Times New Roman"/>
          <w:i/>
          <w:iCs/>
          <w:sz w:val="24"/>
          <w:szCs w:val="24"/>
        </w:rPr>
        <w:t>Demography: Measuring and modeling population processes</w:t>
      </w:r>
      <w:r w:rsidRPr="00606FFA">
        <w:rPr>
          <w:rFonts w:ascii="Times New Roman" w:hAnsi="Times New Roman" w:cs="Times New Roman"/>
          <w:sz w:val="24"/>
          <w:szCs w:val="24"/>
        </w:rPr>
        <w:t>. Malden, MA: Blackwell Publishers.</w:t>
      </w:r>
    </w:p>
    <w:p w14:paraId="446FAC0E"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Raleigh, V. S. (2019). Trends in life expectancy in EU and other OECD countries: Why are improvements slowing? </w:t>
      </w:r>
      <w:r w:rsidRPr="00606FFA">
        <w:rPr>
          <w:rFonts w:ascii="Times New Roman" w:hAnsi="Times New Roman" w:cs="Times New Roman"/>
          <w:i/>
          <w:iCs/>
          <w:sz w:val="24"/>
          <w:szCs w:val="24"/>
        </w:rPr>
        <w:t>OECD Health Working Papers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108</w:t>
      </w:r>
      <w:r w:rsidRPr="00606FFA">
        <w:rPr>
          <w:rFonts w:ascii="Times New Roman" w:hAnsi="Times New Roman" w:cs="Times New Roman"/>
          <w:sz w:val="24"/>
          <w:szCs w:val="24"/>
        </w:rPr>
        <w:t>. https://doi.org/10.1787/223159ab-en</w:t>
      </w:r>
    </w:p>
    <w:p w14:paraId="0B2875AC"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Schöley, J., Aburto, J. M., Kashnitsky, I., Kniffka, M. S., Zhang, L., Jaadla, H., Dowd, J. B., &amp; Kashyap, R. (2022). Life expectancy changes since COVID-19. </w:t>
      </w:r>
      <w:r w:rsidRPr="00606FFA">
        <w:rPr>
          <w:rFonts w:ascii="Times New Roman" w:hAnsi="Times New Roman" w:cs="Times New Roman"/>
          <w:i/>
          <w:iCs/>
          <w:sz w:val="24"/>
          <w:szCs w:val="24"/>
        </w:rPr>
        <w:t>Nature Human Behaviour</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6</w:t>
      </w:r>
      <w:r w:rsidRPr="00606FFA">
        <w:rPr>
          <w:rFonts w:ascii="Times New Roman" w:hAnsi="Times New Roman" w:cs="Times New Roman"/>
          <w:sz w:val="24"/>
          <w:szCs w:val="24"/>
        </w:rPr>
        <w:t>, 1649–1659. https://doi.org/10.1038/s41562-022-01450-3</w:t>
      </w:r>
    </w:p>
    <w:p w14:paraId="2A370022"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lastRenderedPageBreak/>
        <w:t xml:space="preserve">Spencer, M. R., Garnett, M. F., &amp; Miniño, A. M. (2024). </w:t>
      </w:r>
      <w:r w:rsidRPr="00606FFA">
        <w:rPr>
          <w:rFonts w:ascii="Times New Roman" w:hAnsi="Times New Roman" w:cs="Times New Roman"/>
          <w:i/>
          <w:iCs/>
          <w:sz w:val="24"/>
          <w:szCs w:val="24"/>
        </w:rPr>
        <w:t>Drug overdose deaths in the United States, 2002-2022</w:t>
      </w:r>
      <w:r w:rsidRPr="00606FFA">
        <w:rPr>
          <w:rFonts w:ascii="Times New Roman" w:hAnsi="Times New Roman" w:cs="Times New Roman"/>
          <w:sz w:val="24"/>
          <w:szCs w:val="24"/>
        </w:rPr>
        <w:t xml:space="preserve"> (NCHS Data Brief 491). https://doi.org/10.15620/cdc:135849</w:t>
      </w:r>
    </w:p>
    <w:p w14:paraId="1B0CD81E"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Stokes, A. C., Lundberg, D. J., Bor, J., Elo, I. T., Hempstead, K., &amp; Preston, S. H. (2021). Association of health care factors with excess deaths not assigned to COVID-19 in the US. </w:t>
      </w:r>
      <w:r w:rsidRPr="00606FFA">
        <w:rPr>
          <w:rFonts w:ascii="Times New Roman" w:hAnsi="Times New Roman" w:cs="Times New Roman"/>
          <w:i/>
          <w:iCs/>
          <w:sz w:val="24"/>
          <w:szCs w:val="24"/>
        </w:rPr>
        <w:t>JAMA Network Open</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4</w:t>
      </w:r>
      <w:r w:rsidRPr="00606FFA">
        <w:rPr>
          <w:rFonts w:ascii="Times New Roman" w:hAnsi="Times New Roman" w:cs="Times New Roman"/>
          <w:sz w:val="24"/>
          <w:szCs w:val="24"/>
        </w:rPr>
        <w:t>(9), e2125287. https://doi.org/10.1001/jamanetworkopen.2021.25287</w:t>
      </w:r>
    </w:p>
    <w:p w14:paraId="56CBC07A"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Tanaka, T., &amp; Okamoto, S. (2021). Increase in suicide following an initial decline during the COVID-19 pandemic in Japan. </w:t>
      </w:r>
      <w:r w:rsidRPr="00606FFA">
        <w:rPr>
          <w:rFonts w:ascii="Times New Roman" w:hAnsi="Times New Roman" w:cs="Times New Roman"/>
          <w:i/>
          <w:iCs/>
          <w:sz w:val="24"/>
          <w:szCs w:val="24"/>
        </w:rPr>
        <w:t>Nature Human Behaviour</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5</w:t>
      </w:r>
      <w:r w:rsidRPr="00606FFA">
        <w:rPr>
          <w:rFonts w:ascii="Times New Roman" w:hAnsi="Times New Roman" w:cs="Times New Roman"/>
          <w:sz w:val="24"/>
          <w:szCs w:val="24"/>
        </w:rPr>
        <w:t>(2), 229–238. https://doi.org/10.1038/s41562-020-01042-z</w:t>
      </w:r>
    </w:p>
    <w:p w14:paraId="61A3F065"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Timonin, S., Klimkin, I., Shkolnikov, V. M., Andreev, E., McKee, M., &amp; Leon, D. A. (2022). Excess mortality in Russia and its regions compared to high income countries: An analysis of monthly series of 2020. </w:t>
      </w:r>
      <w:r w:rsidRPr="00606FFA">
        <w:rPr>
          <w:rFonts w:ascii="Times New Roman" w:hAnsi="Times New Roman" w:cs="Times New Roman"/>
          <w:i/>
          <w:iCs/>
          <w:sz w:val="24"/>
          <w:szCs w:val="24"/>
        </w:rPr>
        <w:t>SSM - Population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17</w:t>
      </w:r>
      <w:r w:rsidRPr="00606FFA">
        <w:rPr>
          <w:rFonts w:ascii="Times New Roman" w:hAnsi="Times New Roman" w:cs="Times New Roman"/>
          <w:sz w:val="24"/>
          <w:szCs w:val="24"/>
        </w:rPr>
        <w:t>, 101006. https://doi.org/10.1016/j.ssmph.2021.101006</w:t>
      </w:r>
    </w:p>
    <w:p w14:paraId="694A37FE"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United Nations, Department of Economic and Social Affairs, Population Division. (2024). </w:t>
      </w:r>
      <w:r w:rsidRPr="00606FFA">
        <w:rPr>
          <w:rFonts w:ascii="Times New Roman" w:hAnsi="Times New Roman" w:cs="Times New Roman"/>
          <w:i/>
          <w:iCs/>
          <w:sz w:val="24"/>
          <w:szCs w:val="24"/>
        </w:rPr>
        <w:t>World Population Prospects 2024</w:t>
      </w:r>
      <w:r w:rsidRPr="00606FFA">
        <w:rPr>
          <w:rFonts w:ascii="Times New Roman" w:hAnsi="Times New Roman" w:cs="Times New Roman"/>
          <w:sz w:val="24"/>
          <w:szCs w:val="24"/>
        </w:rPr>
        <w:t>. Https://Population.Un.Org/Wpp/.</w:t>
      </w:r>
    </w:p>
    <w:p w14:paraId="5F52FB4A"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Vaupel, J. W., Villavicencio, F., &amp; Bergeron-Boucher, M.-P. (2021). Demographic perspectives on the rise of longevity. </w:t>
      </w:r>
      <w:r w:rsidRPr="00606FFA">
        <w:rPr>
          <w:rFonts w:ascii="Times New Roman" w:hAnsi="Times New Roman" w:cs="Times New Roman"/>
          <w:i/>
          <w:iCs/>
          <w:sz w:val="24"/>
          <w:szCs w:val="24"/>
        </w:rPr>
        <w:t>Proceedings of the National Academy of Sciences</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118</w:t>
      </w:r>
      <w:r w:rsidRPr="00606FFA">
        <w:rPr>
          <w:rFonts w:ascii="Times New Roman" w:hAnsi="Times New Roman" w:cs="Times New Roman"/>
          <w:sz w:val="24"/>
          <w:szCs w:val="24"/>
        </w:rPr>
        <w:t>(9), e2019536118. https://doi.org/10.1073/pnas.2019536118</w:t>
      </w:r>
    </w:p>
    <w:p w14:paraId="0D7F34EE"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Wang, H., Paulson, K. R., Pease, S. A., Watson, S., Comfort, H., Zheng, P., Aravkin, A. Y., Bisignano, C., Barber, R. M., Alam, T., Fuller, J. E., May, E. A., Jones, D. P., Frisch, M. E., Abbafati, C., Adolph, C., Allorant, A., Amlag, J. O., Bang-Jensen, B., … Murray, C. J. L. (2022). Estimating excess mortality due to the COVID-19 pandemic: A systematic analysis of COVID-19-related mortality, 2020–21. </w:t>
      </w:r>
      <w:r w:rsidRPr="00606FFA">
        <w:rPr>
          <w:rFonts w:ascii="Times New Roman" w:hAnsi="Times New Roman" w:cs="Times New Roman"/>
          <w:i/>
          <w:iCs/>
          <w:sz w:val="24"/>
          <w:szCs w:val="24"/>
        </w:rPr>
        <w:t>The Lancet</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399</w:t>
      </w:r>
      <w:r w:rsidRPr="00606FFA">
        <w:rPr>
          <w:rFonts w:ascii="Times New Roman" w:hAnsi="Times New Roman" w:cs="Times New Roman"/>
          <w:sz w:val="24"/>
          <w:szCs w:val="24"/>
        </w:rPr>
        <w:t>(10334), 1513–1536. https://doi.org/10.1016/S0140-6736(21)02796-3</w:t>
      </w:r>
    </w:p>
    <w:p w14:paraId="641E4947"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lastRenderedPageBreak/>
        <w:t xml:space="preserve">Woolf, S. H., Chapman, D. A., Sabo, R. T., &amp; Zimmerman, E. B. (2021). Excess deaths from COVID-19 and other causes in the US, March 1, 2020, to January 2, 2021. </w:t>
      </w:r>
      <w:r w:rsidRPr="00606FFA">
        <w:rPr>
          <w:rFonts w:ascii="Times New Roman" w:hAnsi="Times New Roman" w:cs="Times New Roman"/>
          <w:i/>
          <w:iCs/>
          <w:sz w:val="24"/>
          <w:szCs w:val="24"/>
        </w:rPr>
        <w:t>JAMA</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325</w:t>
      </w:r>
      <w:r w:rsidRPr="00606FFA">
        <w:rPr>
          <w:rFonts w:ascii="Times New Roman" w:hAnsi="Times New Roman" w:cs="Times New Roman"/>
          <w:sz w:val="24"/>
          <w:szCs w:val="24"/>
        </w:rPr>
        <w:t>(17), 1786–1789. https://doi.org/10.1001/jama.2021.5199</w:t>
      </w:r>
    </w:p>
    <w:p w14:paraId="78EE192F"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Xie, Y., Xu, E., Bowe, B., &amp; Al-Aly, Z. (2022). Long-term cardiovascular outcomes of COVID-19. </w:t>
      </w:r>
      <w:r w:rsidRPr="00606FFA">
        <w:rPr>
          <w:rFonts w:ascii="Times New Roman" w:hAnsi="Times New Roman" w:cs="Times New Roman"/>
          <w:i/>
          <w:iCs/>
          <w:sz w:val="24"/>
          <w:szCs w:val="24"/>
        </w:rPr>
        <w:t>Nature Medicine</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28</w:t>
      </w:r>
      <w:r w:rsidRPr="00606FFA">
        <w:rPr>
          <w:rFonts w:ascii="Times New Roman" w:hAnsi="Times New Roman" w:cs="Times New Roman"/>
          <w:sz w:val="24"/>
          <w:szCs w:val="24"/>
        </w:rPr>
        <w:t>(3), 583–590. https://doi.org/10.1038/s41591-022-01689-3</w:t>
      </w:r>
    </w:p>
    <w:p w14:paraId="61490B98"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Yang, S., Khang, Y.-H., Harper, S., Davey Smith, G., Leon, D. A., &amp; Lynch, J. (2010). Understanding the rapid increase in life expectancy in South Korea. </w:t>
      </w:r>
      <w:r w:rsidRPr="00606FFA">
        <w:rPr>
          <w:rFonts w:ascii="Times New Roman" w:hAnsi="Times New Roman" w:cs="Times New Roman"/>
          <w:i/>
          <w:iCs/>
          <w:sz w:val="24"/>
          <w:szCs w:val="24"/>
        </w:rPr>
        <w:t>American Journal of Public Health</w:t>
      </w:r>
      <w:r w:rsidRPr="00606FFA">
        <w:rPr>
          <w:rFonts w:ascii="Times New Roman" w:hAnsi="Times New Roman" w:cs="Times New Roman"/>
          <w:sz w:val="24"/>
          <w:szCs w:val="24"/>
        </w:rPr>
        <w:t xml:space="preserve">, </w:t>
      </w:r>
      <w:r w:rsidRPr="00606FFA">
        <w:rPr>
          <w:rFonts w:ascii="Times New Roman" w:hAnsi="Times New Roman" w:cs="Times New Roman"/>
          <w:i/>
          <w:iCs/>
          <w:sz w:val="24"/>
          <w:szCs w:val="24"/>
        </w:rPr>
        <w:t>100</w:t>
      </w:r>
      <w:r w:rsidRPr="00606FFA">
        <w:rPr>
          <w:rFonts w:ascii="Times New Roman" w:hAnsi="Times New Roman" w:cs="Times New Roman"/>
          <w:sz w:val="24"/>
          <w:szCs w:val="24"/>
        </w:rPr>
        <w:t>(5), 896–903. https://doi.org/10.2105/AJPH.2009.160341</w:t>
      </w:r>
    </w:p>
    <w:p w14:paraId="4A4EB93C" w14:textId="77777777" w:rsidR="00606FFA" w:rsidRPr="00606FFA" w:rsidRDefault="00606FFA"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t xml:space="preserve">Zazueta-Borboa, J.-D., Vázquez-Castillo, P., Gargiulo, M., &amp; Aburto, J. M. (2024). Mexico’s surge of violence and COVID-19 drive life expectancy losses 2015–2021. </w:t>
      </w:r>
      <w:r w:rsidRPr="00606FFA">
        <w:rPr>
          <w:rFonts w:ascii="Times New Roman" w:hAnsi="Times New Roman" w:cs="Times New Roman"/>
          <w:i/>
          <w:iCs/>
          <w:sz w:val="24"/>
          <w:szCs w:val="24"/>
        </w:rPr>
        <w:t>medRxiv</w:t>
      </w:r>
      <w:r w:rsidRPr="00606FFA">
        <w:rPr>
          <w:rFonts w:ascii="Times New Roman" w:hAnsi="Times New Roman" w:cs="Times New Roman"/>
          <w:sz w:val="24"/>
          <w:szCs w:val="24"/>
        </w:rPr>
        <w:t>. https://doi.org/10.1101/2024.05.07.24306982</w:t>
      </w:r>
    </w:p>
    <w:p w14:paraId="68D312F4" w14:textId="2C5746EA" w:rsidR="00B676CC" w:rsidRPr="00606FFA" w:rsidRDefault="009B5647" w:rsidP="00606FFA">
      <w:pPr>
        <w:pStyle w:val="Bibliography"/>
        <w:rPr>
          <w:rFonts w:ascii="Times New Roman" w:hAnsi="Times New Roman" w:cs="Times New Roman"/>
          <w:sz w:val="24"/>
          <w:szCs w:val="24"/>
        </w:rPr>
      </w:pPr>
      <w:r w:rsidRPr="00606FFA">
        <w:rPr>
          <w:rFonts w:ascii="Times New Roman" w:hAnsi="Times New Roman" w:cs="Times New Roman"/>
          <w:sz w:val="24"/>
          <w:szCs w:val="24"/>
        </w:rPr>
        <w:fldChar w:fldCharType="end"/>
      </w:r>
    </w:p>
    <w:p w14:paraId="365EE16D" w14:textId="631D320C" w:rsidR="000D1443" w:rsidRPr="00606FFA" w:rsidRDefault="000D1443" w:rsidP="00606FFA">
      <w:pPr>
        <w:pStyle w:val="NoSpacing"/>
        <w:suppressLineNumbers/>
        <w:spacing w:line="480" w:lineRule="auto"/>
        <w:jc w:val="both"/>
        <w:rPr>
          <w:rFonts w:ascii="Times New Roman" w:hAnsi="Times New Roman" w:cs="Times New Roman"/>
          <w:sz w:val="24"/>
          <w:szCs w:val="24"/>
          <w:lang w:val="en-US"/>
        </w:rPr>
      </w:pPr>
    </w:p>
    <w:bookmarkEnd w:id="3"/>
    <w:p w14:paraId="45644248" w14:textId="5D0A4BD6" w:rsidR="009505D1" w:rsidRPr="00606FFA" w:rsidRDefault="009505D1" w:rsidP="00606FFA">
      <w:pPr>
        <w:spacing w:line="480" w:lineRule="auto"/>
        <w:rPr>
          <w:rFonts w:ascii="Times New Roman" w:hAnsi="Times New Roman" w:cs="Times New Roman"/>
          <w:sz w:val="24"/>
          <w:szCs w:val="24"/>
        </w:rPr>
      </w:pPr>
    </w:p>
    <w:sectPr w:rsidR="009505D1" w:rsidRPr="00606FFA" w:rsidSect="00CE726B">
      <w:footerReference w:type="default" r:id="rId14"/>
      <w:pgSz w:w="11906" w:h="16838" w:code="9"/>
      <w:pgMar w:top="1440" w:right="1440" w:bottom="1440" w:left="1814" w:header="720" w:footer="720" w:gutter="0"/>
      <w:pgNumType w:start="99"/>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ADDB8" w14:textId="77777777" w:rsidR="0025698E" w:rsidRPr="00D87278" w:rsidRDefault="0025698E">
      <w:pPr>
        <w:spacing w:line="240" w:lineRule="auto"/>
      </w:pPr>
      <w:r w:rsidRPr="00D87278">
        <w:separator/>
      </w:r>
    </w:p>
  </w:endnote>
  <w:endnote w:type="continuationSeparator" w:id="0">
    <w:p w14:paraId="37F0C3EA" w14:textId="77777777" w:rsidR="0025698E" w:rsidRPr="00D87278" w:rsidRDefault="0025698E">
      <w:pPr>
        <w:spacing w:line="240" w:lineRule="auto"/>
      </w:pPr>
      <w:r w:rsidRPr="00D87278">
        <w:continuationSeparator/>
      </w:r>
    </w:p>
  </w:endnote>
  <w:endnote w:type="continuationNotice" w:id="1">
    <w:p w14:paraId="3F492AEA" w14:textId="77777777" w:rsidR="0025698E" w:rsidRPr="00D87278" w:rsidRDefault="002569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bon Next LT">
    <w:charset w:val="00"/>
    <w:family w:val="auto"/>
    <w:pitch w:val="variable"/>
    <w:sig w:usb0="A11526FF" w:usb1="D000000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394E" w14:textId="41949D2F" w:rsidR="00B861CD" w:rsidRPr="0020156E" w:rsidRDefault="00DD191C" w:rsidP="005643F1">
    <w:pPr>
      <w:pStyle w:val="Footer"/>
      <w:spacing w:line="240" w:lineRule="auto"/>
      <w:jc w:val="center"/>
      <w:rPr>
        <w:rFonts w:ascii="Times New Roman" w:hAnsi="Times New Roman" w:cs="Times New Roman"/>
        <w:sz w:val="24"/>
        <w:szCs w:val="24"/>
        <w:lang w:val="de-DE"/>
      </w:rPr>
    </w:pPr>
    <w:r w:rsidRPr="0020156E">
      <w:rPr>
        <w:rFonts w:ascii="Times New Roman" w:hAnsi="Times New Roman" w:cs="Times New Roman"/>
        <w:sz w:val="24"/>
        <w:szCs w:val="24"/>
        <w:lang w:val="de-DE"/>
      </w:rPr>
      <w:t xml:space="preserve">Page </w:t>
    </w:r>
    <w:r w:rsidRPr="0020156E">
      <w:rPr>
        <w:rFonts w:ascii="Times New Roman" w:hAnsi="Times New Roman" w:cs="Times New Roman"/>
        <w:sz w:val="24"/>
        <w:szCs w:val="24"/>
        <w:lang w:val="de-DE"/>
      </w:rPr>
      <w:fldChar w:fldCharType="begin"/>
    </w:r>
    <w:r w:rsidRPr="0020156E">
      <w:rPr>
        <w:rFonts w:ascii="Times New Roman" w:hAnsi="Times New Roman" w:cs="Times New Roman"/>
        <w:sz w:val="24"/>
        <w:szCs w:val="24"/>
        <w:lang w:val="de-DE"/>
      </w:rPr>
      <w:instrText xml:space="preserve"> PAGE  \* Arabic  \* MERGEFORMAT </w:instrText>
    </w:r>
    <w:r w:rsidRPr="0020156E">
      <w:rPr>
        <w:rFonts w:ascii="Times New Roman" w:hAnsi="Times New Roman" w:cs="Times New Roman"/>
        <w:sz w:val="24"/>
        <w:szCs w:val="24"/>
        <w:lang w:val="de-DE"/>
      </w:rPr>
      <w:fldChar w:fldCharType="separate"/>
    </w:r>
    <w:r w:rsidRPr="0020156E">
      <w:rPr>
        <w:rFonts w:ascii="Times New Roman" w:hAnsi="Times New Roman" w:cs="Times New Roman"/>
        <w:noProof/>
        <w:sz w:val="24"/>
        <w:szCs w:val="24"/>
        <w:lang w:val="de-DE"/>
      </w:rPr>
      <w:t>1</w:t>
    </w:r>
    <w:r w:rsidRPr="0020156E">
      <w:rPr>
        <w:rFonts w:ascii="Times New Roman" w:hAnsi="Times New Roman" w:cs="Times New Roman"/>
        <w:sz w:val="24"/>
        <w:szCs w:val="24"/>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55DB8" w14:textId="77777777" w:rsidR="0025698E" w:rsidRPr="00D87278" w:rsidRDefault="0025698E">
      <w:pPr>
        <w:spacing w:line="240" w:lineRule="auto"/>
      </w:pPr>
      <w:r w:rsidRPr="00D87278">
        <w:separator/>
      </w:r>
    </w:p>
  </w:footnote>
  <w:footnote w:type="continuationSeparator" w:id="0">
    <w:p w14:paraId="4231F846" w14:textId="77777777" w:rsidR="0025698E" w:rsidRPr="00D87278" w:rsidRDefault="0025698E">
      <w:pPr>
        <w:spacing w:line="240" w:lineRule="auto"/>
      </w:pPr>
      <w:r w:rsidRPr="00D87278">
        <w:continuationSeparator/>
      </w:r>
    </w:p>
  </w:footnote>
  <w:footnote w:type="continuationNotice" w:id="1">
    <w:p w14:paraId="4EAFDD29" w14:textId="77777777" w:rsidR="0025698E" w:rsidRPr="00D87278" w:rsidRDefault="0025698E">
      <w:pPr>
        <w:spacing w:line="240" w:lineRule="auto"/>
      </w:pPr>
    </w:p>
  </w:footnote>
  <w:footnote w:id="2">
    <w:p w14:paraId="388A7070" w14:textId="46350615" w:rsidR="00315398" w:rsidRPr="0016378E" w:rsidRDefault="00315398" w:rsidP="00886021">
      <w:pPr>
        <w:pStyle w:val="FootnoteText"/>
        <w:spacing w:line="240" w:lineRule="auto"/>
        <w:jc w:val="both"/>
        <w:rPr>
          <w:rFonts w:ascii="Times New Roman" w:hAnsi="Times New Roman" w:cs="Times New Roman"/>
          <w:lang w:val="en-GB"/>
        </w:rPr>
      </w:pPr>
      <w:r w:rsidRPr="00B52FFB">
        <w:rPr>
          <w:rStyle w:val="FootnoteReference"/>
          <w:rFonts w:ascii="Times New Roman" w:hAnsi="Times New Roman" w:cs="Times New Roman"/>
        </w:rPr>
        <w:footnoteRef/>
      </w:r>
      <w:r w:rsidRPr="00B52FFB">
        <w:rPr>
          <w:rFonts w:ascii="Times New Roman" w:hAnsi="Times New Roman" w:cs="Times New Roman"/>
        </w:rPr>
        <w:t xml:space="preserve"> </w:t>
      </w:r>
      <w:r w:rsidR="00592E5C" w:rsidRPr="009C5ADC">
        <w:rPr>
          <w:rFonts w:ascii="Times New Roman" w:hAnsi="Times New Roman" w:cs="Times New Roman"/>
          <w:lang w:val="en-GB"/>
        </w:rPr>
        <w:t xml:space="preserve">This chapter is joint work with </w:t>
      </w:r>
      <w:proofErr w:type="spellStart"/>
      <w:r w:rsidR="00592E5C">
        <w:rPr>
          <w:rFonts w:ascii="Times New Roman" w:hAnsi="Times New Roman" w:cs="Times New Roman"/>
          <w:lang w:val="en-GB"/>
        </w:rPr>
        <w:t>Luyin</w:t>
      </w:r>
      <w:proofErr w:type="spellEnd"/>
      <w:r w:rsidR="00592E5C">
        <w:rPr>
          <w:rFonts w:ascii="Times New Roman" w:hAnsi="Times New Roman" w:cs="Times New Roman"/>
          <w:lang w:val="en-GB"/>
        </w:rPr>
        <w:t xml:space="preserve"> Zhang, Sergey </w:t>
      </w:r>
      <w:proofErr w:type="spellStart"/>
      <w:r w:rsidR="00592E5C">
        <w:rPr>
          <w:rFonts w:ascii="Times New Roman" w:hAnsi="Times New Roman" w:cs="Times New Roman"/>
          <w:lang w:val="en-GB"/>
        </w:rPr>
        <w:t>Timonin</w:t>
      </w:r>
      <w:proofErr w:type="spellEnd"/>
      <w:r w:rsidR="00592E5C">
        <w:rPr>
          <w:rFonts w:ascii="Times New Roman" w:hAnsi="Times New Roman" w:cs="Times New Roman"/>
          <w:lang w:val="en-GB"/>
        </w:rPr>
        <w:t xml:space="preserve">, Aashish Gupta, Jennifer Beam Dowd, David A. Leon, and José Manuel Aburto. </w:t>
      </w:r>
      <w:r w:rsidR="007A30D0" w:rsidRPr="009C5ADC">
        <w:rPr>
          <w:rFonts w:ascii="Times New Roman" w:hAnsi="Times New Roman" w:cs="Times New Roman"/>
          <w:lang w:val="en-GB"/>
        </w:rPr>
        <w:t>A version of this chapter has been published as:</w:t>
      </w:r>
      <w:r w:rsidR="007A30D0">
        <w:rPr>
          <w:rFonts w:ascii="Times New Roman" w:hAnsi="Times New Roman" w:cs="Times New Roman"/>
          <w:lang w:val="en-GB"/>
        </w:rPr>
        <w:t xml:space="preserve"> </w:t>
      </w:r>
      <w:r w:rsidR="00687B3A" w:rsidRPr="00687B3A">
        <w:rPr>
          <w:rFonts w:ascii="Times New Roman" w:hAnsi="Times New Roman" w:cs="Times New Roman"/>
          <w:lang w:val="en-GB"/>
        </w:rPr>
        <w:t xml:space="preserve">Polizzi, A., Zhang, L., </w:t>
      </w:r>
      <w:proofErr w:type="spellStart"/>
      <w:r w:rsidR="00687B3A" w:rsidRPr="00687B3A">
        <w:rPr>
          <w:rFonts w:ascii="Times New Roman" w:hAnsi="Times New Roman" w:cs="Times New Roman"/>
          <w:lang w:val="en-GB"/>
        </w:rPr>
        <w:t>Timonin</w:t>
      </w:r>
      <w:proofErr w:type="spellEnd"/>
      <w:r w:rsidR="00687B3A" w:rsidRPr="00687B3A">
        <w:rPr>
          <w:rFonts w:ascii="Times New Roman" w:hAnsi="Times New Roman" w:cs="Times New Roman"/>
          <w:lang w:val="en-GB"/>
        </w:rPr>
        <w:t xml:space="preserve">, S., Gupta, A., Dowd, J. B., Leon, D. A., &amp; Aburto, J. M. (2025). Indirect effects of the COVID-19 pandemic: A cause-of-death analysis of life expectancy changes in 24 countries, 2015 to 2022. </w:t>
      </w:r>
      <w:r w:rsidR="00687B3A" w:rsidRPr="0016378E">
        <w:rPr>
          <w:rFonts w:ascii="Times New Roman" w:hAnsi="Times New Roman" w:cs="Times New Roman"/>
          <w:i/>
          <w:iCs/>
          <w:lang w:val="en-GB"/>
        </w:rPr>
        <w:t>PNAS Nexus</w:t>
      </w:r>
      <w:r w:rsidR="00687B3A" w:rsidRPr="0016378E">
        <w:rPr>
          <w:rFonts w:ascii="Times New Roman" w:hAnsi="Times New Roman" w:cs="Times New Roman"/>
          <w:lang w:val="en-GB"/>
        </w:rPr>
        <w:t xml:space="preserve">, </w:t>
      </w:r>
      <w:r w:rsidR="00687B3A" w:rsidRPr="0016378E">
        <w:rPr>
          <w:rFonts w:ascii="Times New Roman" w:hAnsi="Times New Roman" w:cs="Times New Roman"/>
          <w:i/>
          <w:iCs/>
          <w:lang w:val="en-GB"/>
        </w:rPr>
        <w:t>4</w:t>
      </w:r>
      <w:r w:rsidR="00687B3A" w:rsidRPr="0016378E">
        <w:rPr>
          <w:rFonts w:ascii="Times New Roman" w:hAnsi="Times New Roman" w:cs="Times New Roman"/>
          <w:lang w:val="en-GB"/>
        </w:rPr>
        <w:t>(1), pgae508. https://doi.org/10.1093/pnasnexus/pgae508</w:t>
      </w:r>
      <w:r w:rsidR="00050245" w:rsidRPr="0016378E">
        <w:rPr>
          <w:rFonts w:ascii="Times New Roman" w:hAnsi="Times New Roman" w:cs="Times New Roman"/>
          <w:lang w:val="en-GB"/>
        </w:rPr>
        <w:t>.</w:t>
      </w:r>
    </w:p>
  </w:footnote>
  <w:footnote w:id="3">
    <w:p w14:paraId="2BA60963" w14:textId="1D97923D" w:rsidR="00614C45" w:rsidRPr="00886021" w:rsidRDefault="00614C45" w:rsidP="00614C45">
      <w:pPr>
        <w:pStyle w:val="FootnoteText"/>
        <w:spacing w:line="240" w:lineRule="auto"/>
        <w:jc w:val="both"/>
        <w:rPr>
          <w:rFonts w:ascii="Times New Roman" w:hAnsi="Times New Roman" w:cs="Times New Roman"/>
          <w:lang w:val="en-GB"/>
        </w:rPr>
      </w:pPr>
      <w:r w:rsidRPr="00B52FFB">
        <w:rPr>
          <w:rStyle w:val="FootnoteReference"/>
          <w:rFonts w:ascii="Times New Roman" w:hAnsi="Times New Roman" w:cs="Times New Roman"/>
        </w:rPr>
        <w:footnoteRef/>
      </w:r>
      <w:r w:rsidRPr="00B52FFB">
        <w:rPr>
          <w:rFonts w:ascii="Times New Roman" w:hAnsi="Times New Roman" w:cs="Times New Roman"/>
        </w:rPr>
        <w:t xml:space="preserve"> </w:t>
      </w:r>
      <w:r w:rsidRPr="00886021">
        <w:rPr>
          <w:rFonts w:ascii="Times New Roman" w:hAnsi="Times New Roman" w:cs="Times New Roman"/>
          <w:lang w:val="en-GB"/>
        </w:rPr>
        <w:t xml:space="preserve">Due to space constraints in this </w:t>
      </w:r>
      <w:r>
        <w:rPr>
          <w:rFonts w:ascii="Times New Roman" w:hAnsi="Times New Roman" w:cs="Times New Roman"/>
          <w:lang w:val="en-GB"/>
        </w:rPr>
        <w:t>dissertation</w:t>
      </w:r>
      <w:r w:rsidRPr="00886021">
        <w:rPr>
          <w:rFonts w:ascii="Times New Roman" w:hAnsi="Times New Roman" w:cs="Times New Roman"/>
          <w:lang w:val="en-GB"/>
        </w:rPr>
        <w:t xml:space="preserve">, all Supplementary Information to this chapter can be found online in the published version of this chapter, at: </w:t>
      </w:r>
      <w:r w:rsidRPr="00050245">
        <w:rPr>
          <w:rFonts w:ascii="Times New Roman" w:hAnsi="Times New Roman" w:cs="Times New Roman"/>
          <w:lang w:val="en-GB"/>
        </w:rPr>
        <w:t>https://doi.org/10.1093/pnasnexus/pgae508</w:t>
      </w:r>
      <w:r w:rsidRPr="00886021">
        <w:rPr>
          <w:rFonts w:ascii="Times New Roman" w:hAnsi="Times New Roman" w:cs="Times New Roman"/>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41CA"/>
    <w:multiLevelType w:val="hybridMultilevel"/>
    <w:tmpl w:val="C3E02422"/>
    <w:lvl w:ilvl="0" w:tplc="7B10B6E8">
      <w:start w:val="1"/>
      <w:numFmt w:val="bullet"/>
      <w:lvlText w:val="−"/>
      <w:lvlJc w:val="left"/>
      <w:pPr>
        <w:ind w:left="720" w:hanging="360"/>
      </w:pPr>
      <w:rPr>
        <w:rFonts w:ascii="Garamond" w:hAnsi="Garamond"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2C0210"/>
    <w:multiLevelType w:val="hybridMultilevel"/>
    <w:tmpl w:val="82962BE8"/>
    <w:lvl w:ilvl="0" w:tplc="7B10B6E8">
      <w:start w:val="1"/>
      <w:numFmt w:val="bullet"/>
      <w:lvlText w:val="−"/>
      <w:lvlJc w:val="left"/>
      <w:pPr>
        <w:ind w:left="784" w:hanging="360"/>
      </w:pPr>
      <w:rPr>
        <w:rFonts w:ascii="Garamond" w:hAnsi="Garamond"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 w15:restartNumberingAfterBreak="0">
    <w:nsid w:val="2D4D2D96"/>
    <w:multiLevelType w:val="hybridMultilevel"/>
    <w:tmpl w:val="818E8636"/>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647067BD"/>
    <w:multiLevelType w:val="hybridMultilevel"/>
    <w:tmpl w:val="3BB878DE"/>
    <w:lvl w:ilvl="0" w:tplc="C1A422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627448">
    <w:abstractNumId w:val="2"/>
  </w:num>
  <w:num w:numId="2" w16cid:durableId="1910773095">
    <w:abstractNumId w:val="0"/>
  </w:num>
  <w:num w:numId="3" w16cid:durableId="1854605175">
    <w:abstractNumId w:val="1"/>
  </w:num>
  <w:num w:numId="4" w16cid:durableId="534660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C8F"/>
    <w:rsid w:val="00001404"/>
    <w:rsid w:val="00001CBE"/>
    <w:rsid w:val="000048EC"/>
    <w:rsid w:val="000049D1"/>
    <w:rsid w:val="000050FB"/>
    <w:rsid w:val="00005F88"/>
    <w:rsid w:val="00010359"/>
    <w:rsid w:val="0001310C"/>
    <w:rsid w:val="000203F9"/>
    <w:rsid w:val="00020B40"/>
    <w:rsid w:val="00020D6B"/>
    <w:rsid w:val="00021E7E"/>
    <w:rsid w:val="00025184"/>
    <w:rsid w:val="000252DF"/>
    <w:rsid w:val="00026429"/>
    <w:rsid w:val="00026EBB"/>
    <w:rsid w:val="00027DE3"/>
    <w:rsid w:val="000312CF"/>
    <w:rsid w:val="00032209"/>
    <w:rsid w:val="00032A5D"/>
    <w:rsid w:val="000331BA"/>
    <w:rsid w:val="00035E86"/>
    <w:rsid w:val="00036911"/>
    <w:rsid w:val="000374E8"/>
    <w:rsid w:val="00037F91"/>
    <w:rsid w:val="0004041E"/>
    <w:rsid w:val="00040E81"/>
    <w:rsid w:val="00043AE2"/>
    <w:rsid w:val="000466A3"/>
    <w:rsid w:val="00046CD2"/>
    <w:rsid w:val="00050245"/>
    <w:rsid w:val="00052949"/>
    <w:rsid w:val="00054592"/>
    <w:rsid w:val="0005599C"/>
    <w:rsid w:val="00055E9D"/>
    <w:rsid w:val="00056B5F"/>
    <w:rsid w:val="00056C15"/>
    <w:rsid w:val="000624BE"/>
    <w:rsid w:val="00062C96"/>
    <w:rsid w:val="00062E6C"/>
    <w:rsid w:val="00064838"/>
    <w:rsid w:val="000651EF"/>
    <w:rsid w:val="00066B19"/>
    <w:rsid w:val="00070524"/>
    <w:rsid w:val="00070BA9"/>
    <w:rsid w:val="00071298"/>
    <w:rsid w:val="00071465"/>
    <w:rsid w:val="000716EE"/>
    <w:rsid w:val="0007176E"/>
    <w:rsid w:val="00071F8A"/>
    <w:rsid w:val="00072334"/>
    <w:rsid w:val="00073415"/>
    <w:rsid w:val="000773D6"/>
    <w:rsid w:val="000775FA"/>
    <w:rsid w:val="00077CCB"/>
    <w:rsid w:val="00080A52"/>
    <w:rsid w:val="00083A7D"/>
    <w:rsid w:val="00084EF1"/>
    <w:rsid w:val="00085725"/>
    <w:rsid w:val="000871EE"/>
    <w:rsid w:val="00090075"/>
    <w:rsid w:val="00093130"/>
    <w:rsid w:val="000940F8"/>
    <w:rsid w:val="0009463D"/>
    <w:rsid w:val="00097347"/>
    <w:rsid w:val="000A1F40"/>
    <w:rsid w:val="000A214F"/>
    <w:rsid w:val="000A30EC"/>
    <w:rsid w:val="000B3BC0"/>
    <w:rsid w:val="000B448C"/>
    <w:rsid w:val="000B4742"/>
    <w:rsid w:val="000C1CBE"/>
    <w:rsid w:val="000C2311"/>
    <w:rsid w:val="000C423A"/>
    <w:rsid w:val="000C4325"/>
    <w:rsid w:val="000C5DF6"/>
    <w:rsid w:val="000D143C"/>
    <w:rsid w:val="000D1443"/>
    <w:rsid w:val="000D321F"/>
    <w:rsid w:val="000D5D1B"/>
    <w:rsid w:val="000D66B9"/>
    <w:rsid w:val="000D79B3"/>
    <w:rsid w:val="000E067C"/>
    <w:rsid w:val="000E18E7"/>
    <w:rsid w:val="000E3597"/>
    <w:rsid w:val="000E465B"/>
    <w:rsid w:val="000E4D6D"/>
    <w:rsid w:val="000E4F7E"/>
    <w:rsid w:val="000E61E8"/>
    <w:rsid w:val="000E6278"/>
    <w:rsid w:val="000E6ED0"/>
    <w:rsid w:val="000E757E"/>
    <w:rsid w:val="000F4796"/>
    <w:rsid w:val="000F5761"/>
    <w:rsid w:val="000F5F6E"/>
    <w:rsid w:val="00100802"/>
    <w:rsid w:val="0010311A"/>
    <w:rsid w:val="001051DC"/>
    <w:rsid w:val="00107868"/>
    <w:rsid w:val="001111FF"/>
    <w:rsid w:val="00111237"/>
    <w:rsid w:val="00114C76"/>
    <w:rsid w:val="00115727"/>
    <w:rsid w:val="0011615D"/>
    <w:rsid w:val="001169EF"/>
    <w:rsid w:val="001178EE"/>
    <w:rsid w:val="0012029C"/>
    <w:rsid w:val="00120609"/>
    <w:rsid w:val="001223CC"/>
    <w:rsid w:val="00122804"/>
    <w:rsid w:val="00123205"/>
    <w:rsid w:val="00123466"/>
    <w:rsid w:val="0012347C"/>
    <w:rsid w:val="00125224"/>
    <w:rsid w:val="00125740"/>
    <w:rsid w:val="001258F1"/>
    <w:rsid w:val="001263CF"/>
    <w:rsid w:val="001274B6"/>
    <w:rsid w:val="0013092A"/>
    <w:rsid w:val="0013241D"/>
    <w:rsid w:val="0013275C"/>
    <w:rsid w:val="00133DFF"/>
    <w:rsid w:val="0013427D"/>
    <w:rsid w:val="00134C6A"/>
    <w:rsid w:val="00134D6C"/>
    <w:rsid w:val="00135827"/>
    <w:rsid w:val="00135B28"/>
    <w:rsid w:val="00136347"/>
    <w:rsid w:val="0013698F"/>
    <w:rsid w:val="00143F3A"/>
    <w:rsid w:val="00144164"/>
    <w:rsid w:val="00144FC1"/>
    <w:rsid w:val="0014546E"/>
    <w:rsid w:val="00145BEB"/>
    <w:rsid w:val="00146EC5"/>
    <w:rsid w:val="00147378"/>
    <w:rsid w:val="00147F59"/>
    <w:rsid w:val="00152F50"/>
    <w:rsid w:val="001530A1"/>
    <w:rsid w:val="00154B0C"/>
    <w:rsid w:val="00155D45"/>
    <w:rsid w:val="00156157"/>
    <w:rsid w:val="00160FE2"/>
    <w:rsid w:val="0016378E"/>
    <w:rsid w:val="001651EC"/>
    <w:rsid w:val="00166429"/>
    <w:rsid w:val="00173DDE"/>
    <w:rsid w:val="00174DC4"/>
    <w:rsid w:val="00175527"/>
    <w:rsid w:val="0017565D"/>
    <w:rsid w:val="00175C5F"/>
    <w:rsid w:val="00177849"/>
    <w:rsid w:val="00177C38"/>
    <w:rsid w:val="00182A75"/>
    <w:rsid w:val="00182F32"/>
    <w:rsid w:val="00182F6E"/>
    <w:rsid w:val="00184E5B"/>
    <w:rsid w:val="00186BC3"/>
    <w:rsid w:val="001929B4"/>
    <w:rsid w:val="00192E69"/>
    <w:rsid w:val="00193E88"/>
    <w:rsid w:val="0019618A"/>
    <w:rsid w:val="0019673C"/>
    <w:rsid w:val="00196D04"/>
    <w:rsid w:val="001A013C"/>
    <w:rsid w:val="001A0FAF"/>
    <w:rsid w:val="001A1738"/>
    <w:rsid w:val="001A3E0B"/>
    <w:rsid w:val="001A5C9D"/>
    <w:rsid w:val="001A7AFB"/>
    <w:rsid w:val="001B05B3"/>
    <w:rsid w:val="001B1BE7"/>
    <w:rsid w:val="001B31AE"/>
    <w:rsid w:val="001B5D68"/>
    <w:rsid w:val="001B655F"/>
    <w:rsid w:val="001B7569"/>
    <w:rsid w:val="001C126C"/>
    <w:rsid w:val="001C1896"/>
    <w:rsid w:val="001C207E"/>
    <w:rsid w:val="001C2946"/>
    <w:rsid w:val="001C2DE5"/>
    <w:rsid w:val="001C36E8"/>
    <w:rsid w:val="001C6D9E"/>
    <w:rsid w:val="001C797D"/>
    <w:rsid w:val="001C7DB6"/>
    <w:rsid w:val="001D0062"/>
    <w:rsid w:val="001D16B0"/>
    <w:rsid w:val="001D234F"/>
    <w:rsid w:val="001D3C59"/>
    <w:rsid w:val="001D5497"/>
    <w:rsid w:val="001E0234"/>
    <w:rsid w:val="001E1316"/>
    <w:rsid w:val="001E23FB"/>
    <w:rsid w:val="001E3703"/>
    <w:rsid w:val="001E42CF"/>
    <w:rsid w:val="001E5752"/>
    <w:rsid w:val="001E6C5D"/>
    <w:rsid w:val="001E7E4E"/>
    <w:rsid w:val="001F1115"/>
    <w:rsid w:val="001F2F84"/>
    <w:rsid w:val="001F3538"/>
    <w:rsid w:val="001F735D"/>
    <w:rsid w:val="001F786A"/>
    <w:rsid w:val="0020156E"/>
    <w:rsid w:val="002041DC"/>
    <w:rsid w:val="0020502B"/>
    <w:rsid w:val="002050D9"/>
    <w:rsid w:val="00205A95"/>
    <w:rsid w:val="00207D4E"/>
    <w:rsid w:val="002102AB"/>
    <w:rsid w:val="0021174E"/>
    <w:rsid w:val="002139AF"/>
    <w:rsid w:val="00213E49"/>
    <w:rsid w:val="00216ADF"/>
    <w:rsid w:val="00217EB2"/>
    <w:rsid w:val="002202FC"/>
    <w:rsid w:val="00220424"/>
    <w:rsid w:val="00220942"/>
    <w:rsid w:val="00221AF4"/>
    <w:rsid w:val="00222A42"/>
    <w:rsid w:val="0022521B"/>
    <w:rsid w:val="002253EA"/>
    <w:rsid w:val="002303D8"/>
    <w:rsid w:val="002325A9"/>
    <w:rsid w:val="00232B4D"/>
    <w:rsid w:val="002357F8"/>
    <w:rsid w:val="00235A68"/>
    <w:rsid w:val="00235D1D"/>
    <w:rsid w:val="0024295B"/>
    <w:rsid w:val="00242EDE"/>
    <w:rsid w:val="00244AC9"/>
    <w:rsid w:val="00245959"/>
    <w:rsid w:val="00245C84"/>
    <w:rsid w:val="002479A7"/>
    <w:rsid w:val="00247C83"/>
    <w:rsid w:val="00252023"/>
    <w:rsid w:val="00252921"/>
    <w:rsid w:val="002534C8"/>
    <w:rsid w:val="00253F27"/>
    <w:rsid w:val="00255B9B"/>
    <w:rsid w:val="002566CE"/>
    <w:rsid w:val="0025698E"/>
    <w:rsid w:val="00256A0E"/>
    <w:rsid w:val="00256B27"/>
    <w:rsid w:val="0025750A"/>
    <w:rsid w:val="00260D84"/>
    <w:rsid w:val="0026291D"/>
    <w:rsid w:val="00262D17"/>
    <w:rsid w:val="00262DAC"/>
    <w:rsid w:val="00264146"/>
    <w:rsid w:val="002650D5"/>
    <w:rsid w:val="00265FC0"/>
    <w:rsid w:val="00266298"/>
    <w:rsid w:val="0026781A"/>
    <w:rsid w:val="00271737"/>
    <w:rsid w:val="0027719F"/>
    <w:rsid w:val="00277E31"/>
    <w:rsid w:val="00280093"/>
    <w:rsid w:val="00282A52"/>
    <w:rsid w:val="00283010"/>
    <w:rsid w:val="00283070"/>
    <w:rsid w:val="002831CC"/>
    <w:rsid w:val="00283625"/>
    <w:rsid w:val="002839EB"/>
    <w:rsid w:val="00286E60"/>
    <w:rsid w:val="00290A6F"/>
    <w:rsid w:val="00290E69"/>
    <w:rsid w:val="002914B9"/>
    <w:rsid w:val="00291687"/>
    <w:rsid w:val="0029235F"/>
    <w:rsid w:val="00292974"/>
    <w:rsid w:val="00294B1A"/>
    <w:rsid w:val="0029508A"/>
    <w:rsid w:val="00295248"/>
    <w:rsid w:val="0029532C"/>
    <w:rsid w:val="00295CF4"/>
    <w:rsid w:val="00296213"/>
    <w:rsid w:val="002967A4"/>
    <w:rsid w:val="002A1385"/>
    <w:rsid w:val="002A3C5A"/>
    <w:rsid w:val="002A6595"/>
    <w:rsid w:val="002B01EB"/>
    <w:rsid w:val="002B22C2"/>
    <w:rsid w:val="002B27EA"/>
    <w:rsid w:val="002B2D7F"/>
    <w:rsid w:val="002B5923"/>
    <w:rsid w:val="002B66D7"/>
    <w:rsid w:val="002C090E"/>
    <w:rsid w:val="002C0E88"/>
    <w:rsid w:val="002C1C71"/>
    <w:rsid w:val="002C1F93"/>
    <w:rsid w:val="002C3E98"/>
    <w:rsid w:val="002C6F71"/>
    <w:rsid w:val="002C7356"/>
    <w:rsid w:val="002C7B1F"/>
    <w:rsid w:val="002D1C5F"/>
    <w:rsid w:val="002D2608"/>
    <w:rsid w:val="002D30C1"/>
    <w:rsid w:val="002D42D2"/>
    <w:rsid w:val="002D5C8F"/>
    <w:rsid w:val="002E3B6E"/>
    <w:rsid w:val="002E4188"/>
    <w:rsid w:val="002E423C"/>
    <w:rsid w:val="002E6C93"/>
    <w:rsid w:val="002E713C"/>
    <w:rsid w:val="002E7346"/>
    <w:rsid w:val="002E7AF1"/>
    <w:rsid w:val="002F03B3"/>
    <w:rsid w:val="002F1870"/>
    <w:rsid w:val="002F2C6C"/>
    <w:rsid w:val="002F4D2B"/>
    <w:rsid w:val="002F4EF6"/>
    <w:rsid w:val="002F5005"/>
    <w:rsid w:val="002F50DB"/>
    <w:rsid w:val="002F6010"/>
    <w:rsid w:val="002F7D5C"/>
    <w:rsid w:val="003049ED"/>
    <w:rsid w:val="00304CFC"/>
    <w:rsid w:val="00310EC7"/>
    <w:rsid w:val="00310FB3"/>
    <w:rsid w:val="00311708"/>
    <w:rsid w:val="00312745"/>
    <w:rsid w:val="00312A01"/>
    <w:rsid w:val="00315149"/>
    <w:rsid w:val="00315398"/>
    <w:rsid w:val="003153BB"/>
    <w:rsid w:val="00316838"/>
    <w:rsid w:val="00316C8D"/>
    <w:rsid w:val="00317F7C"/>
    <w:rsid w:val="00321DD8"/>
    <w:rsid w:val="00322394"/>
    <w:rsid w:val="003244FB"/>
    <w:rsid w:val="0032470B"/>
    <w:rsid w:val="00326FAF"/>
    <w:rsid w:val="0033296C"/>
    <w:rsid w:val="00335534"/>
    <w:rsid w:val="00337821"/>
    <w:rsid w:val="003408ED"/>
    <w:rsid w:val="003411A4"/>
    <w:rsid w:val="0034188C"/>
    <w:rsid w:val="003437EE"/>
    <w:rsid w:val="00344B32"/>
    <w:rsid w:val="00344BA8"/>
    <w:rsid w:val="00344C1D"/>
    <w:rsid w:val="00345718"/>
    <w:rsid w:val="00346E3B"/>
    <w:rsid w:val="00347454"/>
    <w:rsid w:val="00350D1D"/>
    <w:rsid w:val="00350D40"/>
    <w:rsid w:val="0035286E"/>
    <w:rsid w:val="00352A64"/>
    <w:rsid w:val="0035506C"/>
    <w:rsid w:val="003561FB"/>
    <w:rsid w:val="00361ECE"/>
    <w:rsid w:val="0036492B"/>
    <w:rsid w:val="003652FB"/>
    <w:rsid w:val="00367330"/>
    <w:rsid w:val="00370138"/>
    <w:rsid w:val="00373D44"/>
    <w:rsid w:val="00373DD6"/>
    <w:rsid w:val="00373F4C"/>
    <w:rsid w:val="00374B98"/>
    <w:rsid w:val="00375E80"/>
    <w:rsid w:val="003760CD"/>
    <w:rsid w:val="003769FC"/>
    <w:rsid w:val="00380452"/>
    <w:rsid w:val="003806F8"/>
    <w:rsid w:val="00380E61"/>
    <w:rsid w:val="00383AA8"/>
    <w:rsid w:val="00387820"/>
    <w:rsid w:val="00390609"/>
    <w:rsid w:val="00393672"/>
    <w:rsid w:val="00395444"/>
    <w:rsid w:val="003A0733"/>
    <w:rsid w:val="003A0E8C"/>
    <w:rsid w:val="003A21EF"/>
    <w:rsid w:val="003A28C9"/>
    <w:rsid w:val="003A2EBA"/>
    <w:rsid w:val="003A4158"/>
    <w:rsid w:val="003A4747"/>
    <w:rsid w:val="003A482D"/>
    <w:rsid w:val="003A6A56"/>
    <w:rsid w:val="003B080D"/>
    <w:rsid w:val="003B0EE2"/>
    <w:rsid w:val="003B0FA2"/>
    <w:rsid w:val="003B15EA"/>
    <w:rsid w:val="003B17ED"/>
    <w:rsid w:val="003B3133"/>
    <w:rsid w:val="003B4D08"/>
    <w:rsid w:val="003B5850"/>
    <w:rsid w:val="003B6023"/>
    <w:rsid w:val="003B753F"/>
    <w:rsid w:val="003C1841"/>
    <w:rsid w:val="003C3EF7"/>
    <w:rsid w:val="003C4B23"/>
    <w:rsid w:val="003C57EB"/>
    <w:rsid w:val="003C5AD9"/>
    <w:rsid w:val="003C5CA9"/>
    <w:rsid w:val="003C7AA9"/>
    <w:rsid w:val="003D0087"/>
    <w:rsid w:val="003D3544"/>
    <w:rsid w:val="003D6906"/>
    <w:rsid w:val="003D7F3A"/>
    <w:rsid w:val="003E0440"/>
    <w:rsid w:val="003E13E8"/>
    <w:rsid w:val="003E2415"/>
    <w:rsid w:val="003E2BF2"/>
    <w:rsid w:val="003E4311"/>
    <w:rsid w:val="003E49A7"/>
    <w:rsid w:val="003E52AB"/>
    <w:rsid w:val="003E6A84"/>
    <w:rsid w:val="003E6E46"/>
    <w:rsid w:val="003F0A0B"/>
    <w:rsid w:val="003F0D46"/>
    <w:rsid w:val="003F18A4"/>
    <w:rsid w:val="003F4857"/>
    <w:rsid w:val="003F548D"/>
    <w:rsid w:val="003F637B"/>
    <w:rsid w:val="003F668D"/>
    <w:rsid w:val="00401AE1"/>
    <w:rsid w:val="00401ED9"/>
    <w:rsid w:val="00402E76"/>
    <w:rsid w:val="00405781"/>
    <w:rsid w:val="0040737C"/>
    <w:rsid w:val="00413E27"/>
    <w:rsid w:val="00414053"/>
    <w:rsid w:val="0042060B"/>
    <w:rsid w:val="00420D69"/>
    <w:rsid w:val="004223DF"/>
    <w:rsid w:val="00422CDD"/>
    <w:rsid w:val="00423A43"/>
    <w:rsid w:val="00425CF9"/>
    <w:rsid w:val="0042777F"/>
    <w:rsid w:val="00430211"/>
    <w:rsid w:val="00430431"/>
    <w:rsid w:val="004313F9"/>
    <w:rsid w:val="00431AE8"/>
    <w:rsid w:val="004358DD"/>
    <w:rsid w:val="0043590C"/>
    <w:rsid w:val="0043611F"/>
    <w:rsid w:val="004408BE"/>
    <w:rsid w:val="00440B37"/>
    <w:rsid w:val="00441BDE"/>
    <w:rsid w:val="00442525"/>
    <w:rsid w:val="004429ED"/>
    <w:rsid w:val="00443F81"/>
    <w:rsid w:val="00446F7B"/>
    <w:rsid w:val="00450B28"/>
    <w:rsid w:val="00450D58"/>
    <w:rsid w:val="0045170B"/>
    <w:rsid w:val="00452F50"/>
    <w:rsid w:val="00453D9C"/>
    <w:rsid w:val="00457204"/>
    <w:rsid w:val="00461C07"/>
    <w:rsid w:val="00463371"/>
    <w:rsid w:val="00463F20"/>
    <w:rsid w:val="0046483B"/>
    <w:rsid w:val="00465634"/>
    <w:rsid w:val="0047105A"/>
    <w:rsid w:val="00473247"/>
    <w:rsid w:val="00473E29"/>
    <w:rsid w:val="004753CA"/>
    <w:rsid w:val="004755EC"/>
    <w:rsid w:val="004757B6"/>
    <w:rsid w:val="00475BB1"/>
    <w:rsid w:val="00475D05"/>
    <w:rsid w:val="00476D16"/>
    <w:rsid w:val="004776A3"/>
    <w:rsid w:val="004803A0"/>
    <w:rsid w:val="00480F56"/>
    <w:rsid w:val="00481BA3"/>
    <w:rsid w:val="0048241A"/>
    <w:rsid w:val="00484F22"/>
    <w:rsid w:val="00484F95"/>
    <w:rsid w:val="00486590"/>
    <w:rsid w:val="004865D5"/>
    <w:rsid w:val="0049072D"/>
    <w:rsid w:val="004907E3"/>
    <w:rsid w:val="00490A11"/>
    <w:rsid w:val="00490B64"/>
    <w:rsid w:val="0049469D"/>
    <w:rsid w:val="00495BED"/>
    <w:rsid w:val="004A250B"/>
    <w:rsid w:val="004A3391"/>
    <w:rsid w:val="004A3C8B"/>
    <w:rsid w:val="004A44E6"/>
    <w:rsid w:val="004A496D"/>
    <w:rsid w:val="004A54E6"/>
    <w:rsid w:val="004A57ED"/>
    <w:rsid w:val="004A5BB4"/>
    <w:rsid w:val="004A5EE1"/>
    <w:rsid w:val="004B0B41"/>
    <w:rsid w:val="004B38A5"/>
    <w:rsid w:val="004B3DAA"/>
    <w:rsid w:val="004B4C05"/>
    <w:rsid w:val="004B56B3"/>
    <w:rsid w:val="004B6EB0"/>
    <w:rsid w:val="004B70C6"/>
    <w:rsid w:val="004C0C84"/>
    <w:rsid w:val="004C1C54"/>
    <w:rsid w:val="004C52E2"/>
    <w:rsid w:val="004C5848"/>
    <w:rsid w:val="004C5DE7"/>
    <w:rsid w:val="004C61ED"/>
    <w:rsid w:val="004C622A"/>
    <w:rsid w:val="004D0D34"/>
    <w:rsid w:val="004D0D9F"/>
    <w:rsid w:val="004D3154"/>
    <w:rsid w:val="004D659F"/>
    <w:rsid w:val="004D6666"/>
    <w:rsid w:val="004D68DA"/>
    <w:rsid w:val="004D788D"/>
    <w:rsid w:val="004E1738"/>
    <w:rsid w:val="004E4492"/>
    <w:rsid w:val="004E4953"/>
    <w:rsid w:val="004E5091"/>
    <w:rsid w:val="004E50BA"/>
    <w:rsid w:val="004E79AB"/>
    <w:rsid w:val="004E7EA4"/>
    <w:rsid w:val="004F0036"/>
    <w:rsid w:val="004F1E44"/>
    <w:rsid w:val="004F2DB5"/>
    <w:rsid w:val="004F713D"/>
    <w:rsid w:val="005003EE"/>
    <w:rsid w:val="00502617"/>
    <w:rsid w:val="00502E5C"/>
    <w:rsid w:val="00503427"/>
    <w:rsid w:val="00503CF8"/>
    <w:rsid w:val="005042E9"/>
    <w:rsid w:val="00504B41"/>
    <w:rsid w:val="00510594"/>
    <w:rsid w:val="00510E73"/>
    <w:rsid w:val="00513831"/>
    <w:rsid w:val="00513FD3"/>
    <w:rsid w:val="00514849"/>
    <w:rsid w:val="00515113"/>
    <w:rsid w:val="00515B18"/>
    <w:rsid w:val="005163D1"/>
    <w:rsid w:val="00517FDD"/>
    <w:rsid w:val="00520186"/>
    <w:rsid w:val="00521A60"/>
    <w:rsid w:val="00524112"/>
    <w:rsid w:val="00524D04"/>
    <w:rsid w:val="00524ECD"/>
    <w:rsid w:val="00526120"/>
    <w:rsid w:val="00526F21"/>
    <w:rsid w:val="00530194"/>
    <w:rsid w:val="005306F2"/>
    <w:rsid w:val="0053077B"/>
    <w:rsid w:val="005309BF"/>
    <w:rsid w:val="005357C7"/>
    <w:rsid w:val="00540A24"/>
    <w:rsid w:val="005426B3"/>
    <w:rsid w:val="00542E0C"/>
    <w:rsid w:val="00543A14"/>
    <w:rsid w:val="005461E2"/>
    <w:rsid w:val="00552CFE"/>
    <w:rsid w:val="00554C23"/>
    <w:rsid w:val="00555704"/>
    <w:rsid w:val="00556802"/>
    <w:rsid w:val="00556B01"/>
    <w:rsid w:val="00560C96"/>
    <w:rsid w:val="00561FA2"/>
    <w:rsid w:val="00562115"/>
    <w:rsid w:val="00562B2D"/>
    <w:rsid w:val="00562FD7"/>
    <w:rsid w:val="005643F1"/>
    <w:rsid w:val="00564CB4"/>
    <w:rsid w:val="00565AFB"/>
    <w:rsid w:val="00566512"/>
    <w:rsid w:val="005665BE"/>
    <w:rsid w:val="00566B5D"/>
    <w:rsid w:val="00567659"/>
    <w:rsid w:val="00570172"/>
    <w:rsid w:val="005701C8"/>
    <w:rsid w:val="005705EC"/>
    <w:rsid w:val="005710AB"/>
    <w:rsid w:val="0057217C"/>
    <w:rsid w:val="005721E1"/>
    <w:rsid w:val="0057233B"/>
    <w:rsid w:val="00573775"/>
    <w:rsid w:val="00574EA6"/>
    <w:rsid w:val="00576C92"/>
    <w:rsid w:val="00577050"/>
    <w:rsid w:val="005778D8"/>
    <w:rsid w:val="005805D4"/>
    <w:rsid w:val="00583115"/>
    <w:rsid w:val="005836F0"/>
    <w:rsid w:val="00587658"/>
    <w:rsid w:val="0058775C"/>
    <w:rsid w:val="00587C10"/>
    <w:rsid w:val="00592E5C"/>
    <w:rsid w:val="005A092B"/>
    <w:rsid w:val="005A099C"/>
    <w:rsid w:val="005A3073"/>
    <w:rsid w:val="005A3FB5"/>
    <w:rsid w:val="005A3FEB"/>
    <w:rsid w:val="005A5809"/>
    <w:rsid w:val="005A5E5E"/>
    <w:rsid w:val="005A6DF8"/>
    <w:rsid w:val="005A7112"/>
    <w:rsid w:val="005B16FA"/>
    <w:rsid w:val="005B3B84"/>
    <w:rsid w:val="005B3D4E"/>
    <w:rsid w:val="005B45DA"/>
    <w:rsid w:val="005B4880"/>
    <w:rsid w:val="005B4F2F"/>
    <w:rsid w:val="005B4F64"/>
    <w:rsid w:val="005B5E15"/>
    <w:rsid w:val="005B722D"/>
    <w:rsid w:val="005B7B9E"/>
    <w:rsid w:val="005B7BA8"/>
    <w:rsid w:val="005C1E2C"/>
    <w:rsid w:val="005C7B7B"/>
    <w:rsid w:val="005D09AF"/>
    <w:rsid w:val="005D2644"/>
    <w:rsid w:val="005D5FB2"/>
    <w:rsid w:val="005D67A8"/>
    <w:rsid w:val="005D6C80"/>
    <w:rsid w:val="005E0B3F"/>
    <w:rsid w:val="005E1492"/>
    <w:rsid w:val="005E27B8"/>
    <w:rsid w:val="005E7C5C"/>
    <w:rsid w:val="005F0E07"/>
    <w:rsid w:val="005F0F42"/>
    <w:rsid w:val="005F276E"/>
    <w:rsid w:val="005F2A78"/>
    <w:rsid w:val="005F3F50"/>
    <w:rsid w:val="005F40BB"/>
    <w:rsid w:val="005F5A57"/>
    <w:rsid w:val="005F5F5E"/>
    <w:rsid w:val="005F6A12"/>
    <w:rsid w:val="005F7205"/>
    <w:rsid w:val="005F7356"/>
    <w:rsid w:val="005F78C3"/>
    <w:rsid w:val="006001C1"/>
    <w:rsid w:val="0060077F"/>
    <w:rsid w:val="00600900"/>
    <w:rsid w:val="00600F51"/>
    <w:rsid w:val="006010C2"/>
    <w:rsid w:val="00601781"/>
    <w:rsid w:val="00603517"/>
    <w:rsid w:val="00606FFA"/>
    <w:rsid w:val="0060718C"/>
    <w:rsid w:val="00610580"/>
    <w:rsid w:val="00610A58"/>
    <w:rsid w:val="00610E48"/>
    <w:rsid w:val="0061131D"/>
    <w:rsid w:val="006132D5"/>
    <w:rsid w:val="00613A33"/>
    <w:rsid w:val="0061418D"/>
    <w:rsid w:val="00614C45"/>
    <w:rsid w:val="00614E08"/>
    <w:rsid w:val="006158F2"/>
    <w:rsid w:val="00615D07"/>
    <w:rsid w:val="00616239"/>
    <w:rsid w:val="00617731"/>
    <w:rsid w:val="006179F7"/>
    <w:rsid w:val="0062199F"/>
    <w:rsid w:val="00623F3A"/>
    <w:rsid w:val="00625456"/>
    <w:rsid w:val="00625C55"/>
    <w:rsid w:val="006274E7"/>
    <w:rsid w:val="00633F7D"/>
    <w:rsid w:val="00635C83"/>
    <w:rsid w:val="006360CA"/>
    <w:rsid w:val="0063686C"/>
    <w:rsid w:val="006373D4"/>
    <w:rsid w:val="006402D8"/>
    <w:rsid w:val="00640EEB"/>
    <w:rsid w:val="006415D0"/>
    <w:rsid w:val="0064170A"/>
    <w:rsid w:val="00641F7B"/>
    <w:rsid w:val="006435DC"/>
    <w:rsid w:val="006459B9"/>
    <w:rsid w:val="00646E40"/>
    <w:rsid w:val="00647522"/>
    <w:rsid w:val="00651093"/>
    <w:rsid w:val="0065140C"/>
    <w:rsid w:val="00651CDA"/>
    <w:rsid w:val="0065257A"/>
    <w:rsid w:val="00652684"/>
    <w:rsid w:val="00653402"/>
    <w:rsid w:val="00654316"/>
    <w:rsid w:val="00654710"/>
    <w:rsid w:val="006554DB"/>
    <w:rsid w:val="006556E3"/>
    <w:rsid w:val="006564D4"/>
    <w:rsid w:val="00657DCE"/>
    <w:rsid w:val="00660736"/>
    <w:rsid w:val="00661C18"/>
    <w:rsid w:val="00662C68"/>
    <w:rsid w:val="00663536"/>
    <w:rsid w:val="0066438C"/>
    <w:rsid w:val="00666553"/>
    <w:rsid w:val="00672E43"/>
    <w:rsid w:val="006734FC"/>
    <w:rsid w:val="0067615B"/>
    <w:rsid w:val="0067638E"/>
    <w:rsid w:val="00676A39"/>
    <w:rsid w:val="00676B52"/>
    <w:rsid w:val="0068056A"/>
    <w:rsid w:val="006808B9"/>
    <w:rsid w:val="0068190B"/>
    <w:rsid w:val="00681DE2"/>
    <w:rsid w:val="00683836"/>
    <w:rsid w:val="00685E71"/>
    <w:rsid w:val="00686E5D"/>
    <w:rsid w:val="00686F28"/>
    <w:rsid w:val="00687B3A"/>
    <w:rsid w:val="00690428"/>
    <w:rsid w:val="0069080E"/>
    <w:rsid w:val="00691B7B"/>
    <w:rsid w:val="006926E7"/>
    <w:rsid w:val="00693A8A"/>
    <w:rsid w:val="00695276"/>
    <w:rsid w:val="006955E0"/>
    <w:rsid w:val="006A13C6"/>
    <w:rsid w:val="006A28FF"/>
    <w:rsid w:val="006A3549"/>
    <w:rsid w:val="006A3D2C"/>
    <w:rsid w:val="006A47A2"/>
    <w:rsid w:val="006A4FE4"/>
    <w:rsid w:val="006A5B95"/>
    <w:rsid w:val="006A5EC9"/>
    <w:rsid w:val="006A60FC"/>
    <w:rsid w:val="006A6B7B"/>
    <w:rsid w:val="006A78F2"/>
    <w:rsid w:val="006A7A33"/>
    <w:rsid w:val="006A7BA0"/>
    <w:rsid w:val="006A7EEA"/>
    <w:rsid w:val="006B0FEF"/>
    <w:rsid w:val="006B466F"/>
    <w:rsid w:val="006B4D6B"/>
    <w:rsid w:val="006B58A7"/>
    <w:rsid w:val="006B63AC"/>
    <w:rsid w:val="006C0441"/>
    <w:rsid w:val="006C4DC0"/>
    <w:rsid w:val="006C527D"/>
    <w:rsid w:val="006C64E2"/>
    <w:rsid w:val="006C6576"/>
    <w:rsid w:val="006C7A38"/>
    <w:rsid w:val="006D0546"/>
    <w:rsid w:val="006D1951"/>
    <w:rsid w:val="006D30C4"/>
    <w:rsid w:val="006D4C48"/>
    <w:rsid w:val="006D6AA2"/>
    <w:rsid w:val="006D6BB8"/>
    <w:rsid w:val="006D74C2"/>
    <w:rsid w:val="006D75AE"/>
    <w:rsid w:val="006D79F1"/>
    <w:rsid w:val="006D7C83"/>
    <w:rsid w:val="006E17D4"/>
    <w:rsid w:val="006E41AB"/>
    <w:rsid w:val="006E5E80"/>
    <w:rsid w:val="006E7E28"/>
    <w:rsid w:val="006F02DE"/>
    <w:rsid w:val="006F0D7B"/>
    <w:rsid w:val="006F0DDC"/>
    <w:rsid w:val="006F1105"/>
    <w:rsid w:val="006F2A56"/>
    <w:rsid w:val="006F4094"/>
    <w:rsid w:val="007009FA"/>
    <w:rsid w:val="007017AD"/>
    <w:rsid w:val="007038FB"/>
    <w:rsid w:val="00704D55"/>
    <w:rsid w:val="00707636"/>
    <w:rsid w:val="0070773D"/>
    <w:rsid w:val="00707BD2"/>
    <w:rsid w:val="00710948"/>
    <w:rsid w:val="007120EF"/>
    <w:rsid w:val="00712258"/>
    <w:rsid w:val="0071250B"/>
    <w:rsid w:val="0071256D"/>
    <w:rsid w:val="00713EBB"/>
    <w:rsid w:val="00715DD2"/>
    <w:rsid w:val="0071613C"/>
    <w:rsid w:val="00716E47"/>
    <w:rsid w:val="00716FC2"/>
    <w:rsid w:val="007173FD"/>
    <w:rsid w:val="00720584"/>
    <w:rsid w:val="00720D6E"/>
    <w:rsid w:val="00721B55"/>
    <w:rsid w:val="007237B9"/>
    <w:rsid w:val="00726E06"/>
    <w:rsid w:val="00731AA2"/>
    <w:rsid w:val="00731B9F"/>
    <w:rsid w:val="0073416C"/>
    <w:rsid w:val="00734609"/>
    <w:rsid w:val="0073660C"/>
    <w:rsid w:val="00736718"/>
    <w:rsid w:val="00736799"/>
    <w:rsid w:val="007369DB"/>
    <w:rsid w:val="00742511"/>
    <w:rsid w:val="007433BE"/>
    <w:rsid w:val="00744603"/>
    <w:rsid w:val="00744E70"/>
    <w:rsid w:val="00744F0F"/>
    <w:rsid w:val="00746BE6"/>
    <w:rsid w:val="00746D29"/>
    <w:rsid w:val="0075094F"/>
    <w:rsid w:val="00750EF0"/>
    <w:rsid w:val="0075274C"/>
    <w:rsid w:val="00752D67"/>
    <w:rsid w:val="007534AC"/>
    <w:rsid w:val="00754CDC"/>
    <w:rsid w:val="00756AD3"/>
    <w:rsid w:val="00760804"/>
    <w:rsid w:val="007619CF"/>
    <w:rsid w:val="0076263D"/>
    <w:rsid w:val="007636A4"/>
    <w:rsid w:val="007650B8"/>
    <w:rsid w:val="0076572B"/>
    <w:rsid w:val="00767F36"/>
    <w:rsid w:val="00770362"/>
    <w:rsid w:val="00771665"/>
    <w:rsid w:val="0077237C"/>
    <w:rsid w:val="00773718"/>
    <w:rsid w:val="007739A0"/>
    <w:rsid w:val="007739E3"/>
    <w:rsid w:val="007742A6"/>
    <w:rsid w:val="00777AC5"/>
    <w:rsid w:val="007809C4"/>
    <w:rsid w:val="00780FBD"/>
    <w:rsid w:val="007810F9"/>
    <w:rsid w:val="00781F53"/>
    <w:rsid w:val="00782544"/>
    <w:rsid w:val="007827CB"/>
    <w:rsid w:val="0078334E"/>
    <w:rsid w:val="00783714"/>
    <w:rsid w:val="007846B9"/>
    <w:rsid w:val="007849DA"/>
    <w:rsid w:val="0078503E"/>
    <w:rsid w:val="0078585A"/>
    <w:rsid w:val="00786020"/>
    <w:rsid w:val="00786CF1"/>
    <w:rsid w:val="0078740D"/>
    <w:rsid w:val="0078789D"/>
    <w:rsid w:val="007906EC"/>
    <w:rsid w:val="007929F7"/>
    <w:rsid w:val="00792F56"/>
    <w:rsid w:val="00793A7D"/>
    <w:rsid w:val="00794488"/>
    <w:rsid w:val="00795705"/>
    <w:rsid w:val="007970A1"/>
    <w:rsid w:val="00797530"/>
    <w:rsid w:val="0079799C"/>
    <w:rsid w:val="007A16CE"/>
    <w:rsid w:val="007A2BE8"/>
    <w:rsid w:val="007A30D0"/>
    <w:rsid w:val="007A47BF"/>
    <w:rsid w:val="007A6DD8"/>
    <w:rsid w:val="007A71D9"/>
    <w:rsid w:val="007B06AD"/>
    <w:rsid w:val="007B0CA7"/>
    <w:rsid w:val="007B174D"/>
    <w:rsid w:val="007B197D"/>
    <w:rsid w:val="007B23AA"/>
    <w:rsid w:val="007B49E8"/>
    <w:rsid w:val="007B4DA8"/>
    <w:rsid w:val="007B7E19"/>
    <w:rsid w:val="007C0CF2"/>
    <w:rsid w:val="007C0CF5"/>
    <w:rsid w:val="007C1651"/>
    <w:rsid w:val="007C1E03"/>
    <w:rsid w:val="007C2872"/>
    <w:rsid w:val="007C335E"/>
    <w:rsid w:val="007C6161"/>
    <w:rsid w:val="007C6947"/>
    <w:rsid w:val="007D14C0"/>
    <w:rsid w:val="007D1DE3"/>
    <w:rsid w:val="007D1ED2"/>
    <w:rsid w:val="007D277E"/>
    <w:rsid w:val="007D2B43"/>
    <w:rsid w:val="007D4BAC"/>
    <w:rsid w:val="007D71B7"/>
    <w:rsid w:val="007D7C07"/>
    <w:rsid w:val="007E1B74"/>
    <w:rsid w:val="007E2222"/>
    <w:rsid w:val="007E27A0"/>
    <w:rsid w:val="007E31C3"/>
    <w:rsid w:val="007E3842"/>
    <w:rsid w:val="007E3A33"/>
    <w:rsid w:val="007E484C"/>
    <w:rsid w:val="007E6EF3"/>
    <w:rsid w:val="007F1746"/>
    <w:rsid w:val="007F5B8C"/>
    <w:rsid w:val="007F5C5D"/>
    <w:rsid w:val="007F5DA0"/>
    <w:rsid w:val="007F640B"/>
    <w:rsid w:val="007F7393"/>
    <w:rsid w:val="007F7B7D"/>
    <w:rsid w:val="008007F0"/>
    <w:rsid w:val="00802A7D"/>
    <w:rsid w:val="00802AAB"/>
    <w:rsid w:val="008045A6"/>
    <w:rsid w:val="0081576C"/>
    <w:rsid w:val="008161A8"/>
    <w:rsid w:val="0081799B"/>
    <w:rsid w:val="00820F6C"/>
    <w:rsid w:val="00823164"/>
    <w:rsid w:val="00827B81"/>
    <w:rsid w:val="00827D94"/>
    <w:rsid w:val="0083231B"/>
    <w:rsid w:val="008357C4"/>
    <w:rsid w:val="00835B2E"/>
    <w:rsid w:val="00836825"/>
    <w:rsid w:val="0083682A"/>
    <w:rsid w:val="00837990"/>
    <w:rsid w:val="00840548"/>
    <w:rsid w:val="0084061B"/>
    <w:rsid w:val="00841530"/>
    <w:rsid w:val="008416E2"/>
    <w:rsid w:val="00842F28"/>
    <w:rsid w:val="00844BE6"/>
    <w:rsid w:val="00845BAF"/>
    <w:rsid w:val="00850478"/>
    <w:rsid w:val="0085383B"/>
    <w:rsid w:val="00853B14"/>
    <w:rsid w:val="00854BF8"/>
    <w:rsid w:val="00855358"/>
    <w:rsid w:val="0085551F"/>
    <w:rsid w:val="00855D14"/>
    <w:rsid w:val="00856453"/>
    <w:rsid w:val="00856CF7"/>
    <w:rsid w:val="008576CF"/>
    <w:rsid w:val="00860477"/>
    <w:rsid w:val="0086062A"/>
    <w:rsid w:val="00862F61"/>
    <w:rsid w:val="00863316"/>
    <w:rsid w:val="00863920"/>
    <w:rsid w:val="0086666F"/>
    <w:rsid w:val="0087037B"/>
    <w:rsid w:val="00871C27"/>
    <w:rsid w:val="008725E6"/>
    <w:rsid w:val="0087364C"/>
    <w:rsid w:val="008743FD"/>
    <w:rsid w:val="0087746B"/>
    <w:rsid w:val="0088257F"/>
    <w:rsid w:val="00883EDC"/>
    <w:rsid w:val="00886021"/>
    <w:rsid w:val="008864FE"/>
    <w:rsid w:val="00886582"/>
    <w:rsid w:val="008877B4"/>
    <w:rsid w:val="0088780D"/>
    <w:rsid w:val="00887B2C"/>
    <w:rsid w:val="00890EE4"/>
    <w:rsid w:val="00892ABA"/>
    <w:rsid w:val="00892F5E"/>
    <w:rsid w:val="00893599"/>
    <w:rsid w:val="00894321"/>
    <w:rsid w:val="008A0180"/>
    <w:rsid w:val="008A084E"/>
    <w:rsid w:val="008A21A2"/>
    <w:rsid w:val="008A4731"/>
    <w:rsid w:val="008A55CF"/>
    <w:rsid w:val="008A7E88"/>
    <w:rsid w:val="008B0C03"/>
    <w:rsid w:val="008B0F50"/>
    <w:rsid w:val="008B2337"/>
    <w:rsid w:val="008B3DA0"/>
    <w:rsid w:val="008B5D57"/>
    <w:rsid w:val="008B74F9"/>
    <w:rsid w:val="008C0BE3"/>
    <w:rsid w:val="008C3ED1"/>
    <w:rsid w:val="008C542B"/>
    <w:rsid w:val="008C6E66"/>
    <w:rsid w:val="008C729E"/>
    <w:rsid w:val="008C7EC6"/>
    <w:rsid w:val="008D09C5"/>
    <w:rsid w:val="008D0B4D"/>
    <w:rsid w:val="008D0C4B"/>
    <w:rsid w:val="008D1235"/>
    <w:rsid w:val="008D2CC2"/>
    <w:rsid w:val="008D32A2"/>
    <w:rsid w:val="008D66B0"/>
    <w:rsid w:val="008D6B7E"/>
    <w:rsid w:val="008E01F6"/>
    <w:rsid w:val="008E2E37"/>
    <w:rsid w:val="008E4AAB"/>
    <w:rsid w:val="008E7309"/>
    <w:rsid w:val="008F0A83"/>
    <w:rsid w:val="008F0C4F"/>
    <w:rsid w:val="008F0F31"/>
    <w:rsid w:val="008F266B"/>
    <w:rsid w:val="008F3160"/>
    <w:rsid w:val="008F374B"/>
    <w:rsid w:val="008F43DA"/>
    <w:rsid w:val="008F48FC"/>
    <w:rsid w:val="008F4C61"/>
    <w:rsid w:val="008F5C05"/>
    <w:rsid w:val="008F67C0"/>
    <w:rsid w:val="008F751C"/>
    <w:rsid w:val="008F7D16"/>
    <w:rsid w:val="00900032"/>
    <w:rsid w:val="009002D5"/>
    <w:rsid w:val="00902350"/>
    <w:rsid w:val="00902D56"/>
    <w:rsid w:val="00903F89"/>
    <w:rsid w:val="00906596"/>
    <w:rsid w:val="009106A5"/>
    <w:rsid w:val="00911A57"/>
    <w:rsid w:val="009132D9"/>
    <w:rsid w:val="00914AA2"/>
    <w:rsid w:val="00915404"/>
    <w:rsid w:val="00915B79"/>
    <w:rsid w:val="00916312"/>
    <w:rsid w:val="00916564"/>
    <w:rsid w:val="00916EB0"/>
    <w:rsid w:val="0091719E"/>
    <w:rsid w:val="0091729C"/>
    <w:rsid w:val="00921965"/>
    <w:rsid w:val="009242D1"/>
    <w:rsid w:val="009256B5"/>
    <w:rsid w:val="00925C7C"/>
    <w:rsid w:val="00926F1E"/>
    <w:rsid w:val="009309BD"/>
    <w:rsid w:val="00932293"/>
    <w:rsid w:val="00932EE6"/>
    <w:rsid w:val="0093329F"/>
    <w:rsid w:val="00934CBB"/>
    <w:rsid w:val="00936EF1"/>
    <w:rsid w:val="00936FC4"/>
    <w:rsid w:val="00937165"/>
    <w:rsid w:val="0094023D"/>
    <w:rsid w:val="00940628"/>
    <w:rsid w:val="009409B2"/>
    <w:rsid w:val="009417FA"/>
    <w:rsid w:val="009420A2"/>
    <w:rsid w:val="00942895"/>
    <w:rsid w:val="00942ED8"/>
    <w:rsid w:val="00943727"/>
    <w:rsid w:val="00943F83"/>
    <w:rsid w:val="009442E3"/>
    <w:rsid w:val="00944407"/>
    <w:rsid w:val="009448F8"/>
    <w:rsid w:val="00945826"/>
    <w:rsid w:val="00946227"/>
    <w:rsid w:val="00946E4B"/>
    <w:rsid w:val="009472FD"/>
    <w:rsid w:val="00947D10"/>
    <w:rsid w:val="009505D1"/>
    <w:rsid w:val="00951C39"/>
    <w:rsid w:val="00951CD4"/>
    <w:rsid w:val="009563AB"/>
    <w:rsid w:val="00956676"/>
    <w:rsid w:val="0095785F"/>
    <w:rsid w:val="00957E4B"/>
    <w:rsid w:val="00957FC6"/>
    <w:rsid w:val="00960963"/>
    <w:rsid w:val="0096133E"/>
    <w:rsid w:val="009614D2"/>
    <w:rsid w:val="009617FA"/>
    <w:rsid w:val="009641B0"/>
    <w:rsid w:val="0096617A"/>
    <w:rsid w:val="009662C2"/>
    <w:rsid w:val="00970747"/>
    <w:rsid w:val="0097254C"/>
    <w:rsid w:val="0097255F"/>
    <w:rsid w:val="00975419"/>
    <w:rsid w:val="00976FB9"/>
    <w:rsid w:val="009774D3"/>
    <w:rsid w:val="009812DA"/>
    <w:rsid w:val="0098199C"/>
    <w:rsid w:val="00982EE8"/>
    <w:rsid w:val="009868D8"/>
    <w:rsid w:val="009912B6"/>
    <w:rsid w:val="00992453"/>
    <w:rsid w:val="009926F4"/>
    <w:rsid w:val="00993172"/>
    <w:rsid w:val="00993C69"/>
    <w:rsid w:val="009942FF"/>
    <w:rsid w:val="00995BA0"/>
    <w:rsid w:val="009A06BC"/>
    <w:rsid w:val="009A1AB8"/>
    <w:rsid w:val="009A2DC1"/>
    <w:rsid w:val="009A3E38"/>
    <w:rsid w:val="009A4B4B"/>
    <w:rsid w:val="009A4F35"/>
    <w:rsid w:val="009A5882"/>
    <w:rsid w:val="009B2EB2"/>
    <w:rsid w:val="009B34C8"/>
    <w:rsid w:val="009B4282"/>
    <w:rsid w:val="009B5641"/>
    <w:rsid w:val="009B5647"/>
    <w:rsid w:val="009C043A"/>
    <w:rsid w:val="009C0CBA"/>
    <w:rsid w:val="009C12BB"/>
    <w:rsid w:val="009C173F"/>
    <w:rsid w:val="009C1DA6"/>
    <w:rsid w:val="009C3241"/>
    <w:rsid w:val="009C4AFD"/>
    <w:rsid w:val="009C55AF"/>
    <w:rsid w:val="009D076C"/>
    <w:rsid w:val="009D1B3B"/>
    <w:rsid w:val="009D1DE9"/>
    <w:rsid w:val="009D1E22"/>
    <w:rsid w:val="009D25A9"/>
    <w:rsid w:val="009D307A"/>
    <w:rsid w:val="009D347E"/>
    <w:rsid w:val="009D3738"/>
    <w:rsid w:val="009D3C2E"/>
    <w:rsid w:val="009D5CD7"/>
    <w:rsid w:val="009D5D24"/>
    <w:rsid w:val="009D731C"/>
    <w:rsid w:val="009E1048"/>
    <w:rsid w:val="009E2B48"/>
    <w:rsid w:val="009E599D"/>
    <w:rsid w:val="009E6CB5"/>
    <w:rsid w:val="009F058B"/>
    <w:rsid w:val="009F3493"/>
    <w:rsid w:val="009F362D"/>
    <w:rsid w:val="009F57FA"/>
    <w:rsid w:val="009F6867"/>
    <w:rsid w:val="009F6DFC"/>
    <w:rsid w:val="009F6F79"/>
    <w:rsid w:val="00A00F9B"/>
    <w:rsid w:val="00A01702"/>
    <w:rsid w:val="00A01CED"/>
    <w:rsid w:val="00A02C6F"/>
    <w:rsid w:val="00A02D0F"/>
    <w:rsid w:val="00A03527"/>
    <w:rsid w:val="00A0405C"/>
    <w:rsid w:val="00A04314"/>
    <w:rsid w:val="00A051E0"/>
    <w:rsid w:val="00A0533D"/>
    <w:rsid w:val="00A0759C"/>
    <w:rsid w:val="00A1106C"/>
    <w:rsid w:val="00A11543"/>
    <w:rsid w:val="00A11726"/>
    <w:rsid w:val="00A12254"/>
    <w:rsid w:val="00A12397"/>
    <w:rsid w:val="00A15546"/>
    <w:rsid w:val="00A162F7"/>
    <w:rsid w:val="00A17605"/>
    <w:rsid w:val="00A20078"/>
    <w:rsid w:val="00A202A6"/>
    <w:rsid w:val="00A20A83"/>
    <w:rsid w:val="00A216A5"/>
    <w:rsid w:val="00A227EB"/>
    <w:rsid w:val="00A22C83"/>
    <w:rsid w:val="00A2441F"/>
    <w:rsid w:val="00A25D9A"/>
    <w:rsid w:val="00A26640"/>
    <w:rsid w:val="00A3037D"/>
    <w:rsid w:val="00A30886"/>
    <w:rsid w:val="00A31588"/>
    <w:rsid w:val="00A3197F"/>
    <w:rsid w:val="00A340FF"/>
    <w:rsid w:val="00A34BD8"/>
    <w:rsid w:val="00A34DCA"/>
    <w:rsid w:val="00A35FC5"/>
    <w:rsid w:val="00A36C9A"/>
    <w:rsid w:val="00A3700D"/>
    <w:rsid w:val="00A41C43"/>
    <w:rsid w:val="00A421CE"/>
    <w:rsid w:val="00A422BE"/>
    <w:rsid w:val="00A43A30"/>
    <w:rsid w:val="00A46661"/>
    <w:rsid w:val="00A470E1"/>
    <w:rsid w:val="00A500C8"/>
    <w:rsid w:val="00A50868"/>
    <w:rsid w:val="00A533EC"/>
    <w:rsid w:val="00A53DFC"/>
    <w:rsid w:val="00A568EB"/>
    <w:rsid w:val="00A57131"/>
    <w:rsid w:val="00A57FB5"/>
    <w:rsid w:val="00A57FE7"/>
    <w:rsid w:val="00A61B72"/>
    <w:rsid w:val="00A634D9"/>
    <w:rsid w:val="00A641B3"/>
    <w:rsid w:val="00A642D3"/>
    <w:rsid w:val="00A648D0"/>
    <w:rsid w:val="00A64F58"/>
    <w:rsid w:val="00A67641"/>
    <w:rsid w:val="00A70E63"/>
    <w:rsid w:val="00A70F74"/>
    <w:rsid w:val="00A723E8"/>
    <w:rsid w:val="00A74456"/>
    <w:rsid w:val="00A76CE6"/>
    <w:rsid w:val="00A76FA1"/>
    <w:rsid w:val="00A76FB5"/>
    <w:rsid w:val="00A77113"/>
    <w:rsid w:val="00A77EC0"/>
    <w:rsid w:val="00A81080"/>
    <w:rsid w:val="00A81B93"/>
    <w:rsid w:val="00A86A7B"/>
    <w:rsid w:val="00A8775E"/>
    <w:rsid w:val="00A9061F"/>
    <w:rsid w:val="00A90639"/>
    <w:rsid w:val="00A91018"/>
    <w:rsid w:val="00A932B4"/>
    <w:rsid w:val="00A93BED"/>
    <w:rsid w:val="00A94878"/>
    <w:rsid w:val="00A94F9E"/>
    <w:rsid w:val="00AA0250"/>
    <w:rsid w:val="00AA0CCF"/>
    <w:rsid w:val="00AA0F7E"/>
    <w:rsid w:val="00AA247D"/>
    <w:rsid w:val="00AA2E70"/>
    <w:rsid w:val="00AA2ED2"/>
    <w:rsid w:val="00AA4D65"/>
    <w:rsid w:val="00AA4D9E"/>
    <w:rsid w:val="00AA53A2"/>
    <w:rsid w:val="00AA59BF"/>
    <w:rsid w:val="00AA6AB0"/>
    <w:rsid w:val="00AA7FB2"/>
    <w:rsid w:val="00AB0134"/>
    <w:rsid w:val="00AB1951"/>
    <w:rsid w:val="00AB258F"/>
    <w:rsid w:val="00AB2A0F"/>
    <w:rsid w:val="00AB2DEC"/>
    <w:rsid w:val="00AB3D1F"/>
    <w:rsid w:val="00AB3FE4"/>
    <w:rsid w:val="00AB41A3"/>
    <w:rsid w:val="00AB4E91"/>
    <w:rsid w:val="00AB60CB"/>
    <w:rsid w:val="00AB656B"/>
    <w:rsid w:val="00AB7459"/>
    <w:rsid w:val="00AC2B36"/>
    <w:rsid w:val="00AC41E8"/>
    <w:rsid w:val="00AC5311"/>
    <w:rsid w:val="00AC6CC0"/>
    <w:rsid w:val="00AC7713"/>
    <w:rsid w:val="00AC79BF"/>
    <w:rsid w:val="00AD060F"/>
    <w:rsid w:val="00AD0C9E"/>
    <w:rsid w:val="00AD1EC4"/>
    <w:rsid w:val="00AD323D"/>
    <w:rsid w:val="00AD4CB9"/>
    <w:rsid w:val="00AD60AD"/>
    <w:rsid w:val="00AD70B9"/>
    <w:rsid w:val="00AD7910"/>
    <w:rsid w:val="00AE0033"/>
    <w:rsid w:val="00AE36CC"/>
    <w:rsid w:val="00AE49B8"/>
    <w:rsid w:val="00AE5BEC"/>
    <w:rsid w:val="00AE6BDE"/>
    <w:rsid w:val="00AE6C97"/>
    <w:rsid w:val="00AE78FE"/>
    <w:rsid w:val="00AE7B3E"/>
    <w:rsid w:val="00AE7C30"/>
    <w:rsid w:val="00AF1EE5"/>
    <w:rsid w:val="00AF2B18"/>
    <w:rsid w:val="00AF44FE"/>
    <w:rsid w:val="00AF49EF"/>
    <w:rsid w:val="00AF523E"/>
    <w:rsid w:val="00AF52AB"/>
    <w:rsid w:val="00AF5314"/>
    <w:rsid w:val="00AF5CC1"/>
    <w:rsid w:val="00AF78B9"/>
    <w:rsid w:val="00B01D08"/>
    <w:rsid w:val="00B02909"/>
    <w:rsid w:val="00B02D2A"/>
    <w:rsid w:val="00B049BF"/>
    <w:rsid w:val="00B07380"/>
    <w:rsid w:val="00B1003A"/>
    <w:rsid w:val="00B10426"/>
    <w:rsid w:val="00B10D23"/>
    <w:rsid w:val="00B11BFD"/>
    <w:rsid w:val="00B12F6B"/>
    <w:rsid w:val="00B13A78"/>
    <w:rsid w:val="00B14C2B"/>
    <w:rsid w:val="00B15D92"/>
    <w:rsid w:val="00B16611"/>
    <w:rsid w:val="00B17B32"/>
    <w:rsid w:val="00B17DD5"/>
    <w:rsid w:val="00B201B3"/>
    <w:rsid w:val="00B20932"/>
    <w:rsid w:val="00B20E31"/>
    <w:rsid w:val="00B21D3B"/>
    <w:rsid w:val="00B227B8"/>
    <w:rsid w:val="00B2337C"/>
    <w:rsid w:val="00B26B0D"/>
    <w:rsid w:val="00B30447"/>
    <w:rsid w:val="00B30B3B"/>
    <w:rsid w:val="00B312B4"/>
    <w:rsid w:val="00B324EC"/>
    <w:rsid w:val="00B33912"/>
    <w:rsid w:val="00B34816"/>
    <w:rsid w:val="00B34C93"/>
    <w:rsid w:val="00B36DA7"/>
    <w:rsid w:val="00B40642"/>
    <w:rsid w:val="00B4085C"/>
    <w:rsid w:val="00B431E7"/>
    <w:rsid w:val="00B454A1"/>
    <w:rsid w:val="00B456E5"/>
    <w:rsid w:val="00B524AD"/>
    <w:rsid w:val="00B52FFB"/>
    <w:rsid w:val="00B54011"/>
    <w:rsid w:val="00B543CE"/>
    <w:rsid w:val="00B57570"/>
    <w:rsid w:val="00B60225"/>
    <w:rsid w:val="00B60258"/>
    <w:rsid w:val="00B676CC"/>
    <w:rsid w:val="00B7071F"/>
    <w:rsid w:val="00B71C75"/>
    <w:rsid w:val="00B72C38"/>
    <w:rsid w:val="00B7428D"/>
    <w:rsid w:val="00B743E6"/>
    <w:rsid w:val="00B74BE5"/>
    <w:rsid w:val="00B75590"/>
    <w:rsid w:val="00B80FB5"/>
    <w:rsid w:val="00B822FF"/>
    <w:rsid w:val="00B827B0"/>
    <w:rsid w:val="00B85595"/>
    <w:rsid w:val="00B86060"/>
    <w:rsid w:val="00B861CD"/>
    <w:rsid w:val="00B903AF"/>
    <w:rsid w:val="00B92ABE"/>
    <w:rsid w:val="00B93F3C"/>
    <w:rsid w:val="00B95897"/>
    <w:rsid w:val="00B95D3F"/>
    <w:rsid w:val="00B96D82"/>
    <w:rsid w:val="00BA0FC6"/>
    <w:rsid w:val="00BA1783"/>
    <w:rsid w:val="00BA3CE9"/>
    <w:rsid w:val="00BA7DCB"/>
    <w:rsid w:val="00BA7F86"/>
    <w:rsid w:val="00BB011F"/>
    <w:rsid w:val="00BB08D5"/>
    <w:rsid w:val="00BB16F7"/>
    <w:rsid w:val="00BB3DC0"/>
    <w:rsid w:val="00BB40D2"/>
    <w:rsid w:val="00BB7FFD"/>
    <w:rsid w:val="00BC2F72"/>
    <w:rsid w:val="00BC41AA"/>
    <w:rsid w:val="00BC4FE8"/>
    <w:rsid w:val="00BC54B2"/>
    <w:rsid w:val="00BC56F4"/>
    <w:rsid w:val="00BC5C8F"/>
    <w:rsid w:val="00BD1752"/>
    <w:rsid w:val="00BD1E5A"/>
    <w:rsid w:val="00BD20F0"/>
    <w:rsid w:val="00BD24B7"/>
    <w:rsid w:val="00BD48EA"/>
    <w:rsid w:val="00BD5527"/>
    <w:rsid w:val="00BD5983"/>
    <w:rsid w:val="00BE01FA"/>
    <w:rsid w:val="00BE36F0"/>
    <w:rsid w:val="00BE493A"/>
    <w:rsid w:val="00BE540E"/>
    <w:rsid w:val="00BE7E62"/>
    <w:rsid w:val="00BF39DD"/>
    <w:rsid w:val="00BF3A77"/>
    <w:rsid w:val="00BF45A4"/>
    <w:rsid w:val="00BF7922"/>
    <w:rsid w:val="00C01F03"/>
    <w:rsid w:val="00C022EC"/>
    <w:rsid w:val="00C04854"/>
    <w:rsid w:val="00C05607"/>
    <w:rsid w:val="00C057DE"/>
    <w:rsid w:val="00C07C96"/>
    <w:rsid w:val="00C109F0"/>
    <w:rsid w:val="00C14066"/>
    <w:rsid w:val="00C14F45"/>
    <w:rsid w:val="00C1516C"/>
    <w:rsid w:val="00C166EB"/>
    <w:rsid w:val="00C167E5"/>
    <w:rsid w:val="00C16D44"/>
    <w:rsid w:val="00C214F5"/>
    <w:rsid w:val="00C2191E"/>
    <w:rsid w:val="00C21F88"/>
    <w:rsid w:val="00C223EF"/>
    <w:rsid w:val="00C22E24"/>
    <w:rsid w:val="00C231C6"/>
    <w:rsid w:val="00C247AF"/>
    <w:rsid w:val="00C24D63"/>
    <w:rsid w:val="00C25E06"/>
    <w:rsid w:val="00C26156"/>
    <w:rsid w:val="00C267ED"/>
    <w:rsid w:val="00C27214"/>
    <w:rsid w:val="00C30FF9"/>
    <w:rsid w:val="00C320E7"/>
    <w:rsid w:val="00C32A53"/>
    <w:rsid w:val="00C33166"/>
    <w:rsid w:val="00C3342E"/>
    <w:rsid w:val="00C33E67"/>
    <w:rsid w:val="00C366CB"/>
    <w:rsid w:val="00C373F0"/>
    <w:rsid w:val="00C41829"/>
    <w:rsid w:val="00C41903"/>
    <w:rsid w:val="00C42A2F"/>
    <w:rsid w:val="00C4364A"/>
    <w:rsid w:val="00C43D6B"/>
    <w:rsid w:val="00C4451C"/>
    <w:rsid w:val="00C446C9"/>
    <w:rsid w:val="00C45334"/>
    <w:rsid w:val="00C46CE9"/>
    <w:rsid w:val="00C46D79"/>
    <w:rsid w:val="00C50948"/>
    <w:rsid w:val="00C5257F"/>
    <w:rsid w:val="00C52D4A"/>
    <w:rsid w:val="00C573CD"/>
    <w:rsid w:val="00C57C52"/>
    <w:rsid w:val="00C62007"/>
    <w:rsid w:val="00C63EEE"/>
    <w:rsid w:val="00C642EF"/>
    <w:rsid w:val="00C64F8D"/>
    <w:rsid w:val="00C6625F"/>
    <w:rsid w:val="00C667AE"/>
    <w:rsid w:val="00C7125E"/>
    <w:rsid w:val="00C74508"/>
    <w:rsid w:val="00C75172"/>
    <w:rsid w:val="00C76A78"/>
    <w:rsid w:val="00C773A3"/>
    <w:rsid w:val="00C803CD"/>
    <w:rsid w:val="00C811A3"/>
    <w:rsid w:val="00C829CB"/>
    <w:rsid w:val="00C82FF7"/>
    <w:rsid w:val="00C838CD"/>
    <w:rsid w:val="00C83F89"/>
    <w:rsid w:val="00C842FB"/>
    <w:rsid w:val="00C84419"/>
    <w:rsid w:val="00C84E2B"/>
    <w:rsid w:val="00C90067"/>
    <w:rsid w:val="00C9025E"/>
    <w:rsid w:val="00C90A59"/>
    <w:rsid w:val="00C90A86"/>
    <w:rsid w:val="00C924BE"/>
    <w:rsid w:val="00C9278A"/>
    <w:rsid w:val="00C933B1"/>
    <w:rsid w:val="00C9375E"/>
    <w:rsid w:val="00C942F6"/>
    <w:rsid w:val="00C9658D"/>
    <w:rsid w:val="00C972C9"/>
    <w:rsid w:val="00C97851"/>
    <w:rsid w:val="00CA1C38"/>
    <w:rsid w:val="00CA2D67"/>
    <w:rsid w:val="00CA2F0C"/>
    <w:rsid w:val="00CA3ADE"/>
    <w:rsid w:val="00CA4BB4"/>
    <w:rsid w:val="00CA507C"/>
    <w:rsid w:val="00CA509F"/>
    <w:rsid w:val="00CA54B3"/>
    <w:rsid w:val="00CA5522"/>
    <w:rsid w:val="00CA5705"/>
    <w:rsid w:val="00CA7365"/>
    <w:rsid w:val="00CA7C5D"/>
    <w:rsid w:val="00CA7CBD"/>
    <w:rsid w:val="00CB2C14"/>
    <w:rsid w:val="00CB43CA"/>
    <w:rsid w:val="00CB63A3"/>
    <w:rsid w:val="00CB671F"/>
    <w:rsid w:val="00CC129E"/>
    <w:rsid w:val="00CC16A4"/>
    <w:rsid w:val="00CC2083"/>
    <w:rsid w:val="00CC4551"/>
    <w:rsid w:val="00CC62DA"/>
    <w:rsid w:val="00CC7725"/>
    <w:rsid w:val="00CD023E"/>
    <w:rsid w:val="00CD0A91"/>
    <w:rsid w:val="00CD152C"/>
    <w:rsid w:val="00CD1F0E"/>
    <w:rsid w:val="00CD240F"/>
    <w:rsid w:val="00CD2B37"/>
    <w:rsid w:val="00CD310D"/>
    <w:rsid w:val="00CD51CC"/>
    <w:rsid w:val="00CD5861"/>
    <w:rsid w:val="00CD6772"/>
    <w:rsid w:val="00CD6E45"/>
    <w:rsid w:val="00CE0195"/>
    <w:rsid w:val="00CE1198"/>
    <w:rsid w:val="00CE13F4"/>
    <w:rsid w:val="00CE1B87"/>
    <w:rsid w:val="00CE2DDA"/>
    <w:rsid w:val="00CE2E50"/>
    <w:rsid w:val="00CE5023"/>
    <w:rsid w:val="00CE6D6F"/>
    <w:rsid w:val="00CE726B"/>
    <w:rsid w:val="00CF192A"/>
    <w:rsid w:val="00CF51DB"/>
    <w:rsid w:val="00D00685"/>
    <w:rsid w:val="00D010A3"/>
    <w:rsid w:val="00D02345"/>
    <w:rsid w:val="00D04DF2"/>
    <w:rsid w:val="00D07B31"/>
    <w:rsid w:val="00D07F34"/>
    <w:rsid w:val="00D100B9"/>
    <w:rsid w:val="00D10C4E"/>
    <w:rsid w:val="00D1144A"/>
    <w:rsid w:val="00D1151B"/>
    <w:rsid w:val="00D11A0C"/>
    <w:rsid w:val="00D12B6D"/>
    <w:rsid w:val="00D13286"/>
    <w:rsid w:val="00D135DF"/>
    <w:rsid w:val="00D154BE"/>
    <w:rsid w:val="00D163A6"/>
    <w:rsid w:val="00D16B75"/>
    <w:rsid w:val="00D16EFF"/>
    <w:rsid w:val="00D17A27"/>
    <w:rsid w:val="00D221E7"/>
    <w:rsid w:val="00D2299E"/>
    <w:rsid w:val="00D232F6"/>
    <w:rsid w:val="00D23E00"/>
    <w:rsid w:val="00D23E7A"/>
    <w:rsid w:val="00D26FDB"/>
    <w:rsid w:val="00D30FFF"/>
    <w:rsid w:val="00D314F1"/>
    <w:rsid w:val="00D31847"/>
    <w:rsid w:val="00D32F56"/>
    <w:rsid w:val="00D346B8"/>
    <w:rsid w:val="00D34F0F"/>
    <w:rsid w:val="00D3651E"/>
    <w:rsid w:val="00D400EB"/>
    <w:rsid w:val="00D4105F"/>
    <w:rsid w:val="00D42DA5"/>
    <w:rsid w:val="00D42EB0"/>
    <w:rsid w:val="00D46661"/>
    <w:rsid w:val="00D47606"/>
    <w:rsid w:val="00D47B4B"/>
    <w:rsid w:val="00D505D5"/>
    <w:rsid w:val="00D52067"/>
    <w:rsid w:val="00D61032"/>
    <w:rsid w:val="00D61568"/>
    <w:rsid w:val="00D61A38"/>
    <w:rsid w:val="00D62669"/>
    <w:rsid w:val="00D641B9"/>
    <w:rsid w:val="00D643E8"/>
    <w:rsid w:val="00D64FFB"/>
    <w:rsid w:val="00D658F8"/>
    <w:rsid w:val="00D65D9E"/>
    <w:rsid w:val="00D675BC"/>
    <w:rsid w:val="00D67831"/>
    <w:rsid w:val="00D707F2"/>
    <w:rsid w:val="00D71E8D"/>
    <w:rsid w:val="00D74122"/>
    <w:rsid w:val="00D76CBF"/>
    <w:rsid w:val="00D77C73"/>
    <w:rsid w:val="00D77DDD"/>
    <w:rsid w:val="00D80465"/>
    <w:rsid w:val="00D8047B"/>
    <w:rsid w:val="00D80A2B"/>
    <w:rsid w:val="00D82CC5"/>
    <w:rsid w:val="00D84002"/>
    <w:rsid w:val="00D84FDB"/>
    <w:rsid w:val="00D851EE"/>
    <w:rsid w:val="00D85288"/>
    <w:rsid w:val="00D85CA7"/>
    <w:rsid w:val="00D8683D"/>
    <w:rsid w:val="00D86DC4"/>
    <w:rsid w:val="00D87278"/>
    <w:rsid w:val="00D92157"/>
    <w:rsid w:val="00D92958"/>
    <w:rsid w:val="00D9308F"/>
    <w:rsid w:val="00D93171"/>
    <w:rsid w:val="00D93E10"/>
    <w:rsid w:val="00D94A04"/>
    <w:rsid w:val="00D95DBF"/>
    <w:rsid w:val="00D96FA5"/>
    <w:rsid w:val="00D97BC2"/>
    <w:rsid w:val="00DA1735"/>
    <w:rsid w:val="00DA21C1"/>
    <w:rsid w:val="00DA272B"/>
    <w:rsid w:val="00DA34CD"/>
    <w:rsid w:val="00DA430A"/>
    <w:rsid w:val="00DA4C9F"/>
    <w:rsid w:val="00DA5154"/>
    <w:rsid w:val="00DA580D"/>
    <w:rsid w:val="00DA770C"/>
    <w:rsid w:val="00DB00AB"/>
    <w:rsid w:val="00DB2049"/>
    <w:rsid w:val="00DB41C3"/>
    <w:rsid w:val="00DB4D02"/>
    <w:rsid w:val="00DB6368"/>
    <w:rsid w:val="00DB63B9"/>
    <w:rsid w:val="00DC0363"/>
    <w:rsid w:val="00DC1D4B"/>
    <w:rsid w:val="00DC3EFF"/>
    <w:rsid w:val="00DC5FE9"/>
    <w:rsid w:val="00DD08F4"/>
    <w:rsid w:val="00DD0C11"/>
    <w:rsid w:val="00DD191C"/>
    <w:rsid w:val="00DD3B9F"/>
    <w:rsid w:val="00DD3F5D"/>
    <w:rsid w:val="00DD58F6"/>
    <w:rsid w:val="00DD7455"/>
    <w:rsid w:val="00DE177F"/>
    <w:rsid w:val="00DE209E"/>
    <w:rsid w:val="00DE233C"/>
    <w:rsid w:val="00DE24AF"/>
    <w:rsid w:val="00DE277D"/>
    <w:rsid w:val="00DE2A77"/>
    <w:rsid w:val="00DE3B29"/>
    <w:rsid w:val="00DE49B1"/>
    <w:rsid w:val="00DE5561"/>
    <w:rsid w:val="00DE6D90"/>
    <w:rsid w:val="00DE750E"/>
    <w:rsid w:val="00DF072B"/>
    <w:rsid w:val="00DF14E1"/>
    <w:rsid w:val="00DF208D"/>
    <w:rsid w:val="00DF247D"/>
    <w:rsid w:val="00DF2796"/>
    <w:rsid w:val="00DF291C"/>
    <w:rsid w:val="00DF378D"/>
    <w:rsid w:val="00DF39A4"/>
    <w:rsid w:val="00DF3BD9"/>
    <w:rsid w:val="00DF6F58"/>
    <w:rsid w:val="00DF781C"/>
    <w:rsid w:val="00DF7A3B"/>
    <w:rsid w:val="00DF7B69"/>
    <w:rsid w:val="00E00443"/>
    <w:rsid w:val="00E007C2"/>
    <w:rsid w:val="00E0245F"/>
    <w:rsid w:val="00E02DDC"/>
    <w:rsid w:val="00E040B2"/>
    <w:rsid w:val="00E05CA8"/>
    <w:rsid w:val="00E05DD5"/>
    <w:rsid w:val="00E06199"/>
    <w:rsid w:val="00E06DE1"/>
    <w:rsid w:val="00E10795"/>
    <w:rsid w:val="00E114E8"/>
    <w:rsid w:val="00E11C95"/>
    <w:rsid w:val="00E11CE6"/>
    <w:rsid w:val="00E13100"/>
    <w:rsid w:val="00E134DB"/>
    <w:rsid w:val="00E14500"/>
    <w:rsid w:val="00E148D8"/>
    <w:rsid w:val="00E1511C"/>
    <w:rsid w:val="00E15578"/>
    <w:rsid w:val="00E155ED"/>
    <w:rsid w:val="00E2006D"/>
    <w:rsid w:val="00E213A5"/>
    <w:rsid w:val="00E22251"/>
    <w:rsid w:val="00E24A24"/>
    <w:rsid w:val="00E26777"/>
    <w:rsid w:val="00E26F40"/>
    <w:rsid w:val="00E27CCE"/>
    <w:rsid w:val="00E27D49"/>
    <w:rsid w:val="00E30192"/>
    <w:rsid w:val="00E317B1"/>
    <w:rsid w:val="00E32876"/>
    <w:rsid w:val="00E35E6F"/>
    <w:rsid w:val="00E366BA"/>
    <w:rsid w:val="00E36B70"/>
    <w:rsid w:val="00E37888"/>
    <w:rsid w:val="00E37ACD"/>
    <w:rsid w:val="00E414DE"/>
    <w:rsid w:val="00E416C2"/>
    <w:rsid w:val="00E4324E"/>
    <w:rsid w:val="00E44D0C"/>
    <w:rsid w:val="00E45B1D"/>
    <w:rsid w:val="00E468B9"/>
    <w:rsid w:val="00E47765"/>
    <w:rsid w:val="00E500F9"/>
    <w:rsid w:val="00E50C73"/>
    <w:rsid w:val="00E50C7A"/>
    <w:rsid w:val="00E50FE8"/>
    <w:rsid w:val="00E526A8"/>
    <w:rsid w:val="00E533EB"/>
    <w:rsid w:val="00E54A71"/>
    <w:rsid w:val="00E560BE"/>
    <w:rsid w:val="00E56402"/>
    <w:rsid w:val="00E56CA4"/>
    <w:rsid w:val="00E63D70"/>
    <w:rsid w:val="00E64D84"/>
    <w:rsid w:val="00E67443"/>
    <w:rsid w:val="00E67BBE"/>
    <w:rsid w:val="00E717A1"/>
    <w:rsid w:val="00E730DA"/>
    <w:rsid w:val="00E74194"/>
    <w:rsid w:val="00E75C5E"/>
    <w:rsid w:val="00E76EF2"/>
    <w:rsid w:val="00E77015"/>
    <w:rsid w:val="00E811E1"/>
    <w:rsid w:val="00E82B3E"/>
    <w:rsid w:val="00E83845"/>
    <w:rsid w:val="00E8449B"/>
    <w:rsid w:val="00E85B6C"/>
    <w:rsid w:val="00E86E71"/>
    <w:rsid w:val="00E909BA"/>
    <w:rsid w:val="00E91B23"/>
    <w:rsid w:val="00E9282C"/>
    <w:rsid w:val="00E9338B"/>
    <w:rsid w:val="00EA0312"/>
    <w:rsid w:val="00EA16EB"/>
    <w:rsid w:val="00EA253C"/>
    <w:rsid w:val="00EA4234"/>
    <w:rsid w:val="00EA4DAF"/>
    <w:rsid w:val="00EA5BA7"/>
    <w:rsid w:val="00EA639D"/>
    <w:rsid w:val="00EA71F3"/>
    <w:rsid w:val="00EA7685"/>
    <w:rsid w:val="00EA7723"/>
    <w:rsid w:val="00EB024A"/>
    <w:rsid w:val="00EB0D48"/>
    <w:rsid w:val="00EB5355"/>
    <w:rsid w:val="00EB75A2"/>
    <w:rsid w:val="00EB77EF"/>
    <w:rsid w:val="00EB7E59"/>
    <w:rsid w:val="00EC0155"/>
    <w:rsid w:val="00EC01DA"/>
    <w:rsid w:val="00EC1436"/>
    <w:rsid w:val="00EC1960"/>
    <w:rsid w:val="00EC20CC"/>
    <w:rsid w:val="00EC3954"/>
    <w:rsid w:val="00EC6565"/>
    <w:rsid w:val="00ED0D5B"/>
    <w:rsid w:val="00ED1DA5"/>
    <w:rsid w:val="00ED1DC3"/>
    <w:rsid w:val="00ED1E4C"/>
    <w:rsid w:val="00ED391B"/>
    <w:rsid w:val="00ED4681"/>
    <w:rsid w:val="00ED75F4"/>
    <w:rsid w:val="00ED776C"/>
    <w:rsid w:val="00ED79DE"/>
    <w:rsid w:val="00EE14B4"/>
    <w:rsid w:val="00EE2886"/>
    <w:rsid w:val="00EE309F"/>
    <w:rsid w:val="00EE325E"/>
    <w:rsid w:val="00EE39A5"/>
    <w:rsid w:val="00EE5B20"/>
    <w:rsid w:val="00EE62DC"/>
    <w:rsid w:val="00EE726F"/>
    <w:rsid w:val="00EE78E6"/>
    <w:rsid w:val="00EE7A03"/>
    <w:rsid w:val="00EF11B1"/>
    <w:rsid w:val="00EF153A"/>
    <w:rsid w:val="00EF450D"/>
    <w:rsid w:val="00EF58BC"/>
    <w:rsid w:val="00EF5C4B"/>
    <w:rsid w:val="00EF6C1D"/>
    <w:rsid w:val="00F02C6E"/>
    <w:rsid w:val="00F03898"/>
    <w:rsid w:val="00F03CAC"/>
    <w:rsid w:val="00F0733E"/>
    <w:rsid w:val="00F11685"/>
    <w:rsid w:val="00F11AFD"/>
    <w:rsid w:val="00F12936"/>
    <w:rsid w:val="00F13F3E"/>
    <w:rsid w:val="00F147C9"/>
    <w:rsid w:val="00F17094"/>
    <w:rsid w:val="00F17107"/>
    <w:rsid w:val="00F17C6F"/>
    <w:rsid w:val="00F21FE7"/>
    <w:rsid w:val="00F23689"/>
    <w:rsid w:val="00F24AF0"/>
    <w:rsid w:val="00F24FEE"/>
    <w:rsid w:val="00F25663"/>
    <w:rsid w:val="00F26FFE"/>
    <w:rsid w:val="00F270A1"/>
    <w:rsid w:val="00F30112"/>
    <w:rsid w:val="00F308D8"/>
    <w:rsid w:val="00F32B73"/>
    <w:rsid w:val="00F33C3D"/>
    <w:rsid w:val="00F33D9B"/>
    <w:rsid w:val="00F3544A"/>
    <w:rsid w:val="00F354BD"/>
    <w:rsid w:val="00F35605"/>
    <w:rsid w:val="00F35980"/>
    <w:rsid w:val="00F35C20"/>
    <w:rsid w:val="00F35CD4"/>
    <w:rsid w:val="00F370D2"/>
    <w:rsid w:val="00F41697"/>
    <w:rsid w:val="00F41A98"/>
    <w:rsid w:val="00F44F2D"/>
    <w:rsid w:val="00F451BA"/>
    <w:rsid w:val="00F45B2A"/>
    <w:rsid w:val="00F473E6"/>
    <w:rsid w:val="00F47B27"/>
    <w:rsid w:val="00F51A21"/>
    <w:rsid w:val="00F52E9D"/>
    <w:rsid w:val="00F53E38"/>
    <w:rsid w:val="00F5485B"/>
    <w:rsid w:val="00F55849"/>
    <w:rsid w:val="00F564F7"/>
    <w:rsid w:val="00F5676F"/>
    <w:rsid w:val="00F57576"/>
    <w:rsid w:val="00F62797"/>
    <w:rsid w:val="00F6431E"/>
    <w:rsid w:val="00F64331"/>
    <w:rsid w:val="00F646BE"/>
    <w:rsid w:val="00F648DA"/>
    <w:rsid w:val="00F657C0"/>
    <w:rsid w:val="00F66007"/>
    <w:rsid w:val="00F66C5D"/>
    <w:rsid w:val="00F67449"/>
    <w:rsid w:val="00F71B9A"/>
    <w:rsid w:val="00F74392"/>
    <w:rsid w:val="00F74759"/>
    <w:rsid w:val="00F7522E"/>
    <w:rsid w:val="00F7541E"/>
    <w:rsid w:val="00F802B9"/>
    <w:rsid w:val="00F825B2"/>
    <w:rsid w:val="00F82642"/>
    <w:rsid w:val="00F84457"/>
    <w:rsid w:val="00F85AF4"/>
    <w:rsid w:val="00F86530"/>
    <w:rsid w:val="00F86C2A"/>
    <w:rsid w:val="00F86EF9"/>
    <w:rsid w:val="00F874F1"/>
    <w:rsid w:val="00F879D8"/>
    <w:rsid w:val="00F87B8F"/>
    <w:rsid w:val="00F87CBF"/>
    <w:rsid w:val="00F93634"/>
    <w:rsid w:val="00F93E97"/>
    <w:rsid w:val="00F96D8F"/>
    <w:rsid w:val="00F97010"/>
    <w:rsid w:val="00F97F16"/>
    <w:rsid w:val="00FA00B7"/>
    <w:rsid w:val="00FA04B0"/>
    <w:rsid w:val="00FA19D7"/>
    <w:rsid w:val="00FA20F9"/>
    <w:rsid w:val="00FA5FFB"/>
    <w:rsid w:val="00FA628E"/>
    <w:rsid w:val="00FB014A"/>
    <w:rsid w:val="00FB1FC5"/>
    <w:rsid w:val="00FB222C"/>
    <w:rsid w:val="00FB39FA"/>
    <w:rsid w:val="00FB59AF"/>
    <w:rsid w:val="00FC0DFA"/>
    <w:rsid w:val="00FC2F26"/>
    <w:rsid w:val="00FC4C1C"/>
    <w:rsid w:val="00FD1DB1"/>
    <w:rsid w:val="00FD27FD"/>
    <w:rsid w:val="00FD2E7B"/>
    <w:rsid w:val="00FD3835"/>
    <w:rsid w:val="00FD4A07"/>
    <w:rsid w:val="00FD58C2"/>
    <w:rsid w:val="00FD7717"/>
    <w:rsid w:val="00FD7E69"/>
    <w:rsid w:val="00FDF9FC"/>
    <w:rsid w:val="00FE377E"/>
    <w:rsid w:val="00FE4A5A"/>
    <w:rsid w:val="00FE4A66"/>
    <w:rsid w:val="00FE5864"/>
    <w:rsid w:val="00FE736F"/>
    <w:rsid w:val="00FF08D5"/>
    <w:rsid w:val="00FF22C7"/>
    <w:rsid w:val="00FF2AD2"/>
    <w:rsid w:val="00FF3936"/>
    <w:rsid w:val="00FF395C"/>
    <w:rsid w:val="00FF4C70"/>
    <w:rsid w:val="00FF58E0"/>
    <w:rsid w:val="00FF7743"/>
    <w:rsid w:val="027B9FBD"/>
    <w:rsid w:val="02FC5A60"/>
    <w:rsid w:val="044C0094"/>
    <w:rsid w:val="0901E7FD"/>
    <w:rsid w:val="0C5900A2"/>
    <w:rsid w:val="0CCA0309"/>
    <w:rsid w:val="0D3D8B11"/>
    <w:rsid w:val="0E7FC515"/>
    <w:rsid w:val="0EB2446F"/>
    <w:rsid w:val="0F5E8D90"/>
    <w:rsid w:val="10224958"/>
    <w:rsid w:val="1130E0AE"/>
    <w:rsid w:val="12AC9428"/>
    <w:rsid w:val="12C35EA5"/>
    <w:rsid w:val="135E5489"/>
    <w:rsid w:val="184066B8"/>
    <w:rsid w:val="19B18092"/>
    <w:rsid w:val="1A3CC200"/>
    <w:rsid w:val="1B2A31F6"/>
    <w:rsid w:val="1BAA41D6"/>
    <w:rsid w:val="1BBD85A1"/>
    <w:rsid w:val="1FE148F6"/>
    <w:rsid w:val="20A1AABF"/>
    <w:rsid w:val="21CB228D"/>
    <w:rsid w:val="22B59653"/>
    <w:rsid w:val="237640DD"/>
    <w:rsid w:val="246C0484"/>
    <w:rsid w:val="257D8563"/>
    <w:rsid w:val="26E693C3"/>
    <w:rsid w:val="26EE1BA7"/>
    <w:rsid w:val="279EDFE9"/>
    <w:rsid w:val="29D5D8FF"/>
    <w:rsid w:val="2BCB7931"/>
    <w:rsid w:val="2D084C90"/>
    <w:rsid w:val="2E096877"/>
    <w:rsid w:val="2E7E9F59"/>
    <w:rsid w:val="301C1910"/>
    <w:rsid w:val="31095CAB"/>
    <w:rsid w:val="31266EC8"/>
    <w:rsid w:val="3141C2F6"/>
    <w:rsid w:val="317DC1BA"/>
    <w:rsid w:val="31A0360D"/>
    <w:rsid w:val="3284A234"/>
    <w:rsid w:val="32D8E031"/>
    <w:rsid w:val="3492FE7E"/>
    <w:rsid w:val="3649FA12"/>
    <w:rsid w:val="3903BDC9"/>
    <w:rsid w:val="3A1C9955"/>
    <w:rsid w:val="3A2607C0"/>
    <w:rsid w:val="3A26DC1E"/>
    <w:rsid w:val="3B0899F1"/>
    <w:rsid w:val="3BC2A392"/>
    <w:rsid w:val="3CAB5ABE"/>
    <w:rsid w:val="3CEA71BE"/>
    <w:rsid w:val="3D2B3007"/>
    <w:rsid w:val="3DE37783"/>
    <w:rsid w:val="3E68CF0A"/>
    <w:rsid w:val="4047A596"/>
    <w:rsid w:val="40C1BDD8"/>
    <w:rsid w:val="420CAABE"/>
    <w:rsid w:val="42A1E93B"/>
    <w:rsid w:val="4373167B"/>
    <w:rsid w:val="4483BE72"/>
    <w:rsid w:val="466BCA08"/>
    <w:rsid w:val="47754317"/>
    <w:rsid w:val="4C345EE4"/>
    <w:rsid w:val="4C489E08"/>
    <w:rsid w:val="4C9AD994"/>
    <w:rsid w:val="4D9E115C"/>
    <w:rsid w:val="50D97147"/>
    <w:rsid w:val="525B4F7A"/>
    <w:rsid w:val="52D35B1A"/>
    <w:rsid w:val="530A344F"/>
    <w:rsid w:val="537D0C0E"/>
    <w:rsid w:val="54C1EA98"/>
    <w:rsid w:val="56F26E93"/>
    <w:rsid w:val="57619C79"/>
    <w:rsid w:val="57BD0F31"/>
    <w:rsid w:val="58BAD0E0"/>
    <w:rsid w:val="5AACCAC0"/>
    <w:rsid w:val="5BD7DCA3"/>
    <w:rsid w:val="5CF493ED"/>
    <w:rsid w:val="5DC0FBCF"/>
    <w:rsid w:val="5EA760A1"/>
    <w:rsid w:val="613705B3"/>
    <w:rsid w:val="62E4435B"/>
    <w:rsid w:val="63159E82"/>
    <w:rsid w:val="64D57331"/>
    <w:rsid w:val="6521F282"/>
    <w:rsid w:val="654A8378"/>
    <w:rsid w:val="66EDE953"/>
    <w:rsid w:val="6855F387"/>
    <w:rsid w:val="692B2D9B"/>
    <w:rsid w:val="6C5E14B3"/>
    <w:rsid w:val="6CC2F42C"/>
    <w:rsid w:val="6EC278A9"/>
    <w:rsid w:val="6FA01F18"/>
    <w:rsid w:val="70484D89"/>
    <w:rsid w:val="733A2C50"/>
    <w:rsid w:val="74308F50"/>
    <w:rsid w:val="74DCC452"/>
    <w:rsid w:val="75B3BF70"/>
    <w:rsid w:val="769CA8BC"/>
    <w:rsid w:val="76C91F48"/>
    <w:rsid w:val="77A9652E"/>
    <w:rsid w:val="77DA79CE"/>
    <w:rsid w:val="781BE3ED"/>
    <w:rsid w:val="782D8466"/>
    <w:rsid w:val="78DE48A8"/>
    <w:rsid w:val="7A503F1B"/>
    <w:rsid w:val="7AE2EBF5"/>
    <w:rsid w:val="7B4F8AEE"/>
    <w:rsid w:val="7C2461BA"/>
    <w:rsid w:val="7EA47FA4"/>
  </w:rsids>
  <m:mathPr>
    <m:mathFont m:val="Cambria Math"/>
    <m:brkBin m:val="before"/>
    <m:brkBinSub m:val="--"/>
    <m:smallFrac m:val="0"/>
    <m:dispDef/>
    <m:lMargin m:val="0"/>
    <m:rMargin m:val="0"/>
    <m:defJc m:val="centerGroup"/>
    <m:wrapIndent m:val="1440"/>
    <m:intLim m:val="subSup"/>
    <m:naryLim m:val="undOvr"/>
  </m:mathPr>
  <w:themeFontLang w:val="de-DE"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F8313"/>
  <w15:docId w15:val="{B3FA152F-E1B1-47D7-AF92-B09DF66C5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de-DE"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C345EE4"/>
    <w:rPr>
      <w:lang w:val="en-US"/>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paragraph" w:styleId="Heading7">
    <w:name w:val="heading 7"/>
    <w:basedOn w:val="Normal"/>
    <w:next w:val="Normal"/>
    <w:link w:val="Heading7Char"/>
    <w:uiPriority w:val="9"/>
    <w:unhideWhenUsed/>
    <w:qFormat/>
    <w:rsid w:val="4C345EE4"/>
    <w:pPr>
      <w:keepNext/>
      <w:keepLines/>
      <w:spacing w:before="40"/>
      <w:outlineLvl w:val="6"/>
    </w:pPr>
    <w:rPr>
      <w:rFonts w:asciiTheme="majorHAnsi" w:eastAsiaTheme="majorEastAsia" w:hAnsiTheme="majorHAnsi" w:cstheme="majorBidi"/>
      <w:i/>
      <w:iCs/>
      <w:color w:val="243F60"/>
    </w:rPr>
  </w:style>
  <w:style w:type="paragraph" w:styleId="Heading8">
    <w:name w:val="heading 8"/>
    <w:basedOn w:val="Normal"/>
    <w:next w:val="Normal"/>
    <w:link w:val="Heading8Char"/>
    <w:uiPriority w:val="9"/>
    <w:unhideWhenUsed/>
    <w:qFormat/>
    <w:rsid w:val="4C345EE4"/>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C345EE4"/>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Bibliography">
    <w:name w:val="Bibliography"/>
    <w:basedOn w:val="Normal"/>
    <w:next w:val="Normal"/>
    <w:uiPriority w:val="37"/>
    <w:unhideWhenUsed/>
    <w:rsid w:val="26EE1BA7"/>
    <w:pPr>
      <w:spacing w:line="480" w:lineRule="auto"/>
      <w:ind w:left="720" w:hanging="720"/>
    </w:pPr>
  </w:style>
  <w:style w:type="paragraph" w:styleId="Header">
    <w:name w:val="header"/>
    <w:basedOn w:val="Normal"/>
    <w:link w:val="HeaderChar"/>
    <w:uiPriority w:val="99"/>
    <w:unhideWhenUsed/>
    <w:rsid w:val="26EE1BA7"/>
    <w:pPr>
      <w:tabs>
        <w:tab w:val="center" w:pos="4536"/>
        <w:tab w:val="right" w:pos="9072"/>
      </w:tabs>
    </w:pPr>
  </w:style>
  <w:style w:type="character" w:customStyle="1" w:styleId="HeaderChar">
    <w:name w:val="Header Char"/>
    <w:basedOn w:val="DefaultParagraphFont"/>
    <w:link w:val="Header"/>
    <w:uiPriority w:val="99"/>
    <w:rsid w:val="00C76A78"/>
    <w:rPr>
      <w:lang w:val="en-US"/>
    </w:rPr>
  </w:style>
  <w:style w:type="paragraph" w:styleId="Footer">
    <w:name w:val="footer"/>
    <w:basedOn w:val="Normal"/>
    <w:link w:val="FooterChar"/>
    <w:uiPriority w:val="99"/>
    <w:unhideWhenUsed/>
    <w:rsid w:val="26EE1BA7"/>
    <w:pPr>
      <w:tabs>
        <w:tab w:val="center" w:pos="4536"/>
        <w:tab w:val="right" w:pos="9072"/>
      </w:tabs>
    </w:pPr>
  </w:style>
  <w:style w:type="character" w:customStyle="1" w:styleId="FooterChar">
    <w:name w:val="Footer Char"/>
    <w:basedOn w:val="DefaultParagraphFont"/>
    <w:link w:val="Footer"/>
    <w:uiPriority w:val="99"/>
    <w:rsid w:val="00C76A78"/>
    <w:rPr>
      <w:lang w:val="en-US"/>
    </w:rPr>
  </w:style>
  <w:style w:type="character" w:styleId="Hyperlink">
    <w:name w:val="Hyperlink"/>
    <w:basedOn w:val="DefaultParagraphFont"/>
    <w:uiPriority w:val="99"/>
    <w:unhideWhenUsed/>
    <w:rsid w:val="003F4857"/>
    <w:rPr>
      <w:color w:val="0000FF" w:themeColor="hyperlink"/>
      <w:u w:val="single"/>
    </w:rPr>
  </w:style>
  <w:style w:type="character" w:customStyle="1" w:styleId="UnresolvedMention1">
    <w:name w:val="Unresolved Mention1"/>
    <w:basedOn w:val="DefaultParagraphFont"/>
    <w:uiPriority w:val="99"/>
    <w:semiHidden/>
    <w:unhideWhenUsed/>
    <w:rsid w:val="003F4857"/>
    <w:rPr>
      <w:color w:val="605E5C"/>
      <w:shd w:val="clear" w:color="auto" w:fill="E1DFDD"/>
    </w:rPr>
  </w:style>
  <w:style w:type="character" w:styleId="CommentReference">
    <w:name w:val="annotation reference"/>
    <w:basedOn w:val="DefaultParagraphFont"/>
    <w:uiPriority w:val="99"/>
    <w:semiHidden/>
    <w:unhideWhenUsed/>
    <w:rsid w:val="00473E29"/>
    <w:rPr>
      <w:sz w:val="16"/>
      <w:szCs w:val="16"/>
    </w:rPr>
  </w:style>
  <w:style w:type="paragraph" w:styleId="CommentText">
    <w:name w:val="annotation text"/>
    <w:basedOn w:val="Normal"/>
    <w:link w:val="CommentTextChar"/>
    <w:uiPriority w:val="99"/>
    <w:unhideWhenUsed/>
    <w:rsid w:val="26EE1BA7"/>
    <w:rPr>
      <w:sz w:val="20"/>
      <w:szCs w:val="20"/>
    </w:rPr>
  </w:style>
  <w:style w:type="character" w:customStyle="1" w:styleId="CommentTextChar">
    <w:name w:val="Comment Text Char"/>
    <w:basedOn w:val="DefaultParagraphFont"/>
    <w:link w:val="CommentText"/>
    <w:uiPriority w:val="99"/>
    <w:rsid w:val="00473E29"/>
    <w:rPr>
      <w:sz w:val="20"/>
      <w:szCs w:val="20"/>
      <w:lang w:val="en-US"/>
    </w:rPr>
  </w:style>
  <w:style w:type="paragraph" w:styleId="CommentSubject">
    <w:name w:val="annotation subject"/>
    <w:basedOn w:val="CommentText"/>
    <w:next w:val="CommentText"/>
    <w:link w:val="CommentSubjectChar"/>
    <w:uiPriority w:val="99"/>
    <w:semiHidden/>
    <w:unhideWhenUsed/>
    <w:rsid w:val="00473E29"/>
    <w:rPr>
      <w:b/>
      <w:bCs/>
    </w:rPr>
  </w:style>
  <w:style w:type="character" w:customStyle="1" w:styleId="CommentSubjectChar">
    <w:name w:val="Comment Subject Char"/>
    <w:basedOn w:val="CommentTextChar"/>
    <w:link w:val="CommentSubject"/>
    <w:uiPriority w:val="99"/>
    <w:semiHidden/>
    <w:rsid w:val="00473E29"/>
    <w:rPr>
      <w:b/>
      <w:bCs/>
      <w:sz w:val="20"/>
      <w:szCs w:val="20"/>
      <w:lang w:val="en-US"/>
    </w:rPr>
  </w:style>
  <w:style w:type="paragraph" w:styleId="Revision">
    <w:name w:val="Revision"/>
    <w:hidden/>
    <w:uiPriority w:val="99"/>
    <w:semiHidden/>
    <w:rsid w:val="00473E29"/>
    <w:pPr>
      <w:spacing w:line="240" w:lineRule="auto"/>
    </w:pPr>
  </w:style>
  <w:style w:type="paragraph" w:styleId="NoSpacing">
    <w:name w:val="No Spacing"/>
    <w:uiPriority w:val="1"/>
    <w:qFormat/>
    <w:rsid w:val="00942895"/>
    <w:pPr>
      <w:spacing w:line="240" w:lineRule="auto"/>
    </w:pPr>
  </w:style>
  <w:style w:type="character" w:customStyle="1" w:styleId="apple-converted-space">
    <w:name w:val="apple-converted-space"/>
    <w:basedOn w:val="DefaultParagraphFont"/>
    <w:rsid w:val="00C97851"/>
  </w:style>
  <w:style w:type="table" w:styleId="PlainTable2">
    <w:name w:val="Plain Table 2"/>
    <w:basedOn w:val="TableNormal"/>
    <w:uiPriority w:val="42"/>
    <w:rsid w:val="001C2946"/>
    <w:pPr>
      <w:spacing w:line="240" w:lineRule="auto"/>
    </w:pPr>
    <w:rPr>
      <w:rFonts w:asciiTheme="minorHAnsi" w:eastAsiaTheme="minorEastAsia" w:hAnsiTheme="minorHAnsi" w:cstheme="minorBidi"/>
      <w:sz w:val="24"/>
      <w:szCs w:val="24"/>
      <w:lang w:val="en-US"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alloonText">
    <w:name w:val="Balloon Text"/>
    <w:basedOn w:val="Normal"/>
    <w:link w:val="BalloonTextChar"/>
    <w:uiPriority w:val="99"/>
    <w:semiHidden/>
    <w:unhideWhenUsed/>
    <w:rsid w:val="26EE1B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3FB5"/>
    <w:rPr>
      <w:rFonts w:ascii="Segoe UI" w:hAnsi="Segoe UI" w:cs="Segoe UI"/>
      <w:sz w:val="18"/>
      <w:szCs w:val="18"/>
      <w:lang w:val="en-US"/>
    </w:rPr>
  </w:style>
  <w:style w:type="character" w:customStyle="1" w:styleId="UnresolvedMention2">
    <w:name w:val="Unresolved Mention2"/>
    <w:basedOn w:val="DefaultParagraphFont"/>
    <w:uiPriority w:val="99"/>
    <w:semiHidden/>
    <w:unhideWhenUsed/>
    <w:rsid w:val="00A051E0"/>
    <w:rPr>
      <w:color w:val="605E5C"/>
      <w:shd w:val="clear" w:color="auto" w:fill="E1DFDD"/>
    </w:rPr>
  </w:style>
  <w:style w:type="character" w:styleId="LineNumber">
    <w:name w:val="line number"/>
    <w:basedOn w:val="DefaultParagraphFont"/>
    <w:uiPriority w:val="99"/>
    <w:semiHidden/>
    <w:unhideWhenUsed/>
    <w:rsid w:val="0012347C"/>
  </w:style>
  <w:style w:type="character" w:customStyle="1" w:styleId="gtcolumnspanner2">
    <w:name w:val="gt_column_spanner2"/>
    <w:basedOn w:val="DefaultParagraphFont"/>
    <w:rsid w:val="00A15546"/>
  </w:style>
  <w:style w:type="character" w:styleId="UnresolvedMention">
    <w:name w:val="Unresolved Mention"/>
    <w:basedOn w:val="DefaultParagraphFont"/>
    <w:uiPriority w:val="99"/>
    <w:semiHidden/>
    <w:unhideWhenUsed/>
    <w:rsid w:val="006554DB"/>
    <w:rPr>
      <w:color w:val="605E5C"/>
      <w:shd w:val="clear" w:color="auto" w:fill="E1DFDD"/>
    </w:rPr>
  </w:style>
  <w:style w:type="character" w:styleId="FollowedHyperlink">
    <w:name w:val="FollowedHyperlink"/>
    <w:basedOn w:val="DefaultParagraphFont"/>
    <w:uiPriority w:val="99"/>
    <w:semiHidden/>
    <w:unhideWhenUsed/>
    <w:rsid w:val="00DA1735"/>
    <w:rPr>
      <w:color w:val="800080" w:themeColor="followedHyperlink"/>
      <w:u w:val="single"/>
    </w:rPr>
  </w:style>
  <w:style w:type="character" w:customStyle="1" w:styleId="Heading7Char">
    <w:name w:val="Heading 7 Char"/>
    <w:basedOn w:val="DefaultParagraphFont"/>
    <w:link w:val="Heading7"/>
    <w:uiPriority w:val="9"/>
    <w:rsid w:val="00FD7717"/>
    <w:rPr>
      <w:rFonts w:asciiTheme="majorHAnsi" w:eastAsiaTheme="majorEastAsia" w:hAnsiTheme="majorHAnsi" w:cstheme="majorBidi"/>
      <w:i/>
      <w:iCs/>
      <w:color w:val="243F60"/>
      <w:lang w:val="en-US"/>
    </w:rPr>
  </w:style>
  <w:style w:type="character" w:customStyle="1" w:styleId="Heading8Char">
    <w:name w:val="Heading 8 Char"/>
    <w:basedOn w:val="DefaultParagraphFont"/>
    <w:link w:val="Heading8"/>
    <w:uiPriority w:val="9"/>
    <w:rsid w:val="00FD7717"/>
    <w:rPr>
      <w:rFonts w:asciiTheme="majorHAnsi" w:eastAsiaTheme="majorEastAsia" w:hAnsiTheme="majorHAnsi" w:cstheme="majorBidi"/>
      <w:color w:val="272727"/>
      <w:sz w:val="21"/>
      <w:szCs w:val="21"/>
      <w:lang w:val="en-US"/>
    </w:rPr>
  </w:style>
  <w:style w:type="character" w:customStyle="1" w:styleId="Heading9Char">
    <w:name w:val="Heading 9 Char"/>
    <w:basedOn w:val="DefaultParagraphFont"/>
    <w:link w:val="Heading9"/>
    <w:uiPriority w:val="9"/>
    <w:rsid w:val="00FD7717"/>
    <w:rPr>
      <w:rFonts w:asciiTheme="majorHAnsi" w:eastAsiaTheme="majorEastAsia" w:hAnsiTheme="majorHAnsi" w:cstheme="majorBidi"/>
      <w:i/>
      <w:iCs/>
      <w:color w:val="272727"/>
      <w:sz w:val="21"/>
      <w:szCs w:val="21"/>
      <w:lang w:val="en-US"/>
    </w:rPr>
  </w:style>
  <w:style w:type="paragraph" w:styleId="Quote">
    <w:name w:val="Quote"/>
    <w:basedOn w:val="Normal"/>
    <w:next w:val="Normal"/>
    <w:link w:val="QuoteChar"/>
    <w:uiPriority w:val="29"/>
    <w:qFormat/>
    <w:rsid w:val="00FD771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D7717"/>
    <w:rPr>
      <w:i/>
      <w:iCs/>
      <w:color w:val="404040" w:themeColor="text1" w:themeTint="BF"/>
      <w:lang w:val="en-US"/>
    </w:rPr>
  </w:style>
  <w:style w:type="paragraph" w:styleId="IntenseQuote">
    <w:name w:val="Intense Quote"/>
    <w:basedOn w:val="Normal"/>
    <w:next w:val="Normal"/>
    <w:link w:val="IntenseQuoteChar"/>
    <w:uiPriority w:val="30"/>
    <w:qFormat/>
    <w:rsid w:val="00FD7717"/>
    <w:pP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D7717"/>
    <w:rPr>
      <w:i/>
      <w:iCs/>
      <w:color w:val="4F81BD" w:themeColor="accent1"/>
      <w:lang w:val="en-US"/>
    </w:rPr>
  </w:style>
  <w:style w:type="paragraph" w:styleId="ListParagraph">
    <w:name w:val="List Paragraph"/>
    <w:basedOn w:val="Normal"/>
    <w:uiPriority w:val="34"/>
    <w:qFormat/>
    <w:rsid w:val="00FD7717"/>
    <w:pPr>
      <w:ind w:left="720"/>
      <w:contextualSpacing/>
    </w:pPr>
  </w:style>
  <w:style w:type="paragraph" w:styleId="TOC1">
    <w:name w:val="toc 1"/>
    <w:basedOn w:val="Normal"/>
    <w:next w:val="Normal"/>
    <w:uiPriority w:val="39"/>
    <w:unhideWhenUsed/>
    <w:rsid w:val="00FD7717"/>
    <w:pPr>
      <w:spacing w:after="100"/>
    </w:pPr>
  </w:style>
  <w:style w:type="paragraph" w:styleId="TOC2">
    <w:name w:val="toc 2"/>
    <w:basedOn w:val="Normal"/>
    <w:next w:val="Normal"/>
    <w:uiPriority w:val="39"/>
    <w:unhideWhenUsed/>
    <w:rsid w:val="00FD7717"/>
    <w:pPr>
      <w:spacing w:after="100"/>
      <w:ind w:left="220"/>
    </w:pPr>
  </w:style>
  <w:style w:type="paragraph" w:styleId="TOC3">
    <w:name w:val="toc 3"/>
    <w:basedOn w:val="Normal"/>
    <w:next w:val="Normal"/>
    <w:uiPriority w:val="39"/>
    <w:unhideWhenUsed/>
    <w:rsid w:val="00FD7717"/>
    <w:pPr>
      <w:spacing w:after="100"/>
      <w:ind w:left="440"/>
    </w:pPr>
  </w:style>
  <w:style w:type="paragraph" w:styleId="TOC4">
    <w:name w:val="toc 4"/>
    <w:basedOn w:val="Normal"/>
    <w:next w:val="Normal"/>
    <w:uiPriority w:val="39"/>
    <w:unhideWhenUsed/>
    <w:rsid w:val="00FD7717"/>
    <w:pPr>
      <w:spacing w:after="100"/>
      <w:ind w:left="660"/>
    </w:pPr>
  </w:style>
  <w:style w:type="paragraph" w:styleId="TOC5">
    <w:name w:val="toc 5"/>
    <w:basedOn w:val="Normal"/>
    <w:next w:val="Normal"/>
    <w:uiPriority w:val="39"/>
    <w:unhideWhenUsed/>
    <w:rsid w:val="00FD7717"/>
    <w:pPr>
      <w:spacing w:after="100"/>
      <w:ind w:left="880"/>
    </w:pPr>
  </w:style>
  <w:style w:type="paragraph" w:styleId="TOC6">
    <w:name w:val="toc 6"/>
    <w:basedOn w:val="Normal"/>
    <w:next w:val="Normal"/>
    <w:uiPriority w:val="39"/>
    <w:unhideWhenUsed/>
    <w:rsid w:val="00FD7717"/>
    <w:pPr>
      <w:spacing w:after="100"/>
      <w:ind w:left="1100"/>
    </w:pPr>
  </w:style>
  <w:style w:type="paragraph" w:styleId="TOC7">
    <w:name w:val="toc 7"/>
    <w:basedOn w:val="Normal"/>
    <w:next w:val="Normal"/>
    <w:uiPriority w:val="39"/>
    <w:unhideWhenUsed/>
    <w:rsid w:val="00FD7717"/>
    <w:pPr>
      <w:spacing w:after="100"/>
      <w:ind w:left="1320"/>
    </w:pPr>
  </w:style>
  <w:style w:type="paragraph" w:styleId="TOC8">
    <w:name w:val="toc 8"/>
    <w:basedOn w:val="Normal"/>
    <w:next w:val="Normal"/>
    <w:uiPriority w:val="39"/>
    <w:unhideWhenUsed/>
    <w:rsid w:val="00FD7717"/>
    <w:pPr>
      <w:spacing w:after="100"/>
      <w:ind w:left="1540"/>
    </w:pPr>
  </w:style>
  <w:style w:type="paragraph" w:styleId="TOC9">
    <w:name w:val="toc 9"/>
    <w:basedOn w:val="Normal"/>
    <w:next w:val="Normal"/>
    <w:uiPriority w:val="39"/>
    <w:unhideWhenUsed/>
    <w:rsid w:val="00FD7717"/>
    <w:pPr>
      <w:spacing w:after="100"/>
      <w:ind w:left="1760"/>
    </w:pPr>
  </w:style>
  <w:style w:type="paragraph" w:styleId="EndnoteText">
    <w:name w:val="endnote text"/>
    <w:basedOn w:val="Normal"/>
    <w:link w:val="EndnoteTextChar"/>
    <w:uiPriority w:val="99"/>
    <w:semiHidden/>
    <w:unhideWhenUsed/>
    <w:rsid w:val="4C345EE4"/>
    <w:rPr>
      <w:sz w:val="20"/>
      <w:szCs w:val="20"/>
    </w:rPr>
  </w:style>
  <w:style w:type="character" w:customStyle="1" w:styleId="EndnoteTextChar">
    <w:name w:val="Endnote Text Char"/>
    <w:basedOn w:val="DefaultParagraphFont"/>
    <w:link w:val="EndnoteText"/>
    <w:uiPriority w:val="99"/>
    <w:semiHidden/>
    <w:rsid w:val="00FD7717"/>
    <w:rPr>
      <w:sz w:val="20"/>
      <w:szCs w:val="20"/>
      <w:lang w:val="en-US"/>
    </w:rPr>
  </w:style>
  <w:style w:type="paragraph" w:styleId="FootnoteText">
    <w:name w:val="footnote text"/>
    <w:basedOn w:val="Normal"/>
    <w:link w:val="FootnoteTextChar"/>
    <w:uiPriority w:val="99"/>
    <w:semiHidden/>
    <w:unhideWhenUsed/>
    <w:rsid w:val="4C345EE4"/>
    <w:rPr>
      <w:sz w:val="20"/>
      <w:szCs w:val="20"/>
    </w:rPr>
  </w:style>
  <w:style w:type="character" w:customStyle="1" w:styleId="FootnoteTextChar">
    <w:name w:val="Footnote Text Char"/>
    <w:basedOn w:val="DefaultParagraphFont"/>
    <w:link w:val="FootnoteText"/>
    <w:uiPriority w:val="99"/>
    <w:semiHidden/>
    <w:rsid w:val="00FD7717"/>
    <w:rPr>
      <w:sz w:val="20"/>
      <w:szCs w:val="20"/>
      <w:lang w:val="en-US"/>
    </w:rPr>
  </w:style>
  <w:style w:type="paragraph" w:styleId="NormalWeb">
    <w:name w:val="Normal (Web)"/>
    <w:basedOn w:val="Normal"/>
    <w:uiPriority w:val="99"/>
    <w:semiHidden/>
    <w:unhideWhenUsed/>
    <w:rsid w:val="00883EDC"/>
    <w:pPr>
      <w:spacing w:before="100" w:beforeAutospacing="1" w:after="100" w:afterAutospacing="1" w:line="240" w:lineRule="auto"/>
    </w:pPr>
    <w:rPr>
      <w:rFonts w:ascii="Times New Roman" w:eastAsia="Times New Roman" w:hAnsi="Times New Roman" w:cs="Times New Roman"/>
      <w:sz w:val="24"/>
      <w:szCs w:val="24"/>
      <w:lang w:val="de-DE"/>
    </w:rPr>
  </w:style>
  <w:style w:type="character" w:styleId="FootnoteReference">
    <w:name w:val="footnote reference"/>
    <w:basedOn w:val="DefaultParagraphFont"/>
    <w:uiPriority w:val="99"/>
    <w:semiHidden/>
    <w:unhideWhenUsed/>
    <w:rsid w:val="00315398"/>
    <w:rPr>
      <w:vertAlign w:val="superscript"/>
    </w:rPr>
  </w:style>
  <w:style w:type="character" w:styleId="EndnoteReference">
    <w:name w:val="endnote reference"/>
    <w:basedOn w:val="DefaultParagraphFont"/>
    <w:uiPriority w:val="99"/>
    <w:semiHidden/>
    <w:unhideWhenUsed/>
    <w:rsid w:val="00B860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5193">
      <w:bodyDiv w:val="1"/>
      <w:marLeft w:val="0"/>
      <w:marRight w:val="0"/>
      <w:marTop w:val="0"/>
      <w:marBottom w:val="0"/>
      <w:divBdr>
        <w:top w:val="none" w:sz="0" w:space="0" w:color="auto"/>
        <w:left w:val="none" w:sz="0" w:space="0" w:color="auto"/>
        <w:bottom w:val="none" w:sz="0" w:space="0" w:color="auto"/>
        <w:right w:val="none" w:sz="0" w:space="0" w:color="auto"/>
      </w:divBdr>
    </w:div>
    <w:div w:id="170414455">
      <w:bodyDiv w:val="1"/>
      <w:marLeft w:val="0"/>
      <w:marRight w:val="0"/>
      <w:marTop w:val="0"/>
      <w:marBottom w:val="0"/>
      <w:divBdr>
        <w:top w:val="none" w:sz="0" w:space="0" w:color="auto"/>
        <w:left w:val="none" w:sz="0" w:space="0" w:color="auto"/>
        <w:bottom w:val="none" w:sz="0" w:space="0" w:color="auto"/>
        <w:right w:val="none" w:sz="0" w:space="0" w:color="auto"/>
      </w:divBdr>
    </w:div>
    <w:div w:id="272858259">
      <w:bodyDiv w:val="1"/>
      <w:marLeft w:val="0"/>
      <w:marRight w:val="0"/>
      <w:marTop w:val="0"/>
      <w:marBottom w:val="0"/>
      <w:divBdr>
        <w:top w:val="none" w:sz="0" w:space="0" w:color="auto"/>
        <w:left w:val="none" w:sz="0" w:space="0" w:color="auto"/>
        <w:bottom w:val="none" w:sz="0" w:space="0" w:color="auto"/>
        <w:right w:val="none" w:sz="0" w:space="0" w:color="auto"/>
      </w:divBdr>
    </w:div>
    <w:div w:id="329410929">
      <w:bodyDiv w:val="1"/>
      <w:marLeft w:val="0"/>
      <w:marRight w:val="0"/>
      <w:marTop w:val="0"/>
      <w:marBottom w:val="0"/>
      <w:divBdr>
        <w:top w:val="none" w:sz="0" w:space="0" w:color="auto"/>
        <w:left w:val="none" w:sz="0" w:space="0" w:color="auto"/>
        <w:bottom w:val="none" w:sz="0" w:space="0" w:color="auto"/>
        <w:right w:val="none" w:sz="0" w:space="0" w:color="auto"/>
      </w:divBdr>
    </w:div>
    <w:div w:id="359087302">
      <w:bodyDiv w:val="1"/>
      <w:marLeft w:val="0"/>
      <w:marRight w:val="0"/>
      <w:marTop w:val="0"/>
      <w:marBottom w:val="0"/>
      <w:divBdr>
        <w:top w:val="none" w:sz="0" w:space="0" w:color="auto"/>
        <w:left w:val="none" w:sz="0" w:space="0" w:color="auto"/>
        <w:bottom w:val="none" w:sz="0" w:space="0" w:color="auto"/>
        <w:right w:val="none" w:sz="0" w:space="0" w:color="auto"/>
      </w:divBdr>
    </w:div>
    <w:div w:id="596403321">
      <w:bodyDiv w:val="1"/>
      <w:marLeft w:val="0"/>
      <w:marRight w:val="0"/>
      <w:marTop w:val="0"/>
      <w:marBottom w:val="0"/>
      <w:divBdr>
        <w:top w:val="none" w:sz="0" w:space="0" w:color="auto"/>
        <w:left w:val="none" w:sz="0" w:space="0" w:color="auto"/>
        <w:bottom w:val="none" w:sz="0" w:space="0" w:color="auto"/>
        <w:right w:val="none" w:sz="0" w:space="0" w:color="auto"/>
      </w:divBdr>
    </w:div>
    <w:div w:id="640352877">
      <w:bodyDiv w:val="1"/>
      <w:marLeft w:val="0"/>
      <w:marRight w:val="0"/>
      <w:marTop w:val="0"/>
      <w:marBottom w:val="0"/>
      <w:divBdr>
        <w:top w:val="none" w:sz="0" w:space="0" w:color="auto"/>
        <w:left w:val="none" w:sz="0" w:space="0" w:color="auto"/>
        <w:bottom w:val="none" w:sz="0" w:space="0" w:color="auto"/>
        <w:right w:val="none" w:sz="0" w:space="0" w:color="auto"/>
      </w:divBdr>
    </w:div>
    <w:div w:id="721832852">
      <w:bodyDiv w:val="1"/>
      <w:marLeft w:val="0"/>
      <w:marRight w:val="0"/>
      <w:marTop w:val="0"/>
      <w:marBottom w:val="0"/>
      <w:divBdr>
        <w:top w:val="none" w:sz="0" w:space="0" w:color="auto"/>
        <w:left w:val="none" w:sz="0" w:space="0" w:color="auto"/>
        <w:bottom w:val="none" w:sz="0" w:space="0" w:color="auto"/>
        <w:right w:val="none" w:sz="0" w:space="0" w:color="auto"/>
      </w:divBdr>
    </w:div>
    <w:div w:id="800879441">
      <w:bodyDiv w:val="1"/>
      <w:marLeft w:val="0"/>
      <w:marRight w:val="0"/>
      <w:marTop w:val="0"/>
      <w:marBottom w:val="0"/>
      <w:divBdr>
        <w:top w:val="none" w:sz="0" w:space="0" w:color="auto"/>
        <w:left w:val="none" w:sz="0" w:space="0" w:color="auto"/>
        <w:bottom w:val="none" w:sz="0" w:space="0" w:color="auto"/>
        <w:right w:val="none" w:sz="0" w:space="0" w:color="auto"/>
      </w:divBdr>
      <w:divsChild>
        <w:div w:id="999113470">
          <w:marLeft w:val="0"/>
          <w:marRight w:val="0"/>
          <w:marTop w:val="0"/>
          <w:marBottom w:val="0"/>
          <w:divBdr>
            <w:top w:val="none" w:sz="0" w:space="0" w:color="auto"/>
            <w:left w:val="none" w:sz="0" w:space="0" w:color="auto"/>
            <w:bottom w:val="none" w:sz="0" w:space="0" w:color="auto"/>
            <w:right w:val="none" w:sz="0" w:space="0" w:color="auto"/>
          </w:divBdr>
          <w:divsChild>
            <w:div w:id="4988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485958">
      <w:bodyDiv w:val="1"/>
      <w:marLeft w:val="0"/>
      <w:marRight w:val="0"/>
      <w:marTop w:val="0"/>
      <w:marBottom w:val="0"/>
      <w:divBdr>
        <w:top w:val="none" w:sz="0" w:space="0" w:color="auto"/>
        <w:left w:val="none" w:sz="0" w:space="0" w:color="auto"/>
        <w:bottom w:val="none" w:sz="0" w:space="0" w:color="auto"/>
        <w:right w:val="none" w:sz="0" w:space="0" w:color="auto"/>
      </w:divBdr>
    </w:div>
    <w:div w:id="912591377">
      <w:bodyDiv w:val="1"/>
      <w:marLeft w:val="0"/>
      <w:marRight w:val="0"/>
      <w:marTop w:val="0"/>
      <w:marBottom w:val="0"/>
      <w:divBdr>
        <w:top w:val="none" w:sz="0" w:space="0" w:color="auto"/>
        <w:left w:val="none" w:sz="0" w:space="0" w:color="auto"/>
        <w:bottom w:val="none" w:sz="0" w:space="0" w:color="auto"/>
        <w:right w:val="none" w:sz="0" w:space="0" w:color="auto"/>
      </w:divBdr>
    </w:div>
    <w:div w:id="946810811">
      <w:bodyDiv w:val="1"/>
      <w:marLeft w:val="0"/>
      <w:marRight w:val="0"/>
      <w:marTop w:val="0"/>
      <w:marBottom w:val="0"/>
      <w:divBdr>
        <w:top w:val="none" w:sz="0" w:space="0" w:color="auto"/>
        <w:left w:val="none" w:sz="0" w:space="0" w:color="auto"/>
        <w:bottom w:val="none" w:sz="0" w:space="0" w:color="auto"/>
        <w:right w:val="none" w:sz="0" w:space="0" w:color="auto"/>
      </w:divBdr>
    </w:div>
    <w:div w:id="946888180">
      <w:bodyDiv w:val="1"/>
      <w:marLeft w:val="0"/>
      <w:marRight w:val="0"/>
      <w:marTop w:val="0"/>
      <w:marBottom w:val="0"/>
      <w:divBdr>
        <w:top w:val="none" w:sz="0" w:space="0" w:color="auto"/>
        <w:left w:val="none" w:sz="0" w:space="0" w:color="auto"/>
        <w:bottom w:val="none" w:sz="0" w:space="0" w:color="auto"/>
        <w:right w:val="none" w:sz="0" w:space="0" w:color="auto"/>
      </w:divBdr>
    </w:div>
    <w:div w:id="987828165">
      <w:bodyDiv w:val="1"/>
      <w:marLeft w:val="0"/>
      <w:marRight w:val="0"/>
      <w:marTop w:val="0"/>
      <w:marBottom w:val="0"/>
      <w:divBdr>
        <w:top w:val="none" w:sz="0" w:space="0" w:color="auto"/>
        <w:left w:val="none" w:sz="0" w:space="0" w:color="auto"/>
        <w:bottom w:val="none" w:sz="0" w:space="0" w:color="auto"/>
        <w:right w:val="none" w:sz="0" w:space="0" w:color="auto"/>
      </w:divBdr>
    </w:div>
    <w:div w:id="1158301942">
      <w:bodyDiv w:val="1"/>
      <w:marLeft w:val="0"/>
      <w:marRight w:val="0"/>
      <w:marTop w:val="0"/>
      <w:marBottom w:val="0"/>
      <w:divBdr>
        <w:top w:val="none" w:sz="0" w:space="0" w:color="auto"/>
        <w:left w:val="none" w:sz="0" w:space="0" w:color="auto"/>
        <w:bottom w:val="none" w:sz="0" w:space="0" w:color="auto"/>
        <w:right w:val="none" w:sz="0" w:space="0" w:color="auto"/>
      </w:divBdr>
      <w:divsChild>
        <w:div w:id="117840649">
          <w:marLeft w:val="0"/>
          <w:marRight w:val="0"/>
          <w:marTop w:val="0"/>
          <w:marBottom w:val="0"/>
          <w:divBdr>
            <w:top w:val="none" w:sz="0" w:space="0" w:color="auto"/>
            <w:left w:val="none" w:sz="0" w:space="0" w:color="auto"/>
            <w:bottom w:val="none" w:sz="0" w:space="0" w:color="auto"/>
            <w:right w:val="none" w:sz="0" w:space="0" w:color="auto"/>
          </w:divBdr>
          <w:divsChild>
            <w:div w:id="81842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963286">
      <w:bodyDiv w:val="1"/>
      <w:marLeft w:val="0"/>
      <w:marRight w:val="0"/>
      <w:marTop w:val="0"/>
      <w:marBottom w:val="0"/>
      <w:divBdr>
        <w:top w:val="none" w:sz="0" w:space="0" w:color="auto"/>
        <w:left w:val="none" w:sz="0" w:space="0" w:color="auto"/>
        <w:bottom w:val="none" w:sz="0" w:space="0" w:color="auto"/>
        <w:right w:val="none" w:sz="0" w:space="0" w:color="auto"/>
      </w:divBdr>
    </w:div>
    <w:div w:id="1195653293">
      <w:bodyDiv w:val="1"/>
      <w:marLeft w:val="0"/>
      <w:marRight w:val="0"/>
      <w:marTop w:val="0"/>
      <w:marBottom w:val="0"/>
      <w:divBdr>
        <w:top w:val="none" w:sz="0" w:space="0" w:color="auto"/>
        <w:left w:val="none" w:sz="0" w:space="0" w:color="auto"/>
        <w:bottom w:val="none" w:sz="0" w:space="0" w:color="auto"/>
        <w:right w:val="none" w:sz="0" w:space="0" w:color="auto"/>
      </w:divBdr>
    </w:div>
    <w:div w:id="1210073752">
      <w:bodyDiv w:val="1"/>
      <w:marLeft w:val="0"/>
      <w:marRight w:val="0"/>
      <w:marTop w:val="0"/>
      <w:marBottom w:val="0"/>
      <w:divBdr>
        <w:top w:val="none" w:sz="0" w:space="0" w:color="auto"/>
        <w:left w:val="none" w:sz="0" w:space="0" w:color="auto"/>
        <w:bottom w:val="none" w:sz="0" w:space="0" w:color="auto"/>
        <w:right w:val="none" w:sz="0" w:space="0" w:color="auto"/>
      </w:divBdr>
      <w:divsChild>
        <w:div w:id="1278874977">
          <w:marLeft w:val="480"/>
          <w:marRight w:val="0"/>
          <w:marTop w:val="0"/>
          <w:marBottom w:val="0"/>
          <w:divBdr>
            <w:top w:val="none" w:sz="0" w:space="0" w:color="auto"/>
            <w:left w:val="none" w:sz="0" w:space="0" w:color="auto"/>
            <w:bottom w:val="none" w:sz="0" w:space="0" w:color="auto"/>
            <w:right w:val="none" w:sz="0" w:space="0" w:color="auto"/>
          </w:divBdr>
          <w:divsChild>
            <w:div w:id="12935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02867">
      <w:bodyDiv w:val="1"/>
      <w:marLeft w:val="0"/>
      <w:marRight w:val="0"/>
      <w:marTop w:val="0"/>
      <w:marBottom w:val="0"/>
      <w:divBdr>
        <w:top w:val="none" w:sz="0" w:space="0" w:color="auto"/>
        <w:left w:val="none" w:sz="0" w:space="0" w:color="auto"/>
        <w:bottom w:val="none" w:sz="0" w:space="0" w:color="auto"/>
        <w:right w:val="none" w:sz="0" w:space="0" w:color="auto"/>
      </w:divBdr>
    </w:div>
    <w:div w:id="1266771984">
      <w:bodyDiv w:val="1"/>
      <w:marLeft w:val="0"/>
      <w:marRight w:val="0"/>
      <w:marTop w:val="0"/>
      <w:marBottom w:val="0"/>
      <w:divBdr>
        <w:top w:val="none" w:sz="0" w:space="0" w:color="auto"/>
        <w:left w:val="none" w:sz="0" w:space="0" w:color="auto"/>
        <w:bottom w:val="none" w:sz="0" w:space="0" w:color="auto"/>
        <w:right w:val="none" w:sz="0" w:space="0" w:color="auto"/>
      </w:divBdr>
    </w:div>
    <w:div w:id="1323195727">
      <w:bodyDiv w:val="1"/>
      <w:marLeft w:val="0"/>
      <w:marRight w:val="0"/>
      <w:marTop w:val="0"/>
      <w:marBottom w:val="0"/>
      <w:divBdr>
        <w:top w:val="none" w:sz="0" w:space="0" w:color="auto"/>
        <w:left w:val="none" w:sz="0" w:space="0" w:color="auto"/>
        <w:bottom w:val="none" w:sz="0" w:space="0" w:color="auto"/>
        <w:right w:val="none" w:sz="0" w:space="0" w:color="auto"/>
      </w:divBdr>
    </w:div>
    <w:div w:id="1365519249">
      <w:bodyDiv w:val="1"/>
      <w:marLeft w:val="0"/>
      <w:marRight w:val="0"/>
      <w:marTop w:val="0"/>
      <w:marBottom w:val="0"/>
      <w:divBdr>
        <w:top w:val="none" w:sz="0" w:space="0" w:color="auto"/>
        <w:left w:val="none" w:sz="0" w:space="0" w:color="auto"/>
        <w:bottom w:val="none" w:sz="0" w:space="0" w:color="auto"/>
        <w:right w:val="none" w:sz="0" w:space="0" w:color="auto"/>
      </w:divBdr>
    </w:div>
    <w:div w:id="1379015348">
      <w:bodyDiv w:val="1"/>
      <w:marLeft w:val="0"/>
      <w:marRight w:val="0"/>
      <w:marTop w:val="0"/>
      <w:marBottom w:val="0"/>
      <w:divBdr>
        <w:top w:val="none" w:sz="0" w:space="0" w:color="auto"/>
        <w:left w:val="none" w:sz="0" w:space="0" w:color="auto"/>
        <w:bottom w:val="none" w:sz="0" w:space="0" w:color="auto"/>
        <w:right w:val="none" w:sz="0" w:space="0" w:color="auto"/>
      </w:divBdr>
    </w:div>
    <w:div w:id="1434862263">
      <w:bodyDiv w:val="1"/>
      <w:marLeft w:val="0"/>
      <w:marRight w:val="0"/>
      <w:marTop w:val="0"/>
      <w:marBottom w:val="0"/>
      <w:divBdr>
        <w:top w:val="none" w:sz="0" w:space="0" w:color="auto"/>
        <w:left w:val="none" w:sz="0" w:space="0" w:color="auto"/>
        <w:bottom w:val="none" w:sz="0" w:space="0" w:color="auto"/>
        <w:right w:val="none" w:sz="0" w:space="0" w:color="auto"/>
      </w:divBdr>
    </w:div>
    <w:div w:id="1474102825">
      <w:bodyDiv w:val="1"/>
      <w:marLeft w:val="0"/>
      <w:marRight w:val="0"/>
      <w:marTop w:val="0"/>
      <w:marBottom w:val="0"/>
      <w:divBdr>
        <w:top w:val="none" w:sz="0" w:space="0" w:color="auto"/>
        <w:left w:val="none" w:sz="0" w:space="0" w:color="auto"/>
        <w:bottom w:val="none" w:sz="0" w:space="0" w:color="auto"/>
        <w:right w:val="none" w:sz="0" w:space="0" w:color="auto"/>
      </w:divBdr>
    </w:div>
    <w:div w:id="1537352983">
      <w:bodyDiv w:val="1"/>
      <w:marLeft w:val="0"/>
      <w:marRight w:val="0"/>
      <w:marTop w:val="0"/>
      <w:marBottom w:val="0"/>
      <w:divBdr>
        <w:top w:val="none" w:sz="0" w:space="0" w:color="auto"/>
        <w:left w:val="none" w:sz="0" w:space="0" w:color="auto"/>
        <w:bottom w:val="none" w:sz="0" w:space="0" w:color="auto"/>
        <w:right w:val="none" w:sz="0" w:space="0" w:color="auto"/>
      </w:divBdr>
      <w:divsChild>
        <w:div w:id="2005886952">
          <w:marLeft w:val="0"/>
          <w:marRight w:val="0"/>
          <w:marTop w:val="0"/>
          <w:marBottom w:val="0"/>
          <w:divBdr>
            <w:top w:val="none" w:sz="0" w:space="0" w:color="auto"/>
            <w:left w:val="none" w:sz="0" w:space="0" w:color="auto"/>
            <w:bottom w:val="none" w:sz="0" w:space="0" w:color="auto"/>
            <w:right w:val="none" w:sz="0" w:space="0" w:color="auto"/>
          </w:divBdr>
          <w:divsChild>
            <w:div w:id="12284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295472">
      <w:bodyDiv w:val="1"/>
      <w:marLeft w:val="0"/>
      <w:marRight w:val="0"/>
      <w:marTop w:val="0"/>
      <w:marBottom w:val="0"/>
      <w:divBdr>
        <w:top w:val="none" w:sz="0" w:space="0" w:color="auto"/>
        <w:left w:val="none" w:sz="0" w:space="0" w:color="auto"/>
        <w:bottom w:val="none" w:sz="0" w:space="0" w:color="auto"/>
        <w:right w:val="none" w:sz="0" w:space="0" w:color="auto"/>
      </w:divBdr>
    </w:div>
    <w:div w:id="1917284574">
      <w:bodyDiv w:val="1"/>
      <w:marLeft w:val="0"/>
      <w:marRight w:val="0"/>
      <w:marTop w:val="0"/>
      <w:marBottom w:val="0"/>
      <w:divBdr>
        <w:top w:val="none" w:sz="0" w:space="0" w:color="auto"/>
        <w:left w:val="none" w:sz="0" w:space="0" w:color="auto"/>
        <w:bottom w:val="none" w:sz="0" w:space="0" w:color="auto"/>
        <w:right w:val="none" w:sz="0" w:space="0" w:color="auto"/>
      </w:divBdr>
      <w:divsChild>
        <w:div w:id="199785584">
          <w:marLeft w:val="480"/>
          <w:marRight w:val="0"/>
          <w:marTop w:val="0"/>
          <w:marBottom w:val="0"/>
          <w:divBdr>
            <w:top w:val="none" w:sz="0" w:space="0" w:color="auto"/>
            <w:left w:val="none" w:sz="0" w:space="0" w:color="auto"/>
            <w:bottom w:val="none" w:sz="0" w:space="0" w:color="auto"/>
            <w:right w:val="none" w:sz="0" w:space="0" w:color="auto"/>
          </w:divBdr>
          <w:divsChild>
            <w:div w:id="107840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69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ccfa179-67bf-4d10-bbba-21c8c84f64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23E00A2F4F5B4D85822BBFE364215E" ma:contentTypeVersion="15" ma:contentTypeDescription="Create a new document." ma:contentTypeScope="" ma:versionID="ff7d353d2b4a132cfe9752defc8f8563">
  <xsd:schema xmlns:xsd="http://www.w3.org/2001/XMLSchema" xmlns:xs="http://www.w3.org/2001/XMLSchema" xmlns:p="http://schemas.microsoft.com/office/2006/metadata/properties" xmlns:ns3="7ccfa179-67bf-4d10-bbba-21c8c84f64c9" xmlns:ns4="4befe00a-4b9c-4fa3-876d-5a34fb8d0bfe" targetNamespace="http://schemas.microsoft.com/office/2006/metadata/properties" ma:root="true" ma:fieldsID="45a02e249dd93ae111a616f6aee85fb7" ns3:_="" ns4:_="">
    <xsd:import namespace="7ccfa179-67bf-4d10-bbba-21c8c84f64c9"/>
    <xsd:import namespace="4befe00a-4b9c-4fa3-876d-5a34fb8d0bf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fa179-67bf-4d10-bbba-21c8c84f64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fe00a-4b9c-4fa3-876d-5a34fb8d0b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3FED72-C4AD-4FD6-80D3-8B6820DFA7D2}">
  <ds:schemaRefs>
    <ds:schemaRef ds:uri="http://schemas.microsoft.com/sharepoint/v3/contenttype/forms"/>
  </ds:schemaRefs>
</ds:datastoreItem>
</file>

<file path=customXml/itemProps2.xml><?xml version="1.0" encoding="utf-8"?>
<ds:datastoreItem xmlns:ds="http://schemas.openxmlformats.org/officeDocument/2006/customXml" ds:itemID="{104D020B-AD89-4AFD-A4D4-B30D414F58BD}">
  <ds:schemaRef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www.w3.org/XML/1998/namespace"/>
    <ds:schemaRef ds:uri="http://purl.org/dc/terms/"/>
    <ds:schemaRef ds:uri="4befe00a-4b9c-4fa3-876d-5a34fb8d0bfe"/>
    <ds:schemaRef ds:uri="7ccfa179-67bf-4d10-bbba-21c8c84f64c9"/>
    <ds:schemaRef ds:uri="http://schemas.microsoft.com/office/2006/metadata/properties"/>
  </ds:schemaRefs>
</ds:datastoreItem>
</file>

<file path=customXml/itemProps3.xml><?xml version="1.0" encoding="utf-8"?>
<ds:datastoreItem xmlns:ds="http://schemas.openxmlformats.org/officeDocument/2006/customXml" ds:itemID="{CA58D480-FEBB-4FD7-9757-35FF8D57C6C6}">
  <ds:schemaRefs>
    <ds:schemaRef ds:uri="http://schemas.openxmlformats.org/officeDocument/2006/bibliography"/>
  </ds:schemaRefs>
</ds:datastoreItem>
</file>

<file path=customXml/itemProps4.xml><?xml version="1.0" encoding="utf-8"?>
<ds:datastoreItem xmlns:ds="http://schemas.openxmlformats.org/officeDocument/2006/customXml" ds:itemID="{511C49F2-DC32-4358-ABED-BEEF93C4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cfa179-67bf-4d10-bbba-21c8c84f64c9"/>
    <ds:schemaRef ds:uri="4befe00a-4b9c-4fa3-876d-5a34fb8d0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19133</Words>
  <Characters>120543</Characters>
  <Application>Microsoft Office Word</Application>
  <DocSecurity>0</DocSecurity>
  <Lines>1004</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139398</CharactersWithSpaces>
  <SharedDoc>false</SharedDoc>
  <HLinks>
    <vt:vector size="6" baseType="variant">
      <vt:variant>
        <vt:i4>852037</vt:i4>
      </vt:variant>
      <vt:variant>
        <vt:i4>174</vt:i4>
      </vt:variant>
      <vt:variant>
        <vt:i4>0</vt:i4>
      </vt:variant>
      <vt:variant>
        <vt:i4>5</vt:i4>
      </vt:variant>
      <vt:variant>
        <vt:lpwstr>https://doi.org/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Timonin</dc:creator>
  <cp:keywords/>
  <dc:description/>
  <cp:lastModifiedBy>Antonino Polizzi</cp:lastModifiedBy>
  <cp:revision>94</cp:revision>
  <cp:lastPrinted>2025-01-31T17:52:00Z</cp:lastPrinted>
  <dcterms:created xsi:type="dcterms:W3CDTF">2025-01-28T16:21:00Z</dcterms:created>
  <dcterms:modified xsi:type="dcterms:W3CDTF">2025-01-31T19:55:00Z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id="p27tJ9Us"/&gt;&lt;style id="http://www.zotero.org/styles/taylor-and-francis-apa" hasBibliography="1" bibliographyStyleHasBeenSet="1"/&gt;&lt;prefs&gt;&lt;pref name="fieldType" value="Field"/&gt;&lt;pref name="delayCitat</vt:lpwstr>
  </property>
  <property fmtid="{D5CDD505-2E9C-101B-9397-08002B2CF9AE}" pid="3" name="ContentTypeId">
    <vt:lpwstr>0x0101009C23E00A2F4F5B4D85822BBFE364215E</vt:lpwstr>
  </property>
  <property fmtid="{D5CDD505-2E9C-101B-9397-08002B2CF9AE}" pid="4" name="ZOTERO_PREF_2">
    <vt:lpwstr>ionUpdates" value="true"/&gt;&lt;/prefs&gt;&lt;/data&gt;</vt:lpwstr>
  </property>
</Properties>
</file>