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AEB" w:rsidRPr="00DB0AEB" w:rsidRDefault="00DB0AEB" w:rsidP="00DB0AEB">
      <w:pPr>
        <w:spacing w:line="480" w:lineRule="auto"/>
        <w:jc w:val="both"/>
        <w:rPr>
          <w:rFonts w:ascii="Cambria" w:hAnsi="Cambria" w:cs="Times New Roman"/>
          <w:b/>
          <w:bCs/>
          <w:sz w:val="24"/>
          <w:szCs w:val="24"/>
        </w:rPr>
      </w:pPr>
      <w:r w:rsidRPr="00DB0AEB">
        <w:rPr>
          <w:rFonts w:ascii="Cambria" w:hAnsi="Cambria" w:cs="Times New Roman"/>
          <w:b/>
          <w:bCs/>
          <w:sz w:val="24"/>
          <w:szCs w:val="24"/>
        </w:rPr>
        <w:t>Landscape connectivity prioritization</w:t>
      </w:r>
    </w:p>
    <w:p w:rsidR="00DB0AEB" w:rsidRPr="00143BBD" w:rsidRDefault="00DB0AEB" w:rsidP="00DB0AEB">
      <w:pPr>
        <w:spacing w:line="480" w:lineRule="auto"/>
        <w:jc w:val="both"/>
        <w:rPr>
          <w:rStyle w:val="fontstyle01"/>
          <w:rFonts w:ascii="Cambria" w:hAnsi="Cambria"/>
          <w:sz w:val="24"/>
          <w:szCs w:val="24"/>
        </w:rPr>
      </w:pPr>
      <w:r w:rsidRPr="00143BBD">
        <w:rPr>
          <w:rFonts w:ascii="Cambria" w:hAnsi="Cambria" w:cs="Times New Roman"/>
          <w:sz w:val="24"/>
          <w:szCs w:val="24"/>
        </w:rPr>
        <w:t xml:space="preserve">Landscape connectivity prioritization was implemented based on the probability of connectivity (PC) index using </w:t>
      </w:r>
      <w:proofErr w:type="spellStart"/>
      <w:r w:rsidRPr="00143BBD">
        <w:rPr>
          <w:rFonts w:ascii="Cambria" w:hAnsi="Cambria" w:cs="Times New Roman"/>
          <w:sz w:val="24"/>
          <w:szCs w:val="24"/>
        </w:rPr>
        <w:t>Conefor</w:t>
      </w:r>
      <w:proofErr w:type="spellEnd"/>
      <w:r w:rsidRPr="00143BBD">
        <w:rPr>
          <w:rFonts w:ascii="Cambria" w:hAnsi="Cambria" w:cs="Times New Roman"/>
          <w:sz w:val="24"/>
          <w:szCs w:val="24"/>
        </w:rPr>
        <w:t xml:space="preserve"> 2.6 software. </w:t>
      </w:r>
      <w:r w:rsidRPr="00143BBD">
        <w:rPr>
          <w:rStyle w:val="fontstyle01"/>
          <w:rFonts w:ascii="Cambria" w:hAnsi="Cambria"/>
          <w:sz w:val="24"/>
          <w:szCs w:val="24"/>
        </w:rPr>
        <w:t>PC can be defined as the probability that two animals randomly placed within the landscape fall into habitat areas that are reachable from each other (interconnected) given the set of habitat patches and the connections among them.</w:t>
      </w:r>
      <w:r>
        <w:rPr>
          <w:rStyle w:val="fontstyle01"/>
          <w:rFonts w:ascii="Cambria" w:hAnsi="Cambria"/>
          <w:sz w:val="24"/>
          <w:szCs w:val="24"/>
        </w:rPr>
        <w:t xml:space="preserve"> We used </w:t>
      </w:r>
      <w:proofErr w:type="spellStart"/>
      <w:r w:rsidRPr="00143BBD">
        <w:rPr>
          <w:rStyle w:val="fontstyle01"/>
          <w:rFonts w:ascii="Cambria" w:hAnsi="Cambria"/>
          <w:sz w:val="24"/>
          <w:szCs w:val="24"/>
        </w:rPr>
        <w:t>Conefor</w:t>
      </w:r>
      <w:proofErr w:type="spellEnd"/>
      <w:r w:rsidRPr="00143BBD">
        <w:rPr>
          <w:rStyle w:val="fontstyle01"/>
          <w:rFonts w:ascii="Cambria" w:hAnsi="Cambria"/>
          <w:sz w:val="24"/>
          <w:szCs w:val="24"/>
        </w:rPr>
        <w:t xml:space="preserve"> 2.6 software </w:t>
      </w:r>
      <w:r>
        <w:rPr>
          <w:rStyle w:val="fontstyle01"/>
          <w:rFonts w:ascii="Cambria" w:hAnsi="Cambria"/>
          <w:sz w:val="24"/>
          <w:szCs w:val="24"/>
        </w:rPr>
        <w:t>to calculate</w:t>
      </w:r>
      <w:r w:rsidRPr="00143BBD">
        <w:rPr>
          <w:rStyle w:val="fontstyle01"/>
          <w:rFonts w:ascii="Cambria" w:hAnsi="Cambria"/>
          <w:sz w:val="24"/>
          <w:szCs w:val="24"/>
        </w:rPr>
        <w:t xml:space="preserve"> PC </w:t>
      </w:r>
      <w:r>
        <w:rPr>
          <w:rStyle w:val="fontstyle01"/>
          <w:rFonts w:ascii="Cambria" w:hAnsi="Cambria"/>
          <w:sz w:val="24"/>
          <w:szCs w:val="24"/>
        </w:rPr>
        <w:t>index</w:t>
      </w:r>
      <w:r w:rsidRPr="00143BBD">
        <w:rPr>
          <w:rStyle w:val="fontstyle01"/>
          <w:rFonts w:ascii="Cambria" w:hAnsi="Cambria"/>
          <w:sz w:val="24"/>
          <w:szCs w:val="24"/>
        </w:rPr>
        <w:t xml:space="preserve"> as following equation (</w:t>
      </w:r>
      <w:proofErr w:type="spellStart"/>
      <w:r w:rsidRPr="00143BBD">
        <w:rPr>
          <w:rStyle w:val="fontstyle01"/>
          <w:rFonts w:ascii="Cambria" w:hAnsi="Cambria"/>
          <w:sz w:val="24"/>
          <w:szCs w:val="24"/>
        </w:rPr>
        <w:t>Saura</w:t>
      </w:r>
      <w:proofErr w:type="spellEnd"/>
      <w:r w:rsidRPr="00143BBD">
        <w:rPr>
          <w:rStyle w:val="fontstyle01"/>
          <w:rFonts w:ascii="Cambria" w:hAnsi="Cambria"/>
          <w:sz w:val="24"/>
          <w:szCs w:val="24"/>
        </w:rPr>
        <w:t xml:space="preserve"> and </w:t>
      </w:r>
      <w:proofErr w:type="spellStart"/>
      <w:r w:rsidRPr="00143BBD">
        <w:rPr>
          <w:rStyle w:val="fontstyle01"/>
          <w:rFonts w:ascii="Cambria" w:hAnsi="Cambria"/>
          <w:sz w:val="24"/>
          <w:szCs w:val="24"/>
        </w:rPr>
        <w:t>Pascual-Hortal</w:t>
      </w:r>
      <w:proofErr w:type="spellEnd"/>
      <w:r w:rsidRPr="00143BBD">
        <w:rPr>
          <w:rStyle w:val="fontstyle01"/>
          <w:rFonts w:ascii="Cambria" w:hAnsi="Cambria"/>
          <w:sz w:val="24"/>
          <w:szCs w:val="24"/>
        </w:rPr>
        <w:t xml:space="preserve"> 2007):</w:t>
      </w:r>
    </w:p>
    <w:p w:rsidR="00DB0AEB" w:rsidRPr="00143BBD" w:rsidRDefault="00DB0AEB" w:rsidP="00DB0AEB">
      <w:pPr>
        <w:spacing w:after="120" w:line="480" w:lineRule="auto"/>
        <w:jc w:val="center"/>
        <w:rPr>
          <w:rStyle w:val="fontstyle01"/>
          <w:rFonts w:ascii="Cambria" w:eastAsia="Times New Roman" w:hAnsi="Cambria"/>
          <w:sz w:val="24"/>
          <w:szCs w:val="24"/>
        </w:rPr>
      </w:pPr>
      <w:r w:rsidRPr="00143BBD">
        <w:rPr>
          <w:rStyle w:val="fontstyle01"/>
          <w:rFonts w:ascii="Cambria" w:eastAsia="Times New Roman" w:hAnsi="Cambria" w:cstheme="majorBidi"/>
          <w:noProof/>
          <w:sz w:val="24"/>
          <w:szCs w:val="24"/>
        </w:rPr>
        <w:object w:dxaOrig="33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7pt;height:43.8pt;mso-width-percent:0;mso-height-percent:0;mso-width-percent:0;mso-height-percent:0" o:ole="">
            <v:imagedata r:id="rId4" o:title=""/>
          </v:shape>
          <o:OLEObject Type="Embed" ProgID="Equation.DSMT4" ShapeID="_x0000_i1025" DrawAspect="Content" ObjectID="_1646552875" r:id="rId5"/>
        </w:object>
      </w:r>
    </w:p>
    <w:p w:rsidR="00DB0AEB" w:rsidRPr="00143BBD" w:rsidRDefault="00DB0AEB" w:rsidP="00DB0AEB">
      <w:pPr>
        <w:spacing w:after="120" w:line="480" w:lineRule="auto"/>
        <w:ind w:firstLine="426"/>
        <w:jc w:val="both"/>
        <w:rPr>
          <w:rStyle w:val="fontstyle01"/>
          <w:rFonts w:ascii="Cambria" w:hAnsi="Cambria"/>
          <w:sz w:val="24"/>
          <w:szCs w:val="24"/>
        </w:rPr>
      </w:pPr>
      <w:r w:rsidRPr="00143BBD">
        <w:rPr>
          <w:rStyle w:val="fontstyle01"/>
          <w:rFonts w:ascii="Cambria" w:hAnsi="Cambria"/>
          <w:sz w:val="24"/>
          <w:szCs w:val="24"/>
        </w:rPr>
        <w:t>Where</w:t>
      </w:r>
      <w:r w:rsidRPr="00143BBD">
        <w:rPr>
          <w:rStyle w:val="fontstyle01"/>
          <w:rFonts w:ascii="Cambria" w:eastAsia="Times New Roman" w:hAnsi="Cambria"/>
          <w:sz w:val="24"/>
          <w:szCs w:val="24"/>
        </w:rPr>
        <w:t xml:space="preserve"> </w:t>
      </w:r>
      <w:proofErr w:type="spellStart"/>
      <w:r w:rsidRPr="00143BBD">
        <w:rPr>
          <w:rStyle w:val="fontstyle01"/>
          <w:rFonts w:ascii="Cambria" w:eastAsia="Times New Roman" w:hAnsi="Cambria"/>
          <w:i/>
          <w:iCs/>
          <w:sz w:val="24"/>
          <w:szCs w:val="24"/>
        </w:rPr>
        <w:t>a</w:t>
      </w:r>
      <w:r w:rsidRPr="00143BBD">
        <w:rPr>
          <w:rStyle w:val="fontstyle01"/>
          <w:rFonts w:ascii="Cambria" w:eastAsia="Times New Roman" w:hAnsi="Cambria"/>
          <w:i/>
          <w:iCs/>
          <w:sz w:val="24"/>
          <w:szCs w:val="24"/>
          <w:vertAlign w:val="subscript"/>
        </w:rPr>
        <w:t>i</w:t>
      </w:r>
      <w:proofErr w:type="spellEnd"/>
      <w:r w:rsidRPr="00143BBD">
        <w:rPr>
          <w:rStyle w:val="fontstyle01"/>
          <w:rFonts w:ascii="Cambria" w:eastAsia="Times New Roman" w:hAnsi="Cambria"/>
          <w:sz w:val="24"/>
          <w:szCs w:val="24"/>
        </w:rPr>
        <w:t xml:space="preserve"> a</w:t>
      </w:r>
      <w:r w:rsidRPr="00143BBD">
        <w:rPr>
          <w:rStyle w:val="fontstyle01"/>
          <w:rFonts w:ascii="Cambria" w:hAnsi="Cambria"/>
          <w:sz w:val="24"/>
          <w:szCs w:val="24"/>
        </w:rPr>
        <w:t xml:space="preserve">nd </w:t>
      </w:r>
      <w:proofErr w:type="spellStart"/>
      <w:r w:rsidRPr="00143BBD">
        <w:rPr>
          <w:rStyle w:val="fontstyle01"/>
          <w:rFonts w:ascii="Cambria" w:eastAsia="Times New Roman" w:hAnsi="Cambria"/>
          <w:i/>
          <w:iCs/>
          <w:sz w:val="24"/>
          <w:szCs w:val="24"/>
        </w:rPr>
        <w:t>a</w:t>
      </w:r>
      <w:r w:rsidRPr="00143BBD">
        <w:rPr>
          <w:rStyle w:val="fontstyle01"/>
          <w:rFonts w:ascii="Cambria" w:eastAsia="Times New Roman" w:hAnsi="Cambria"/>
          <w:i/>
          <w:iCs/>
          <w:sz w:val="24"/>
          <w:szCs w:val="24"/>
          <w:vertAlign w:val="subscript"/>
        </w:rPr>
        <w:t>j</w:t>
      </w:r>
      <w:proofErr w:type="spellEnd"/>
      <w:r w:rsidRPr="00143BBD">
        <w:rPr>
          <w:rStyle w:val="fontstyle01"/>
          <w:rFonts w:ascii="Cambria" w:hAnsi="Cambria"/>
          <w:sz w:val="24"/>
          <w:szCs w:val="24"/>
        </w:rPr>
        <w:t xml:space="preserve"> are the habitat quality (here </w:t>
      </w:r>
      <w:r w:rsidRPr="00143BBD">
        <w:rPr>
          <w:rFonts w:ascii="Cambria" w:hAnsi="Cambria" w:cstheme="majorBidi"/>
          <w:sz w:val="24"/>
          <w:szCs w:val="24"/>
        </w:rPr>
        <w:t>extent of suitable habitats</w:t>
      </w:r>
      <w:r w:rsidRPr="00143BBD">
        <w:rPr>
          <w:rStyle w:val="fontstyle01"/>
          <w:rFonts w:ascii="Cambria" w:hAnsi="Cambria"/>
          <w:sz w:val="24"/>
          <w:szCs w:val="24"/>
        </w:rPr>
        <w:t xml:space="preserve">) of the conservation area </w:t>
      </w:r>
      <w:proofErr w:type="spellStart"/>
      <w:r w:rsidRPr="00143BBD">
        <w:rPr>
          <w:rStyle w:val="fontstyle01"/>
          <w:rFonts w:ascii="Cambria" w:hAnsi="Cambria"/>
          <w:i/>
          <w:iCs/>
          <w:sz w:val="24"/>
          <w:szCs w:val="24"/>
        </w:rPr>
        <w:t>i</w:t>
      </w:r>
      <w:proofErr w:type="spellEnd"/>
      <w:r w:rsidRPr="00143BBD">
        <w:rPr>
          <w:rStyle w:val="fontstyle01"/>
          <w:rFonts w:ascii="Cambria" w:hAnsi="Cambria"/>
          <w:sz w:val="24"/>
          <w:szCs w:val="24"/>
        </w:rPr>
        <w:t xml:space="preserve"> and </w:t>
      </w:r>
      <w:r w:rsidRPr="00143BBD">
        <w:rPr>
          <w:rStyle w:val="fontstyle01"/>
          <w:rFonts w:ascii="Cambria" w:hAnsi="Cambria"/>
          <w:i/>
          <w:iCs/>
          <w:sz w:val="24"/>
          <w:szCs w:val="24"/>
        </w:rPr>
        <w:t>j</w:t>
      </w:r>
      <w:r w:rsidRPr="00143BBD">
        <w:rPr>
          <w:rStyle w:val="fontstyle01"/>
          <w:rFonts w:ascii="Cambria" w:hAnsi="Cambria"/>
          <w:sz w:val="24"/>
          <w:szCs w:val="24"/>
        </w:rPr>
        <w:t xml:space="preserve">, A is the sum of the habitat quality of all the conservation areas in the landscape, and </w:t>
      </w:r>
      <m:oMath>
        <m:sSubSup>
          <m:sSubSupPr>
            <m:ctrlPr>
              <w:rPr>
                <w:rStyle w:val="fontstyle01"/>
                <w:rFonts w:ascii="Cambria Math" w:hAnsi="Cambria Math" w:cstheme="majorBidi"/>
                <w:i/>
                <w:sz w:val="24"/>
                <w:szCs w:val="24"/>
              </w:rPr>
            </m:ctrlPr>
          </m:sSubSupPr>
          <m:e>
            <m:r>
              <w:rPr>
                <w:rStyle w:val="fontstyle01"/>
                <w:rFonts w:ascii="Cambria Math" w:hAnsi="Cambria Math"/>
                <w:sz w:val="24"/>
                <w:szCs w:val="24"/>
              </w:rPr>
              <m:t>p</m:t>
            </m:r>
          </m:e>
          <m:sub>
            <m:r>
              <w:rPr>
                <w:rStyle w:val="fontstyle01"/>
                <w:rFonts w:ascii="Cambria Math" w:hAnsi="Cambria Math"/>
                <w:sz w:val="24"/>
                <w:szCs w:val="24"/>
              </w:rPr>
              <m:t>ij</m:t>
            </m:r>
          </m:sub>
          <m:sup>
            <m:r>
              <w:rPr>
                <w:rStyle w:val="fontstyle01"/>
                <w:rFonts w:ascii="Cambria Math" w:hAnsi="Cambria Math"/>
                <w:sz w:val="24"/>
                <w:szCs w:val="24"/>
              </w:rPr>
              <m:t>*</m:t>
            </m:r>
          </m:sup>
        </m:sSubSup>
      </m:oMath>
      <w:r w:rsidRPr="00143BBD">
        <w:rPr>
          <w:rStyle w:val="fontstyle01"/>
          <w:rFonts w:ascii="Cambria" w:hAnsi="Cambria"/>
          <w:sz w:val="24"/>
          <w:szCs w:val="24"/>
        </w:rPr>
        <w:t xml:space="preserve"> is the maximum product probability of all of the possible paths between conservation area</w:t>
      </w:r>
      <w:r w:rsidRPr="00143BBD">
        <w:rPr>
          <w:rStyle w:val="fontstyle01"/>
          <w:rFonts w:ascii="Cambria" w:hAnsi="Cambria"/>
          <w:i/>
          <w:iCs/>
          <w:sz w:val="24"/>
          <w:szCs w:val="24"/>
        </w:rPr>
        <w:t xml:space="preserve"> </w:t>
      </w:r>
      <w:proofErr w:type="spellStart"/>
      <w:r w:rsidRPr="00143BBD">
        <w:rPr>
          <w:rStyle w:val="fontstyle01"/>
          <w:rFonts w:ascii="Cambria" w:hAnsi="Cambria"/>
          <w:i/>
          <w:iCs/>
          <w:sz w:val="24"/>
          <w:szCs w:val="24"/>
        </w:rPr>
        <w:t>i</w:t>
      </w:r>
      <w:proofErr w:type="spellEnd"/>
      <w:r w:rsidRPr="00143BBD">
        <w:rPr>
          <w:rStyle w:val="fontstyle01"/>
          <w:rFonts w:ascii="Cambria" w:hAnsi="Cambria"/>
          <w:sz w:val="24"/>
          <w:szCs w:val="24"/>
        </w:rPr>
        <w:t xml:space="preserve"> and </w:t>
      </w:r>
      <w:r w:rsidRPr="00143BBD">
        <w:rPr>
          <w:rStyle w:val="fontstyle01"/>
          <w:rFonts w:ascii="Cambria" w:hAnsi="Cambria"/>
          <w:i/>
          <w:iCs/>
          <w:sz w:val="24"/>
          <w:szCs w:val="24"/>
        </w:rPr>
        <w:t>j</w:t>
      </w:r>
      <w:r w:rsidRPr="00143BBD">
        <w:rPr>
          <w:rStyle w:val="fontstyle01"/>
          <w:rFonts w:ascii="Cambria" w:hAnsi="Cambria"/>
          <w:sz w:val="24"/>
          <w:szCs w:val="24"/>
        </w:rPr>
        <w:t xml:space="preserve"> which follows a negative exponential function of effective distance sets in the study. We calculated Euclidean edge-to-edge distances among all the ICNs using the </w:t>
      </w:r>
      <w:proofErr w:type="spellStart"/>
      <w:r w:rsidRPr="00143BBD">
        <w:rPr>
          <w:rStyle w:val="fontstyle01"/>
          <w:rFonts w:ascii="Cambria" w:hAnsi="Cambria"/>
          <w:sz w:val="24"/>
          <w:szCs w:val="24"/>
        </w:rPr>
        <w:t>Conefor</w:t>
      </w:r>
      <w:proofErr w:type="spellEnd"/>
      <w:r w:rsidRPr="00143BBD">
        <w:rPr>
          <w:rStyle w:val="fontstyle01"/>
          <w:rFonts w:ascii="Cambria" w:hAnsi="Cambria"/>
          <w:sz w:val="24"/>
          <w:szCs w:val="24"/>
        </w:rPr>
        <w:t xml:space="preserve"> extension in ArcGIS software. </w:t>
      </w:r>
      <w:proofErr w:type="spellStart"/>
      <w:r w:rsidRPr="00143BBD">
        <w:rPr>
          <w:rStyle w:val="fontstyle01"/>
          <w:rFonts w:ascii="Cambria" w:hAnsi="Cambria"/>
          <w:sz w:val="24"/>
          <w:szCs w:val="24"/>
        </w:rPr>
        <w:t>Conefor</w:t>
      </w:r>
      <w:proofErr w:type="spellEnd"/>
      <w:r w:rsidRPr="00143BBD">
        <w:rPr>
          <w:rStyle w:val="fontstyle01"/>
          <w:rFonts w:ascii="Cambria" w:hAnsi="Cambria"/>
          <w:sz w:val="24"/>
          <w:szCs w:val="24"/>
        </w:rPr>
        <w:t xml:space="preserve"> also needs to specify distance-probability values </w:t>
      </w:r>
      <w:r w:rsidRPr="00143BBD">
        <w:rPr>
          <w:rStyle w:val="fontstyle01"/>
          <w:rFonts w:ascii="Cambria" w:hAnsi="Cambria"/>
          <w:noProof/>
          <w:sz w:val="24"/>
          <w:szCs w:val="24"/>
        </w:rPr>
        <w:t xml:space="preserve">corresponding to </w:t>
      </w:r>
      <w:r w:rsidRPr="00143BBD">
        <w:rPr>
          <w:rStyle w:val="fontstyle01"/>
          <w:rFonts w:ascii="Cambria" w:hAnsi="Cambria"/>
          <w:sz w:val="24"/>
          <w:szCs w:val="24"/>
        </w:rPr>
        <w:t xml:space="preserve">the </w:t>
      </w:r>
      <w:r w:rsidRPr="00143BBD">
        <w:rPr>
          <w:rStyle w:val="fontstyle01"/>
          <w:rFonts w:ascii="Cambria" w:hAnsi="Cambria"/>
          <w:noProof/>
          <w:sz w:val="24"/>
          <w:szCs w:val="24"/>
        </w:rPr>
        <w:t>dispersal ab</w:t>
      </w:r>
      <w:r w:rsidRPr="00143BBD">
        <w:rPr>
          <w:rStyle w:val="fontstyle01"/>
          <w:rFonts w:ascii="Cambria" w:hAnsi="Cambria"/>
          <w:sz w:val="24"/>
          <w:szCs w:val="24"/>
        </w:rPr>
        <w:t xml:space="preserve">ility of the target species. Given the measured dispersal distances of the species in previous studies </w:t>
      </w:r>
      <w:r w:rsidRPr="00143BBD">
        <w:rPr>
          <w:rStyle w:val="fontstyle01"/>
          <w:rFonts w:ascii="Cambria" w:hAnsi="Cambria"/>
          <w:sz w:val="24"/>
          <w:szCs w:val="24"/>
        </w:rPr>
        <w:fldChar w:fldCharType="begin"/>
      </w:r>
      <w:r w:rsidRPr="00143BBD">
        <w:rPr>
          <w:rStyle w:val="fontstyle01"/>
          <w:rFonts w:ascii="Cambria" w:hAnsi="Cambria"/>
          <w:sz w:val="24"/>
          <w:szCs w:val="24"/>
        </w:rPr>
        <w:instrText xml:space="preserve"> ADDIN EN.CITE &lt;EndNote&gt;&lt;Cite&gt;&lt;Author&gt;Farhadinia&lt;/Author&gt;&lt;Year&gt;2016&lt;/Year&gt;&lt;RecNum&gt;129&lt;/RecNum&gt;&lt;DisplayText&gt;(Farhadinia&lt;style face="italic"&gt; et al.&lt;/style&gt;, 2016; Farhadinia&lt;style face="italic"&gt; et al.&lt;/style&gt;, 2018)&lt;/DisplayText&gt;&lt;record&gt;&lt;rec-number&gt;129&lt;/rec-number&gt;&lt;foreign-keys&gt;&lt;key app="EN" db-id="ttwv99zzm92xzje20v2x5r9r02rwsw95f5xw" timestamp="1555242236"&gt;129&lt;/key&gt;&lt;/foreign-keys&gt;&lt;ref-type name="Journal Article"&gt;17&lt;/ref-type&gt;&lt;contributors&gt;&lt;authors&gt;&lt;author&gt;Farhadinia, Mohammad S&lt;/author&gt;&lt;author&gt;Gholikhani, Navid&lt;/author&gt;&lt;author&gt;Behnoud, Pouyan&lt;/author&gt;&lt;author&gt;Hobeali, Kaveh&lt;/author&gt;&lt;author&gt;Taktehrani, Atieh&lt;/author&gt;&lt;author&gt;Hosseini-Zavarei, Fatemeh&lt;/author&gt;&lt;author&gt;Eslami, Morteza&lt;/author&gt;&lt;author&gt;Hunter, Luke TB&lt;/author&gt;&lt;/authors&gt;&lt;/contributors&gt;&lt;titles&gt;&lt;title&gt;Wandering the barren deserts of Iran: illuminating high mobility of the Asiatic cheetah with sparse data&lt;/title&gt;&lt;secondary-title&gt;Journal of Arid Environments&lt;/secondary-title&gt;&lt;/titles&gt;&lt;pages&gt;145-149&lt;/pages&gt;&lt;volume&gt;134&lt;/volume&gt;&lt;dates&gt;&lt;year&gt;2016&lt;/year&gt;&lt;/dates&gt;&lt;isbn&gt;0140-1963&lt;/isbn&gt;&lt;urls&gt;&lt;/urls&gt;&lt;/record&gt;&lt;/Cite&gt;&lt;Cite&gt;&lt;Author&gt;Farhadinia&lt;/Author&gt;&lt;Year&gt;2018&lt;/Year&gt;&lt;RecNum&gt;100&lt;/RecNum&gt;&lt;record&gt;&lt;rec-number&gt;100&lt;/rec-number&gt;&lt;foreign-keys&gt;&lt;key app="EN" db-id="ttwv99zzm92xzje20v2x5r9r02rwsw95f5xw" timestamp="1540658538"&gt;100&lt;/key&gt;&lt;/foreign-keys&gt;&lt;ref-type name="Journal Article"&gt;17&lt;/ref-type&gt;&lt;contributors&gt;&lt;authors&gt;&lt;author&gt;Farhadinia, Mohammad S&lt;/author&gt;&lt;author&gt;Johnson, Paul J&lt;/author&gt;&lt;author&gt;Macdonald, David W&lt;/author&gt;&lt;author&gt;Hunter, Luke TB&lt;/author&gt;&lt;/authors&gt;&lt;/contributors&gt;&lt;titles&gt;&lt;title&gt;Anchoring and adjusting amidst humans: Ranging behavior of Persian leopards along the Iran-Turkmenistan borderland&lt;/title&gt;&lt;secondary-title&gt;PloS one&lt;/secondary-title&gt;&lt;/titles&gt;&lt;periodical&gt;&lt;full-title&gt;PloS one&lt;/full-title&gt;&lt;/periodical&gt;&lt;pages&gt;e0196602&lt;/pages&gt;&lt;volume&gt;13&lt;/volume&gt;&lt;number&gt;5&lt;/number&gt;&lt;dates&gt;&lt;year&gt;2018&lt;/year&gt;&lt;/dates&gt;&lt;isbn&gt;1932-6203&lt;/isbn&gt;&lt;urls&gt;&lt;/urls&gt;&lt;/record&gt;&lt;/Cite&gt;&lt;/EndNote&gt;</w:instrText>
      </w:r>
      <w:r w:rsidRPr="00143BBD">
        <w:rPr>
          <w:rStyle w:val="fontstyle01"/>
          <w:rFonts w:ascii="Cambria" w:hAnsi="Cambria"/>
          <w:sz w:val="24"/>
          <w:szCs w:val="24"/>
        </w:rPr>
        <w:fldChar w:fldCharType="separate"/>
      </w:r>
      <w:r w:rsidRPr="00143BBD">
        <w:rPr>
          <w:rStyle w:val="fontstyle01"/>
          <w:rFonts w:ascii="Cambria" w:hAnsi="Cambria"/>
          <w:noProof/>
          <w:sz w:val="24"/>
          <w:szCs w:val="24"/>
        </w:rPr>
        <w:t>(Farhadinia</w:t>
      </w:r>
      <w:r w:rsidRPr="00143BBD">
        <w:rPr>
          <w:rStyle w:val="fontstyle01"/>
          <w:rFonts w:ascii="Cambria" w:hAnsi="Cambria"/>
          <w:i/>
          <w:noProof/>
          <w:sz w:val="24"/>
          <w:szCs w:val="24"/>
        </w:rPr>
        <w:t xml:space="preserve"> et al.</w:t>
      </w:r>
      <w:r w:rsidRPr="00143BBD">
        <w:rPr>
          <w:rStyle w:val="fontstyle01"/>
          <w:rFonts w:ascii="Cambria" w:hAnsi="Cambria"/>
          <w:noProof/>
          <w:sz w:val="24"/>
          <w:szCs w:val="24"/>
        </w:rPr>
        <w:t>, 2016; Farhadinia</w:t>
      </w:r>
      <w:r w:rsidRPr="00143BBD">
        <w:rPr>
          <w:rStyle w:val="fontstyle01"/>
          <w:rFonts w:ascii="Cambria" w:hAnsi="Cambria"/>
          <w:i/>
          <w:noProof/>
          <w:sz w:val="24"/>
          <w:szCs w:val="24"/>
        </w:rPr>
        <w:t xml:space="preserve"> et al.</w:t>
      </w:r>
      <w:r w:rsidRPr="00143BBD">
        <w:rPr>
          <w:rStyle w:val="fontstyle01"/>
          <w:rFonts w:ascii="Cambria" w:hAnsi="Cambria"/>
          <w:noProof/>
          <w:sz w:val="24"/>
          <w:szCs w:val="24"/>
        </w:rPr>
        <w:t>, 2018)</w:t>
      </w:r>
      <w:r w:rsidRPr="00143BBD">
        <w:rPr>
          <w:rStyle w:val="fontstyle01"/>
          <w:rFonts w:ascii="Cambria" w:hAnsi="Cambria"/>
          <w:sz w:val="24"/>
          <w:szCs w:val="24"/>
        </w:rPr>
        <w:fldChar w:fldCharType="end"/>
      </w:r>
      <w:r w:rsidRPr="00143BBD">
        <w:rPr>
          <w:rStyle w:val="fontstyle01"/>
          <w:rFonts w:ascii="Cambria" w:hAnsi="Cambria"/>
          <w:sz w:val="24"/>
          <w:szCs w:val="24"/>
        </w:rPr>
        <w:t>, we chose 50 km as a median dispersal distance and 200 km as a maximum dispersal distance. Accordingly, as recommended by</w:t>
      </w:r>
      <w:r w:rsidRPr="00143BBD">
        <w:rPr>
          <w:rFonts w:ascii="Cambria" w:hAnsi="Cambria" w:cstheme="majorBidi"/>
          <w:color w:val="231F20"/>
          <w:sz w:val="24"/>
          <w:szCs w:val="24"/>
        </w:rPr>
        <w:t xml:space="preserve"> </w:t>
      </w:r>
      <w:r w:rsidRPr="00143BBD">
        <w:rPr>
          <w:rFonts w:ascii="Cambria" w:hAnsi="Cambria" w:cstheme="majorBidi"/>
          <w:color w:val="231F20"/>
          <w:sz w:val="24"/>
          <w:szCs w:val="24"/>
        </w:rPr>
        <w:fldChar w:fldCharType="begin"/>
      </w:r>
      <w:r w:rsidRPr="00143BBD">
        <w:rPr>
          <w:rFonts w:ascii="Cambria" w:hAnsi="Cambria" w:cstheme="majorBidi"/>
          <w:color w:val="231F20"/>
          <w:sz w:val="24"/>
          <w:szCs w:val="24"/>
        </w:rPr>
        <w:instrText xml:space="preserve"> ADDIN EN.CITE &lt;EndNote&gt;&lt;Cite AuthorYear="1"&gt;&lt;Author&gt;Saura&lt;/Author&gt;&lt;Year&gt;2009&lt;/Year&gt;&lt;RecNum&gt;20&lt;/RecNum&gt;&lt;DisplayText&gt;Saura and Torne (2009)&lt;/DisplayText&gt;&lt;record&gt;&lt;rec-number&gt;20&lt;/rec-number&gt;&lt;foreign-keys&gt;&lt;key app="EN" db-id="ttwv99zzm92xzje20v2x5r9r02rwsw95f5xw" timestamp="1494078806"&gt;20&lt;/key&gt;&lt;/foreign-keys&gt;&lt;ref-type name="Journal Article"&gt;17&lt;/ref-type&gt;&lt;contributors&gt;&lt;authors&gt;&lt;author&gt;Saura, Santiago&lt;/author&gt;&lt;author&gt;Torne, Josep&lt;/author&gt;&lt;/authors&gt;&lt;/contributors&gt;&lt;titles&gt;&lt;title&gt;Conefor Sensinode 2.2: a software package for quantifying the importance of habitat patches for landscape connectivity&lt;/title&gt;&lt;secondary-title&gt;Environmental Modelling &amp;amp; Software&lt;/secondary-title&gt;&lt;/titles&gt;&lt;periodical&gt;&lt;full-title&gt;Environmental Modelling &amp;amp; Software&lt;/full-title&gt;&lt;/periodical&gt;&lt;pages&gt;135-139&lt;/pages&gt;&lt;volume&gt;24&lt;/volume&gt;&lt;number&gt;1&lt;/number&gt;&lt;dates&gt;&lt;year&gt;2009&lt;/year&gt;&lt;/dates&gt;&lt;isbn&gt;1364-8152&lt;/isbn&gt;&lt;urls&gt;&lt;/urls&gt;&lt;/record&gt;&lt;/Cite&gt;&lt;/EndNote&gt;</w:instrText>
      </w:r>
      <w:r w:rsidRPr="00143BBD">
        <w:rPr>
          <w:rFonts w:ascii="Cambria" w:hAnsi="Cambria" w:cstheme="majorBidi"/>
          <w:color w:val="231F20"/>
          <w:sz w:val="24"/>
          <w:szCs w:val="24"/>
        </w:rPr>
        <w:fldChar w:fldCharType="separate"/>
      </w:r>
      <w:r w:rsidRPr="00143BBD">
        <w:rPr>
          <w:rFonts w:ascii="Cambria" w:hAnsi="Cambria" w:cstheme="majorBidi"/>
          <w:noProof/>
          <w:color w:val="231F20"/>
          <w:sz w:val="24"/>
          <w:szCs w:val="24"/>
        </w:rPr>
        <w:t>Saura and Torne (2009)</w:t>
      </w:r>
      <w:r w:rsidRPr="00143BBD">
        <w:rPr>
          <w:rFonts w:ascii="Cambria" w:hAnsi="Cambria" w:cstheme="majorBidi"/>
          <w:color w:val="231F20"/>
          <w:sz w:val="24"/>
          <w:szCs w:val="24"/>
        </w:rPr>
        <w:fldChar w:fldCharType="end"/>
      </w:r>
      <w:r w:rsidRPr="00143BBD">
        <w:rPr>
          <w:rFonts w:ascii="Cambria" w:hAnsi="Cambria" w:cstheme="majorBidi"/>
          <w:color w:val="231F20"/>
          <w:sz w:val="24"/>
          <w:szCs w:val="24"/>
        </w:rPr>
        <w:t>,</w:t>
      </w:r>
      <w:r w:rsidRPr="00143BBD">
        <w:rPr>
          <w:rStyle w:val="fontstyle01"/>
          <w:rFonts w:ascii="Cambria" w:hAnsi="Cambria"/>
          <w:sz w:val="24"/>
          <w:szCs w:val="24"/>
        </w:rPr>
        <w:t xml:space="preserve"> we set distance-probability values of 0.5 and 0.05 for median and maximum dispersal distances, respectively. </w:t>
      </w:r>
    </w:p>
    <w:p w:rsidR="00DB0AEB" w:rsidRPr="00143BBD" w:rsidRDefault="00DB0AEB" w:rsidP="00DB0AEB">
      <w:pPr>
        <w:spacing w:after="120" w:line="480" w:lineRule="auto"/>
        <w:ind w:firstLine="426"/>
        <w:jc w:val="both"/>
        <w:rPr>
          <w:rStyle w:val="fontstyle01"/>
          <w:rFonts w:ascii="Cambria" w:hAnsi="Cambria"/>
          <w:sz w:val="24"/>
          <w:szCs w:val="24"/>
        </w:rPr>
      </w:pPr>
      <w:r w:rsidRPr="00143BBD">
        <w:rPr>
          <w:rStyle w:val="fontstyle01"/>
          <w:rFonts w:ascii="Cambria" w:hAnsi="Cambria"/>
          <w:sz w:val="24"/>
          <w:szCs w:val="24"/>
        </w:rPr>
        <w:lastRenderedPageBreak/>
        <w:t xml:space="preserve">PC is an absolute variable of patch quality without any guidance on their relative importance for connectivity, and consequently, could not be inherently used for patch prioritization. The prioritization of the ICNs for the species range dynamic was calculated from the percentage of the variation in PC (dPC) caused by the removal of each individual conservation area from the landscape </w:t>
      </w:r>
      <w:r w:rsidRPr="00143BBD">
        <w:rPr>
          <w:rStyle w:val="fontstyle01"/>
          <w:rFonts w:ascii="Cambria" w:hAnsi="Cambria"/>
          <w:sz w:val="24"/>
          <w:szCs w:val="24"/>
        </w:rPr>
        <w:fldChar w:fldCharType="begin"/>
      </w:r>
      <w:r w:rsidRPr="00143BBD">
        <w:rPr>
          <w:rStyle w:val="fontstyle01"/>
          <w:rFonts w:ascii="Cambria" w:hAnsi="Cambria"/>
          <w:sz w:val="24"/>
          <w:szCs w:val="24"/>
        </w:rPr>
        <w:instrText xml:space="preserve"> ADDIN EN.CITE &lt;EndNote&gt;&lt;Cite&gt;&lt;Author&gt;Saura&lt;/Author&gt;&lt;Year&gt;2007&lt;/Year&gt;&lt;RecNum&gt;21&lt;/RecNum&gt;&lt;DisplayText&gt;(Saura &amp;amp; Pascual-Hortal, 2007)&lt;/DisplayText&gt;&lt;record&gt;&lt;rec-number&gt;21&lt;/rec-number&gt;&lt;foreign-keys&gt;&lt;key app="EN" db-id="ttwv99zzm92xzje20v2x5r9r02rwsw95f5xw" timestamp="1494079144"&gt;21&lt;/key&gt;&lt;/foreign-keys&gt;&lt;ref-type name="Journal Article"&gt;17&lt;/ref-type&gt;&lt;contributors&gt;&lt;authors&gt;&lt;author&gt;Saura, Santiago&lt;/author&gt;&lt;author&gt;Pascual-Hortal, Lucía&lt;/author&gt;&lt;/authors&gt;&lt;/contributors&gt;&lt;titles&gt;&lt;title&gt;A new habitat availability index to integrate connectivity in landscape conservation planning: comparison with existing indices and application to a case study&lt;/title&gt;&lt;secondary-title&gt;Landscape and Urban Planning&lt;/secondary-title&gt;&lt;/titles&gt;&lt;periodical&gt;&lt;full-title&gt;Landscape and Urban Planning&lt;/full-title&gt;&lt;/periodical&gt;&lt;pages&gt;91-103&lt;/pages&gt;&lt;volume&gt;83&lt;/volume&gt;&lt;number&gt;2&lt;/number&gt;&lt;dates&gt;&lt;year&gt;2007&lt;/year&gt;&lt;/dates&gt;&lt;isbn&gt;0169-2046&lt;/isbn&gt;&lt;urls&gt;&lt;/urls&gt;&lt;/record&gt;&lt;/Cite&gt;&lt;/EndNote&gt;</w:instrText>
      </w:r>
      <w:r w:rsidRPr="00143BBD">
        <w:rPr>
          <w:rStyle w:val="fontstyle01"/>
          <w:rFonts w:ascii="Cambria" w:hAnsi="Cambria"/>
          <w:sz w:val="24"/>
          <w:szCs w:val="24"/>
        </w:rPr>
        <w:fldChar w:fldCharType="separate"/>
      </w:r>
      <w:r w:rsidRPr="00143BBD">
        <w:rPr>
          <w:rStyle w:val="fontstyle01"/>
          <w:rFonts w:ascii="Cambria" w:hAnsi="Cambria"/>
          <w:noProof/>
          <w:sz w:val="24"/>
          <w:szCs w:val="24"/>
        </w:rPr>
        <w:t>(Saura &amp; Pascual-Hortal, 2007)</w:t>
      </w:r>
      <w:r w:rsidRPr="00143BBD">
        <w:rPr>
          <w:rStyle w:val="fontstyle01"/>
          <w:rFonts w:ascii="Cambria" w:hAnsi="Cambria"/>
          <w:sz w:val="24"/>
          <w:szCs w:val="24"/>
        </w:rPr>
        <w:fldChar w:fldCharType="end"/>
      </w:r>
      <w:r w:rsidRPr="00143BBD">
        <w:rPr>
          <w:rStyle w:val="fontstyle01"/>
          <w:rFonts w:ascii="Cambria" w:hAnsi="Cambria"/>
          <w:sz w:val="24"/>
          <w:szCs w:val="24"/>
        </w:rPr>
        <w:t>:</w:t>
      </w:r>
    </w:p>
    <w:p w:rsidR="00DB0AEB" w:rsidRPr="00143BBD" w:rsidRDefault="00DB0AEB" w:rsidP="00DB0AEB">
      <w:pPr>
        <w:pStyle w:val="MTDisplayEquation"/>
        <w:spacing w:line="480" w:lineRule="auto"/>
        <w:rPr>
          <w:rStyle w:val="fontstyle01"/>
          <w:rFonts w:ascii="Cambria" w:hAnsi="Cambria"/>
          <w:sz w:val="24"/>
          <w:szCs w:val="24"/>
        </w:rPr>
      </w:pPr>
      <w:r w:rsidRPr="00143BBD">
        <w:rPr>
          <w:rStyle w:val="fontstyle01"/>
          <w:rFonts w:ascii="Cambria" w:hAnsi="Cambria"/>
          <w:sz w:val="24"/>
          <w:szCs w:val="24"/>
        </w:rPr>
        <w:tab/>
      </w:r>
      <w:r w:rsidRPr="00143BBD">
        <w:rPr>
          <w:rStyle w:val="fontstyle01"/>
          <w:rFonts w:ascii="Cambria" w:hAnsi="Cambria" w:cstheme="majorBidi"/>
          <w:noProof/>
          <w:sz w:val="24"/>
          <w:szCs w:val="24"/>
        </w:rPr>
        <w:object w:dxaOrig="2120" w:dyaOrig="620">
          <v:shape id="_x0000_i1026" type="#_x0000_t75" alt="" style="width:108.9pt;height:30.9pt;mso-width-percent:0;mso-height-percent:0;mso-width-percent:0;mso-height-percent:0" o:ole="">
            <v:imagedata r:id="rId6" o:title=""/>
          </v:shape>
          <o:OLEObject Type="Embed" ProgID="Equation.DSMT4" ShapeID="_x0000_i1026" DrawAspect="Content" ObjectID="_1646552876" r:id="rId7"/>
        </w:object>
      </w:r>
      <w:r w:rsidRPr="00143BBD">
        <w:rPr>
          <w:rStyle w:val="fontstyle01"/>
          <w:rFonts w:ascii="Cambria" w:hAnsi="Cambria"/>
          <w:sz w:val="24"/>
          <w:szCs w:val="24"/>
        </w:rPr>
        <w:t xml:space="preserve"> </w:t>
      </w:r>
    </w:p>
    <w:p w:rsidR="00DB0AEB" w:rsidRDefault="00DB0AEB" w:rsidP="00DB0AEB">
      <w:pPr>
        <w:suppressLineNumbers/>
        <w:spacing w:line="480" w:lineRule="auto"/>
        <w:rPr>
          <w:rStyle w:val="fontstyle01"/>
          <w:rFonts w:ascii="Cambria" w:hAnsi="Cambria"/>
          <w:sz w:val="24"/>
          <w:szCs w:val="24"/>
        </w:rPr>
      </w:pPr>
      <w:r w:rsidRPr="00143BBD">
        <w:rPr>
          <w:rStyle w:val="fontstyle01"/>
          <w:rFonts w:ascii="Cambria" w:hAnsi="Cambria"/>
          <w:sz w:val="24"/>
          <w:szCs w:val="24"/>
        </w:rPr>
        <w:t xml:space="preserve">Where </w:t>
      </w:r>
      <w:r w:rsidRPr="00143BBD">
        <w:rPr>
          <w:rStyle w:val="fontstyle01"/>
          <w:rFonts w:ascii="Cambria" w:hAnsi="Cambria"/>
          <w:i/>
          <w:iCs/>
          <w:noProof/>
          <w:sz w:val="24"/>
          <w:szCs w:val="24"/>
        </w:rPr>
        <w:t>dPC</w:t>
      </w:r>
      <w:r w:rsidRPr="00143BBD">
        <w:rPr>
          <w:rStyle w:val="fontstyle01"/>
          <w:rFonts w:ascii="Cambria" w:hAnsi="Cambria"/>
          <w:sz w:val="24"/>
          <w:szCs w:val="24"/>
        </w:rPr>
        <w:t xml:space="preserve"> is the </w:t>
      </w:r>
      <w:r w:rsidRPr="00143BBD">
        <w:rPr>
          <w:rStyle w:val="fontstyle01"/>
          <w:rFonts w:ascii="Cambria" w:hAnsi="Cambria"/>
          <w:noProof/>
          <w:sz w:val="24"/>
          <w:szCs w:val="24"/>
        </w:rPr>
        <w:t>relative</w:t>
      </w:r>
      <w:r w:rsidRPr="00143BBD">
        <w:rPr>
          <w:rStyle w:val="fontstyle01"/>
          <w:rFonts w:ascii="Cambria" w:hAnsi="Cambria"/>
          <w:sz w:val="24"/>
          <w:szCs w:val="24"/>
        </w:rPr>
        <w:t xml:space="preserve"> importance of each conservation area and, </w:t>
      </w:r>
      <w:r w:rsidRPr="00143BBD">
        <w:rPr>
          <w:rStyle w:val="fontstyle01"/>
          <w:rFonts w:ascii="Cambria" w:hAnsi="Cambria"/>
          <w:i/>
          <w:iCs/>
          <w:sz w:val="24"/>
          <w:szCs w:val="24"/>
        </w:rPr>
        <w:t>PC</w:t>
      </w:r>
      <w:r w:rsidRPr="00143BBD">
        <w:rPr>
          <w:rStyle w:val="fontstyle01"/>
          <w:rFonts w:ascii="Cambria" w:hAnsi="Cambria"/>
          <w:sz w:val="24"/>
          <w:szCs w:val="24"/>
        </w:rPr>
        <w:t xml:space="preserve"> and </w:t>
      </w:r>
      <w:r w:rsidRPr="00143BBD">
        <w:rPr>
          <w:rStyle w:val="fontstyle01"/>
          <w:rFonts w:ascii="Cambria" w:hAnsi="Cambria"/>
          <w:i/>
          <w:iCs/>
          <w:sz w:val="24"/>
          <w:szCs w:val="24"/>
        </w:rPr>
        <w:t>PCʹ</w:t>
      </w:r>
      <w:r w:rsidRPr="00143BBD">
        <w:rPr>
          <w:rStyle w:val="fontstyle01"/>
          <w:rFonts w:ascii="Cambria" w:hAnsi="Cambria"/>
          <w:sz w:val="24"/>
          <w:szCs w:val="24"/>
        </w:rPr>
        <w:t xml:space="preserve"> are the PC values before and after the removal of it.</w:t>
      </w:r>
    </w:p>
    <w:p w:rsidR="00554482" w:rsidRDefault="00554482" w:rsidP="00DB0AEB">
      <w:pPr>
        <w:suppressLineNumbers/>
        <w:spacing w:line="480" w:lineRule="auto"/>
        <w:rPr>
          <w:rStyle w:val="fontstyle01"/>
          <w:rFonts w:ascii="Cambria" w:hAnsi="Cambria"/>
          <w:sz w:val="24"/>
          <w:szCs w:val="24"/>
        </w:rPr>
      </w:pPr>
    </w:p>
    <w:p w:rsidR="00554482" w:rsidRPr="00554482" w:rsidRDefault="00554482" w:rsidP="00DB0AEB">
      <w:pPr>
        <w:suppressLineNumbers/>
        <w:spacing w:line="480" w:lineRule="auto"/>
        <w:rPr>
          <w:rStyle w:val="fontstyle01"/>
          <w:rFonts w:ascii="Cambria" w:hAnsi="Cambria"/>
          <w:b/>
          <w:bCs/>
          <w:sz w:val="24"/>
          <w:szCs w:val="24"/>
        </w:rPr>
      </w:pPr>
      <w:r w:rsidRPr="00554482">
        <w:rPr>
          <w:rStyle w:val="fontstyle01"/>
          <w:rFonts w:ascii="Cambria" w:hAnsi="Cambria"/>
          <w:b/>
          <w:bCs/>
          <w:sz w:val="24"/>
          <w:szCs w:val="24"/>
        </w:rPr>
        <w:t>References</w:t>
      </w:r>
    </w:p>
    <w:p w:rsidR="00554482" w:rsidRPr="00554482" w:rsidRDefault="00554482" w:rsidP="00554482">
      <w:pPr>
        <w:pStyle w:val="EndNoteBibliography"/>
        <w:spacing w:after="0" w:line="360" w:lineRule="auto"/>
        <w:ind w:left="720" w:hanging="720"/>
        <w:rPr>
          <w:rFonts w:ascii="Cambria" w:hAnsi="Cambria"/>
          <w:sz w:val="24"/>
          <w:szCs w:val="24"/>
        </w:rPr>
      </w:pPr>
      <w:r w:rsidRPr="00554482">
        <w:rPr>
          <w:rFonts w:ascii="Cambria" w:hAnsi="Cambria"/>
          <w:sz w:val="24"/>
          <w:szCs w:val="24"/>
        </w:rPr>
        <w:t>Farhadinia MS et al. (2016) Wandering the barren deserts of Iran: illuminating high mobility of the Asiatic cheetah with sparse data. Journal of Arid Environments 134:145-149</w:t>
      </w:r>
    </w:p>
    <w:p w:rsidR="00554482" w:rsidRDefault="00554482" w:rsidP="00554482">
      <w:pPr>
        <w:pStyle w:val="EndNoteBibliography"/>
        <w:spacing w:after="0" w:line="360" w:lineRule="auto"/>
        <w:ind w:left="720" w:hanging="720"/>
        <w:rPr>
          <w:rFonts w:ascii="Cambria" w:hAnsi="Cambria"/>
          <w:sz w:val="24"/>
          <w:szCs w:val="24"/>
        </w:rPr>
      </w:pPr>
      <w:r w:rsidRPr="00554482">
        <w:rPr>
          <w:rFonts w:ascii="Cambria" w:hAnsi="Cambria"/>
          <w:sz w:val="24"/>
          <w:szCs w:val="24"/>
        </w:rPr>
        <w:t>Farhadinia MS, Johnson PJ, Macdonald DW, Hunter LT (2018b) Anchoring and adjusting amidst humans: Ranging behavior of Persian leopards along the Iran-Turkmenistan borderland. PLoS ONE 13:e0196602</w:t>
      </w:r>
    </w:p>
    <w:p w:rsidR="00554482" w:rsidRPr="00554482" w:rsidRDefault="00554482" w:rsidP="00554482">
      <w:pPr>
        <w:pStyle w:val="EndNoteBibliography"/>
        <w:spacing w:after="0" w:line="360" w:lineRule="auto"/>
        <w:ind w:left="720" w:hanging="720"/>
        <w:rPr>
          <w:rFonts w:ascii="Cambria" w:hAnsi="Cambria"/>
          <w:sz w:val="24"/>
          <w:szCs w:val="24"/>
        </w:rPr>
      </w:pPr>
      <w:r w:rsidRPr="00554482">
        <w:rPr>
          <w:rFonts w:ascii="Cambria" w:hAnsi="Cambria"/>
          <w:sz w:val="24"/>
          <w:szCs w:val="24"/>
        </w:rPr>
        <w:t>Saura S, Pascual-Hortal L (2007) A new habitat availability index to integrate connectivity in landscape conservation planning: comparison with existing indices and application to a case study. Landscape and Urban Planning 83:91-103</w:t>
      </w:r>
    </w:p>
    <w:p w:rsidR="00554482" w:rsidRPr="00554482" w:rsidRDefault="00554482" w:rsidP="00554482">
      <w:pPr>
        <w:pStyle w:val="EndNoteBibliography"/>
        <w:spacing w:after="0" w:line="360" w:lineRule="auto"/>
        <w:ind w:left="720" w:hanging="720"/>
        <w:rPr>
          <w:rFonts w:ascii="Cambria" w:hAnsi="Cambria"/>
          <w:sz w:val="28"/>
          <w:szCs w:val="28"/>
        </w:rPr>
      </w:pPr>
      <w:r w:rsidRPr="00554482">
        <w:rPr>
          <w:rFonts w:ascii="Cambria" w:hAnsi="Cambria"/>
          <w:sz w:val="24"/>
          <w:szCs w:val="24"/>
        </w:rPr>
        <w:t>Saura S, Torne J (2009) Conefor Sensinode 2.2: a software package for quantifying the importance of habitat patches for landscape connectivity. Environmental Modelling &amp; Software 24:135-139</w:t>
      </w:r>
    </w:p>
    <w:p w:rsidR="00554482" w:rsidRPr="00554482" w:rsidRDefault="00554482" w:rsidP="00DB0AEB">
      <w:pPr>
        <w:suppressLineNumbers/>
        <w:spacing w:line="480" w:lineRule="auto"/>
        <w:rPr>
          <w:rFonts w:ascii="Cambria" w:hAnsi="Cambria"/>
          <w:noProof/>
          <w:sz w:val="28"/>
          <w:szCs w:val="28"/>
        </w:rPr>
      </w:pPr>
    </w:p>
    <w:p w:rsidR="00DB0AEB" w:rsidRDefault="00DB0AEB" w:rsidP="00CB19AE">
      <w:pPr>
        <w:suppressLineNumbers/>
        <w:spacing w:line="480" w:lineRule="auto"/>
        <w:rPr>
          <w:rFonts w:ascii="Cambria" w:hAnsi="Cambria"/>
          <w:noProof/>
          <w:sz w:val="24"/>
          <w:szCs w:val="24"/>
        </w:rPr>
      </w:pPr>
    </w:p>
    <w:p w:rsidR="00CB19AE" w:rsidRPr="00143BBD" w:rsidRDefault="00CB19AE" w:rsidP="00CB19AE">
      <w:pPr>
        <w:suppressLineNumbers/>
        <w:spacing w:line="480" w:lineRule="auto"/>
        <w:rPr>
          <w:rFonts w:ascii="Cambria" w:hAnsi="Cambria"/>
          <w:sz w:val="24"/>
          <w:szCs w:val="24"/>
        </w:rPr>
      </w:pPr>
      <w:r w:rsidRPr="00143BBD">
        <w:rPr>
          <w:rFonts w:ascii="Cambria" w:hAnsi="Cambria"/>
          <w:noProof/>
          <w:sz w:val="24"/>
          <w:szCs w:val="24"/>
        </w:rPr>
        <w:lastRenderedPageBreak/>
        <w:drawing>
          <wp:inline distT="0" distB="0" distL="0" distR="0" wp14:anchorId="640E3D49" wp14:editId="1151F709">
            <wp:extent cx="5943600" cy="58267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826760"/>
                    </a:xfrm>
                    <a:prstGeom prst="rect">
                      <a:avLst/>
                    </a:prstGeom>
                  </pic:spPr>
                </pic:pic>
              </a:graphicData>
            </a:graphic>
          </wp:inline>
        </w:drawing>
      </w:r>
    </w:p>
    <w:p w:rsidR="00CB19AE" w:rsidRPr="00143BBD" w:rsidRDefault="00CB19AE" w:rsidP="00CB19AE">
      <w:pPr>
        <w:suppressLineNumbers/>
        <w:spacing w:after="120" w:line="360" w:lineRule="auto"/>
        <w:jc w:val="both"/>
        <w:rPr>
          <w:rStyle w:val="fontstyle01"/>
          <w:rFonts w:ascii="Cambria" w:hAnsi="Cambria"/>
          <w:sz w:val="24"/>
          <w:szCs w:val="24"/>
        </w:rPr>
      </w:pPr>
      <w:r w:rsidRPr="00143BBD">
        <w:rPr>
          <w:rStyle w:val="fontstyle01"/>
          <w:rFonts w:ascii="Cambria" w:hAnsi="Cambria"/>
          <w:b/>
          <w:bCs/>
          <w:sz w:val="24"/>
          <w:szCs w:val="24"/>
        </w:rPr>
        <w:t>Fig. S1.</w:t>
      </w:r>
      <w:r w:rsidRPr="00143BBD">
        <w:rPr>
          <w:rStyle w:val="fontstyle01"/>
          <w:rFonts w:ascii="Cambria" w:hAnsi="Cambria"/>
          <w:sz w:val="24"/>
          <w:szCs w:val="24"/>
        </w:rPr>
        <w:t xml:space="preserve"> Response curves of the environmental variables influencing the </w:t>
      </w:r>
      <w:r w:rsidRPr="00143BBD">
        <w:rPr>
          <w:rStyle w:val="fontstyle01"/>
          <w:rFonts w:ascii="Cambria" w:hAnsi="Cambria"/>
          <w:noProof/>
          <w:sz w:val="24"/>
          <w:szCs w:val="24"/>
        </w:rPr>
        <w:t>distribution</w:t>
      </w:r>
      <w:r w:rsidRPr="00143BBD">
        <w:rPr>
          <w:rStyle w:val="fontstyle01"/>
          <w:rFonts w:ascii="Cambria" w:hAnsi="Cambria"/>
          <w:sz w:val="24"/>
          <w:szCs w:val="24"/>
        </w:rPr>
        <w:t xml:space="preserve"> of Persian leopard produced by GLM (blue), GAM (grey), GBM (black) and MaxEnt (red). Variables gradient is depicted on </w:t>
      </w:r>
      <w:r w:rsidRPr="00143BBD">
        <w:rPr>
          <w:rStyle w:val="fontstyle01"/>
          <w:rFonts w:ascii="Cambria" w:hAnsi="Cambria"/>
          <w:noProof/>
          <w:sz w:val="24"/>
          <w:szCs w:val="24"/>
        </w:rPr>
        <w:t>the x axis,</w:t>
      </w:r>
      <w:r w:rsidRPr="00143BBD">
        <w:rPr>
          <w:rStyle w:val="fontstyle01"/>
          <w:rFonts w:ascii="Cambria" w:hAnsi="Cambria"/>
          <w:sz w:val="24"/>
          <w:szCs w:val="24"/>
        </w:rPr>
        <w:t xml:space="preserve"> and </w:t>
      </w:r>
      <w:r w:rsidRPr="00143BBD">
        <w:rPr>
          <w:rStyle w:val="fontstyle01"/>
          <w:rFonts w:ascii="Cambria" w:hAnsi="Cambria"/>
          <w:noProof/>
          <w:sz w:val="24"/>
          <w:szCs w:val="24"/>
        </w:rPr>
        <w:t>the y axis</w:t>
      </w:r>
      <w:r w:rsidRPr="00143BBD">
        <w:rPr>
          <w:rStyle w:val="fontstyle01"/>
          <w:rFonts w:ascii="Cambria" w:hAnsi="Cambria"/>
          <w:sz w:val="24"/>
          <w:szCs w:val="24"/>
        </w:rPr>
        <w:t xml:space="preserve"> </w:t>
      </w:r>
      <w:r w:rsidRPr="00143BBD">
        <w:rPr>
          <w:rStyle w:val="fontstyle01"/>
          <w:rFonts w:ascii="Cambria" w:hAnsi="Cambria"/>
          <w:noProof/>
          <w:sz w:val="24"/>
          <w:szCs w:val="24"/>
        </w:rPr>
        <w:t>show</w:t>
      </w:r>
      <w:r w:rsidRPr="00143BBD">
        <w:rPr>
          <w:rStyle w:val="fontstyle01"/>
          <w:rFonts w:ascii="Cambria" w:hAnsi="Cambria"/>
          <w:sz w:val="24"/>
          <w:szCs w:val="24"/>
        </w:rPr>
        <w:t xml:space="preserve"> the </w:t>
      </w:r>
      <w:r w:rsidRPr="00143BBD">
        <w:rPr>
          <w:rStyle w:val="fontstyle01"/>
          <w:rFonts w:ascii="Cambria" w:hAnsi="Cambria"/>
          <w:noProof/>
          <w:sz w:val="24"/>
          <w:szCs w:val="24"/>
        </w:rPr>
        <w:t>probability</w:t>
      </w:r>
      <w:r w:rsidRPr="00143BBD">
        <w:rPr>
          <w:rStyle w:val="fontstyle01"/>
          <w:rFonts w:ascii="Cambria" w:hAnsi="Cambria"/>
          <w:sz w:val="24"/>
          <w:szCs w:val="24"/>
        </w:rPr>
        <w:t xml:space="preserve"> of presence. </w:t>
      </w:r>
      <w:proofErr w:type="spellStart"/>
      <w:r w:rsidRPr="00143BBD">
        <w:rPr>
          <w:rStyle w:val="fontstyle01"/>
          <w:rFonts w:ascii="Cambria" w:hAnsi="Cambria"/>
          <w:sz w:val="24"/>
          <w:szCs w:val="24"/>
        </w:rPr>
        <w:t>Agri</w:t>
      </w:r>
      <w:proofErr w:type="spellEnd"/>
      <w:r w:rsidRPr="00143BBD">
        <w:rPr>
          <w:rStyle w:val="fontstyle01"/>
          <w:rFonts w:ascii="Cambria" w:hAnsi="Cambria"/>
          <w:sz w:val="24"/>
          <w:szCs w:val="24"/>
        </w:rPr>
        <w:t xml:space="preserve">: density of croplands and orchards, elevation: elevation from sea level (meter), bare: density of non-vegetation salt land and sand dunes, footprint: human footprint, forest: density of forest cover, </w:t>
      </w:r>
      <w:proofErr w:type="spellStart"/>
      <w:r w:rsidRPr="00143BBD">
        <w:rPr>
          <w:rStyle w:val="fontstyle01"/>
          <w:rFonts w:ascii="Cambria" w:hAnsi="Cambria"/>
          <w:sz w:val="24"/>
          <w:szCs w:val="24"/>
        </w:rPr>
        <w:t>grass_shrub</w:t>
      </w:r>
      <w:proofErr w:type="spellEnd"/>
      <w:r w:rsidRPr="00143BBD">
        <w:rPr>
          <w:rStyle w:val="fontstyle01"/>
          <w:rFonts w:ascii="Cambria" w:hAnsi="Cambria"/>
          <w:sz w:val="24"/>
          <w:szCs w:val="24"/>
        </w:rPr>
        <w:t xml:space="preserve">: density of the patches covered by a mixture of grass and shrubs, </w:t>
      </w:r>
      <w:proofErr w:type="spellStart"/>
      <w:r w:rsidRPr="00143BBD">
        <w:rPr>
          <w:rStyle w:val="fontstyle01"/>
          <w:rFonts w:ascii="Cambria" w:hAnsi="Cambria"/>
          <w:sz w:val="24"/>
          <w:szCs w:val="24"/>
        </w:rPr>
        <w:t>Prey_dis</w:t>
      </w:r>
      <w:proofErr w:type="spellEnd"/>
      <w:r w:rsidRPr="00143BBD">
        <w:rPr>
          <w:rStyle w:val="fontstyle01"/>
          <w:rFonts w:ascii="Cambria" w:hAnsi="Cambria"/>
          <w:sz w:val="24"/>
          <w:szCs w:val="24"/>
        </w:rPr>
        <w:t xml:space="preserve">: distance to prey species (meter), Roughness: topographic roughness (meter), </w:t>
      </w:r>
      <w:proofErr w:type="spellStart"/>
      <w:r w:rsidRPr="00143BBD">
        <w:rPr>
          <w:rStyle w:val="fontstyle01"/>
          <w:rFonts w:ascii="Cambria" w:hAnsi="Cambria"/>
          <w:sz w:val="24"/>
          <w:szCs w:val="24"/>
        </w:rPr>
        <w:t>sprs_veg</w:t>
      </w:r>
      <w:proofErr w:type="spellEnd"/>
      <w:r w:rsidRPr="00143BBD">
        <w:rPr>
          <w:rStyle w:val="fontstyle01"/>
          <w:rFonts w:ascii="Cambria" w:hAnsi="Cambria"/>
          <w:sz w:val="24"/>
          <w:szCs w:val="24"/>
        </w:rPr>
        <w:t xml:space="preserve">, density of patches with open and sparse vegetation. </w:t>
      </w:r>
    </w:p>
    <w:p w:rsidR="00CB19AE" w:rsidRPr="00143BBD" w:rsidRDefault="00CB19AE" w:rsidP="00CB19AE">
      <w:pPr>
        <w:suppressLineNumbers/>
        <w:rPr>
          <w:rFonts w:ascii="Cambria" w:hAnsi="Cambria"/>
          <w:sz w:val="24"/>
          <w:szCs w:val="24"/>
        </w:rPr>
      </w:pPr>
      <w:r w:rsidRPr="00143BBD">
        <w:rPr>
          <w:rFonts w:ascii="Cambria" w:hAnsi="Cambria"/>
          <w:noProof/>
          <w:sz w:val="24"/>
          <w:szCs w:val="24"/>
        </w:rPr>
        <w:lastRenderedPageBreak/>
        <w:drawing>
          <wp:inline distT="0" distB="0" distL="0" distR="0" wp14:anchorId="107EBBC3" wp14:editId="68F5D0C0">
            <wp:extent cx="5943600" cy="58254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825490"/>
                    </a:xfrm>
                    <a:prstGeom prst="rect">
                      <a:avLst/>
                    </a:prstGeom>
                  </pic:spPr>
                </pic:pic>
              </a:graphicData>
            </a:graphic>
          </wp:inline>
        </w:drawing>
      </w:r>
    </w:p>
    <w:p w:rsidR="00CB19AE" w:rsidRPr="00143BBD" w:rsidRDefault="00CB19AE" w:rsidP="00CB19AE">
      <w:pPr>
        <w:suppressLineNumbers/>
        <w:spacing w:after="120" w:line="360" w:lineRule="auto"/>
        <w:jc w:val="both"/>
        <w:rPr>
          <w:rStyle w:val="fontstyle01"/>
          <w:rFonts w:ascii="Cambria" w:hAnsi="Cambria"/>
          <w:sz w:val="24"/>
          <w:szCs w:val="24"/>
        </w:rPr>
      </w:pPr>
      <w:r w:rsidRPr="00143BBD">
        <w:rPr>
          <w:rStyle w:val="fontstyle01"/>
          <w:rFonts w:ascii="Cambria" w:hAnsi="Cambria"/>
          <w:b/>
          <w:bCs/>
          <w:sz w:val="24"/>
          <w:szCs w:val="24"/>
        </w:rPr>
        <w:t>Fig. S2.</w:t>
      </w:r>
      <w:r w:rsidRPr="00143BBD">
        <w:rPr>
          <w:rStyle w:val="fontstyle01"/>
          <w:rFonts w:ascii="Cambria" w:hAnsi="Cambria"/>
          <w:sz w:val="24"/>
          <w:szCs w:val="24"/>
        </w:rPr>
        <w:t xml:space="preserve"> Response curves of the environmental variables influencing the </w:t>
      </w:r>
      <w:r w:rsidRPr="00143BBD">
        <w:rPr>
          <w:rStyle w:val="fontstyle01"/>
          <w:rFonts w:ascii="Cambria" w:hAnsi="Cambria"/>
          <w:noProof/>
          <w:sz w:val="24"/>
          <w:szCs w:val="24"/>
        </w:rPr>
        <w:t>distribution</w:t>
      </w:r>
      <w:r w:rsidRPr="00143BBD">
        <w:rPr>
          <w:rStyle w:val="fontstyle01"/>
          <w:rFonts w:ascii="Cambria" w:hAnsi="Cambria"/>
          <w:sz w:val="24"/>
          <w:szCs w:val="24"/>
        </w:rPr>
        <w:t xml:space="preserve"> of Asiatic cheetah produced by GLM (blue), GAM (grey), GBM (black) and MaxEnt (red). Variables gradient is depicted on </w:t>
      </w:r>
      <w:r w:rsidRPr="00143BBD">
        <w:rPr>
          <w:rStyle w:val="fontstyle01"/>
          <w:rFonts w:ascii="Cambria" w:hAnsi="Cambria"/>
          <w:noProof/>
          <w:sz w:val="24"/>
          <w:szCs w:val="24"/>
        </w:rPr>
        <w:t>the x axis,</w:t>
      </w:r>
      <w:r w:rsidRPr="00143BBD">
        <w:rPr>
          <w:rStyle w:val="fontstyle01"/>
          <w:rFonts w:ascii="Cambria" w:hAnsi="Cambria"/>
          <w:sz w:val="24"/>
          <w:szCs w:val="24"/>
        </w:rPr>
        <w:t xml:space="preserve"> and </w:t>
      </w:r>
      <w:r w:rsidRPr="00143BBD">
        <w:rPr>
          <w:rStyle w:val="fontstyle01"/>
          <w:rFonts w:ascii="Cambria" w:hAnsi="Cambria"/>
          <w:noProof/>
          <w:sz w:val="24"/>
          <w:szCs w:val="24"/>
        </w:rPr>
        <w:t>the y axis</w:t>
      </w:r>
      <w:r w:rsidRPr="00143BBD">
        <w:rPr>
          <w:rStyle w:val="fontstyle01"/>
          <w:rFonts w:ascii="Cambria" w:hAnsi="Cambria"/>
          <w:sz w:val="24"/>
          <w:szCs w:val="24"/>
        </w:rPr>
        <w:t xml:space="preserve"> show the </w:t>
      </w:r>
      <w:r w:rsidRPr="00143BBD">
        <w:rPr>
          <w:rStyle w:val="fontstyle01"/>
          <w:rFonts w:ascii="Cambria" w:hAnsi="Cambria"/>
          <w:noProof/>
          <w:sz w:val="24"/>
          <w:szCs w:val="24"/>
        </w:rPr>
        <w:t>probability</w:t>
      </w:r>
      <w:r w:rsidRPr="00143BBD">
        <w:rPr>
          <w:rStyle w:val="fontstyle01"/>
          <w:rFonts w:ascii="Cambria" w:hAnsi="Cambria"/>
          <w:sz w:val="24"/>
          <w:szCs w:val="24"/>
        </w:rPr>
        <w:t xml:space="preserve"> of presence. </w:t>
      </w:r>
      <w:proofErr w:type="spellStart"/>
      <w:r w:rsidRPr="00143BBD">
        <w:rPr>
          <w:rStyle w:val="fontstyle01"/>
          <w:rFonts w:ascii="Cambria" w:hAnsi="Cambria"/>
          <w:sz w:val="24"/>
          <w:szCs w:val="24"/>
        </w:rPr>
        <w:t>Agri</w:t>
      </w:r>
      <w:proofErr w:type="spellEnd"/>
      <w:r w:rsidRPr="00143BBD">
        <w:rPr>
          <w:rStyle w:val="fontstyle01"/>
          <w:rFonts w:ascii="Cambria" w:hAnsi="Cambria"/>
          <w:sz w:val="24"/>
          <w:szCs w:val="24"/>
        </w:rPr>
        <w:t xml:space="preserve">: density of croplands and orchards, elevation: elevation from sea level (meter), bare: density of non-vegetation salt land and sand dunes, footprint: human footprint, forest: density of forest cover, </w:t>
      </w:r>
      <w:proofErr w:type="spellStart"/>
      <w:r w:rsidRPr="00143BBD">
        <w:rPr>
          <w:rStyle w:val="fontstyle01"/>
          <w:rFonts w:ascii="Cambria" w:hAnsi="Cambria"/>
          <w:sz w:val="24"/>
          <w:szCs w:val="24"/>
        </w:rPr>
        <w:t>grass_shrub</w:t>
      </w:r>
      <w:proofErr w:type="spellEnd"/>
      <w:r w:rsidRPr="00143BBD">
        <w:rPr>
          <w:rStyle w:val="fontstyle01"/>
          <w:rFonts w:ascii="Cambria" w:hAnsi="Cambria"/>
          <w:sz w:val="24"/>
          <w:szCs w:val="24"/>
        </w:rPr>
        <w:t xml:space="preserve">: density of the patches covered by a mixture of grass and shrubs, </w:t>
      </w:r>
      <w:proofErr w:type="spellStart"/>
      <w:r w:rsidRPr="00143BBD">
        <w:rPr>
          <w:rStyle w:val="fontstyle01"/>
          <w:rFonts w:ascii="Cambria" w:hAnsi="Cambria"/>
          <w:sz w:val="24"/>
          <w:szCs w:val="24"/>
        </w:rPr>
        <w:t>prey_dis</w:t>
      </w:r>
      <w:proofErr w:type="spellEnd"/>
      <w:r w:rsidRPr="00143BBD">
        <w:rPr>
          <w:rStyle w:val="fontstyle01"/>
          <w:rFonts w:ascii="Cambria" w:hAnsi="Cambria"/>
          <w:sz w:val="24"/>
          <w:szCs w:val="24"/>
        </w:rPr>
        <w:t xml:space="preserve">: distance to prey species (meter), roughness: topographic roughness (meter), </w:t>
      </w:r>
      <w:proofErr w:type="spellStart"/>
      <w:r w:rsidRPr="00143BBD">
        <w:rPr>
          <w:rStyle w:val="fontstyle01"/>
          <w:rFonts w:ascii="Cambria" w:hAnsi="Cambria"/>
          <w:sz w:val="24"/>
          <w:szCs w:val="24"/>
        </w:rPr>
        <w:t>sprs_veg</w:t>
      </w:r>
      <w:proofErr w:type="spellEnd"/>
      <w:r w:rsidRPr="00143BBD">
        <w:rPr>
          <w:rStyle w:val="fontstyle01"/>
          <w:rFonts w:ascii="Cambria" w:hAnsi="Cambria"/>
          <w:sz w:val="24"/>
          <w:szCs w:val="24"/>
        </w:rPr>
        <w:t xml:space="preserve">, density of patches with open and sparse vegetation. </w:t>
      </w:r>
    </w:p>
    <w:p w:rsidR="00CB19AE" w:rsidRPr="00143BBD" w:rsidRDefault="00CB19AE" w:rsidP="00CB19AE">
      <w:pPr>
        <w:suppressLineNumbers/>
        <w:ind w:firstLine="720"/>
        <w:rPr>
          <w:rFonts w:ascii="Cambria" w:hAnsi="Cambria"/>
          <w:sz w:val="24"/>
          <w:szCs w:val="24"/>
        </w:rPr>
      </w:pPr>
    </w:p>
    <w:p w:rsidR="00CB19AE" w:rsidRPr="00143BBD" w:rsidRDefault="00CB19AE" w:rsidP="00CB19AE">
      <w:pPr>
        <w:suppressLineNumbers/>
        <w:jc w:val="center"/>
        <w:rPr>
          <w:rFonts w:ascii="Cambria" w:hAnsi="Cambria"/>
          <w:sz w:val="24"/>
          <w:szCs w:val="24"/>
        </w:rPr>
      </w:pPr>
      <w:r w:rsidRPr="00143BBD">
        <w:rPr>
          <w:rFonts w:ascii="Cambria" w:hAnsi="Cambria"/>
          <w:noProof/>
          <w:sz w:val="24"/>
          <w:szCs w:val="24"/>
        </w:rPr>
        <w:drawing>
          <wp:inline distT="0" distB="0" distL="0" distR="0" wp14:anchorId="39563655" wp14:editId="3B6F39E3">
            <wp:extent cx="5943600" cy="53498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349875"/>
                    </a:xfrm>
                    <a:prstGeom prst="rect">
                      <a:avLst/>
                    </a:prstGeom>
                  </pic:spPr>
                </pic:pic>
              </a:graphicData>
            </a:graphic>
          </wp:inline>
        </w:drawing>
      </w:r>
    </w:p>
    <w:p w:rsidR="00CB19AE" w:rsidRPr="00143BBD" w:rsidRDefault="00CB19AE" w:rsidP="00CB19AE">
      <w:pPr>
        <w:suppressLineNumbers/>
        <w:rPr>
          <w:rFonts w:ascii="Cambria" w:hAnsi="Cambria"/>
          <w:sz w:val="24"/>
          <w:szCs w:val="24"/>
        </w:rPr>
      </w:pPr>
    </w:p>
    <w:p w:rsidR="00CB19AE" w:rsidRPr="00143BBD" w:rsidRDefault="00CB19AE" w:rsidP="00CB19AE">
      <w:pPr>
        <w:suppressLineNumbers/>
        <w:spacing w:after="120" w:line="360" w:lineRule="auto"/>
        <w:jc w:val="both"/>
        <w:rPr>
          <w:rStyle w:val="fontstyle01"/>
          <w:rFonts w:ascii="Cambria" w:hAnsi="Cambria"/>
          <w:sz w:val="24"/>
          <w:szCs w:val="24"/>
        </w:rPr>
      </w:pPr>
    </w:p>
    <w:p w:rsidR="004D243F" w:rsidRDefault="00CB19AE" w:rsidP="00554482">
      <w:pPr>
        <w:spacing w:line="360" w:lineRule="auto"/>
        <w:jc w:val="both"/>
      </w:pPr>
      <w:r w:rsidRPr="00143BBD">
        <w:rPr>
          <w:rStyle w:val="fontstyle01"/>
          <w:rFonts w:ascii="Cambria" w:hAnsi="Cambria"/>
          <w:b/>
          <w:bCs/>
          <w:sz w:val="24"/>
          <w:szCs w:val="24"/>
        </w:rPr>
        <w:t>Fig. S3.</w:t>
      </w:r>
      <w:r w:rsidRPr="00143BBD">
        <w:rPr>
          <w:rStyle w:val="fontstyle01"/>
          <w:rFonts w:ascii="Cambria" w:hAnsi="Cambria"/>
          <w:sz w:val="24"/>
          <w:szCs w:val="24"/>
        </w:rPr>
        <w:t xml:space="preserve"> The intersection between suitable habitats and Iranian conservation network. Suitable habitats derived based on merging the ensemble models of Persian leopard and Asiatic cheetah. NHAs: No-hunting Areas, NPs: National Parks, PAs: Protected Areas, WRs: Wildlife Ref</w:t>
      </w:r>
      <w:bookmarkStart w:id="0" w:name="_GoBack"/>
      <w:bookmarkEnd w:id="0"/>
      <w:r w:rsidRPr="00143BBD">
        <w:rPr>
          <w:rStyle w:val="fontstyle01"/>
          <w:rFonts w:ascii="Cambria" w:hAnsi="Cambria"/>
          <w:sz w:val="24"/>
          <w:szCs w:val="24"/>
        </w:rPr>
        <w:t>uges.</w:t>
      </w:r>
    </w:p>
    <w:sectPr w:rsidR="004D24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dvTT94c8263f.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sTAxNDMwsDSzNDFQ0lEKTi0uzszPAykwqgUAbO2ADiwAAAA="/>
  </w:docVars>
  <w:rsids>
    <w:rsidRoot w:val="00CB19AE"/>
    <w:rsid w:val="001767E4"/>
    <w:rsid w:val="003948CB"/>
    <w:rsid w:val="004D243F"/>
    <w:rsid w:val="00554482"/>
    <w:rsid w:val="00CB19AE"/>
    <w:rsid w:val="00DB0A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A73656-8615-4D07-9D1B-A6A39B2BC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19AE"/>
  </w:style>
  <w:style w:type="paragraph" w:styleId="Heading1">
    <w:name w:val="heading 1"/>
    <w:basedOn w:val="Normal"/>
    <w:next w:val="Normal"/>
    <w:link w:val="Heading1Char"/>
    <w:uiPriority w:val="9"/>
    <w:qFormat/>
    <w:rsid w:val="00CB19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19AE"/>
    <w:rPr>
      <w:rFonts w:asciiTheme="majorHAnsi" w:eastAsiaTheme="majorEastAsia" w:hAnsiTheme="majorHAnsi" w:cstheme="majorBidi"/>
      <w:color w:val="2E74B5" w:themeColor="accent1" w:themeShade="BF"/>
      <w:sz w:val="32"/>
      <w:szCs w:val="32"/>
    </w:rPr>
  </w:style>
  <w:style w:type="character" w:customStyle="1" w:styleId="fontstyle01">
    <w:name w:val="fontstyle01"/>
    <w:basedOn w:val="DefaultParagraphFont"/>
    <w:rsid w:val="00CB19AE"/>
    <w:rPr>
      <w:rFonts w:ascii="AdvTT94c8263f.I" w:hAnsi="AdvTT94c8263f.I" w:hint="default"/>
      <w:b w:val="0"/>
      <w:bCs w:val="0"/>
      <w:i w:val="0"/>
      <w:iCs w:val="0"/>
      <w:color w:val="231F20"/>
      <w:sz w:val="14"/>
      <w:szCs w:val="14"/>
    </w:rPr>
  </w:style>
  <w:style w:type="paragraph" w:customStyle="1" w:styleId="MTDisplayEquation">
    <w:name w:val="MTDisplayEquation"/>
    <w:basedOn w:val="Normal"/>
    <w:next w:val="Normal"/>
    <w:link w:val="MTDisplayEquationChar"/>
    <w:rsid w:val="00CB19AE"/>
    <w:pPr>
      <w:tabs>
        <w:tab w:val="center" w:pos="4680"/>
        <w:tab w:val="right" w:pos="9360"/>
      </w:tabs>
      <w:spacing w:after="120" w:line="360" w:lineRule="auto"/>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CB19AE"/>
    <w:rPr>
      <w:rFonts w:ascii="Times New Roman" w:eastAsia="Calibri" w:hAnsi="Times New Roman" w:cs="Times New Roman"/>
      <w:sz w:val="24"/>
      <w:szCs w:val="24"/>
    </w:rPr>
  </w:style>
  <w:style w:type="paragraph" w:customStyle="1" w:styleId="EndNoteBibliography">
    <w:name w:val="EndNote Bibliography"/>
    <w:basedOn w:val="Normal"/>
    <w:link w:val="EndNoteBibliographyChar"/>
    <w:rsid w:val="00554482"/>
    <w:pPr>
      <w:spacing w:line="240" w:lineRule="auto"/>
      <w:jc w:val="both"/>
    </w:pPr>
    <w:rPr>
      <w:rFonts w:ascii="AdvTT94c8263f.I" w:hAnsi="AdvTT94c8263f.I"/>
      <w:noProof/>
    </w:rPr>
  </w:style>
  <w:style w:type="character" w:customStyle="1" w:styleId="EndNoteBibliographyChar">
    <w:name w:val="EndNote Bibliography Char"/>
    <w:basedOn w:val="DefaultParagraphFont"/>
    <w:link w:val="EndNoteBibliography"/>
    <w:rsid w:val="00554482"/>
    <w:rPr>
      <w:rFonts w:ascii="AdvTT94c8263f.I" w:hAnsi="AdvTT94c8263f.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fontTable" Target="fontTable.xml"/><Relationship Id="rId5" Type="http://schemas.openxmlformats.org/officeDocument/2006/relationships/oleObject" Target="embeddings/oleObject1.bin"/><Relationship Id="rId10" Type="http://schemas.openxmlformats.org/officeDocument/2006/relationships/image" Target="media/image5.png"/><Relationship Id="rId4" Type="http://schemas.openxmlformats.org/officeDocument/2006/relationships/image" Target="media/image1.wmf"/><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1259</Words>
  <Characters>7179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cp:revision>
  <dcterms:created xsi:type="dcterms:W3CDTF">2019-07-22T06:10:00Z</dcterms:created>
  <dcterms:modified xsi:type="dcterms:W3CDTF">2020-03-24T06:31:00Z</dcterms:modified>
</cp:coreProperties>
</file>