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01AA" w14:textId="53B550EF" w:rsidR="00B87C56" w:rsidRPr="00B87C56" w:rsidRDefault="00B87C56" w:rsidP="00B87C56">
      <w:pPr>
        <w:rPr>
          <w:sz w:val="28"/>
          <w:szCs w:val="28"/>
          <w:lang w:val="en-GB"/>
        </w:rPr>
      </w:pPr>
      <w:r>
        <w:rPr>
          <w:sz w:val="28"/>
          <w:szCs w:val="28"/>
          <w:lang w:val="en-GB"/>
        </w:rPr>
        <w:t>Helen Small</w:t>
      </w:r>
    </w:p>
    <w:p w14:paraId="2443AFA0" w14:textId="77777777" w:rsidR="00B87C56" w:rsidRDefault="00B87C56" w:rsidP="008216CA">
      <w:pPr>
        <w:widowControl w:val="0"/>
        <w:autoSpaceDE w:val="0"/>
        <w:autoSpaceDN w:val="0"/>
        <w:adjustRightInd w:val="0"/>
        <w:jc w:val="center"/>
        <w:outlineLvl w:val="0"/>
        <w:rPr>
          <w:rFonts w:ascii="Times" w:hAnsi="Times" w:cs="Times"/>
          <w:b/>
          <w:sz w:val="28"/>
          <w:szCs w:val="28"/>
          <w:lang w:val="en-GB"/>
        </w:rPr>
      </w:pPr>
    </w:p>
    <w:p w14:paraId="517DF8F9" w14:textId="7CB223F3" w:rsidR="00E65B8C" w:rsidRDefault="00FA18FC" w:rsidP="00B87C56">
      <w:pPr>
        <w:widowControl w:val="0"/>
        <w:autoSpaceDE w:val="0"/>
        <w:autoSpaceDN w:val="0"/>
        <w:adjustRightInd w:val="0"/>
        <w:outlineLvl w:val="0"/>
        <w:rPr>
          <w:rFonts w:ascii="Times" w:hAnsi="Times" w:cs="Times"/>
          <w:b/>
          <w:sz w:val="28"/>
          <w:szCs w:val="28"/>
          <w:lang w:val="en-GB"/>
        </w:rPr>
      </w:pPr>
      <w:r>
        <w:rPr>
          <w:rFonts w:ascii="Times" w:hAnsi="Times" w:cs="Times"/>
          <w:b/>
          <w:sz w:val="28"/>
          <w:szCs w:val="28"/>
          <w:lang w:val="en-GB"/>
        </w:rPr>
        <w:t>“</w:t>
      </w:r>
      <w:r w:rsidRPr="00B87C56">
        <w:rPr>
          <w:rFonts w:ascii="Times" w:hAnsi="Times" w:cs="Times"/>
          <w:b/>
          <w:sz w:val="28"/>
          <w:szCs w:val="28"/>
          <w:lang w:val="en-GB"/>
        </w:rPr>
        <w:t>Letting</w:t>
      </w:r>
      <w:r>
        <w:rPr>
          <w:rFonts w:ascii="Times" w:hAnsi="Times" w:cs="Times"/>
          <w:b/>
          <w:sz w:val="28"/>
          <w:szCs w:val="28"/>
          <w:lang w:val="en-GB"/>
        </w:rPr>
        <w:t xml:space="preserve"> Oneself Go”: </w:t>
      </w:r>
      <w:r w:rsidR="00EC1C99">
        <w:rPr>
          <w:rFonts w:ascii="Times" w:hAnsi="Times" w:cs="Times"/>
          <w:b/>
          <w:sz w:val="28"/>
          <w:szCs w:val="28"/>
          <w:lang w:val="en-GB"/>
        </w:rPr>
        <w:t xml:space="preserve">John Stuart Mill </w:t>
      </w:r>
      <w:r w:rsidR="00E65B8C">
        <w:rPr>
          <w:rFonts w:ascii="Times" w:hAnsi="Times" w:cs="Times"/>
          <w:b/>
          <w:sz w:val="28"/>
          <w:szCs w:val="28"/>
          <w:lang w:val="en-GB"/>
        </w:rPr>
        <w:t>and</w:t>
      </w:r>
      <w:r w:rsidR="00B87C56">
        <w:rPr>
          <w:rFonts w:ascii="Times" w:hAnsi="Times" w:cs="Times"/>
          <w:b/>
          <w:sz w:val="28"/>
          <w:szCs w:val="28"/>
          <w:lang w:val="en-GB"/>
        </w:rPr>
        <w:t xml:space="preserve"> </w:t>
      </w:r>
      <w:r>
        <w:rPr>
          <w:rFonts w:ascii="Times" w:hAnsi="Times" w:cs="Times"/>
          <w:b/>
          <w:sz w:val="28"/>
          <w:szCs w:val="28"/>
          <w:lang w:val="en-GB"/>
        </w:rPr>
        <w:t xml:space="preserve">Helmuth Plessner on </w:t>
      </w:r>
      <w:r w:rsidR="00DC35C7">
        <w:rPr>
          <w:rFonts w:ascii="Times" w:hAnsi="Times" w:cs="Times"/>
          <w:b/>
          <w:sz w:val="28"/>
          <w:szCs w:val="28"/>
          <w:lang w:val="en-GB"/>
        </w:rPr>
        <w:t>Tears</w:t>
      </w:r>
    </w:p>
    <w:p w14:paraId="26EC5BB7" w14:textId="77777777" w:rsidR="00E65B8C" w:rsidRDefault="00E65B8C" w:rsidP="00E65B8C">
      <w:pPr>
        <w:widowControl w:val="0"/>
        <w:autoSpaceDE w:val="0"/>
        <w:autoSpaceDN w:val="0"/>
        <w:adjustRightInd w:val="0"/>
        <w:jc w:val="center"/>
        <w:outlineLvl w:val="0"/>
        <w:rPr>
          <w:rFonts w:ascii="Times" w:hAnsi="Times" w:cs="Times"/>
          <w:b/>
          <w:sz w:val="28"/>
          <w:szCs w:val="28"/>
          <w:lang w:val="en-GB"/>
        </w:rPr>
      </w:pPr>
    </w:p>
    <w:p w14:paraId="140AD1B4" w14:textId="5D748D3C" w:rsidR="00A04F53" w:rsidRPr="009E4946" w:rsidRDefault="00B87C56" w:rsidP="00B87C56">
      <w:pPr>
        <w:rPr>
          <w:lang w:val="en-GB"/>
        </w:rPr>
      </w:pPr>
      <w:r>
        <w:rPr>
          <w:i/>
          <w:lang w:val="en-GB"/>
        </w:rPr>
        <w:t xml:space="preserve">Abstract:  This essay </w:t>
      </w:r>
      <w:r w:rsidR="002F1E78">
        <w:rPr>
          <w:i/>
          <w:lang w:val="en-GB"/>
        </w:rPr>
        <w:t>examines the meaning and value attached to tears in the writings</w:t>
      </w:r>
      <w:r w:rsidR="009E4946">
        <w:rPr>
          <w:i/>
          <w:lang w:val="en-GB"/>
        </w:rPr>
        <w:t xml:space="preserve"> of John Stuart Mill and Helmuth Plessner</w:t>
      </w:r>
      <w:r w:rsidR="002F1E78">
        <w:rPr>
          <w:i/>
          <w:lang w:val="en-GB"/>
        </w:rPr>
        <w:t>.</w:t>
      </w:r>
      <w:r w:rsidR="009E4946">
        <w:rPr>
          <w:i/>
          <w:lang w:val="en-GB"/>
        </w:rPr>
        <w:t xml:space="preserve"> Mill’s recollection</w:t>
      </w:r>
      <w:r w:rsidR="002F1E78">
        <w:rPr>
          <w:i/>
          <w:lang w:val="en-GB"/>
        </w:rPr>
        <w:t xml:space="preserve"> in his </w:t>
      </w:r>
      <w:r w:rsidR="002F1E78">
        <w:rPr>
          <w:lang w:val="en-GB"/>
        </w:rPr>
        <w:t>Autobiography</w:t>
      </w:r>
      <w:r w:rsidR="009E4946">
        <w:rPr>
          <w:i/>
          <w:lang w:val="en-GB"/>
        </w:rPr>
        <w:t xml:space="preserve"> of the moment in 1826 when he was moved to tears reading the </w:t>
      </w:r>
      <w:r w:rsidR="009E4946">
        <w:rPr>
          <w:lang w:val="en-GB"/>
        </w:rPr>
        <w:t>Mémoires</w:t>
      </w:r>
      <w:r w:rsidR="009E4946">
        <w:rPr>
          <w:i/>
          <w:lang w:val="en-GB"/>
        </w:rPr>
        <w:t xml:space="preserve"> of Marmontel </w:t>
      </w:r>
      <w:r w:rsidR="002F1E78">
        <w:rPr>
          <w:i/>
          <w:lang w:val="en-GB"/>
        </w:rPr>
        <w:t>has became a famous statement</w:t>
      </w:r>
      <w:r w:rsidR="009E4946">
        <w:rPr>
          <w:i/>
          <w:lang w:val="en-GB"/>
        </w:rPr>
        <w:t xml:space="preserve"> of the</w:t>
      </w:r>
      <w:r w:rsidR="002F1E78">
        <w:rPr>
          <w:i/>
          <w:lang w:val="en-GB"/>
        </w:rPr>
        <w:t xml:space="preserve"> limitations of a utilitarian education (and by extension any education)</w:t>
      </w:r>
      <w:r w:rsidR="009E4946">
        <w:rPr>
          <w:i/>
          <w:lang w:val="en-GB"/>
        </w:rPr>
        <w:t xml:space="preserve"> which cultivates the </w:t>
      </w:r>
      <w:r w:rsidR="0017605B">
        <w:rPr>
          <w:i/>
          <w:lang w:val="en-GB"/>
        </w:rPr>
        <w:t>rati</w:t>
      </w:r>
      <w:r w:rsidR="002F1E78">
        <w:rPr>
          <w:i/>
          <w:lang w:val="en-GB"/>
        </w:rPr>
        <w:t>o</w:t>
      </w:r>
      <w:r w:rsidR="0017605B">
        <w:rPr>
          <w:i/>
          <w:lang w:val="en-GB"/>
        </w:rPr>
        <w:t>n</w:t>
      </w:r>
      <w:r w:rsidR="002F1E78">
        <w:rPr>
          <w:i/>
          <w:lang w:val="en-GB"/>
        </w:rPr>
        <w:t xml:space="preserve">al </w:t>
      </w:r>
      <w:r w:rsidR="009E4946">
        <w:rPr>
          <w:i/>
          <w:lang w:val="en-GB"/>
        </w:rPr>
        <w:t xml:space="preserve">analytic powers of mind at the expense of </w:t>
      </w:r>
      <w:r w:rsidR="002F1E78">
        <w:rPr>
          <w:i/>
          <w:lang w:val="en-GB"/>
        </w:rPr>
        <w:t>developing the</w:t>
      </w:r>
      <w:r w:rsidR="009E4946">
        <w:rPr>
          <w:i/>
          <w:lang w:val="en-GB"/>
        </w:rPr>
        <w:t xml:space="preserve"> emotion</w:t>
      </w:r>
      <w:r w:rsidR="002F1E78">
        <w:rPr>
          <w:i/>
          <w:lang w:val="en-GB"/>
        </w:rPr>
        <w:t>s</w:t>
      </w:r>
      <w:r w:rsidR="009E4946">
        <w:rPr>
          <w:i/>
          <w:lang w:val="en-GB"/>
        </w:rPr>
        <w:t xml:space="preserve">. </w:t>
      </w:r>
      <w:r w:rsidR="002F1E78">
        <w:rPr>
          <w:i/>
          <w:lang w:val="en-GB"/>
        </w:rPr>
        <w:t xml:space="preserve">Helmuth Plessner’s work of “philosophical anthropology” </w:t>
      </w:r>
      <w:r w:rsidR="002F1E78">
        <w:rPr>
          <w:lang w:val="en-GB"/>
        </w:rPr>
        <w:t>Laughing and Crying</w:t>
      </w:r>
      <w:r w:rsidR="002F1E78">
        <w:rPr>
          <w:i/>
          <w:lang w:val="en-GB"/>
        </w:rPr>
        <w:t xml:space="preserve"> (1941; first translated into English in 1970) remains less well known outside Germany, though it has attracted </w:t>
      </w:r>
      <w:r w:rsidR="0017605B">
        <w:rPr>
          <w:i/>
          <w:lang w:val="en-GB"/>
        </w:rPr>
        <w:t>wider an</w:t>
      </w:r>
      <w:r w:rsidR="002F1E78">
        <w:rPr>
          <w:i/>
          <w:lang w:val="en-GB"/>
        </w:rPr>
        <w:t>d</w:t>
      </w:r>
      <w:r w:rsidR="0017605B">
        <w:rPr>
          <w:i/>
          <w:lang w:val="en-GB"/>
        </w:rPr>
        <w:t xml:space="preserve"> increasing</w:t>
      </w:r>
      <w:r w:rsidR="002F1E78">
        <w:rPr>
          <w:i/>
          <w:lang w:val="en-GB"/>
        </w:rPr>
        <w:t xml:space="preserve"> attention in recent years. Like Mill, but without reference to him, Plessner pursues an account of crying as a</w:t>
      </w:r>
      <w:r w:rsidR="00A43B5C">
        <w:rPr>
          <w:i/>
          <w:lang w:val="en-GB"/>
        </w:rPr>
        <w:t xml:space="preserve"> distinctively human</w:t>
      </w:r>
      <w:r w:rsidR="002F1E78">
        <w:rPr>
          <w:i/>
          <w:lang w:val="en-GB"/>
        </w:rPr>
        <w:t xml:space="preserve"> expression of </w:t>
      </w:r>
      <w:r w:rsidR="00A43B5C">
        <w:rPr>
          <w:i/>
          <w:lang w:val="en-GB"/>
        </w:rPr>
        <w:t xml:space="preserve">emotion that signals to us the limits </w:t>
      </w:r>
      <w:r w:rsidR="0017605B">
        <w:rPr>
          <w:i/>
          <w:lang w:val="en-GB"/>
        </w:rPr>
        <w:t xml:space="preserve">of </w:t>
      </w:r>
      <w:r w:rsidR="00A43B5C">
        <w:rPr>
          <w:i/>
          <w:lang w:val="en-GB"/>
        </w:rPr>
        <w:t xml:space="preserve">our capacity to reason </w:t>
      </w:r>
      <w:r w:rsidR="0017605B">
        <w:rPr>
          <w:i/>
          <w:lang w:val="en-GB"/>
        </w:rPr>
        <w:t xml:space="preserve">adequately </w:t>
      </w:r>
      <w:r w:rsidR="00A43B5C">
        <w:rPr>
          <w:i/>
          <w:lang w:val="en-GB"/>
        </w:rPr>
        <w:t>about our own human condition</w:t>
      </w:r>
      <w:r w:rsidR="002F1E78">
        <w:rPr>
          <w:i/>
          <w:lang w:val="en-GB"/>
        </w:rPr>
        <w:t xml:space="preserve">. This essay pursues the exact nature of that claim in both instances, </w:t>
      </w:r>
      <w:r w:rsidR="00A43B5C">
        <w:rPr>
          <w:i/>
          <w:lang w:val="en-GB"/>
        </w:rPr>
        <w:t>and</w:t>
      </w:r>
      <w:r w:rsidR="002F1E78">
        <w:rPr>
          <w:i/>
          <w:lang w:val="en-GB"/>
        </w:rPr>
        <w:t xml:space="preserve"> the </w:t>
      </w:r>
      <w:r w:rsidR="00A43B5C">
        <w:rPr>
          <w:i/>
          <w:lang w:val="en-GB"/>
        </w:rPr>
        <w:t>further</w:t>
      </w:r>
      <w:r w:rsidR="002F1E78">
        <w:rPr>
          <w:i/>
          <w:lang w:val="en-GB"/>
        </w:rPr>
        <w:t xml:space="preserve"> claims it yields about </w:t>
      </w:r>
      <w:r w:rsidR="00A43B5C">
        <w:rPr>
          <w:i/>
          <w:lang w:val="en-GB"/>
        </w:rPr>
        <w:t>the nature of emotion and its r</w:t>
      </w:r>
      <w:r w:rsidR="00A22BEA">
        <w:rPr>
          <w:i/>
          <w:lang w:val="en-GB"/>
        </w:rPr>
        <w:t xml:space="preserve">elation to </w:t>
      </w:r>
      <w:r w:rsidR="00A43B5C">
        <w:rPr>
          <w:i/>
          <w:lang w:val="en-GB"/>
        </w:rPr>
        <w:t>knowledge</w:t>
      </w:r>
      <w:r w:rsidR="000369D2">
        <w:rPr>
          <w:i/>
          <w:lang w:val="en-GB"/>
        </w:rPr>
        <w:t>, as viewed from the shifting borderline</w:t>
      </w:r>
      <w:r w:rsidR="00A22BEA">
        <w:rPr>
          <w:i/>
          <w:lang w:val="en-GB"/>
        </w:rPr>
        <w:t>s</w:t>
      </w:r>
      <w:bookmarkStart w:id="0" w:name="_GoBack"/>
      <w:bookmarkEnd w:id="0"/>
      <w:r w:rsidR="000369D2">
        <w:rPr>
          <w:i/>
          <w:lang w:val="en-GB"/>
        </w:rPr>
        <w:t xml:space="preserve"> between philosophy </w:t>
      </w:r>
      <w:r w:rsidR="00977912">
        <w:rPr>
          <w:i/>
          <w:lang w:val="en-GB"/>
        </w:rPr>
        <w:t>and psychology</w:t>
      </w:r>
      <w:r w:rsidR="002F1E78">
        <w:rPr>
          <w:i/>
          <w:lang w:val="en-GB"/>
        </w:rPr>
        <w:t>.</w:t>
      </w:r>
    </w:p>
    <w:p w14:paraId="68C5576C" w14:textId="77777777" w:rsidR="00E65B8C" w:rsidRDefault="00E65B8C" w:rsidP="0086398A">
      <w:pPr>
        <w:widowControl w:val="0"/>
        <w:autoSpaceDE w:val="0"/>
        <w:autoSpaceDN w:val="0"/>
        <w:adjustRightInd w:val="0"/>
        <w:jc w:val="center"/>
        <w:rPr>
          <w:rFonts w:ascii="Times" w:hAnsi="Times" w:cs="Times"/>
          <w:sz w:val="28"/>
          <w:szCs w:val="32"/>
          <w:lang w:val="en-GB"/>
        </w:rPr>
      </w:pPr>
    </w:p>
    <w:p w14:paraId="642674B0" w14:textId="5A7A9D55" w:rsidR="00D90D5B" w:rsidRDefault="00C6748E" w:rsidP="00865171">
      <w:r>
        <w:rPr>
          <w:lang w:val="en-GB"/>
        </w:rPr>
        <w:t xml:space="preserve">Few occasions of crying can have </w:t>
      </w:r>
      <w:r w:rsidR="007A4C0F">
        <w:rPr>
          <w:lang w:val="en-GB"/>
        </w:rPr>
        <w:t xml:space="preserve">acquired </w:t>
      </w:r>
      <w:r w:rsidR="006938D5">
        <w:rPr>
          <w:lang w:val="en-GB"/>
        </w:rPr>
        <w:t>greater philosophical</w:t>
      </w:r>
      <w:r w:rsidR="00AE00BA">
        <w:rPr>
          <w:lang w:val="en-GB"/>
        </w:rPr>
        <w:t xml:space="preserve"> weight</w:t>
      </w:r>
      <w:r w:rsidR="00657DBD">
        <w:rPr>
          <w:lang w:val="en-GB"/>
        </w:rPr>
        <w:t xml:space="preserve"> than </w:t>
      </w:r>
      <w:r w:rsidR="005E27BB">
        <w:rPr>
          <w:lang w:val="en-GB"/>
        </w:rPr>
        <w:t xml:space="preserve">the experience of </w:t>
      </w:r>
      <w:r w:rsidR="00657DBD">
        <w:rPr>
          <w:lang w:val="en-GB"/>
        </w:rPr>
        <w:t>John Stuart Mill</w:t>
      </w:r>
      <w:r w:rsidR="005E27BB">
        <w:rPr>
          <w:lang w:val="en-GB"/>
        </w:rPr>
        <w:t>,</w:t>
      </w:r>
      <w:r w:rsidR="00657DBD">
        <w:rPr>
          <w:lang w:val="en-GB"/>
        </w:rPr>
        <w:t xml:space="preserve"> </w:t>
      </w:r>
      <w:r>
        <w:rPr>
          <w:lang w:val="en-GB"/>
        </w:rPr>
        <w:t xml:space="preserve">moved to tears </w:t>
      </w:r>
      <w:r w:rsidR="005E27BB">
        <w:rPr>
          <w:lang w:val="en-GB"/>
        </w:rPr>
        <w:t xml:space="preserve">by </w:t>
      </w:r>
      <w:r>
        <w:rPr>
          <w:lang w:val="en-GB"/>
        </w:rPr>
        <w:t xml:space="preserve">reading </w:t>
      </w:r>
      <w:r>
        <w:t>Jean-François Marmontel</w:t>
      </w:r>
      <w:r w:rsidR="008A6C46">
        <w:t xml:space="preserve"> in 1826. That</w:t>
      </w:r>
      <w:r w:rsidR="00112962">
        <w:t xml:space="preserve"> </w:t>
      </w:r>
      <w:r w:rsidR="00B73B52">
        <w:t xml:space="preserve">private </w:t>
      </w:r>
      <w:r w:rsidR="003C654E">
        <w:t>event</w:t>
      </w:r>
      <w:r w:rsidR="00112962">
        <w:t xml:space="preserve">, made </w:t>
      </w:r>
      <w:r w:rsidR="001037D8">
        <w:t xml:space="preserve">public </w:t>
      </w:r>
      <w:r w:rsidR="00112962">
        <w:t xml:space="preserve">in Mill’s </w:t>
      </w:r>
      <w:r w:rsidR="00112962">
        <w:rPr>
          <w:i/>
        </w:rPr>
        <w:t>Autobiography</w:t>
      </w:r>
      <w:r w:rsidR="001037D8">
        <w:t xml:space="preserve"> </w:t>
      </w:r>
      <w:r w:rsidR="001037D8">
        <w:lastRenderedPageBreak/>
        <w:t>(1873),</w:t>
      </w:r>
      <w:r w:rsidR="00112962">
        <w:t xml:space="preserve"> </w:t>
      </w:r>
      <w:r w:rsidR="00865171">
        <w:rPr>
          <w:lang w:val="en-GB"/>
        </w:rPr>
        <w:t xml:space="preserve">is rightly seen as one of the most powerful and authoritative of personal testimonies to the incompleteness of any analytic culture not </w:t>
      </w:r>
      <w:r w:rsidR="00157729">
        <w:rPr>
          <w:lang w:val="en-GB"/>
        </w:rPr>
        <w:t>tested and extended by</w:t>
      </w:r>
      <w:r w:rsidR="00865171">
        <w:rPr>
          <w:lang w:val="en-GB"/>
        </w:rPr>
        <w:t xml:space="preserve"> contact with the culture of expressive feeling. It led Mill himself to an important </w:t>
      </w:r>
      <w:r w:rsidR="00DA23FD">
        <w:t xml:space="preserve">revision of classic utilitarianism </w:t>
      </w:r>
      <w:r w:rsidR="00865171">
        <w:t xml:space="preserve">so as to incorporate a more complex theory of human motivations, redescribing the individual’s proper relation to the goal of happiness. It also assisted him towards a famous distinction between quantitative and qualitative pleasures, as against Bentham’s </w:t>
      </w:r>
      <w:r w:rsidR="00942853">
        <w:t>purely</w:t>
      </w:r>
      <w:r w:rsidR="00865171">
        <w:t xml:space="preserve"> quantitative approach. But if Mill’s </w:t>
      </w:r>
      <w:r w:rsidR="00157729">
        <w:t>moment of</w:t>
      </w:r>
      <w:r w:rsidR="00865171">
        <w:t xml:space="preserve"> tears </w:t>
      </w:r>
      <w:r w:rsidR="003C654E">
        <w:t xml:space="preserve">had </w:t>
      </w:r>
      <w:r w:rsidR="002C297B">
        <w:t>great</w:t>
      </w:r>
      <w:r w:rsidR="00865171">
        <w:t xml:space="preserve"> subsequent</w:t>
      </w:r>
      <w:r w:rsidR="003C654E">
        <w:t xml:space="preserve"> importance </w:t>
      </w:r>
      <w:r w:rsidR="008F67C9">
        <w:t>for</w:t>
      </w:r>
      <w:r w:rsidR="00B73B52">
        <w:t xml:space="preserve"> </w:t>
      </w:r>
      <w:r w:rsidR="00CA449E">
        <w:t xml:space="preserve">moral </w:t>
      </w:r>
      <w:r w:rsidR="00DA23FD">
        <w:t xml:space="preserve">philosophy, </w:t>
      </w:r>
      <w:r w:rsidR="001037D8">
        <w:t xml:space="preserve">there is also a more </w:t>
      </w:r>
      <w:r w:rsidR="00865171">
        <w:t xml:space="preserve">specific </w:t>
      </w:r>
      <w:r w:rsidR="00900886">
        <w:t>story</w:t>
      </w:r>
      <w:r w:rsidR="001037D8">
        <w:t xml:space="preserve"> </w:t>
      </w:r>
      <w:r w:rsidR="00865171">
        <w:t xml:space="preserve">to be told </w:t>
      </w:r>
      <w:r w:rsidR="002C297B">
        <w:t xml:space="preserve">here </w:t>
      </w:r>
      <w:r w:rsidR="00865171">
        <w:t>about tears themselves as the signs of</w:t>
      </w:r>
      <w:r w:rsidR="002C297B">
        <w:t xml:space="preserve"> </w:t>
      </w:r>
      <w:r w:rsidR="00865171">
        <w:t xml:space="preserve">a crucial </w:t>
      </w:r>
      <w:r w:rsidR="00620909">
        <w:t>“excess”</w:t>
      </w:r>
      <w:r w:rsidR="00B73B52">
        <w:t xml:space="preserve"> in the </w:t>
      </w:r>
      <w:r w:rsidR="00DA23FD">
        <w:t>nature</w:t>
      </w:r>
      <w:r w:rsidR="00B73B52">
        <w:t xml:space="preserve"> of humanity</w:t>
      </w:r>
      <w:r w:rsidR="00CA449E">
        <w:t xml:space="preserve">, </w:t>
      </w:r>
      <w:r w:rsidR="00CB6B52">
        <w:t xml:space="preserve">over and above what </w:t>
      </w:r>
      <w:r w:rsidR="00620909">
        <w:t>a rational “scientific”</w:t>
      </w:r>
      <w:r w:rsidR="00865171">
        <w:t xml:space="preserve"> analysis of human behavior allows us to</w:t>
      </w:r>
      <w:r w:rsidR="00CB6B52">
        <w:t xml:space="preserve"> say </w:t>
      </w:r>
      <w:r w:rsidR="00CA449E">
        <w:t>about ourselves</w:t>
      </w:r>
      <w:r w:rsidR="00865171">
        <w:t>.</w:t>
      </w:r>
      <w:r w:rsidR="008F67C9">
        <w:t xml:space="preserve"> </w:t>
      </w:r>
      <w:r w:rsidR="00865171">
        <w:t>That exces</w:t>
      </w:r>
      <w:r w:rsidR="00942853">
        <w:t>s has to do with the perception</w:t>
      </w:r>
      <w:r w:rsidR="00D90D5B">
        <w:t>,</w:t>
      </w:r>
      <w:r w:rsidR="00865171">
        <w:t xml:space="preserve"> not of a distincti</w:t>
      </w:r>
      <w:r w:rsidR="00942853">
        <w:t>vely human capacity for emotion</w:t>
      </w:r>
      <w:r w:rsidR="00D90D5B">
        <w:t>,</w:t>
      </w:r>
      <w:r w:rsidR="00865171">
        <w:t xml:space="preserve"> but a distinctively human expression of it.</w:t>
      </w:r>
      <w:r w:rsidR="00157729">
        <w:t xml:space="preserve"> It is a story potentially</w:t>
      </w:r>
      <w:r w:rsidR="00865171">
        <w:t xml:space="preserve"> </w:t>
      </w:r>
      <w:r w:rsidR="00157729">
        <w:t>related to</w:t>
      </w:r>
      <w:r w:rsidR="00D90D5B">
        <w:t>,</w:t>
      </w:r>
      <w:r w:rsidR="00157729">
        <w:t xml:space="preserve"> but </w:t>
      </w:r>
      <w:r w:rsidR="00942853">
        <w:t>in its origins</w:t>
      </w:r>
      <w:r w:rsidR="00157729">
        <w:t xml:space="preserve"> independent of</w:t>
      </w:r>
      <w:r w:rsidR="00D90D5B">
        <w:t>,</w:t>
      </w:r>
      <w:r w:rsidR="00157729">
        <w:t xml:space="preserve"> the biological claim that human beings are the only animals that shed tears of emot</w:t>
      </w:r>
      <w:r w:rsidR="00620909">
        <w:t>i</w:t>
      </w:r>
      <w:r w:rsidR="00552E7B">
        <w:t>on</w:t>
      </w:r>
      <w:r w:rsidR="00D90D5B">
        <w:t>.</w:t>
      </w:r>
      <w:r w:rsidR="00AC39A5">
        <w:rPr>
          <w:rStyle w:val="FootnoteReference"/>
        </w:rPr>
        <w:footnoteReference w:id="1"/>
      </w:r>
    </w:p>
    <w:p w14:paraId="2C372FBF" w14:textId="32577574" w:rsidR="008A6C46" w:rsidRPr="00080582" w:rsidRDefault="00865171" w:rsidP="00D90D5B">
      <w:pPr>
        <w:ind w:firstLine="720"/>
      </w:pPr>
      <w:r>
        <w:t xml:space="preserve">This essay pursues that story </w:t>
      </w:r>
      <w:r w:rsidR="00157729">
        <w:t>it through a reading of, first,</w:t>
      </w:r>
      <w:r>
        <w:t xml:space="preserve"> Mill’s </w:t>
      </w:r>
      <w:r w:rsidRPr="00865171">
        <w:rPr>
          <w:i/>
        </w:rPr>
        <w:t>Autobiograph</w:t>
      </w:r>
      <w:r>
        <w:rPr>
          <w:i/>
        </w:rPr>
        <w:t>y</w:t>
      </w:r>
      <w:r>
        <w:t xml:space="preserve">, </w:t>
      </w:r>
      <w:r w:rsidR="00942853">
        <w:t>then</w:t>
      </w:r>
      <w:r w:rsidR="00F906DD">
        <w:t xml:space="preserve"> Helmuth Plessner’s brilli</w:t>
      </w:r>
      <w:r w:rsidR="004A1BA0">
        <w:t xml:space="preserve">ant, intermittently revived </w:t>
      </w:r>
      <w:r w:rsidR="005E27BB">
        <w:t>work of philosophical anthropology</w:t>
      </w:r>
      <w:r w:rsidR="000F2744">
        <w:t xml:space="preserve">, </w:t>
      </w:r>
      <w:r w:rsidR="005E27BB">
        <w:rPr>
          <w:i/>
        </w:rPr>
        <w:t>Laughing and Crying: A Study of the Limits of Human Behavior</w:t>
      </w:r>
      <w:r w:rsidR="00EC1C99">
        <w:t xml:space="preserve"> (1941). </w:t>
      </w:r>
      <w:r w:rsidR="00080582">
        <w:t xml:space="preserve">Like Mill’s </w:t>
      </w:r>
      <w:r w:rsidR="00080582">
        <w:rPr>
          <w:i/>
        </w:rPr>
        <w:t>Autobiography</w:t>
      </w:r>
      <w:r w:rsidR="00080582">
        <w:t xml:space="preserve"> (though without direct reference to it) Pl</w:t>
      </w:r>
      <w:r w:rsidR="00CB6B52">
        <w:t xml:space="preserve">essner </w:t>
      </w:r>
      <w:r w:rsidR="00DC35C7">
        <w:t>insists upon</w:t>
      </w:r>
      <w:r w:rsidR="00080582">
        <w:t xml:space="preserve"> the limited </w:t>
      </w:r>
      <w:r w:rsidR="00C10131">
        <w:t>capacity</w:t>
      </w:r>
      <w:r w:rsidR="00080582">
        <w:t xml:space="preserve"> of reason to explain </w:t>
      </w:r>
      <w:r w:rsidR="00C10131">
        <w:t>the human</w:t>
      </w:r>
      <w:r w:rsidR="00080582">
        <w:t xml:space="preserve"> expression of emotion. </w:t>
      </w:r>
      <w:r>
        <w:t xml:space="preserve">And like Mill, Plessner turns out to be making a claim not just about human emotional expression, but about the value to be placed on that expression as the </w:t>
      </w:r>
      <w:r w:rsidR="00157729">
        <w:t>thing about our humanity</w:t>
      </w:r>
      <w:r>
        <w:t xml:space="preserve"> that exceeds ou</w:t>
      </w:r>
      <w:r w:rsidR="00157729">
        <w:t xml:space="preserve">r own ability to </w:t>
      </w:r>
      <w:r w:rsidR="00942853">
        <w:t xml:space="preserve">be entirely rational </w:t>
      </w:r>
      <w:r w:rsidR="00157729">
        <w:t>about ourselves</w:t>
      </w:r>
      <w:r>
        <w:t xml:space="preserve">. </w:t>
      </w:r>
    </w:p>
    <w:p w14:paraId="44E7F6EA" w14:textId="63271DD6" w:rsidR="005E27BB" w:rsidRPr="005E27BB" w:rsidRDefault="00B2357D" w:rsidP="00B2357D">
      <w:pPr>
        <w:jc w:val="center"/>
      </w:pPr>
      <w:r>
        <w:t>*</w:t>
      </w:r>
    </w:p>
    <w:p w14:paraId="27464DC6" w14:textId="77777777" w:rsidR="00112962" w:rsidRDefault="00112962" w:rsidP="004839B8"/>
    <w:p w14:paraId="2944A745" w14:textId="5F7CCA33" w:rsidR="008D564D" w:rsidRDefault="009338CF" w:rsidP="004839B8">
      <w:r>
        <w:t xml:space="preserve">The </w:t>
      </w:r>
      <w:r w:rsidR="00112962">
        <w:t xml:space="preserve">story of how Mill came to be in tears over the sentimental memoirs of an eighteenth-century French tragedian and </w:t>
      </w:r>
      <w:r w:rsidR="00112962">
        <w:rPr>
          <w:i/>
        </w:rPr>
        <w:t>encycopédiste</w:t>
      </w:r>
      <w:r w:rsidR="00112962">
        <w:t xml:space="preserve"> is</w:t>
      </w:r>
      <w:r w:rsidR="00A71407">
        <w:t xml:space="preserve"> well known. A</w:t>
      </w:r>
      <w:r w:rsidR="00D13538">
        <w:t xml:space="preserve">t the age of 20, </w:t>
      </w:r>
      <w:r w:rsidR="008C3152">
        <w:t>Mill</w:t>
      </w:r>
      <w:r w:rsidR="00B955E4">
        <w:t xml:space="preserve"> was</w:t>
      </w:r>
      <w:r w:rsidR="00D13538">
        <w:t xml:space="preserve"> </w:t>
      </w:r>
      <w:r w:rsidR="001E7FAC">
        <w:t xml:space="preserve">the </w:t>
      </w:r>
      <w:r w:rsidR="008D564D">
        <w:t xml:space="preserve">product of </w:t>
      </w:r>
      <w:r w:rsidR="00AD2A8E">
        <w:t>a</w:t>
      </w:r>
      <w:r w:rsidR="001E7FAC">
        <w:t xml:space="preserve"> now notorious</w:t>
      </w:r>
      <w:r w:rsidR="00F77532">
        <w:t xml:space="preserve"> </w:t>
      </w:r>
      <w:r w:rsidR="007A4C0F">
        <w:t>experiment in home schooling</w:t>
      </w:r>
      <w:r w:rsidR="00A71407">
        <w:t xml:space="preserve">: </w:t>
      </w:r>
      <w:r w:rsidR="00620909">
        <w:t>“an appalling success”</w:t>
      </w:r>
      <w:r w:rsidR="00B955E4">
        <w:t xml:space="preserve">, in Isaiah Berlin’s </w:t>
      </w:r>
      <w:r w:rsidR="006232C4">
        <w:t>pithy phrase</w:t>
      </w:r>
      <w:r w:rsidR="00364DF5">
        <w:t>.</w:t>
      </w:r>
      <w:r w:rsidR="00552E7B">
        <w:rPr>
          <w:rStyle w:val="FootnoteReference"/>
        </w:rPr>
        <w:footnoteReference w:id="2"/>
      </w:r>
      <w:r w:rsidR="00991EEF">
        <w:t xml:space="preserve"> </w:t>
      </w:r>
      <w:r w:rsidR="00B955E4">
        <w:t>Un</w:t>
      </w:r>
      <w:r w:rsidR="000B2FBC">
        <w:t>der the tute</w:t>
      </w:r>
      <w:r w:rsidR="00DA3975">
        <w:t xml:space="preserve">lage of his father James Mill, </w:t>
      </w:r>
      <w:r w:rsidR="00B955E4">
        <w:t>political philosopher and d</w:t>
      </w:r>
      <w:r w:rsidR="000B2FBC">
        <w:t xml:space="preserve">edicated Benthamite, </w:t>
      </w:r>
      <w:r w:rsidR="001E7FAC">
        <w:t xml:space="preserve">he </w:t>
      </w:r>
      <w:r w:rsidR="007A4C0F">
        <w:t xml:space="preserve">had </w:t>
      </w:r>
      <w:r w:rsidR="00D13538">
        <w:t>studied</w:t>
      </w:r>
      <w:r w:rsidR="00525BA4">
        <w:t xml:space="preserve"> ancient</w:t>
      </w:r>
      <w:r w:rsidR="00F60553">
        <w:t xml:space="preserve"> Greek </w:t>
      </w:r>
      <w:r w:rsidR="0007253C">
        <w:t xml:space="preserve">from </w:t>
      </w:r>
      <w:r w:rsidR="00CA449E">
        <w:t>the age of 3. B</w:t>
      </w:r>
      <w:r w:rsidR="00FF2EA9">
        <w:t xml:space="preserve">y his early teenage years </w:t>
      </w:r>
      <w:r w:rsidR="00630E50">
        <w:t xml:space="preserve">he </w:t>
      </w:r>
      <w:r w:rsidR="00FF2EA9">
        <w:t>was</w:t>
      </w:r>
      <w:r w:rsidR="00453836">
        <w:t xml:space="preserve"> a fluent reader</w:t>
      </w:r>
      <w:r w:rsidR="00C56F28">
        <w:t xml:space="preserve"> of Latin, Greek and French,</w:t>
      </w:r>
      <w:r w:rsidR="00630E50">
        <w:t xml:space="preserve"> </w:t>
      </w:r>
      <w:r w:rsidR="00FF2EA9">
        <w:t xml:space="preserve">proficient </w:t>
      </w:r>
      <w:r w:rsidR="00C56F28">
        <w:t xml:space="preserve">also </w:t>
      </w:r>
      <w:r w:rsidR="00FF2EA9">
        <w:t>in many branches of the classics, philosophy, law, history, economi</w:t>
      </w:r>
      <w:r w:rsidR="00FB2037">
        <w:t>cs, mathematics</w:t>
      </w:r>
      <w:r w:rsidR="00525BA4">
        <w:t xml:space="preserve">. </w:t>
      </w:r>
      <w:r w:rsidR="00686EB2">
        <w:t>Directed away from</w:t>
      </w:r>
      <w:r w:rsidR="000B2FBC">
        <w:t xml:space="preserve"> Cambridge </w:t>
      </w:r>
      <w:r w:rsidR="0007253C">
        <w:t>at 15</w:t>
      </w:r>
      <w:r w:rsidR="00D13538">
        <w:t>, on his father’s</w:t>
      </w:r>
      <w:r w:rsidR="00686EB2">
        <w:t xml:space="preserve"> assumption that he</w:t>
      </w:r>
      <w:r w:rsidR="00620909">
        <w:t xml:space="preserve"> “</w:t>
      </w:r>
      <w:r w:rsidR="00FF2EA9" w:rsidRPr="00FF2EA9">
        <w:t>already knew more than he could learn</w:t>
      </w:r>
      <w:r w:rsidR="00620909">
        <w:t>”</w:t>
      </w:r>
      <w:r w:rsidR="004A11C5">
        <w:t xml:space="preserve"> there</w:t>
      </w:r>
      <w:r w:rsidR="00686EB2">
        <w:t>,</w:t>
      </w:r>
      <w:r w:rsidR="00552E7B">
        <w:rPr>
          <w:rStyle w:val="FootnoteReference"/>
        </w:rPr>
        <w:footnoteReference w:id="3"/>
      </w:r>
      <w:r w:rsidR="00364DF5">
        <w:t xml:space="preserve"> </w:t>
      </w:r>
      <w:r>
        <w:t xml:space="preserve">Mill </w:t>
      </w:r>
      <w:r w:rsidR="00774DB6">
        <w:t>had</w:t>
      </w:r>
      <w:r w:rsidR="00686EB2">
        <w:t xml:space="preserve"> </w:t>
      </w:r>
      <w:r w:rsidR="00EC52C0">
        <w:t>begu</w:t>
      </w:r>
      <w:r w:rsidR="00464E2C">
        <w:t xml:space="preserve">n </w:t>
      </w:r>
      <w:r w:rsidR="00774DB6">
        <w:t xml:space="preserve">what would </w:t>
      </w:r>
      <w:r w:rsidR="00EC52C0">
        <w:t xml:space="preserve">turn out to </w:t>
      </w:r>
      <w:r w:rsidR="00774DB6">
        <w:t xml:space="preserve">be </w:t>
      </w:r>
      <w:r w:rsidR="00991EEF">
        <w:t xml:space="preserve">a </w:t>
      </w:r>
      <w:r w:rsidR="004174D9">
        <w:t xml:space="preserve">long and distinguished career </w:t>
      </w:r>
      <w:r w:rsidR="00DE2DAD">
        <w:t>in his father’s department of</w:t>
      </w:r>
      <w:r w:rsidR="00991EEF">
        <w:t xml:space="preserve"> the India Office</w:t>
      </w:r>
      <w:r w:rsidR="00DB4A5E">
        <w:t>. By 1826</w:t>
      </w:r>
      <w:r w:rsidR="005B16E6">
        <w:t xml:space="preserve"> he </w:t>
      </w:r>
      <w:r>
        <w:t>was shouldering</w:t>
      </w:r>
      <w:r w:rsidR="005B16E6">
        <w:t xml:space="preserve"> considerable responsibilities </w:t>
      </w:r>
      <w:r w:rsidR="00EC52C0">
        <w:t>at work while</w:t>
      </w:r>
      <w:r>
        <w:t xml:space="preserve"> </w:t>
      </w:r>
      <w:r w:rsidR="005D4A2E">
        <w:t xml:space="preserve">overseeing the education of his </w:t>
      </w:r>
      <w:r w:rsidR="00464E2C">
        <w:t xml:space="preserve">eight </w:t>
      </w:r>
      <w:r w:rsidR="000C408E">
        <w:t>sibling</w:t>
      </w:r>
      <w:r w:rsidR="00B67261">
        <w:t>s</w:t>
      </w:r>
      <w:r w:rsidR="00EC52C0">
        <w:t xml:space="preserve"> at home</w:t>
      </w:r>
      <w:r w:rsidR="00464E2C">
        <w:t>,</w:t>
      </w:r>
      <w:r w:rsidR="005D4A2E">
        <w:t xml:space="preserve"> </w:t>
      </w:r>
      <w:r w:rsidR="00D873DF">
        <w:t xml:space="preserve">studying, editing, </w:t>
      </w:r>
      <w:r w:rsidR="005D4A2E">
        <w:t>taking a leading role in debates within his rad</w:t>
      </w:r>
      <w:r w:rsidR="00D873DF">
        <w:t xml:space="preserve">ical circle, </w:t>
      </w:r>
      <w:r w:rsidR="005D4A2E">
        <w:t xml:space="preserve">and </w:t>
      </w:r>
      <w:r w:rsidR="00F60553">
        <w:t>propagandizing</w:t>
      </w:r>
      <w:r w:rsidR="00991EEF">
        <w:t xml:space="preserve"> zealously</w:t>
      </w:r>
      <w:r w:rsidR="001A4641">
        <w:t xml:space="preserve"> as a periodical writer</w:t>
      </w:r>
      <w:r w:rsidR="00FF2EA9">
        <w:t xml:space="preserve"> for </w:t>
      </w:r>
      <w:r w:rsidR="00464E2C">
        <w:t xml:space="preserve">the </w:t>
      </w:r>
      <w:r w:rsidR="00FF2EA9">
        <w:t>Bentham</w:t>
      </w:r>
      <w:r w:rsidR="00AD2A8E">
        <w:t xml:space="preserve">ite </w:t>
      </w:r>
      <w:r w:rsidR="00464E2C">
        <w:t>cause</w:t>
      </w:r>
      <w:r w:rsidR="00D016C0">
        <w:t>.</w:t>
      </w:r>
      <w:r w:rsidR="00D873DF">
        <w:t xml:space="preserve"> Then, i</w:t>
      </w:r>
      <w:r w:rsidR="00DB4A5E">
        <w:t>n the autumn of that year</w:t>
      </w:r>
      <w:r w:rsidR="00620909">
        <w:t xml:space="preserve"> he experienced “A Crisis in My Mental History”</w:t>
      </w:r>
      <w:r w:rsidR="00AD2A8E">
        <w:t>:</w:t>
      </w:r>
    </w:p>
    <w:p w14:paraId="49D1DCF4" w14:textId="1E43EC96" w:rsidR="00BB0463" w:rsidRDefault="00BB0463" w:rsidP="00BB0463">
      <w:pPr>
        <w:pStyle w:val="q"/>
      </w:pPr>
      <w:r>
        <w:t xml:space="preserve">… it occurred to me to put the question directly to myself, </w:t>
      </w:r>
      <w:r w:rsidR="00620909">
        <w:t>“</w:t>
      </w:r>
      <w:r>
        <w:t>Suppose that all your objects in life were realized; that all the changes in institutions and opinions which you are looking forward to, could be completely effected at this very instant: would this be a g</w:t>
      </w:r>
      <w:r w:rsidR="00620909">
        <w:t xml:space="preserve">reat joy and happiness to you?” </w:t>
      </w:r>
      <w:r>
        <w:t>And an irrepressible self-consciou</w:t>
      </w:r>
      <w:r w:rsidR="00620909">
        <w:t xml:space="preserve">sness distinctly answered, “No!” </w:t>
      </w:r>
      <w:r>
        <w:t>At this my heart sank within me: the whole foundation on which my life was constructed fell down.</w:t>
      </w:r>
    </w:p>
    <w:p w14:paraId="13166325" w14:textId="4BE2FDFE" w:rsidR="00BB0463" w:rsidRPr="00364DF5" w:rsidRDefault="00BB0463" w:rsidP="00BB0463">
      <w:pPr>
        <w:pStyle w:val="q"/>
        <w:rPr>
          <w:i/>
        </w:rPr>
      </w:pPr>
      <w:r>
        <w:t xml:space="preserve">… I frequently asked myself, if I could, or if I was bound to go on living, when life must be passed in this manner. I generally answered to myself, that I did not think I could possibly bear it beyond a year. When, however, not more than half that duration of time elapsed, a small ray of light broke in upon my gloom. I was reading, accidentally, Marmontel’s </w:t>
      </w:r>
      <w:r>
        <w:rPr>
          <w:i/>
        </w:rPr>
        <w:t>Memoirs</w:t>
      </w:r>
      <w:r>
        <w:t xml:space="preserve">, and came to the passage which relates his father’s death, the distressed position of the family, and the sudden inspiration by which he, then a mere boy, felt and made them feel that he would be everything to them—would supply the place of all that they had lost. A vivid conception of the scene and its feelings came over me, and I was moved to tears. From this moment my burthen grew lighter. The oppression of the thought that all feeling was dead within me, was gone. I was no longer hopeless: I was not a stock or a stone. I </w:t>
      </w:r>
      <w:r w:rsidR="00AB3BDE">
        <w:t>had still, it seemed, some mate</w:t>
      </w:r>
      <w:r>
        <w:t>r</w:t>
      </w:r>
      <w:r w:rsidR="00AB3BDE">
        <w:t>i</w:t>
      </w:r>
      <w:r>
        <w:t>al out of which all worth of character, and all capacity for happiness, are made.</w:t>
      </w:r>
      <w:r w:rsidR="00552E7B">
        <w:rPr>
          <w:rStyle w:val="FootnoteReference"/>
        </w:rPr>
        <w:footnoteReference w:id="4"/>
      </w:r>
    </w:p>
    <w:p w14:paraId="5CE6487F" w14:textId="77777777" w:rsidR="00FF2EA9" w:rsidRPr="00BB0463" w:rsidRDefault="00FF2EA9" w:rsidP="00BB0463">
      <w:pPr>
        <w:pStyle w:val="q"/>
      </w:pPr>
    </w:p>
    <w:p w14:paraId="6B109B5C" w14:textId="365E4A38" w:rsidR="00DA1D75" w:rsidRDefault="00D13538" w:rsidP="00DA1D75">
      <w:r>
        <w:t>Like the conversion narratives an</w:t>
      </w:r>
      <w:r w:rsidR="00AE00BA">
        <w:t xml:space="preserve">d confession narratives </w:t>
      </w:r>
      <w:r w:rsidR="00364DF5">
        <w:t>who</w:t>
      </w:r>
      <w:r w:rsidR="00112962">
        <w:t>se structure it implicitly repeat</w:t>
      </w:r>
      <w:r w:rsidR="00364DF5">
        <w:t>s</w:t>
      </w:r>
      <w:r w:rsidR="00AE00BA">
        <w:t xml:space="preserve">, </w:t>
      </w:r>
      <w:r>
        <w:t xml:space="preserve">Mill’s </w:t>
      </w:r>
      <w:r w:rsidR="00620909">
        <w:t>“</w:t>
      </w:r>
      <w:r>
        <w:t>crisis</w:t>
      </w:r>
      <w:r w:rsidR="00620909">
        <w:t xml:space="preserve"> narrative”</w:t>
      </w:r>
      <w:r>
        <w:t xml:space="preserve"> pivots on this moment </w:t>
      </w:r>
      <w:r w:rsidR="00630E50">
        <w:t>when</w:t>
      </w:r>
      <w:r>
        <w:t xml:space="preserve"> tears announce</w:t>
      </w:r>
      <w:r w:rsidR="00630E50">
        <w:t xml:space="preserve"> a revolution within the self: an</w:t>
      </w:r>
      <w:r w:rsidR="000F36FA">
        <w:t xml:space="preserve"> emotional</w:t>
      </w:r>
      <w:r>
        <w:t xml:space="preserve"> turning away fr</w:t>
      </w:r>
      <w:r w:rsidR="000F36FA">
        <w:t>om an old manner of being and</w:t>
      </w:r>
      <w:r>
        <w:t xml:space="preserve"> opening up to </w:t>
      </w:r>
      <w:r w:rsidR="00D028C2">
        <w:t xml:space="preserve">the possibility of </w:t>
      </w:r>
      <w:r>
        <w:t>a better life.</w:t>
      </w:r>
      <w:r w:rsidR="00DA1D75">
        <w:t xml:space="preserve"> </w:t>
      </w:r>
      <w:r w:rsidR="006938D5">
        <w:t>The exce</w:t>
      </w:r>
      <w:r w:rsidR="00364DF5">
        <w:t>ptional aspect to</w:t>
      </w:r>
      <w:r w:rsidR="006938D5">
        <w:t xml:space="preserve"> </w:t>
      </w:r>
      <w:r w:rsidR="005E2277">
        <w:t xml:space="preserve">his </w:t>
      </w:r>
      <w:r w:rsidR="00630E50">
        <w:t>rearticulation of the</w:t>
      </w:r>
      <w:r w:rsidR="006938D5">
        <w:t xml:space="preserve"> familiar genre is</w:t>
      </w:r>
      <w:r w:rsidR="00630E50">
        <w:t xml:space="preserve"> </w:t>
      </w:r>
      <w:r w:rsidR="006938D5">
        <w:t xml:space="preserve">that </w:t>
      </w:r>
      <w:r w:rsidR="007F6AA8">
        <w:t>t</w:t>
      </w:r>
      <w:r w:rsidR="006938D5">
        <w:t>his</w:t>
      </w:r>
      <w:r w:rsidR="005E2277">
        <w:t xml:space="preserve"> </w:t>
      </w:r>
      <w:r w:rsidR="00D36934">
        <w:t xml:space="preserve">private </w:t>
      </w:r>
      <w:r w:rsidR="005E2277">
        <w:t xml:space="preserve">psychological reorientation </w:t>
      </w:r>
      <w:r w:rsidR="00D028C2">
        <w:t>became the prompt to</w:t>
      </w:r>
      <w:r w:rsidR="007F6AA8">
        <w:t xml:space="preserve"> </w:t>
      </w:r>
      <w:r w:rsidR="007A4C0F">
        <w:t>conscious</w:t>
      </w:r>
      <w:r w:rsidR="00AE00BA">
        <w:t xml:space="preserve"> re</w:t>
      </w:r>
      <w:r w:rsidR="00D36934">
        <w:t>vision</w:t>
      </w:r>
      <w:r w:rsidR="00AE00BA">
        <w:t xml:space="preserve"> of</w:t>
      </w:r>
      <w:r w:rsidR="005E2277">
        <w:t xml:space="preserve"> a </w:t>
      </w:r>
      <w:r w:rsidR="000261DC">
        <w:t>far</w:t>
      </w:r>
      <w:r w:rsidR="005E2277">
        <w:t xml:space="preserve"> larger philosophical</w:t>
      </w:r>
      <w:r w:rsidR="00D36934">
        <w:t xml:space="preserve"> project: a revision</w:t>
      </w:r>
      <w:r w:rsidR="000F36FA">
        <w:t xml:space="preserve"> that </w:t>
      </w:r>
      <w:r w:rsidR="005E2277">
        <w:t>depend</w:t>
      </w:r>
      <w:r w:rsidR="00D028C2">
        <w:t>ed</w:t>
      </w:r>
      <w:r w:rsidR="005E2277">
        <w:t xml:space="preserve"> only </w:t>
      </w:r>
      <w:r w:rsidR="000261DC">
        <w:t>in part</w:t>
      </w:r>
      <w:r w:rsidR="005E2277">
        <w:t xml:space="preserve"> on the charismatic </w:t>
      </w:r>
      <w:r w:rsidR="00AE00BA">
        <w:t>impact</w:t>
      </w:r>
      <w:r w:rsidR="000E4491">
        <w:t xml:space="preserve"> of </w:t>
      </w:r>
      <w:r w:rsidR="00630E50">
        <w:t>hi</w:t>
      </w:r>
      <w:r w:rsidR="007A4C0F">
        <w:t xml:space="preserve">s </w:t>
      </w:r>
      <w:r w:rsidR="006938D5">
        <w:t xml:space="preserve">own </w:t>
      </w:r>
      <w:r w:rsidR="007A4C0F">
        <w:t>experiences</w:t>
      </w:r>
      <w:r w:rsidR="006938D5">
        <w:t xml:space="preserve"> </w:t>
      </w:r>
      <w:r w:rsidR="000E4491">
        <w:t>(</w:t>
      </w:r>
      <w:r w:rsidR="000261DC">
        <w:t>which</w:t>
      </w:r>
      <w:r w:rsidR="00CA449E">
        <w:t xml:space="preserve"> were, after all, very far from normal</w:t>
      </w:r>
      <w:r w:rsidR="000E4491">
        <w:t>).</w:t>
      </w:r>
    </w:p>
    <w:p w14:paraId="6C687244" w14:textId="7DB41831" w:rsidR="0055255B" w:rsidRPr="00E22059" w:rsidRDefault="0055255B" w:rsidP="0055255B">
      <w:pPr>
        <w:ind w:firstLine="720"/>
      </w:pPr>
      <w:r>
        <w:t xml:space="preserve">The scene that so moved Mill is one of </w:t>
      </w:r>
      <w:r w:rsidR="00364DF5">
        <w:t>the</w:t>
      </w:r>
      <w:r>
        <w:t xml:space="preserve"> great sentimental set pieces</w:t>
      </w:r>
      <w:r w:rsidR="00364DF5">
        <w:t xml:space="preserve"> in Marmontel’s memoir</w:t>
      </w:r>
      <w:r>
        <w:t>, describing his coming of age at the news of his father’s death. T</w:t>
      </w:r>
      <w:r w:rsidR="00D028C2">
        <w:t>he psychological rationale of the episode</w:t>
      </w:r>
      <w:r w:rsidR="0080066F">
        <w:t>’</w:t>
      </w:r>
      <w:r>
        <w:t xml:space="preserve">s </w:t>
      </w:r>
      <w:r w:rsidR="00364DF5">
        <w:t xml:space="preserve">appeal for </w:t>
      </w:r>
      <w:r w:rsidR="0080066F">
        <w:t>the son of James Mill</w:t>
      </w:r>
      <w:r w:rsidR="00364DF5">
        <w:t xml:space="preserve"> has regularly </w:t>
      </w:r>
      <w:r>
        <w:t xml:space="preserve">been remarked </w:t>
      </w:r>
      <w:r w:rsidR="00364DF5">
        <w:t xml:space="preserve">upon </w:t>
      </w:r>
      <w:r>
        <w:t xml:space="preserve">by critics, many of whom </w:t>
      </w:r>
      <w:r w:rsidR="00B2357D">
        <w:t>see</w:t>
      </w:r>
      <w:r w:rsidR="00D028C2">
        <w:t xml:space="preserve"> in his response the</w:t>
      </w:r>
      <w:r>
        <w:t xml:space="preserve"> gratification of an unconscious wish to murder the father.</w:t>
      </w:r>
      <w:r w:rsidR="00B50FD8">
        <w:rPr>
          <w:rStyle w:val="FootnoteReference"/>
        </w:rPr>
        <w:footnoteReference w:id="5"/>
      </w:r>
      <w:r>
        <w:t xml:space="preserve"> Mill’s point of identific</w:t>
      </w:r>
      <w:r w:rsidR="00620909">
        <w:t xml:space="preserve">ation in the story is with the “mere boy” </w:t>
      </w:r>
      <w:r>
        <w:t>who convinces his family tha</w:t>
      </w:r>
      <w:r w:rsidR="00620909">
        <w:t>t he can “be everything to them”—his “making them feel”</w:t>
      </w:r>
      <w:r>
        <w:t xml:space="preserve"> prompts the ‘</w:t>
      </w:r>
      <w:r w:rsidR="002E76AF">
        <w:t>“feelings”</w:t>
      </w:r>
      <w:r>
        <w:t xml:space="preserve"> </w:t>
      </w:r>
      <w:r w:rsidR="00620909">
        <w:t>in Mill that then reassure him “all feeling” is not “dead”</w:t>
      </w:r>
      <w:r>
        <w:t>. The significance (for Mill) of the tears shed over Marmontel is that they are a much needed reassurance that he has still a natura</w:t>
      </w:r>
      <w:r w:rsidR="0080066F">
        <w:t xml:space="preserve">l concern for his own condition, </w:t>
      </w:r>
      <w:r>
        <w:t xml:space="preserve">an </w:t>
      </w:r>
      <w:r w:rsidR="00620909">
        <w:t>“</w:t>
      </w:r>
      <w:r>
        <w:t>i</w:t>
      </w:r>
      <w:r w:rsidR="00620909">
        <w:t>rrepressible self-consciousness”</w:t>
      </w:r>
      <w:r>
        <w:t xml:space="preserve"> not wholly absorbable into rational pursuit of the e</w:t>
      </w:r>
      <w:r w:rsidR="00620909">
        <w:t>conomic and political means to “the greatest happiness”</w:t>
      </w:r>
      <w:r>
        <w:t xml:space="preserve">. In providing such reassurance, his response to literature initiates the discovery of new motivations for agency: the motivation to achieve some </w:t>
      </w:r>
      <w:r w:rsidR="00620909">
        <w:t>“worth of character”</w:t>
      </w:r>
      <w:r>
        <w:t xml:space="preserve"> and the co</w:t>
      </w:r>
      <w:r w:rsidR="00620909">
        <w:t>nscious desire to realize some “</w:t>
      </w:r>
      <w:r>
        <w:t>cap</w:t>
      </w:r>
      <w:r w:rsidR="00620909">
        <w:t>acity for [personal] happiness”.</w:t>
      </w:r>
    </w:p>
    <w:p w14:paraId="61DF445C" w14:textId="6A7A2456" w:rsidR="007A4C0F" w:rsidRDefault="0013604F" w:rsidP="0055255B">
      <w:pPr>
        <w:ind w:firstLine="720"/>
        <w:rPr>
          <w:lang w:val="en-GB"/>
        </w:rPr>
      </w:pPr>
      <w:r>
        <w:t xml:space="preserve">The tears </w:t>
      </w:r>
      <w:r w:rsidR="007A4C0F">
        <w:t>shed over Marmontel</w:t>
      </w:r>
      <w:r w:rsidR="00D028C2">
        <w:t xml:space="preserve"> thus</w:t>
      </w:r>
      <w:r w:rsidR="007A4C0F">
        <w:t xml:space="preserve"> </w:t>
      </w:r>
      <w:r>
        <w:t xml:space="preserve">express </w:t>
      </w:r>
      <w:r w:rsidR="007A4C0F">
        <w:t>a painful recognition</w:t>
      </w:r>
      <w:r>
        <w:t xml:space="preserve"> </w:t>
      </w:r>
      <w:r w:rsidR="007A4C0F">
        <w:t xml:space="preserve">that </w:t>
      </w:r>
      <w:r>
        <w:t>one of the most serious of</w:t>
      </w:r>
      <w:r w:rsidR="00A71407">
        <w:t xml:space="preserve"> modern efforts to formulate a radical</w:t>
      </w:r>
      <w:r>
        <w:t xml:space="preserve"> </w:t>
      </w:r>
      <w:r w:rsidR="00630E50">
        <w:t xml:space="preserve">political and </w:t>
      </w:r>
      <w:r w:rsidR="007A4C0F">
        <w:t>educational programme for</w:t>
      </w:r>
      <w:r>
        <w:t xml:space="preserve"> happiness</w:t>
      </w:r>
      <w:r w:rsidR="000F36FA">
        <w:t xml:space="preserve"> </w:t>
      </w:r>
      <w:r w:rsidR="00B2357D">
        <w:t>has</w:t>
      </w:r>
      <w:r w:rsidR="007A4C0F">
        <w:t xml:space="preserve"> failed in the case of its </w:t>
      </w:r>
      <w:r w:rsidR="00EC52C0">
        <w:t>model</w:t>
      </w:r>
      <w:r w:rsidR="007A4C0F">
        <w:t xml:space="preserve"> pupil. To any other eye than Mill’s it is</w:t>
      </w:r>
      <w:r w:rsidR="000F36FA">
        <w:t xml:space="preserve"> a less an irony </w:t>
      </w:r>
      <w:r w:rsidR="00046F63">
        <w:t xml:space="preserve">than a simple inevitability </w:t>
      </w:r>
      <w:r w:rsidR="007A4C0F">
        <w:t xml:space="preserve">that the </w:t>
      </w:r>
      <w:r w:rsidR="00EC52C0">
        <w:t>Benthamite pursuit of happin</w:t>
      </w:r>
      <w:r w:rsidR="00767CBC">
        <w:t>ess</w:t>
      </w:r>
      <w:r w:rsidR="007A4C0F">
        <w:t xml:space="preserve"> ends in tears</w:t>
      </w:r>
      <w:r w:rsidR="00C06FC8">
        <w:t xml:space="preserve">: human beings are not </w:t>
      </w:r>
      <w:r w:rsidR="00620909">
        <w:t>“</w:t>
      </w:r>
      <w:r w:rsidR="00620909">
        <w:rPr>
          <w:lang w:val="en-GB"/>
        </w:rPr>
        <w:t>mere reasoning machine[s]”</w:t>
      </w:r>
      <w:r w:rsidR="00A134BD">
        <w:rPr>
          <w:rStyle w:val="FootnoteReference"/>
          <w:lang w:val="en-GB"/>
        </w:rPr>
        <w:footnoteReference w:id="6"/>
      </w:r>
      <w:r w:rsidR="006938D5">
        <w:rPr>
          <w:lang w:val="en-GB"/>
        </w:rPr>
        <w:t>; and they cannot reliably have their path</w:t>
      </w:r>
      <w:r w:rsidR="00767CBC">
        <w:rPr>
          <w:lang w:val="en-GB"/>
        </w:rPr>
        <w:t>s</w:t>
      </w:r>
      <w:r w:rsidR="006938D5">
        <w:rPr>
          <w:lang w:val="en-GB"/>
        </w:rPr>
        <w:t xml:space="preserve"> to happiness </w:t>
      </w:r>
      <w:r w:rsidR="00767CBC">
        <w:rPr>
          <w:lang w:val="en-GB"/>
        </w:rPr>
        <w:t>decided for them by others</w:t>
      </w:r>
      <w:r w:rsidR="0080066F">
        <w:rPr>
          <w:lang w:val="en-GB"/>
        </w:rPr>
        <w:t>. Except in pathological cases they have ineluctab</w:t>
      </w:r>
      <w:r w:rsidR="00C06FC8">
        <w:rPr>
          <w:lang w:val="en-GB"/>
        </w:rPr>
        <w:t>ly, even constitutively, needs, desires, feelings that will exceed any effort to subdue a life entirely to the calculated priorities of reason.</w:t>
      </w:r>
    </w:p>
    <w:p w14:paraId="66BE5801" w14:textId="6CB275B9" w:rsidR="00364DF5" w:rsidRPr="00DA1D75" w:rsidRDefault="0080066F" w:rsidP="00364DF5">
      <w:pPr>
        <w:ind w:firstLine="720"/>
      </w:pPr>
      <w:r>
        <w:rPr>
          <w:lang w:val="en-GB"/>
        </w:rPr>
        <w:t xml:space="preserve">But, </w:t>
      </w:r>
      <w:r>
        <w:rPr>
          <w:i/>
          <w:lang w:val="en-GB"/>
        </w:rPr>
        <w:t>pace</w:t>
      </w:r>
      <w:r w:rsidR="00B50FD8">
        <w:rPr>
          <w:lang w:val="en-GB"/>
        </w:rPr>
        <w:t xml:space="preserve"> Eagleton and others,</w:t>
      </w:r>
      <w:r w:rsidR="00B50FD8">
        <w:rPr>
          <w:rStyle w:val="FootnoteReference"/>
          <w:lang w:val="en-GB"/>
        </w:rPr>
        <w:footnoteReference w:id="7"/>
      </w:r>
      <w:r>
        <w:rPr>
          <w:lang w:val="en-GB"/>
        </w:rPr>
        <w:t xml:space="preserve"> </w:t>
      </w:r>
      <w:r w:rsidR="00D028C2">
        <w:rPr>
          <w:lang w:val="en-GB"/>
        </w:rPr>
        <w:t>Mill wa</w:t>
      </w:r>
      <w:r w:rsidR="000261DC">
        <w:rPr>
          <w:lang w:val="en-GB"/>
        </w:rPr>
        <w:t>s not</w:t>
      </w:r>
      <w:r w:rsidR="00364DF5">
        <w:rPr>
          <w:lang w:val="en-GB"/>
        </w:rPr>
        <w:t xml:space="preserve"> saying</w:t>
      </w:r>
      <w:r>
        <w:rPr>
          <w:lang w:val="en-GB"/>
        </w:rPr>
        <w:t xml:space="preserve"> </w:t>
      </w:r>
      <w:r w:rsidR="00364DF5">
        <w:rPr>
          <w:lang w:val="en-GB"/>
        </w:rPr>
        <w:t xml:space="preserve">with vague Romantic flourish, that feeling trumps reason. Indeed, he says pretty much the opposite. In his own case, the effect of happening upon a sympathetically engaging piece of literature at this critical moment in his life was </w:t>
      </w:r>
      <w:r w:rsidR="00B2357D">
        <w:rPr>
          <w:lang w:val="en-GB"/>
        </w:rPr>
        <w:t xml:space="preserve">rather </w:t>
      </w:r>
      <w:r w:rsidR="00364DF5">
        <w:rPr>
          <w:lang w:val="en-GB"/>
        </w:rPr>
        <w:t>to open him up to the experience of unhappiness. The fir</w:t>
      </w:r>
      <w:r w:rsidR="00D028C2">
        <w:rPr>
          <w:lang w:val="en-GB"/>
        </w:rPr>
        <w:t>st result of reading Marmontel wa</w:t>
      </w:r>
      <w:r w:rsidR="00364DF5">
        <w:rPr>
          <w:lang w:val="en-GB"/>
        </w:rPr>
        <w:t xml:space="preserve">s a </w:t>
      </w:r>
      <w:r w:rsidR="00620909">
        <w:rPr>
          <w:lang w:val="en-GB"/>
        </w:rPr>
        <w:t>“vivid”</w:t>
      </w:r>
      <w:r w:rsidR="00364DF5">
        <w:rPr>
          <w:lang w:val="en-GB"/>
        </w:rPr>
        <w:t xml:space="preserve"> apprehension of</w:t>
      </w:r>
      <w:r w:rsidR="00620909">
        <w:rPr>
          <w:lang w:val="en-GB"/>
        </w:rPr>
        <w:t xml:space="preserve"> a complex of feelings: grief, “distress”</w:t>
      </w:r>
      <w:r w:rsidR="00364DF5">
        <w:rPr>
          <w:lang w:val="en-GB"/>
        </w:rPr>
        <w:t xml:space="preserve"> (perhaps economic as well as em</w:t>
      </w:r>
      <w:r w:rsidR="00D028C2">
        <w:rPr>
          <w:lang w:val="en-GB"/>
        </w:rPr>
        <w:t>otional), and then whatever it wa</w:t>
      </w:r>
      <w:r w:rsidR="00364DF5">
        <w:rPr>
          <w:lang w:val="en-GB"/>
        </w:rPr>
        <w:t>s that Mill means to conv</w:t>
      </w:r>
      <w:r w:rsidR="001C61BD">
        <w:rPr>
          <w:lang w:val="en-GB"/>
        </w:rPr>
        <w:t>ey as the content of the boy’s “inspiration”</w:t>
      </w:r>
      <w:r w:rsidR="00364DF5">
        <w:rPr>
          <w:lang w:val="en-GB"/>
        </w:rPr>
        <w:t>—determination certainly, love presumably, but also, surely, ambition to be equal to the task of rep</w:t>
      </w:r>
      <w:r w:rsidR="00D028C2">
        <w:rPr>
          <w:lang w:val="en-GB"/>
        </w:rPr>
        <w:t>lacing his father. That Mill could</w:t>
      </w:r>
      <w:r w:rsidR="00364DF5">
        <w:rPr>
          <w:lang w:val="en-GB"/>
        </w:rPr>
        <w:t xml:space="preserve"> intensely feel, and express, such a complex </w:t>
      </w:r>
      <w:r w:rsidR="00D028C2">
        <w:rPr>
          <w:lang w:val="en-GB"/>
        </w:rPr>
        <w:t>of emotions and desires relieved him of the fear that he might</w:t>
      </w:r>
      <w:r w:rsidR="00364DF5">
        <w:rPr>
          <w:lang w:val="en-GB"/>
        </w:rPr>
        <w:t xml:space="preserve"> have been made </w:t>
      </w:r>
      <w:r w:rsidR="001C61BD">
        <w:rPr>
          <w:lang w:val="en-GB"/>
        </w:rPr>
        <w:t xml:space="preserve">“a mere reasoning </w:t>
      </w:r>
      <w:r w:rsidR="00A134BD">
        <w:rPr>
          <w:lang w:val="en-GB"/>
        </w:rPr>
        <w:t>machine”</w:t>
      </w:r>
      <w:r w:rsidR="00364DF5">
        <w:rPr>
          <w:lang w:val="en-GB"/>
        </w:rPr>
        <w:t>.</w:t>
      </w:r>
      <w:r w:rsidR="00A134BD">
        <w:rPr>
          <w:rStyle w:val="FootnoteReference"/>
          <w:lang w:val="en-GB"/>
        </w:rPr>
        <w:footnoteReference w:id="8"/>
      </w:r>
      <w:r w:rsidR="00364DF5">
        <w:rPr>
          <w:lang w:val="en-GB"/>
        </w:rPr>
        <w:t xml:space="preserve"> </w:t>
      </w:r>
      <w:r w:rsidR="00D028C2">
        <w:t>It also proved</w:t>
      </w:r>
      <w:r w:rsidR="00364DF5">
        <w:t xml:space="preserve"> to him (though at this poin</w:t>
      </w:r>
      <w:r w:rsidR="00D028C2">
        <w:t>t secondarily) that he possessed</w:t>
      </w:r>
      <w:r w:rsidR="00364DF5">
        <w:t xml:space="preserve"> natural powers of sympathy: a capacity to feel for and like others.</w:t>
      </w:r>
    </w:p>
    <w:p w14:paraId="5EDE70D1" w14:textId="3E5BE29A" w:rsidR="00EC52C0" w:rsidRDefault="00630E50" w:rsidP="00EC52C0">
      <w:pPr>
        <w:ind w:firstLine="720"/>
      </w:pPr>
      <w:r>
        <w:rPr>
          <w:lang w:val="en-GB"/>
        </w:rPr>
        <w:t>Mill’s tears</w:t>
      </w:r>
      <w:r w:rsidR="00364DF5">
        <w:rPr>
          <w:lang w:val="en-GB"/>
        </w:rPr>
        <w:t>, then,</w:t>
      </w:r>
      <w:r>
        <w:rPr>
          <w:lang w:val="en-GB"/>
        </w:rPr>
        <w:t xml:space="preserve"> a</w:t>
      </w:r>
      <w:r w:rsidR="00767CBC">
        <w:rPr>
          <w:lang w:val="en-GB"/>
        </w:rPr>
        <w:t xml:space="preserve">re the </w:t>
      </w:r>
      <w:r w:rsidR="001F446A">
        <w:rPr>
          <w:lang w:val="en-GB"/>
        </w:rPr>
        <w:t xml:space="preserve">sign of a </w:t>
      </w:r>
      <w:r w:rsidR="00364DF5">
        <w:rPr>
          <w:lang w:val="en-GB"/>
        </w:rPr>
        <w:t xml:space="preserve">proper </w:t>
      </w:r>
      <w:r w:rsidR="00767CBC">
        <w:rPr>
          <w:lang w:val="en-GB"/>
        </w:rPr>
        <w:t>human</w:t>
      </w:r>
      <w:r w:rsidR="00046F63">
        <w:rPr>
          <w:lang w:val="en-GB"/>
        </w:rPr>
        <w:t xml:space="preserve"> excess.</w:t>
      </w:r>
      <w:r w:rsidR="00D56C57">
        <w:rPr>
          <w:lang w:val="en-GB"/>
        </w:rPr>
        <w:t xml:space="preserve"> </w:t>
      </w:r>
      <w:r w:rsidR="00364DF5">
        <w:rPr>
          <w:lang w:val="en-GB"/>
        </w:rPr>
        <w:t>But it matters that they did not at the time express</w:t>
      </w:r>
      <w:r w:rsidR="007F6AA8">
        <w:rPr>
          <w:lang w:val="en-GB"/>
        </w:rPr>
        <w:t xml:space="preserve"> the </w:t>
      </w:r>
      <w:r w:rsidR="003504CE">
        <w:rPr>
          <w:lang w:val="en-GB"/>
        </w:rPr>
        <w:t>coherent o</w:t>
      </w:r>
      <w:r w:rsidR="00D56C57">
        <w:rPr>
          <w:lang w:val="en-GB"/>
        </w:rPr>
        <w:t xml:space="preserve">bjection to Benthamite utilitarianism </w:t>
      </w:r>
      <w:r w:rsidR="003504CE">
        <w:rPr>
          <w:lang w:val="en-GB"/>
        </w:rPr>
        <w:t>they have come to symbolise retrospectively.</w:t>
      </w:r>
      <w:r w:rsidR="00364DF5">
        <w:rPr>
          <w:lang w:val="en-GB"/>
        </w:rPr>
        <w:t xml:space="preserve"> </w:t>
      </w:r>
      <w:r w:rsidR="00B2357D">
        <w:rPr>
          <w:lang w:val="en-GB"/>
        </w:rPr>
        <w:t>Mill does no</w:t>
      </w:r>
      <w:r w:rsidR="00C56F28">
        <w:rPr>
          <w:lang w:val="en-GB"/>
        </w:rPr>
        <w:t>t assume (though he does not absolutely rule out) a cognitive</w:t>
      </w:r>
      <w:r w:rsidR="00BA2312">
        <w:rPr>
          <w:rStyle w:val="FootnoteReference"/>
          <w:lang w:val="en-GB"/>
        </w:rPr>
        <w:footnoteReference w:id="9"/>
      </w:r>
      <w:r w:rsidR="00C56F28">
        <w:rPr>
          <w:lang w:val="en-GB"/>
        </w:rPr>
        <w:t xml:space="preserve"> interpretation of emotion, whereby his tears would express the laten</w:t>
      </w:r>
      <w:r w:rsidR="00B2357D">
        <w:rPr>
          <w:lang w:val="en-GB"/>
        </w:rPr>
        <w:t>t thought that his life would go</w:t>
      </w:r>
      <w:r w:rsidR="00C56F28">
        <w:rPr>
          <w:lang w:val="en-GB"/>
        </w:rPr>
        <w:t xml:space="preserve"> much better</w:t>
      </w:r>
      <w:r w:rsidR="00B2357D">
        <w:rPr>
          <w:lang w:val="en-GB"/>
        </w:rPr>
        <w:t xml:space="preserve"> for him</w:t>
      </w:r>
      <w:r w:rsidR="00C56F28">
        <w:rPr>
          <w:lang w:val="en-GB"/>
        </w:rPr>
        <w:t xml:space="preserve"> if liberated from his father’s </w:t>
      </w:r>
      <w:r w:rsidR="006E21E8">
        <w:rPr>
          <w:lang w:val="en-GB"/>
        </w:rPr>
        <w:t xml:space="preserve">narrow rationalism. </w:t>
      </w:r>
      <w:r w:rsidR="00364DF5">
        <w:rPr>
          <w:lang w:val="en-GB"/>
        </w:rPr>
        <w:t>T</w:t>
      </w:r>
      <w:r w:rsidR="00D05078">
        <w:rPr>
          <w:lang w:val="en-GB"/>
        </w:rPr>
        <w:t>he</w:t>
      </w:r>
      <w:r w:rsidR="006938D5">
        <w:rPr>
          <w:lang w:val="en-GB"/>
        </w:rPr>
        <w:t xml:space="preserve"> most striking </w:t>
      </w:r>
      <w:r w:rsidR="00D05078">
        <w:rPr>
          <w:lang w:val="en-GB"/>
        </w:rPr>
        <w:t>aspect of</w:t>
      </w:r>
      <w:r w:rsidR="006938D5">
        <w:rPr>
          <w:lang w:val="en-GB"/>
        </w:rPr>
        <w:t xml:space="preserve"> Mill’s account of </w:t>
      </w:r>
      <w:r w:rsidR="00D05078">
        <w:rPr>
          <w:lang w:val="en-GB"/>
        </w:rPr>
        <w:t xml:space="preserve">being </w:t>
      </w:r>
      <w:r w:rsidR="001C61BD">
        <w:rPr>
          <w:lang w:val="en-GB"/>
        </w:rPr>
        <w:t>“</w:t>
      </w:r>
      <w:r w:rsidR="00D05078">
        <w:rPr>
          <w:lang w:val="en-GB"/>
        </w:rPr>
        <w:t>moved to tears</w:t>
      </w:r>
      <w:r w:rsidR="001C61BD">
        <w:rPr>
          <w:lang w:val="en-GB"/>
        </w:rPr>
        <w:t>”</w:t>
      </w:r>
      <w:r w:rsidR="00D05078">
        <w:rPr>
          <w:lang w:val="en-GB"/>
        </w:rPr>
        <w:t xml:space="preserve"> is the clarity with which he </w:t>
      </w:r>
      <w:r w:rsidR="00EC52C0">
        <w:rPr>
          <w:lang w:val="en-GB"/>
        </w:rPr>
        <w:t>locates</w:t>
      </w:r>
      <w:r>
        <w:rPr>
          <w:lang w:val="en-GB"/>
        </w:rPr>
        <w:t xml:space="preserve"> the act of crying not with the </w:t>
      </w:r>
      <w:r w:rsidR="00D028C2">
        <w:rPr>
          <w:lang w:val="en-GB"/>
        </w:rPr>
        <w:t xml:space="preserve">extended </w:t>
      </w:r>
      <w:r>
        <w:rPr>
          <w:lang w:val="en-GB"/>
        </w:rPr>
        <w:t xml:space="preserve">feeling of </w:t>
      </w:r>
      <w:r w:rsidR="00D05078">
        <w:rPr>
          <w:lang w:val="en-GB"/>
        </w:rPr>
        <w:t xml:space="preserve">crisis itself but </w:t>
      </w:r>
      <w:r w:rsidR="00EC52C0">
        <w:rPr>
          <w:lang w:val="en-GB"/>
        </w:rPr>
        <w:t>at the start of</w:t>
      </w:r>
      <w:r>
        <w:rPr>
          <w:lang w:val="en-GB"/>
        </w:rPr>
        <w:t xml:space="preserve"> the process of recovery</w:t>
      </w:r>
      <w:r w:rsidR="00D05078">
        <w:rPr>
          <w:lang w:val="en-GB"/>
        </w:rPr>
        <w:t xml:space="preserve">. </w:t>
      </w:r>
      <w:r w:rsidR="00A71407">
        <w:rPr>
          <w:lang w:val="en-GB"/>
        </w:rPr>
        <w:t>T</w:t>
      </w:r>
      <w:r w:rsidR="00D05078">
        <w:rPr>
          <w:lang w:val="en-GB"/>
        </w:rPr>
        <w:t>here is</w:t>
      </w:r>
      <w:r w:rsidR="00364DF5">
        <w:rPr>
          <w:lang w:val="en-GB"/>
        </w:rPr>
        <w:t>, indeed,</w:t>
      </w:r>
      <w:r w:rsidR="00D05078">
        <w:rPr>
          <w:lang w:val="en-GB"/>
        </w:rPr>
        <w:t xml:space="preserve"> something oddly </w:t>
      </w:r>
      <w:r w:rsidR="00EC52C0">
        <w:rPr>
          <w:lang w:val="en-GB"/>
        </w:rPr>
        <w:t xml:space="preserve">asymptomatic </w:t>
      </w:r>
      <w:r w:rsidR="00D05078">
        <w:rPr>
          <w:lang w:val="en-GB"/>
        </w:rPr>
        <w:t>about the crisis</w:t>
      </w:r>
      <w:r>
        <w:rPr>
          <w:lang w:val="en-GB"/>
        </w:rPr>
        <w:t xml:space="preserve"> proper</w:t>
      </w:r>
      <w:r w:rsidR="00D05078">
        <w:rPr>
          <w:lang w:val="en-GB"/>
        </w:rPr>
        <w:t xml:space="preserve">, as described in the </w:t>
      </w:r>
      <w:r w:rsidR="00D05078">
        <w:rPr>
          <w:i/>
          <w:lang w:val="en-GB"/>
        </w:rPr>
        <w:t>Autobiography</w:t>
      </w:r>
      <w:r>
        <w:rPr>
          <w:lang w:val="en-GB"/>
        </w:rPr>
        <w:t xml:space="preserve"> and</w:t>
      </w:r>
      <w:r w:rsidR="007F6AA8">
        <w:rPr>
          <w:lang w:val="en-GB"/>
        </w:rPr>
        <w:t xml:space="preserve"> evidenced in Mill’</w:t>
      </w:r>
      <w:r w:rsidR="00EC52C0">
        <w:rPr>
          <w:lang w:val="en-GB"/>
        </w:rPr>
        <w:t>s behaviour at the time</w:t>
      </w:r>
      <w:r w:rsidR="00767CBC">
        <w:rPr>
          <w:lang w:val="en-GB"/>
        </w:rPr>
        <w:t xml:space="preserve">. </w:t>
      </w:r>
      <w:r w:rsidR="00364DF5">
        <w:t>There were (apparentl</w:t>
      </w:r>
      <w:r w:rsidR="007F6AA8">
        <w:t>y</w:t>
      </w:r>
      <w:r w:rsidR="00364DF5">
        <w:t>) no tears</w:t>
      </w:r>
      <w:r w:rsidR="00D028C2">
        <w:t xml:space="preserve"> shed</w:t>
      </w:r>
      <w:r w:rsidR="00364DF5">
        <w:t xml:space="preserve"> prior to the reading of Marmontel</w:t>
      </w:r>
      <w:r w:rsidR="00EC52C0">
        <w:t xml:space="preserve">. An acute distress of some six months duration seems to have </w:t>
      </w:r>
      <w:r w:rsidR="00364DF5">
        <w:t>produced no externally visible effects</w:t>
      </w:r>
      <w:r w:rsidR="00EC52C0">
        <w:t xml:space="preserve">. Mill continued to function publically, doing his work at the India Office, tutoring, debating. </w:t>
      </w:r>
      <w:r w:rsidR="001C61BD">
        <w:t>“</w:t>
      </w:r>
      <w:r w:rsidR="00EC52C0">
        <w:t>None of his friends …  was aware there was anything wrong with</w:t>
      </w:r>
      <w:r w:rsidR="001C61BD">
        <w:t xml:space="preserve"> him”</w:t>
      </w:r>
      <w:r w:rsidR="00EC52C0">
        <w:t xml:space="preserve">—a state of affairs that suggests the poverty of his experience of friendship to that date, </w:t>
      </w:r>
      <w:r w:rsidR="0046665D">
        <w:t xml:space="preserve">as </w:t>
      </w:r>
      <w:r w:rsidR="00EC52C0">
        <w:t xml:space="preserve">his biographer Richard Reeves observes: a </w:t>
      </w:r>
      <w:r w:rsidR="001C61BD">
        <w:t>“</w:t>
      </w:r>
      <w:r w:rsidR="00EC52C0">
        <w:t xml:space="preserve">lack of intimacy </w:t>
      </w:r>
      <w:r w:rsidR="008D17DE">
        <w:t>in even his closest friendships</w:t>
      </w:r>
      <w:r w:rsidR="001C61BD">
        <w:t>”</w:t>
      </w:r>
      <w:r w:rsidR="008D17DE">
        <w:t>.</w:t>
      </w:r>
      <w:r w:rsidR="00A134BD">
        <w:rPr>
          <w:rStyle w:val="FootnoteReference"/>
        </w:rPr>
        <w:footnoteReference w:id="10"/>
      </w:r>
    </w:p>
    <w:p w14:paraId="3E26B30B" w14:textId="43412329" w:rsidR="00EC52C0" w:rsidRDefault="00EC52C0" w:rsidP="00EC52C0">
      <w:pPr>
        <w:ind w:firstLine="720"/>
      </w:pPr>
      <w:r>
        <w:t>The philosopher Elijah Millgram dr</w:t>
      </w:r>
      <w:r w:rsidR="00364DF5">
        <w:t>aws out just how peculiar a</w:t>
      </w:r>
      <w:r>
        <w:t xml:space="preserve"> </w:t>
      </w:r>
      <w:r w:rsidR="0046665D">
        <w:t>state of affairs</w:t>
      </w:r>
      <w:r>
        <w:t xml:space="preserve"> </w:t>
      </w:r>
      <w:r w:rsidR="00364DF5">
        <w:t xml:space="preserve">it </w:t>
      </w:r>
      <w:r>
        <w:t>was:</w:t>
      </w:r>
    </w:p>
    <w:p w14:paraId="6DAF8FD3" w14:textId="68DCFE94" w:rsidR="00EC52C0" w:rsidRDefault="00EC52C0" w:rsidP="00EC52C0">
      <w:pPr>
        <w:pStyle w:val="q"/>
      </w:pPr>
      <w:r>
        <w:t>the problem was not simply that he was depressed. If Mill</w:t>
      </w:r>
      <w:r w:rsidR="00EC1C99">
        <w:t>’</w:t>
      </w:r>
      <w:r>
        <w:t>s affliction had only been clinical depression, it would not have been nearly as bad as it was, and it would not have shaped Mill</w:t>
      </w:r>
      <w:r w:rsidR="00EC1C99">
        <w:t>’</w:t>
      </w:r>
      <w:r>
        <w:t>s life and philosophizing as it did.</w:t>
      </w:r>
    </w:p>
    <w:p w14:paraId="032D81E6" w14:textId="2AF51047" w:rsidR="00EC52C0" w:rsidRDefault="00EC52C0" w:rsidP="00EC52C0">
      <w:pPr>
        <w:pStyle w:val="q"/>
      </w:pPr>
      <w:r>
        <w:t>The deeper problem was that, although he was depressed and unmotivated, he could not act depressed. … People who are depressed mope around, can</w:t>
      </w:r>
      <w:r w:rsidR="00EC1C99">
        <w:t>’</w:t>
      </w:r>
      <w:r>
        <w:t>t get out of bed in the morning, and give up on the enterprises for which they have no heart; if Mill had been able to do any of this, he would not have been as desperate as he was. Instead, having realized that he simply did not care about his party</w:t>
      </w:r>
      <w:r w:rsidR="00EC1C99">
        <w:t>’</w:t>
      </w:r>
      <w:r>
        <w:t>s platform, he could not cease working to advance it. The pace of his labors did not slow perceptibly, and hardly any of his acquaintances seem even to have realized that anything was wrong.</w:t>
      </w:r>
      <w:r w:rsidR="00A134BD">
        <w:rPr>
          <w:rStyle w:val="FootnoteReference"/>
        </w:rPr>
        <w:footnoteReference w:id="11"/>
      </w:r>
    </w:p>
    <w:p w14:paraId="52DE86F9" w14:textId="77777777" w:rsidR="00EC52C0" w:rsidRDefault="00EC52C0" w:rsidP="00EC52C0">
      <w:pPr>
        <w:ind w:firstLine="720"/>
      </w:pPr>
    </w:p>
    <w:p w14:paraId="521F65DB" w14:textId="1C38729F" w:rsidR="00EC52C0" w:rsidRDefault="00EC52C0" w:rsidP="00EC52C0">
      <w:r>
        <w:t>As Millgram describes Mill’s case, in line with Mill’s own understanding of psychology, the problem was the sudden perception of a gap between his commitment to the goal defined for him by his utilitarian education</w:t>
      </w:r>
      <w:r w:rsidR="004D6937">
        <w:t xml:space="preserve"> </w:t>
      </w:r>
      <w:r>
        <w:t>and his ability to associate desire with the object. A convinced empiricist (like his father) and an adher</w:t>
      </w:r>
      <w:r w:rsidR="00C53599">
        <w:t>ent of associationism</w:t>
      </w:r>
      <w:r>
        <w:t xml:space="preserve">, Mill understood the psyche to be, at the time of a person’s birth, a blank slate, in Locke’s famous metaphor, onto which are etched, by repeated experience, pathways or habitual </w:t>
      </w:r>
      <w:r w:rsidR="001C61BD">
        <w:t>“associations”</w:t>
      </w:r>
      <w:r>
        <w:t xml:space="preserve"> of sensation and perception. In his case, the main effort of all his early education had been </w:t>
      </w:r>
      <w:r w:rsidR="001C61BD">
        <w:t>“</w:t>
      </w:r>
      <w:r>
        <w:t>to form the strongest possible associations … of pleasure with all things beneficial to the great whole, and of pai</w:t>
      </w:r>
      <w:r w:rsidR="001C61BD">
        <w:t>n with all things hurtful to it”</w:t>
      </w:r>
      <w:r>
        <w:t>.</w:t>
      </w:r>
      <w:r w:rsidR="00A134BD">
        <w:rPr>
          <w:rStyle w:val="FootnoteReference"/>
        </w:rPr>
        <w:footnoteReference w:id="12"/>
      </w:r>
      <w:r>
        <w:t xml:space="preserve"> His </w:t>
      </w:r>
      <w:r w:rsidRPr="00E029B5">
        <w:t xml:space="preserve">personality </w:t>
      </w:r>
      <w:r>
        <w:t xml:space="preserve">had been </w:t>
      </w:r>
      <w:r w:rsidR="001C61BD">
        <w:t>“</w:t>
      </w:r>
      <w:r>
        <w:t>structured around [that]</w:t>
      </w:r>
      <w:r w:rsidR="001C61BD">
        <w:t xml:space="preserve"> single, overriding objective”</w:t>
      </w:r>
      <w:r>
        <w:t>.</w:t>
      </w:r>
      <w:r w:rsidR="00A134BD">
        <w:rPr>
          <w:rStyle w:val="FootnoteReference"/>
        </w:rPr>
        <w:footnoteReference w:id="13"/>
      </w:r>
      <w:r>
        <w:t xml:space="preserve"> But because the associations had been </w:t>
      </w:r>
      <w:r w:rsidR="001C61BD">
        <w:t>“</w:t>
      </w:r>
      <w:r>
        <w:t>f</w:t>
      </w:r>
      <w:r w:rsidR="001C61BD">
        <w:t>orcibly”</w:t>
      </w:r>
      <w:r>
        <w:t xml:space="preserve"> instilled, using </w:t>
      </w:r>
      <w:r w:rsidR="001C61BD">
        <w:t>the “</w:t>
      </w:r>
      <w:r>
        <w:t>old familiar instruments, praise a</w:t>
      </w:r>
      <w:r w:rsidR="001C61BD">
        <w:t>nd blame, reward and punishment”</w:t>
      </w:r>
      <w:r>
        <w:t>, the feelings they produced were too weak to w</w:t>
      </w:r>
      <w:r w:rsidR="001C61BD">
        <w:t>ithstand the early inaugurated “habit of analysis”, which then became “a dissolving force” as Mill puts it, a “</w:t>
      </w:r>
      <w:r>
        <w:t>pe</w:t>
      </w:r>
      <w:r w:rsidR="001C61BD">
        <w:t>rpetual worm at the[ir] root”</w:t>
      </w:r>
      <w:r>
        <w:t>.</w:t>
      </w:r>
      <w:r w:rsidR="00A134BD">
        <w:rPr>
          <w:rStyle w:val="FootnoteReference"/>
        </w:rPr>
        <w:footnoteReference w:id="14"/>
      </w:r>
    </w:p>
    <w:p w14:paraId="19935C77" w14:textId="05D3B139" w:rsidR="00EC52C0" w:rsidRDefault="00EC52C0" w:rsidP="00EC52C0">
      <w:pPr>
        <w:ind w:firstLine="720"/>
        <w:rPr>
          <w:lang w:val="en-GB"/>
        </w:rPr>
      </w:pPr>
      <w:r>
        <w:t>Millgram draws on Mill’s later contributions to the second edition of his father’s psychology textbook (</w:t>
      </w:r>
      <w:r>
        <w:rPr>
          <w:i/>
        </w:rPr>
        <w:t>Analysis of the Phenomena of the Human Mind</w:t>
      </w:r>
      <w:r>
        <w:t xml:space="preserve">, 1869) to separate out two routes by which a person’s </w:t>
      </w:r>
      <w:r w:rsidR="001C61BD">
        <w:t>“</w:t>
      </w:r>
      <w:r>
        <w:t>hedoni</w:t>
      </w:r>
      <w:r w:rsidR="001C61BD">
        <w:t>c profile”</w:t>
      </w:r>
      <w:r>
        <w:t xml:space="preserve"> (how far and in what ways they are happy or unhappy) may change under the Laws of Association. Commonly, an association that becomes merely habitual, or taken for granted, will weaken over time and </w:t>
      </w:r>
      <w:r w:rsidR="001C61BD">
        <w:t>“fade away”</w:t>
      </w:r>
      <w:r>
        <w:t>.</w:t>
      </w:r>
      <w:r w:rsidR="00A134BD">
        <w:rPr>
          <w:rStyle w:val="FootnoteReference"/>
        </w:rPr>
        <w:footnoteReference w:id="15"/>
      </w:r>
      <w:r>
        <w:t xml:space="preserve"> Millgram calls this the </w:t>
      </w:r>
      <w:r w:rsidR="001C61BD">
        <w:t>“hedonic drift”</w:t>
      </w:r>
      <w:r>
        <w:t xml:space="preserve"> problem. But in Mill’s case his desires and pleasures were also vulnerable to that early-entrenched habit of submitting his own ideas to sceptical scrutiny. </w:t>
      </w:r>
      <w:r>
        <w:rPr>
          <w:lang w:val="en-GB"/>
        </w:rPr>
        <w:t xml:space="preserve">And one can add to Millgram’s account here that the analytic habit is itself doubly (and, it may appear, contradictorily) a source of vulnerability: on the one hand it risks corroding all of its objects by its scepticism; on the other, it may itself lapse into a merely </w:t>
      </w:r>
      <w:r w:rsidR="002E76AF">
        <w:rPr>
          <w:lang w:val="en-GB"/>
        </w:rPr>
        <w:t>r</w:t>
      </w:r>
      <w:r w:rsidR="00EC1C99">
        <w:rPr>
          <w:lang w:val="en-GB"/>
        </w:rPr>
        <w:t>outinized</w:t>
      </w:r>
      <w:r>
        <w:rPr>
          <w:lang w:val="en-GB"/>
        </w:rPr>
        <w:t xml:space="preserve"> response if it does not meet with resistance from other mental powers or faculties. A mind unsupported by the analytic habit would be without intellectual mettle; but one trained to employ it too exclusively will be in danger of believing in and caring for no sustained purposes. It will exhibit a merely mechanical competence, however impressive. As instilled in Mill at so young an age, without equivalent care to those other powers and faculties, the products of the analytic habit were (in his own later judgment) </w:t>
      </w:r>
      <w:r w:rsidR="001C61BD">
        <w:rPr>
          <w:lang w:val="en-GB"/>
        </w:rPr>
        <w:t>“precocious and premature”</w:t>
      </w:r>
      <w:r>
        <w:rPr>
          <w:lang w:val="en-GB"/>
        </w:rPr>
        <w:t>.</w:t>
      </w:r>
      <w:r w:rsidR="00A134BD">
        <w:rPr>
          <w:rStyle w:val="FootnoteReference"/>
          <w:lang w:val="en-GB"/>
        </w:rPr>
        <w:footnoteReference w:id="16"/>
      </w:r>
    </w:p>
    <w:p w14:paraId="367998FE" w14:textId="7381F995" w:rsidR="00EC52C0" w:rsidRDefault="00EC52C0" w:rsidP="000261DC">
      <w:pPr>
        <w:ind w:firstLine="720"/>
      </w:pPr>
      <w:r>
        <w:t>Such an inte</w:t>
      </w:r>
      <w:r w:rsidR="00364DF5">
        <w:t>rpretation of associationism would, over the years, lead</w:t>
      </w:r>
      <w:r>
        <w:t xml:space="preserve"> Mill to a way of thinking about the capacity for individual flourishing and for moral character development as entailing a fine balance between naturally acquired associations and the invigorating and educative power of self-scrutiny. The core of the </w:t>
      </w:r>
      <w:r w:rsidR="001C61BD">
        <w:t>“crisis”</w:t>
      </w:r>
      <w:r>
        <w:t xml:space="preserve"> in 1826-7 and, if Millgram is correct, the origin of Mill’s abiding concern thereafter with liberty of mind (intellectual affiliation, moral choice, desire), was that, at this early point in his adult life, having experienced the loss of connection between his motives and the goal he subscribed to, he was initially unable to locate alternative motivations that could </w:t>
      </w:r>
      <w:r w:rsidR="001C61BD">
        <w:t>“trump”</w:t>
      </w:r>
      <w:r>
        <w:t xml:space="preserve"> those given to him by his education in utilitarianism.</w:t>
      </w:r>
      <w:r w:rsidR="000369D2">
        <w:rPr>
          <w:rStyle w:val="FootnoteReference"/>
        </w:rPr>
        <w:footnoteReference w:id="17"/>
      </w:r>
      <w:r>
        <w:t xml:space="preserve"> The </w:t>
      </w:r>
      <w:r>
        <w:rPr>
          <w:i/>
        </w:rPr>
        <w:t xml:space="preserve">System of </w:t>
      </w:r>
      <w:r w:rsidRPr="00825433">
        <w:rPr>
          <w:i/>
        </w:rPr>
        <w:t>Logic</w:t>
      </w:r>
      <w:r w:rsidR="000261DC">
        <w:t>, written 17 years later,</w:t>
      </w:r>
      <w:r>
        <w:t xml:space="preserve"> provides a much quoted defence of our moral freedom against the exponents of necessitarianism: a person’s </w:t>
      </w:r>
      <w:r w:rsidR="001C61BD">
        <w:t>“</w:t>
      </w:r>
      <w:r>
        <w:t>character is formed by his circumstances … ; but his own desire to mould it in a particular way, is one of those circumstances, and by no mea</w:t>
      </w:r>
      <w:r w:rsidR="001C61BD">
        <w:t>ns one of the least influential”</w:t>
      </w:r>
      <w:r>
        <w:t>.</w:t>
      </w:r>
      <w:r w:rsidR="00A134BD">
        <w:rPr>
          <w:rStyle w:val="FootnoteReference"/>
        </w:rPr>
        <w:footnoteReference w:id="18"/>
      </w:r>
      <w:r>
        <w:t xml:space="preserve"> The Mill who found himself utterly demotivated in the winter of 1826-7 could not yet formulate that thought. Having </w:t>
      </w:r>
      <w:r w:rsidR="001C61BD">
        <w:t>“</w:t>
      </w:r>
      <w:r>
        <w:t xml:space="preserve">locked his </w:t>
      </w:r>
      <w:r w:rsidR="001C61BD">
        <w:t xml:space="preserve">ends and activities into place” </w:t>
      </w:r>
      <w:r>
        <w:t xml:space="preserve">he scrutinized them and found them wanting. Of a sudden unable to care about those ends and activities he was also unable to break off from them: </w:t>
      </w:r>
      <w:r w:rsidR="001C61BD">
        <w:t>“</w:t>
      </w:r>
      <w:r>
        <w:t>he found himself the helpless passenger of</w:t>
      </w:r>
      <w:r w:rsidR="00222318">
        <w:t xml:space="preserve"> his own life”</w:t>
      </w:r>
      <w:r>
        <w:t>.</w:t>
      </w:r>
      <w:r w:rsidR="00222318">
        <w:rPr>
          <w:rStyle w:val="FootnoteReference"/>
        </w:rPr>
        <w:footnoteReference w:id="19"/>
      </w:r>
    </w:p>
    <w:p w14:paraId="60A778E4" w14:textId="55C62262" w:rsidR="00810CC2" w:rsidRDefault="00A71407" w:rsidP="00DA1D75">
      <w:pPr>
        <w:ind w:firstLine="720"/>
      </w:pPr>
      <w:r>
        <w:t>His</w:t>
      </w:r>
      <w:r w:rsidR="007A472B">
        <w:t xml:space="preserve"> tears, when at last they come, are not</w:t>
      </w:r>
      <w:r>
        <w:t>, then,</w:t>
      </w:r>
      <w:r w:rsidR="007A472B">
        <w:t xml:space="preserve"> the symptom of the problem but the </w:t>
      </w:r>
      <w:r>
        <w:t>bodily sig</w:t>
      </w:r>
      <w:r w:rsidR="007F6AA8">
        <w:t>n</w:t>
      </w:r>
      <w:r>
        <w:t xml:space="preserve"> of </w:t>
      </w:r>
      <w:r w:rsidR="007F6AA8">
        <w:t>its</w:t>
      </w:r>
      <w:r w:rsidR="0056683D">
        <w:t xml:space="preserve"> unlocking</w:t>
      </w:r>
      <w:r w:rsidR="00311F4C">
        <w:t xml:space="preserve">. They signal to Mill </w:t>
      </w:r>
      <w:r w:rsidR="00A64BE2">
        <w:t>that</w:t>
      </w:r>
      <w:r w:rsidR="0056683D">
        <w:t xml:space="preserve"> new motives have become available to </w:t>
      </w:r>
      <w:r w:rsidR="00A64BE2">
        <w:t>him</w:t>
      </w:r>
      <w:r w:rsidR="007F6AA8">
        <w:t xml:space="preserve"> through the reading of Marmontel</w:t>
      </w:r>
      <w:r w:rsidR="00A64BE2">
        <w:t xml:space="preserve">: </w:t>
      </w:r>
      <w:r w:rsidR="0056683D">
        <w:t>a very strong motive to cultivate his own powers of feeling and give them a higher place in the formation of his own character than they have hitherto been allowed; relatedly, the m</w:t>
      </w:r>
      <w:r w:rsidR="007F6AA8">
        <w:t>otive to prove</w:t>
      </w:r>
      <w:r w:rsidR="0056683D">
        <w:t xml:space="preserve"> himself something more and other than the product of his father’s desires for him—capable, then, of som</w:t>
      </w:r>
      <w:r w:rsidR="00A64BE2">
        <w:t>e measure of self-determination</w:t>
      </w:r>
      <w:r w:rsidR="0056683D">
        <w:t>.</w:t>
      </w:r>
      <w:r>
        <w:t xml:space="preserve"> </w:t>
      </w:r>
      <w:r w:rsidR="00DA1D75">
        <w:t xml:space="preserve">To be </w:t>
      </w:r>
      <w:r w:rsidR="001C61BD">
        <w:t>“moved to tears”</w:t>
      </w:r>
      <w:r w:rsidR="00DA1D75">
        <w:t xml:space="preserve"> is, considered within the larger picture of the two Mills’ psychological theory, an appropriately ambiguous phrase. To be moved is, on </w:t>
      </w:r>
      <w:r w:rsidR="002F1900">
        <w:t>the more obvious reading,</w:t>
      </w:r>
      <w:r w:rsidR="00DA1D75">
        <w:t xml:space="preserve"> to be the object of an event that has its origins elsew</w:t>
      </w:r>
      <w:r w:rsidR="006E21E8">
        <w:t>here.</w:t>
      </w:r>
      <w:r w:rsidR="002F1900">
        <w:rPr>
          <w:rStyle w:val="FootnoteReference"/>
        </w:rPr>
        <w:footnoteReference w:id="20"/>
      </w:r>
      <w:r w:rsidR="00DA1D75">
        <w:t xml:space="preserve"> </w:t>
      </w:r>
      <w:r w:rsidR="002F1900">
        <w:t xml:space="preserve">But </w:t>
      </w:r>
      <w:r w:rsidR="001C61BD">
        <w:t>“I was moved to tears”</w:t>
      </w:r>
      <w:r w:rsidR="00810CC2">
        <w:t xml:space="preserve"> also expresses a capacity for responsiveness—an ability to be moved—that says something crucial about Mill himself. In that sense he is both the object and necessarily the subject of the </w:t>
      </w:r>
      <w:r w:rsidR="00A64BE2">
        <w:t xml:space="preserve">experience and expression of </w:t>
      </w:r>
      <w:r w:rsidR="00810CC2">
        <w:t>emotion.</w:t>
      </w:r>
      <w:r w:rsidR="006D0035">
        <w:t xml:space="preserve"> He is not simply determined.</w:t>
      </w:r>
    </w:p>
    <w:p w14:paraId="5C05ED92" w14:textId="6B8FFBB3" w:rsidR="009B1755" w:rsidRPr="00C53599" w:rsidRDefault="00A71407" w:rsidP="00DA1D75">
      <w:pPr>
        <w:ind w:firstLine="720"/>
      </w:pPr>
      <w:r>
        <w:t xml:space="preserve">Perhaps unsurprisingly, neither James Mill’s </w:t>
      </w:r>
      <w:r>
        <w:rPr>
          <w:i/>
        </w:rPr>
        <w:t>Analysis</w:t>
      </w:r>
      <w:r w:rsidR="00C53599">
        <w:t xml:space="preserve"> nor his son’s editorial notes on the te</w:t>
      </w:r>
      <w:r w:rsidR="0056683D">
        <w:t>x</w:t>
      </w:r>
      <w:r w:rsidR="00C53599">
        <w:t xml:space="preserve">t </w:t>
      </w:r>
      <w:r>
        <w:t>have anything direct to say about the psychological signific</w:t>
      </w:r>
      <w:r w:rsidR="00AD7104">
        <w:t>ance of emotion or</w:t>
      </w:r>
      <w:r>
        <w:t xml:space="preserve"> the physical processes </w:t>
      </w:r>
      <w:r w:rsidR="0056683D">
        <w:t xml:space="preserve">that </w:t>
      </w:r>
      <w:r w:rsidR="00AD7104">
        <w:t>give its expression</w:t>
      </w:r>
      <w:r w:rsidR="006D0035">
        <w:t xml:space="preserve"> certain forms rather than others. Why i</w:t>
      </w:r>
      <w:r w:rsidR="00AD7104">
        <w:t>s it that when moved to sympathize with the pain or (</w:t>
      </w:r>
      <w:r w:rsidR="00A64BE2">
        <w:t>looking at the Marmonstel example</w:t>
      </w:r>
      <w:r w:rsidR="00AD7104">
        <w:t>)</w:t>
      </w:r>
      <w:r w:rsidR="006D0035">
        <w:t xml:space="preserve"> the admirable characterological qualities of others in adv</w:t>
      </w:r>
      <w:r w:rsidR="00AD7104">
        <w:t>ersity</w:t>
      </w:r>
      <w:r w:rsidR="00A64BE2">
        <w:t xml:space="preserve"> we may</w:t>
      </w:r>
      <w:r w:rsidR="006D0035">
        <w:t xml:space="preserve"> shed tears? Why this curious secretion of fluid from the eyes r</w:t>
      </w:r>
      <w:r w:rsidR="00A64BE2">
        <w:t>ather than other bodily process</w:t>
      </w:r>
      <w:r w:rsidR="006D0035">
        <w:t xml:space="preserve"> that might be imagined occurring, and that might as easily have acquired the same </w:t>
      </w:r>
      <w:r w:rsidR="00B2357D">
        <w:t xml:space="preserve">habitual </w:t>
      </w:r>
      <w:r w:rsidR="006D0035">
        <w:t xml:space="preserve">associations with the feelings in question? </w:t>
      </w:r>
      <w:r>
        <w:t xml:space="preserve"> There </w:t>
      </w:r>
      <w:r w:rsidR="00C53599">
        <w:t>is</w:t>
      </w:r>
      <w:r w:rsidR="006D0035">
        <w:t xml:space="preserve"> </w:t>
      </w:r>
      <w:r w:rsidR="0056683D">
        <w:t xml:space="preserve">a </w:t>
      </w:r>
      <w:r w:rsidR="006D0035">
        <w:t xml:space="preserve">fairly </w:t>
      </w:r>
      <w:r w:rsidR="00C53599">
        <w:t xml:space="preserve">clear indication that Mill junior considered the absence of any </w:t>
      </w:r>
      <w:r w:rsidR="006D0035">
        <w:t xml:space="preserve">such </w:t>
      </w:r>
      <w:r w:rsidR="0001425B">
        <w:t xml:space="preserve">consideration of the expressive forms taken by </w:t>
      </w:r>
      <w:r w:rsidR="00C53599">
        <w:t xml:space="preserve">emotion a weakness in the </w:t>
      </w:r>
      <w:r w:rsidR="00C53599">
        <w:rPr>
          <w:i/>
        </w:rPr>
        <w:t>Analysis</w:t>
      </w:r>
      <w:r w:rsidR="00A64BE2">
        <w:t>. In his editorial notes to the text he commented that h</w:t>
      </w:r>
      <w:r w:rsidR="00C53599">
        <w:t>is father had</w:t>
      </w:r>
      <w:r w:rsidR="00A64BE2">
        <w:t xml:space="preserve"> advanced</w:t>
      </w:r>
      <w:r w:rsidR="00C53599">
        <w:t xml:space="preserve"> </w:t>
      </w:r>
      <w:r w:rsidR="001C61BD">
        <w:t>“</w:t>
      </w:r>
      <w:r w:rsidR="00C53599" w:rsidRPr="003752D4">
        <w:t xml:space="preserve">a sufficient theory of what we may call the mental, or intellectual element of </w:t>
      </w:r>
      <w:r w:rsidR="001C61BD">
        <w:t>… feelings”, but he had nowhere furnished “</w:t>
      </w:r>
      <w:r w:rsidR="00C53599" w:rsidRPr="003752D4">
        <w:t>any theory of what may be called the animal element in them</w:t>
      </w:r>
      <w:r w:rsidR="001C61BD">
        <w:t>”</w:t>
      </w:r>
      <w:r w:rsidR="00222318">
        <w:rPr>
          <w:rStyle w:val="FootnoteReference"/>
        </w:rPr>
        <w:footnoteReference w:id="21"/>
      </w:r>
      <w:r w:rsidR="00C53599">
        <w:t>:</w:t>
      </w:r>
    </w:p>
    <w:p w14:paraId="5D18534F" w14:textId="0D6F2159" w:rsidR="00C53599" w:rsidRDefault="00E347F5" w:rsidP="00F051A3">
      <w:pPr>
        <w:pStyle w:val="Quote"/>
      </w:pPr>
      <w:r>
        <w:t>as one of the simplest as well as one of the most powerful of them, let us take the emotion of Fear. The author gives no account of Fear but that it is the idea of a painful sensation, associated with the idea of its being (more or less uncertainly) future. Undoubtedly these elements are present in it; but do they account for the peculiar emotional character of the passion, and for its physiological effects, such as pallor, trembling, faltering of the voice, coldness of the skin, loss of control over the secretions, and general depression of the vital powers? The case would be simpler if these great disturbances of the animal functions by the expectation of a pain were the same in kind as the smaller modifications produced by the mere idea. This, however, is by no means the case; Ideas do produce effects on the animal economy, but not those particular effects. The idea of a pain, if it acts on the bodily functions at all, has an action the same in kind (though much less in degree) as the pain itself would have. But the passion of fear has a totally different action. Suppose the fear to be that of a flogging. The flogging itself, if it produced any physical demonstrations, would produce cries, shrinkings, possibly muscular struggles, and might by its remoter effects disturb the action of the brain or of the circulation; and if the fear of a flogging produced these same effects, in a mitigated degree, the power of fear might be merely the power of the idea of the pain. But none of these are at all like the characteristic symptoms of fear</w:t>
      </w:r>
      <w:r w:rsidR="00C53599">
        <w:t xml:space="preserve"> […]</w:t>
      </w:r>
      <w:r>
        <w:t>. No one has ever accounted for this remarkable difference, and the author of the Ana</w:t>
      </w:r>
      <w:r w:rsidR="00C53599">
        <w:t>lysis does not even mention it.</w:t>
      </w:r>
      <w:r w:rsidR="00222318">
        <w:rPr>
          <w:rStyle w:val="FootnoteReference"/>
        </w:rPr>
        <w:footnoteReference w:id="22"/>
      </w:r>
    </w:p>
    <w:p w14:paraId="1B459085" w14:textId="77777777" w:rsidR="00C53599" w:rsidRDefault="00C53599" w:rsidP="00F051A3">
      <w:pPr>
        <w:pStyle w:val="Quote"/>
      </w:pPr>
    </w:p>
    <w:p w14:paraId="4D01CE61" w14:textId="001A862C" w:rsidR="00A95083" w:rsidRDefault="00C53599" w:rsidP="00C2197B">
      <w:r>
        <w:t xml:space="preserve">The </w:t>
      </w:r>
      <w:r w:rsidR="001C61BD">
        <w:t>“</w:t>
      </w:r>
      <w:r>
        <w:t>loss of control over the secretions</w:t>
      </w:r>
      <w:r w:rsidR="001C61BD">
        <w:t>”</w:t>
      </w:r>
      <w:r w:rsidR="00C2197B">
        <w:t xml:space="preserve"> associated with fea</w:t>
      </w:r>
      <w:r w:rsidR="006D0035">
        <w:t xml:space="preserve">r no doubt includes crying, though </w:t>
      </w:r>
      <w:r w:rsidR="00C2197B">
        <w:t xml:space="preserve">it </w:t>
      </w:r>
      <w:r w:rsidR="006D0035">
        <w:t xml:space="preserve">also covers </w:t>
      </w:r>
      <w:r w:rsidR="00C2197B">
        <w:t xml:space="preserve">other kinds of secretion: sweating; </w:t>
      </w:r>
      <w:r w:rsidR="006E21E8">
        <w:t xml:space="preserve">salivation, </w:t>
      </w:r>
      <w:r w:rsidR="00C2197B">
        <w:t xml:space="preserve">in extreme cases bladder and bowel incontinence. </w:t>
      </w:r>
      <w:r w:rsidR="006D0035">
        <w:t xml:space="preserve">What interests Mill especially is the </w:t>
      </w:r>
      <w:r w:rsidR="001C61BD">
        <w:t>“remarkable difference”</w:t>
      </w:r>
      <w:r w:rsidR="006D0035">
        <w:t xml:space="preserve"> between the signs of emotion produced in response to the </w:t>
      </w:r>
      <w:r w:rsidR="006D0035" w:rsidRPr="006D0035">
        <w:t>idea</w:t>
      </w:r>
      <w:r w:rsidR="006D0035">
        <w:t xml:space="preserve"> of certain experiences</w:t>
      </w:r>
      <w:r w:rsidR="00A64BE2">
        <w:t xml:space="preserve"> (on the one hand)</w:t>
      </w:r>
      <w:r w:rsidR="006D0035">
        <w:t xml:space="preserve"> and </w:t>
      </w:r>
      <w:r w:rsidR="00A64BE2">
        <w:t xml:space="preserve">(on the other) </w:t>
      </w:r>
      <w:r w:rsidR="006D0035">
        <w:t xml:space="preserve">our </w:t>
      </w:r>
      <w:r w:rsidR="00A64BE2">
        <w:t xml:space="preserve">actual </w:t>
      </w:r>
      <w:r w:rsidR="006D0035">
        <w:t>physical responses whe</w:t>
      </w:r>
      <w:r w:rsidR="00A64BE2">
        <w:t>n</w:t>
      </w:r>
      <w:r w:rsidR="006D0035">
        <w:t xml:space="preserve"> the</w:t>
      </w:r>
      <w:r w:rsidR="00A64BE2">
        <w:t xml:space="preserve"> experience in question</w:t>
      </w:r>
      <w:r w:rsidR="006D0035">
        <w:t xml:space="preserve"> </w:t>
      </w:r>
      <w:r w:rsidR="00A64BE2">
        <w:t>happens</w:t>
      </w:r>
      <w:r w:rsidR="006D0035">
        <w:t xml:space="preserve"> to us. To Mill’s example of the fearful anticipation of </w:t>
      </w:r>
      <w:r w:rsidR="00A64BE2">
        <w:t>pain we might,</w:t>
      </w:r>
      <w:r w:rsidR="006D0035">
        <w:t xml:space="preserve"> as puzzlingly</w:t>
      </w:r>
      <w:r w:rsidR="00A64BE2">
        <w:t>,</w:t>
      </w:r>
      <w:r w:rsidR="006D0035">
        <w:t xml:space="preserve"> add the tearful response to a sentimental work of literature: </w:t>
      </w:r>
      <w:r w:rsidR="00A95083">
        <w:t xml:space="preserve">the young Marmontel is not </w:t>
      </w:r>
      <w:r w:rsidR="00A64BE2">
        <w:t xml:space="preserve">described </w:t>
      </w:r>
      <w:r w:rsidR="00A95083">
        <w:t>in tears (on the contrary he is emboldened, determined not to collapse under the weight of the moment; his family may conceivably have been t</w:t>
      </w:r>
      <w:r w:rsidR="00305EB9">
        <w:t>earful</w:t>
      </w:r>
      <w:r w:rsidR="00A64BE2">
        <w:t>—the text does not say—but</w:t>
      </w:r>
      <w:r w:rsidR="00A95083">
        <w:t xml:space="preserve">, as </w:t>
      </w:r>
      <w:r w:rsidR="00305EB9">
        <w:t>already observed</w:t>
      </w:r>
      <w:r w:rsidR="00A64BE2">
        <w:t>, Mill</w:t>
      </w:r>
      <w:r w:rsidR="00A95083">
        <w:t xml:space="preserve"> clearly identifies with the boy).</w:t>
      </w:r>
    </w:p>
    <w:p w14:paraId="15B86953" w14:textId="030E2E19" w:rsidR="00C2197B" w:rsidRPr="0078146B" w:rsidRDefault="00C2197B" w:rsidP="00A95083">
      <w:pPr>
        <w:ind w:firstLine="720"/>
        <w:rPr>
          <w:b/>
        </w:rPr>
      </w:pPr>
      <w:r w:rsidRPr="006D0035">
        <w:t>Mill’s</w:t>
      </w:r>
      <w:r>
        <w:t xml:space="preserve"> criticism of</w:t>
      </w:r>
      <w:r w:rsidR="00A64BE2">
        <w:t xml:space="preserve"> his father for neglecting </w:t>
      </w:r>
      <w:r w:rsidR="006E21E8">
        <w:t xml:space="preserve">the </w:t>
      </w:r>
      <w:r w:rsidR="00A64BE2">
        <w:t xml:space="preserve">problems raised by the expression of emotions </w:t>
      </w:r>
      <w:r>
        <w:t>need not</w:t>
      </w:r>
      <w:r w:rsidR="0026370A">
        <w:t xml:space="preserve"> be thought to</w:t>
      </w:r>
      <w:r>
        <w:t xml:space="preserve"> run very deep, since he was willing to concede that any</w:t>
      </w:r>
      <w:r w:rsidR="00A64BE2">
        <w:t xml:space="preserve"> satisfactory</w:t>
      </w:r>
      <w:r>
        <w:t xml:space="preserve"> </w:t>
      </w:r>
      <w:r w:rsidR="00A64BE2">
        <w:t>answer</w:t>
      </w:r>
      <w:r>
        <w:t xml:space="preserve"> was as yet beyond the reac</w:t>
      </w:r>
      <w:r w:rsidR="0026370A">
        <w:t xml:space="preserve">h of science: </w:t>
      </w:r>
      <w:r w:rsidR="001C61BD">
        <w:t>“</w:t>
      </w:r>
      <w:r>
        <w:t>The explanation … is one of those problems, partly psychological and partly physiological, which our knowledge of the laws of animal sensibility does not yet enable us to resolve. In whatever manner the phenomena are produced, they are a case of the quasi-chemistry of the nervous functions, whereby the junction of certain elements generates a compound whose properties are very different from the sum of the properti</w:t>
      </w:r>
      <w:r w:rsidR="0026370A">
        <w:t xml:space="preserve">es </w:t>
      </w:r>
      <w:r w:rsidR="001C61BD">
        <w:t>of the elements themselves”</w:t>
      </w:r>
      <w:r w:rsidR="00C31B1A">
        <w:t>.</w:t>
      </w:r>
      <w:r w:rsidR="00222318">
        <w:rPr>
          <w:rStyle w:val="FootnoteReference"/>
        </w:rPr>
        <w:footnoteReference w:id="23"/>
      </w:r>
      <w:r>
        <w:t xml:space="preserve"> </w:t>
      </w:r>
      <w:r w:rsidR="0026370A">
        <w:t xml:space="preserve">On the other hand, Mill clearly </w:t>
      </w:r>
      <w:r w:rsidR="00A64BE2">
        <w:t>felt</w:t>
      </w:r>
      <w:r w:rsidR="0026370A">
        <w:t xml:space="preserve"> that the effort should have been made, si</w:t>
      </w:r>
      <w:r w:rsidR="00A64BE2">
        <w:t>nce an analysis of the emotions</w:t>
      </w:r>
      <w:r w:rsidR="00DA1D75">
        <w:t xml:space="preserve"> that leaves</w:t>
      </w:r>
      <w:r w:rsidR="0026370A">
        <w:t xml:space="preserve"> out so much</w:t>
      </w:r>
      <w:r w:rsidR="00DA1D75">
        <w:t xml:space="preserve"> of their </w:t>
      </w:r>
      <w:r w:rsidR="001C61BD">
        <w:t>“exhibited effects”</w:t>
      </w:r>
      <w:r w:rsidR="00DA1D75">
        <w:t xml:space="preserve"> i</w:t>
      </w:r>
      <w:r w:rsidR="0026370A">
        <w:t xml:space="preserve">s plainly incomplete. </w:t>
      </w:r>
      <w:r w:rsidR="00DA1D75">
        <w:t xml:space="preserve">The </w:t>
      </w:r>
      <w:r w:rsidR="00B66B63">
        <w:t xml:space="preserve">overall impression, in these section of the </w:t>
      </w:r>
      <w:r w:rsidR="00B66B63">
        <w:rPr>
          <w:i/>
        </w:rPr>
        <w:t>Analysis</w:t>
      </w:r>
      <w:r w:rsidR="00B66B63">
        <w:t xml:space="preserve">, is of editorial dissatisfaction that the author of the </w:t>
      </w:r>
      <w:r w:rsidR="00B66B63">
        <w:rPr>
          <w:i/>
        </w:rPr>
        <w:t xml:space="preserve">Analysis </w:t>
      </w:r>
      <w:r w:rsidR="00B66B63">
        <w:t xml:space="preserve">has not only left </w:t>
      </w:r>
      <w:r>
        <w:t xml:space="preserve">a </w:t>
      </w:r>
      <w:r w:rsidR="0078146B">
        <w:t xml:space="preserve">significant </w:t>
      </w:r>
      <w:r w:rsidR="00B66B63">
        <w:t>gap</w:t>
      </w:r>
      <w:r w:rsidR="0078146B">
        <w:t xml:space="preserve"> in the </w:t>
      </w:r>
      <w:r w:rsidR="0026370A">
        <w:t>theory of psychology</w:t>
      </w:r>
      <w:r w:rsidR="0093215E">
        <w:t>, but has not acknowledged the gap</w:t>
      </w:r>
      <w:r w:rsidR="00B66B63">
        <w:t xml:space="preserve">, </w:t>
      </w:r>
      <w:r w:rsidR="0078146B">
        <w:t>let alo</w:t>
      </w:r>
      <w:r w:rsidR="0026370A">
        <w:t xml:space="preserve">ne attempted to make </w:t>
      </w:r>
      <w:r w:rsidR="00B66B63">
        <w:t>it good</w:t>
      </w:r>
      <w:r w:rsidR="0026370A">
        <w:t>. I</w:t>
      </w:r>
      <w:r w:rsidR="0078146B">
        <w:t xml:space="preserve">n the light of the </w:t>
      </w:r>
      <w:r w:rsidR="0078146B">
        <w:rPr>
          <w:i/>
        </w:rPr>
        <w:t>Autobiography</w:t>
      </w:r>
      <w:r w:rsidR="00B66B63">
        <w:t>’s description of the crisis of 1826,</w:t>
      </w:r>
      <w:r w:rsidR="0078146B">
        <w:t xml:space="preserve"> that ov</w:t>
      </w:r>
      <w:r w:rsidR="00DA1D75">
        <w:t>ersight inevitably, and however</w:t>
      </w:r>
      <w:r w:rsidR="0078146B">
        <w:t xml:space="preserve"> unfairly, looks like confirmation of a characterological shortcoming in the father.</w:t>
      </w:r>
      <w:r w:rsidR="006D6E13">
        <w:t xml:space="preserve"> It wa</w:t>
      </w:r>
      <w:r w:rsidR="00305EB9">
        <w:t xml:space="preserve">s certainly for </w:t>
      </w:r>
      <w:r w:rsidR="006D6E13">
        <w:t xml:space="preserve">John Stuart </w:t>
      </w:r>
      <w:r w:rsidR="00305EB9">
        <w:t xml:space="preserve">Mill confirmation of a shortcoming in the </w:t>
      </w:r>
      <w:r w:rsidR="006D6E13">
        <w:t xml:space="preserve">explanatory power of </w:t>
      </w:r>
      <w:r w:rsidR="00305EB9">
        <w:t>empirical psychology as it then stood.</w:t>
      </w:r>
    </w:p>
    <w:p w14:paraId="74E080F7" w14:textId="5D50D4DF" w:rsidR="00046F63" w:rsidRDefault="00EC1C99" w:rsidP="00EC1C99">
      <w:pPr>
        <w:jc w:val="center"/>
      </w:pPr>
      <w:r>
        <w:t>*</w:t>
      </w:r>
    </w:p>
    <w:p w14:paraId="479A8B67" w14:textId="2B793428" w:rsidR="00453CCF" w:rsidRDefault="005E27BB" w:rsidP="002F2CE3">
      <w:r>
        <w:t>Helmut</w:t>
      </w:r>
      <w:r w:rsidR="00453CCF">
        <w:t>h</w:t>
      </w:r>
      <w:r>
        <w:t xml:space="preserve"> Plessner’s </w:t>
      </w:r>
      <w:r w:rsidR="00B2357D" w:rsidRPr="00643831">
        <w:rPr>
          <w:i/>
        </w:rPr>
        <w:t>Lachen und Weinen: ene Untersuchung nach den Grenzen Menschlichen Verhaltens</w:t>
      </w:r>
      <w:r w:rsidR="00B2357D">
        <w:t xml:space="preserve"> (1941) (tr. 1970 as </w:t>
      </w:r>
      <w:r w:rsidRPr="00643831">
        <w:rPr>
          <w:i/>
        </w:rPr>
        <w:t>Laughing and Crying: A Study of the Limits of Human Behavior</w:t>
      </w:r>
      <w:r w:rsidR="00B2357D">
        <w:t>)</w:t>
      </w:r>
      <w:r>
        <w:t xml:space="preserve"> makes no reference to Mill, and </w:t>
      </w:r>
      <w:r w:rsidR="005427A6">
        <w:t xml:space="preserve">Mill </w:t>
      </w:r>
      <w:r w:rsidR="00876181">
        <w:t xml:space="preserve">was very </w:t>
      </w:r>
      <w:r w:rsidR="001F3045">
        <w:t>likely</w:t>
      </w:r>
      <w:r w:rsidR="0068348A">
        <w:t xml:space="preserve"> </w:t>
      </w:r>
      <w:r w:rsidR="009F74C9">
        <w:t>not in</w:t>
      </w:r>
      <w:r w:rsidR="00B840F1">
        <w:t xml:space="preserve"> Plessner’s mind at the time of writing</w:t>
      </w:r>
      <w:r w:rsidR="0068348A">
        <w:t xml:space="preserve">. </w:t>
      </w:r>
      <w:r w:rsidR="00B840F1" w:rsidRPr="006D268A">
        <w:rPr>
          <w:i/>
        </w:rPr>
        <w:t>Laughing and Crying</w:t>
      </w:r>
      <w:r w:rsidR="00B840F1">
        <w:t xml:space="preserve"> was written in the years </w:t>
      </w:r>
      <w:r w:rsidR="005427A6">
        <w:t xml:space="preserve">immediately </w:t>
      </w:r>
      <w:r w:rsidR="00B840F1">
        <w:t xml:space="preserve">after Plessner fled the Nazi regime in his native Germany </w:t>
      </w:r>
      <w:r w:rsidR="00F62C58">
        <w:t>to take up a post in Groningen</w:t>
      </w:r>
      <w:r w:rsidR="00B840F1">
        <w:t xml:space="preserve"> in 1934 (</w:t>
      </w:r>
      <w:r w:rsidR="005C68F0">
        <w:t xml:space="preserve">a student of Husserl, </w:t>
      </w:r>
      <w:r w:rsidR="00B840F1">
        <w:t>he had previously taught at the universities of F</w:t>
      </w:r>
      <w:r w:rsidR="005427A6">
        <w:t>reiburg, Heidelberg and Berlin).</w:t>
      </w:r>
      <w:r w:rsidR="00F62C58">
        <w:t xml:space="preserve"> Nazi occupation </w:t>
      </w:r>
      <w:r w:rsidR="00B840F1">
        <w:t xml:space="preserve">of the Netherlands </w:t>
      </w:r>
      <w:r w:rsidR="00F62C58">
        <w:t xml:space="preserve">would </w:t>
      </w:r>
      <w:r w:rsidR="00B840F1">
        <w:t>see him ousted again</w:t>
      </w:r>
      <w:r w:rsidR="00453CCF">
        <w:t xml:space="preserve"> from his post</w:t>
      </w:r>
      <w:r w:rsidR="00F62C58">
        <w:t xml:space="preserve"> </w:t>
      </w:r>
      <w:r w:rsidR="00B840F1">
        <w:t>in 1942,</w:t>
      </w:r>
      <w:r w:rsidR="00F62C58">
        <w:t xml:space="preserve"> </w:t>
      </w:r>
      <w:r w:rsidR="00B840F1">
        <w:t xml:space="preserve">though he would </w:t>
      </w:r>
      <w:r w:rsidR="000261DC">
        <w:t>reclaim</w:t>
      </w:r>
      <w:r w:rsidR="00783D80">
        <w:t xml:space="preserve"> it in 1946</w:t>
      </w:r>
      <w:r w:rsidR="00B840F1">
        <w:t xml:space="preserve"> </w:t>
      </w:r>
      <w:r w:rsidR="00783D80">
        <w:t>and co</w:t>
      </w:r>
      <w:r w:rsidR="001F3045">
        <w:t>ntinue there until 1951 when he return</w:t>
      </w:r>
      <w:r w:rsidR="0009706C">
        <w:t xml:space="preserve">ed to </w:t>
      </w:r>
      <w:r w:rsidR="00876181">
        <w:t>We</w:t>
      </w:r>
      <w:r w:rsidR="000261DC">
        <w:t>st Germany</w:t>
      </w:r>
      <w:r w:rsidR="00783D80">
        <w:t>.</w:t>
      </w:r>
      <w:r w:rsidR="002E76AF">
        <w:rPr>
          <w:rStyle w:val="FootnoteReference"/>
        </w:rPr>
        <w:footnoteReference w:id="24"/>
      </w:r>
    </w:p>
    <w:p w14:paraId="698559DE" w14:textId="6F49E520" w:rsidR="00950F3E" w:rsidRPr="002F2CE3" w:rsidRDefault="005427A6" w:rsidP="00453CCF">
      <w:pPr>
        <w:ind w:firstLine="720"/>
        <w:rPr>
          <w:rFonts w:ascii="Times" w:hAnsi="Times" w:cs="Times"/>
        </w:rPr>
      </w:pPr>
      <w:r>
        <w:t>Whether or not Plessner had read and recalled Mill, there is much</w:t>
      </w:r>
      <w:r w:rsidR="00A71407">
        <w:t xml:space="preserve"> </w:t>
      </w:r>
      <w:r w:rsidR="0078146B">
        <w:t>in</w:t>
      </w:r>
      <w:r w:rsidR="008A55D8">
        <w:t xml:space="preserve"> </w:t>
      </w:r>
      <w:r>
        <w:t xml:space="preserve">his </w:t>
      </w:r>
      <w:r w:rsidR="008A55D8">
        <w:t xml:space="preserve">account of crying that </w:t>
      </w:r>
      <w:r w:rsidR="0068348A">
        <w:t>closely</w:t>
      </w:r>
      <w:r>
        <w:t xml:space="preserve"> </w:t>
      </w:r>
      <w:r w:rsidR="008A55D8">
        <w:t xml:space="preserve">echoes </w:t>
      </w:r>
      <w:r w:rsidR="00643831">
        <w:t>the earlier writer’s</w:t>
      </w:r>
      <w:r w:rsidR="0078146B">
        <w:t xml:space="preserve"> reflections on what </w:t>
      </w:r>
      <w:r>
        <w:t>would be needed</w:t>
      </w:r>
      <w:r w:rsidR="0078146B">
        <w:t xml:space="preserve"> for psychology to give an adequate account of </w:t>
      </w:r>
      <w:r w:rsidR="00950F3E">
        <w:t>the expression of emotion</w:t>
      </w:r>
      <w:r w:rsidR="00876181">
        <w:t xml:space="preserve">, and </w:t>
      </w:r>
      <w:r w:rsidR="00643831">
        <w:t xml:space="preserve">much in their broader outlook that makes a comparative </w:t>
      </w:r>
      <w:r w:rsidR="00876181">
        <w:t>reading</w:t>
      </w:r>
      <w:r w:rsidR="00643831">
        <w:t xml:space="preserve"> productive</w:t>
      </w:r>
      <w:r w:rsidR="006D268A">
        <w:t>—not least the extent to which</w:t>
      </w:r>
      <w:r w:rsidR="00876181">
        <w:t xml:space="preserve"> the critique of empirical (</w:t>
      </w:r>
      <w:r w:rsidR="006D268A">
        <w:t xml:space="preserve">in Plessner’s case, not only empirical) science </w:t>
      </w:r>
      <w:r w:rsidR="00EC4C72">
        <w:t>stem</w:t>
      </w:r>
      <w:r w:rsidR="006D268A">
        <w:t xml:space="preserve">s </w:t>
      </w:r>
      <w:r w:rsidR="00643831">
        <w:t xml:space="preserve">in </w:t>
      </w:r>
      <w:r w:rsidR="00453CCF">
        <w:t xml:space="preserve">both cases </w:t>
      </w:r>
      <w:r w:rsidR="006D268A">
        <w:t>from a radical political philosophy</w:t>
      </w:r>
      <w:r w:rsidR="00950F3E">
        <w:t>.</w:t>
      </w:r>
      <w:r w:rsidR="00A71407">
        <w:t xml:space="preserve"> </w:t>
      </w:r>
      <w:r w:rsidR="006A6EE1">
        <w:t>F</w:t>
      </w:r>
      <w:r w:rsidR="006D268A">
        <w:t xml:space="preserve">or Plessner, as for Mill, </w:t>
      </w:r>
      <w:r w:rsidR="00876181">
        <w:t>an</w:t>
      </w:r>
      <w:r w:rsidR="006D268A">
        <w:t xml:space="preserve"> underlying political </w:t>
      </w:r>
      <w:r w:rsidR="00214572">
        <w:t>motive for rethinking</w:t>
      </w:r>
      <w:r w:rsidR="00643831">
        <w:t xml:space="preserve"> the meaning and value of human emotion </w:t>
      </w:r>
      <w:r w:rsidR="00214572">
        <w:t xml:space="preserve">is the wish </w:t>
      </w:r>
      <w:r w:rsidR="006D268A">
        <w:t>to allow for pluralism of w</w:t>
      </w:r>
      <w:r w:rsidR="00214572">
        <w:t>ays of life and forms of</w:t>
      </w:r>
      <w:r w:rsidR="00876181">
        <w:t xml:space="preserve"> belief</w:t>
      </w:r>
      <w:r w:rsidR="00453CCF">
        <w:t xml:space="preserve"> in a radically free society (Plessner would have rejected the term </w:t>
      </w:r>
      <w:r w:rsidR="001C61BD">
        <w:t>“liberal”</w:t>
      </w:r>
      <w:r w:rsidR="00453CCF">
        <w:t>)</w:t>
      </w:r>
      <w:r w:rsidR="00876181">
        <w:t>. A</w:t>
      </w:r>
      <w:r w:rsidR="006D268A">
        <w:t xml:space="preserve"> critique of conventional and exclusive claims to intellectual authority</w:t>
      </w:r>
      <w:r w:rsidR="00876181">
        <w:t xml:space="preserve"> and a</w:t>
      </w:r>
      <w:r w:rsidR="00643831">
        <w:t xml:space="preserve"> call for the suspe</w:t>
      </w:r>
      <w:r w:rsidR="00EC4C72">
        <w:t>ns</w:t>
      </w:r>
      <w:r w:rsidR="00643831">
        <w:t>ion of habit</w:t>
      </w:r>
      <w:r w:rsidR="00197617">
        <w:t xml:space="preserve"> and prejudice</w:t>
      </w:r>
      <w:r w:rsidR="006D268A">
        <w:t xml:space="preserve"> here </w:t>
      </w:r>
      <w:r w:rsidR="00AE5A97">
        <w:t>again accompany</w:t>
      </w:r>
      <w:r w:rsidR="00643831">
        <w:t xml:space="preserve"> the </w:t>
      </w:r>
      <w:r w:rsidR="00214572">
        <w:t>wish to reform an as yet very imperfectly</w:t>
      </w:r>
      <w:r w:rsidR="00643831">
        <w:t xml:space="preserve"> civil society.</w:t>
      </w:r>
      <w:r w:rsidR="00222318">
        <w:rPr>
          <w:rStyle w:val="FootnoteReference"/>
        </w:rPr>
        <w:footnoteReference w:id="25"/>
      </w:r>
      <w:r w:rsidR="00643831">
        <w:t xml:space="preserve"> </w:t>
      </w:r>
      <w:r w:rsidR="006A6EE1">
        <w:t>The immediately obvious difference</w:t>
      </w:r>
      <w:r w:rsidR="00453CCF">
        <w:t xml:space="preserve"> is</w:t>
      </w:r>
      <w:r w:rsidR="006A6EE1">
        <w:t xml:space="preserve"> that Plessner’s version of the critique</w:t>
      </w:r>
      <w:r w:rsidR="00453CCF">
        <w:t xml:space="preserve"> of empiricism</w:t>
      </w:r>
      <w:r w:rsidR="006A6EE1">
        <w:t xml:space="preserve"> does not, or not explicit</w:t>
      </w:r>
      <w:r w:rsidR="00453CCF">
        <w:t>l</w:t>
      </w:r>
      <w:r w:rsidR="006A6EE1">
        <w:t xml:space="preserve">y, go by way of autobiography; rather by way of what </w:t>
      </w:r>
      <w:r w:rsidR="00453CCF">
        <w:t>he</w:t>
      </w:r>
      <w:r w:rsidR="006A6EE1">
        <w:t xml:space="preserve"> called </w:t>
      </w:r>
      <w:r w:rsidR="001C61BD">
        <w:t>“</w:t>
      </w:r>
      <w:r w:rsidR="006A6EE1">
        <w:t>philosophical anthr</w:t>
      </w:r>
      <w:r w:rsidR="001C61BD">
        <w:t>opology”</w:t>
      </w:r>
      <w:r w:rsidR="006A6EE1">
        <w:t>.</w:t>
      </w:r>
      <w:r w:rsidR="00453CCF">
        <w:t xml:space="preserve"> </w:t>
      </w:r>
      <w:r w:rsidR="006A6EE1">
        <w:t xml:space="preserve">In Hans-Peter Krüger’s compact </w:t>
      </w:r>
      <w:r w:rsidR="006A6EE1" w:rsidRPr="002F2CE3">
        <w:t xml:space="preserve">gloss, </w:t>
      </w:r>
      <w:r w:rsidR="006A6EE1">
        <w:t xml:space="preserve">philosophical anthropology </w:t>
      </w:r>
      <w:r w:rsidR="001C61BD">
        <w:t>“</w:t>
      </w:r>
      <w:r w:rsidR="006A6EE1">
        <w:t>reconstructs our acquisition of anthropological distinctions in a philosophical manner. It investigates how anthropo</w:t>
      </w:r>
      <w:r w:rsidR="006A6EE1" w:rsidRPr="002F2CE3">
        <w:t>logical differentiations are made possible from outside the anthropological circle</w:t>
      </w:r>
      <w:r w:rsidR="001C61BD">
        <w:t>”</w:t>
      </w:r>
      <w:r w:rsidR="00453CCF">
        <w:t>.</w:t>
      </w:r>
      <w:r w:rsidR="00222318">
        <w:rPr>
          <w:rStyle w:val="FootnoteReference"/>
        </w:rPr>
        <w:footnoteReference w:id="26"/>
      </w:r>
    </w:p>
    <w:p w14:paraId="3FAD9791" w14:textId="666C9D47" w:rsidR="00CA63B7" w:rsidRDefault="002009BE" w:rsidP="00453CCF">
      <w:pPr>
        <w:ind w:firstLine="720"/>
      </w:pPr>
      <w:r>
        <w:t>For</w:t>
      </w:r>
      <w:r w:rsidR="00CA63B7">
        <w:t xml:space="preserve"> Plessne</w:t>
      </w:r>
      <w:r>
        <w:t>r</w:t>
      </w:r>
      <w:r w:rsidR="00CA63B7">
        <w:t>,</w:t>
      </w:r>
      <w:r w:rsidR="00A60F9F">
        <w:t xml:space="preserve"> </w:t>
      </w:r>
      <w:r w:rsidR="00FD3593">
        <w:t>laughing and crying</w:t>
      </w:r>
      <w:r w:rsidR="00CA63B7">
        <w:t xml:space="preserve"> bring</w:t>
      </w:r>
      <w:r w:rsidR="00A60F9F">
        <w:t xml:space="preserve"> </w:t>
      </w:r>
      <w:r w:rsidR="00CA63B7">
        <w:t xml:space="preserve">the </w:t>
      </w:r>
      <w:r w:rsidR="0009706C">
        <w:t>student of emotion</w:t>
      </w:r>
      <w:r w:rsidR="00A60F9F">
        <w:t xml:space="preserve"> up against the limits </w:t>
      </w:r>
      <w:r>
        <w:t>of human</w:t>
      </w:r>
      <w:r w:rsidR="00474D10">
        <w:t xml:space="preserve"> self-control</w:t>
      </w:r>
      <w:r w:rsidR="00BF4034">
        <w:t xml:space="preserve">. </w:t>
      </w:r>
      <w:r w:rsidR="00453CCF">
        <w:t xml:space="preserve">Like Mill, </w:t>
      </w:r>
      <w:r w:rsidR="00FD3593">
        <w:t>only no longer with associationist psycho</w:t>
      </w:r>
      <w:r w:rsidR="00453CCF">
        <w:t>l</w:t>
      </w:r>
      <w:r w:rsidR="00977912">
        <w:t>ogy an underpinning assumption (</w:t>
      </w:r>
      <w:r w:rsidR="00FD3593">
        <w:t>rather the full range of modern psychologies in his sights</w:t>
      </w:r>
      <w:r w:rsidR="00977912">
        <w:t>)</w:t>
      </w:r>
      <w:r w:rsidR="00CA63B7">
        <w:t xml:space="preserve"> </w:t>
      </w:r>
      <w:r w:rsidR="00977912">
        <w:t>he sees in tears and in laughter</w:t>
      </w:r>
      <w:r w:rsidR="00453CCF">
        <w:t xml:space="preserve"> experiential</w:t>
      </w:r>
      <w:r w:rsidR="00EC4C72">
        <w:t xml:space="preserve"> </w:t>
      </w:r>
      <w:r w:rsidR="00CA63B7">
        <w:t>evidence that man is not me</w:t>
      </w:r>
      <w:r w:rsidR="00FD3593">
        <w:t xml:space="preserve">chanistically determined </w:t>
      </w:r>
      <w:r w:rsidR="00CA63B7">
        <w:t>by the w</w:t>
      </w:r>
      <w:r w:rsidR="00643831">
        <w:t>orkings of his body and mind</w:t>
      </w:r>
      <w:r w:rsidR="00EC4C72">
        <w:t>, nor</w:t>
      </w:r>
      <w:r w:rsidR="00CA63B7">
        <w:t xml:space="preserve"> by the </w:t>
      </w:r>
      <w:r w:rsidR="00EC4C72">
        <w:t>c</w:t>
      </w:r>
      <w:r w:rsidR="00CA63B7">
        <w:t>ontingen</w:t>
      </w:r>
      <w:r w:rsidR="00EC4C72">
        <w:t>cies</w:t>
      </w:r>
      <w:r w:rsidR="00FD3593">
        <w:t xml:space="preserve"> </w:t>
      </w:r>
      <w:r w:rsidR="00EC4C72">
        <w:t>of (say)</w:t>
      </w:r>
      <w:r w:rsidR="00CA63B7">
        <w:t xml:space="preserve"> education</w:t>
      </w:r>
      <w:r w:rsidR="00643831">
        <w:t>, though historical change undeniably affect</w:t>
      </w:r>
      <w:r w:rsidR="00B60F98">
        <w:t>s</w:t>
      </w:r>
      <w:r w:rsidR="00643831">
        <w:t xml:space="preserve"> the social </w:t>
      </w:r>
      <w:r w:rsidR="00B60F98">
        <w:t>forms placed around</w:t>
      </w:r>
      <w:r w:rsidR="00B90F52">
        <w:t xml:space="preserve"> emotional expression. Laughing and crying are</w:t>
      </w:r>
    </w:p>
    <w:p w14:paraId="1C7F1C51" w14:textId="71653529" w:rsidR="00CA63B7" w:rsidRDefault="00CA63B7" w:rsidP="00CA63B7">
      <w:pPr>
        <w:pStyle w:val="Quote"/>
      </w:pPr>
      <w:r>
        <w:t>forms of expression of a crisis precipitated in certain situations by the relations of a man to his body (a relation which is a form of behavior as well and not a piece of fixed machinery on which one need only rely), then laughing and crying are revealed as genuine, basic possibilities of the universally human, despite all historical change, all varieties of jest, wit, drollery, humo</w:t>
      </w:r>
      <w:r w:rsidR="00222318">
        <w:t>r, irony, pain, and tragedy.</w:t>
      </w:r>
      <w:r w:rsidR="00222318">
        <w:rPr>
          <w:rStyle w:val="FootnoteReference"/>
        </w:rPr>
        <w:footnoteReference w:id="27"/>
      </w:r>
    </w:p>
    <w:p w14:paraId="698E8B33" w14:textId="77777777" w:rsidR="00CA63B7" w:rsidRDefault="00CA63B7" w:rsidP="00CA63B7">
      <w:pPr>
        <w:ind w:firstLine="720"/>
      </w:pPr>
    </w:p>
    <w:p w14:paraId="36FE3E12" w14:textId="02AC20B9" w:rsidR="0009706C" w:rsidRDefault="00BF4034" w:rsidP="0009706C">
      <w:r>
        <w:t xml:space="preserve">Unlike </w:t>
      </w:r>
      <w:r w:rsidR="00616935">
        <w:t>other communicative forms</w:t>
      </w:r>
      <w:r w:rsidR="00B2357D">
        <w:t xml:space="preserve"> </w:t>
      </w:r>
      <w:r w:rsidR="00616935">
        <w:t>(</w:t>
      </w:r>
      <w:r w:rsidR="00B2357D">
        <w:t>language and</w:t>
      </w:r>
      <w:r w:rsidR="003766F4">
        <w:t xml:space="preserve"> movement</w:t>
      </w:r>
      <w:r w:rsidR="00616935">
        <w:t>)</w:t>
      </w:r>
      <w:r>
        <w:t xml:space="preserve"> laughter and crying are </w:t>
      </w:r>
      <w:r w:rsidR="001C61BD">
        <w:t>“eruptive”, “compulsive”</w:t>
      </w:r>
      <w:r>
        <w:t>.</w:t>
      </w:r>
      <w:r w:rsidR="00222318">
        <w:rPr>
          <w:rStyle w:val="FootnoteReference"/>
        </w:rPr>
        <w:footnoteReference w:id="28"/>
      </w:r>
      <w:r>
        <w:t xml:space="preserve"> </w:t>
      </w:r>
      <w:r w:rsidR="002009BE">
        <w:t>V</w:t>
      </w:r>
      <w:r w:rsidR="00CB601E">
        <w:t>ividly expressive, they</w:t>
      </w:r>
      <w:r w:rsidR="00474FF1">
        <w:t xml:space="preserve"> </w:t>
      </w:r>
      <w:r w:rsidR="002009BE">
        <w:t xml:space="preserve">nevertheless </w:t>
      </w:r>
      <w:r>
        <w:t xml:space="preserve">lack </w:t>
      </w:r>
      <w:r w:rsidR="001C61BD">
        <w:t xml:space="preserve">“symbolic character” </w:t>
      </w:r>
      <w:r w:rsidR="00474FF1">
        <w:t>(24).</w:t>
      </w:r>
      <w:r>
        <w:t xml:space="preserve"> </w:t>
      </w:r>
      <w:r w:rsidR="0009706C">
        <w:t>Ab</w:t>
      </w:r>
      <w:r w:rsidR="00616935">
        <w:t>ove all—</w:t>
      </w:r>
      <w:r w:rsidR="002009BE">
        <w:t xml:space="preserve">and </w:t>
      </w:r>
      <w:r w:rsidR="0009706C">
        <w:t xml:space="preserve">if </w:t>
      </w:r>
      <w:r w:rsidR="00453CCF">
        <w:t xml:space="preserve">English-language </w:t>
      </w:r>
      <w:r w:rsidR="0009706C">
        <w:t xml:space="preserve">readers today know any one thing about Plessner’s </w:t>
      </w:r>
      <w:r w:rsidR="00616935">
        <w:t>theories, it tends to be this—</w:t>
      </w:r>
      <w:r w:rsidR="0009706C">
        <w:t xml:space="preserve">when he laughs or cries man is confronted with his own inability to sustain an </w:t>
      </w:r>
      <w:r w:rsidR="001C61BD">
        <w:t>“eccentric position”</w:t>
      </w:r>
      <w:r w:rsidR="00222318">
        <w:rPr>
          <w:rStyle w:val="FootnoteReference"/>
        </w:rPr>
        <w:footnoteReference w:id="29"/>
      </w:r>
      <w:r w:rsidR="001C61BD">
        <w:t xml:space="preserve"> in relation to his own life: “</w:t>
      </w:r>
      <w:r w:rsidR="0009706C" w:rsidRPr="00A60F9F">
        <w:t>man does not form himself according to his own image or according to that</w:t>
      </w:r>
      <w:r w:rsidR="0009706C">
        <w:t xml:space="preserve"> of a superior </w:t>
      </w:r>
      <w:r w:rsidR="001C61BD">
        <w:t>being alone.”</w:t>
      </w:r>
      <w:r w:rsidR="0009706C">
        <w:t xml:space="preserve"> (</w:t>
      </w:r>
      <w:r w:rsidR="0009706C" w:rsidRPr="00A60F9F">
        <w:t>Quoting Goethe’s Faustus</w:t>
      </w:r>
      <w:r w:rsidR="001C61BD">
        <w:t>:) “</w:t>
      </w:r>
      <w:r w:rsidR="0009706C" w:rsidRPr="00A60F9F">
        <w:t>An earthl</w:t>
      </w:r>
      <w:r w:rsidR="0009706C">
        <w:t>y</w:t>
      </w:r>
      <w:r w:rsidR="00222318">
        <w:t xml:space="preserve"> part remains, painful to bear”</w:t>
      </w:r>
      <w:r w:rsidR="0009706C">
        <w:t>.</w:t>
      </w:r>
      <w:r w:rsidR="00222318">
        <w:rPr>
          <w:rStyle w:val="FootnoteReference"/>
        </w:rPr>
        <w:footnoteReference w:id="30"/>
      </w:r>
      <w:r w:rsidR="006D268A">
        <w:t xml:space="preserve"> At the level of style, this concern with the impossibility of sustaining the eccentric position is expressed (how successfully may be disputed) via Plessner’s distinctive deployment o</w:t>
      </w:r>
      <w:r w:rsidR="00453CCF">
        <w:t xml:space="preserve">f the third person </w:t>
      </w:r>
      <w:r w:rsidR="001C61BD">
        <w:t>“</w:t>
      </w:r>
      <w:r w:rsidR="00453CCF">
        <w:t>man</w:t>
      </w:r>
      <w:r w:rsidR="002E76AF">
        <w:t>”</w:t>
      </w:r>
      <w:r w:rsidR="00453CCF">
        <w:t xml:space="preserve"> which, Krüger notes,</w:t>
      </w:r>
      <w:r w:rsidR="001C61BD">
        <w:t xml:space="preserve"> routinely “</w:t>
      </w:r>
      <w:r w:rsidR="006D268A">
        <w:t>gets mistaken for the standard ob</w:t>
      </w:r>
      <w:r w:rsidR="001C61BD">
        <w:t>server of the natural sciences”.</w:t>
      </w:r>
      <w:r w:rsidR="00453CCF">
        <w:t xml:space="preserve"> The intention was </w:t>
      </w:r>
      <w:r w:rsidR="006D268A">
        <w:t xml:space="preserve">rather to express at the level of </w:t>
      </w:r>
      <w:r w:rsidR="00F6173A">
        <w:t xml:space="preserve">writerly </w:t>
      </w:r>
      <w:r w:rsidR="001C61BD">
        <w:t>perspective the problem of “</w:t>
      </w:r>
      <w:r w:rsidR="006D268A">
        <w:t>occupy[ing] a</w:t>
      </w:r>
      <w:r w:rsidR="00F6173A">
        <w:t xml:space="preserve"> place in lif</w:t>
      </w:r>
      <w:r w:rsidR="001C61BD">
        <w:t>e”</w:t>
      </w:r>
      <w:r w:rsidR="00F6173A">
        <w:t>.</w:t>
      </w:r>
      <w:r w:rsidR="00222318">
        <w:rPr>
          <w:rStyle w:val="FootnoteReference"/>
        </w:rPr>
        <w:footnoteReference w:id="31"/>
      </w:r>
    </w:p>
    <w:p w14:paraId="12383749" w14:textId="044C2093" w:rsidR="0009706C" w:rsidRDefault="00F3053D" w:rsidP="0009706C">
      <w:pPr>
        <w:ind w:firstLine="720"/>
      </w:pPr>
      <w:r>
        <w:t>The</w:t>
      </w:r>
      <w:r w:rsidR="0009706C">
        <w:t xml:space="preserve"> critical difference between laughter and tears, as Plessner describes </w:t>
      </w:r>
      <w:r>
        <w:t>it, arises out of</w:t>
      </w:r>
      <w:r w:rsidR="0009706C">
        <w:t xml:space="preserve"> the degree of </w:t>
      </w:r>
      <w:r w:rsidR="004F1E3D">
        <w:t>man’s involvement</w:t>
      </w:r>
      <w:r w:rsidR="0009706C">
        <w:t xml:space="preserve"> as the subject of his own emotion. </w:t>
      </w:r>
      <w:r w:rsidR="001C61BD">
        <w:t>“</w:t>
      </w:r>
      <w:r w:rsidR="0009706C" w:rsidRPr="00767CBC">
        <w:t>In laughter,</w:t>
      </w:r>
      <w:r w:rsidR="001C61BD">
        <w:t>” wrote Plessner, “man puts ‘paid’</w:t>
      </w:r>
      <w:r w:rsidR="0009706C" w:rsidRPr="00767CBC">
        <w:t xml:space="preserve"> to a situation. He answers it with laughter directly and impersonally</w:t>
      </w:r>
      <w:r w:rsidR="00222318">
        <w:t>”</w:t>
      </w:r>
      <w:r w:rsidR="0009706C">
        <w:t>.</w:t>
      </w:r>
      <w:r w:rsidR="00222318">
        <w:rPr>
          <w:rStyle w:val="FootnoteReference"/>
        </w:rPr>
        <w:footnoteReference w:id="32"/>
      </w:r>
      <w:r w:rsidR="0009706C">
        <w:t xml:space="preserve"> Laughter</w:t>
      </w:r>
      <w:r w:rsidR="001C61BD">
        <w:t>, in other words, is a form of “</w:t>
      </w:r>
      <w:r w:rsidR="0009706C" w:rsidRPr="00767CBC">
        <w:t>anonymous automatism</w:t>
      </w:r>
      <w:r w:rsidR="001C61BD">
        <w:t>”</w:t>
      </w:r>
      <w:r w:rsidR="0009706C">
        <w:rPr>
          <w:b/>
        </w:rPr>
        <w:t xml:space="preserve">. </w:t>
      </w:r>
      <w:r w:rsidR="001C61BD">
        <w:t>A man “</w:t>
      </w:r>
      <w:r w:rsidR="0009706C" w:rsidRPr="00767CBC">
        <w:t>doesn’t really laugh; there is laughter in him, and he is only theater and receptacle, as it were, for this occurrence. Crying is different.</w:t>
      </w:r>
      <w:r w:rsidR="001C61BD">
        <w:t>” When a man cries he “includes himself”</w:t>
      </w:r>
      <w:r w:rsidR="0009706C">
        <w:t xml:space="preserve"> in his answer to a situat</w:t>
      </w:r>
      <w:r w:rsidR="001C61BD">
        <w:t>ion. His response is a kind of “giving way”</w:t>
      </w:r>
      <w:r w:rsidR="0009706C">
        <w:t xml:space="preserve"> to anonymous automatism, that requires his participation.</w:t>
      </w:r>
    </w:p>
    <w:p w14:paraId="11ADAAFD" w14:textId="77777777" w:rsidR="0009706C" w:rsidRDefault="0009706C" w:rsidP="0009706C">
      <w:pPr>
        <w:pStyle w:val="Quote"/>
      </w:pPr>
      <w:r>
        <w:t>he is moved, touched, shaken. When he chokes up and the tears come, he lets himself go inside; he is overcome and gives way to his tears.</w:t>
      </w:r>
    </w:p>
    <w:p w14:paraId="4E85599E" w14:textId="5C6839B8" w:rsidR="0009706C" w:rsidRDefault="0009706C" w:rsidP="0009706C">
      <w:pPr>
        <w:pStyle w:val="Quote"/>
      </w:pPr>
      <w:r>
        <w:t>This strange and unique relation to ourselves, for which we have very apt idioms like “capitulation,” “giving up in defeat,” “letting oneself go,” “losing self-control,” and so on, differentiates crying from laughing in its inner structure and in accord with the significance of the two reactions. Naturally this act of self-surrender is more easily induced in children, women, the old, the sick, and very emotional individuals than in self-controlled and reserved natures. But it remains, in every case, the deciding condition which gets crying started or makes it possible. It is a causative and a constitutive factor in one. Such an act is absent in laughter, which overcomes us directly and</w:t>
      </w:r>
      <w:r w:rsidR="00222318">
        <w:t xml:space="preserve"> directly follows its occasion.</w:t>
      </w:r>
      <w:r w:rsidR="00222318">
        <w:rPr>
          <w:rStyle w:val="FootnoteReference"/>
        </w:rPr>
        <w:footnoteReference w:id="33"/>
      </w:r>
    </w:p>
    <w:p w14:paraId="6CCBD498" w14:textId="77777777" w:rsidR="0009706C" w:rsidRDefault="0009706C" w:rsidP="0009706C"/>
    <w:p w14:paraId="62A7AF05" w14:textId="35A5509A" w:rsidR="0009706C" w:rsidRDefault="0009706C" w:rsidP="0009706C">
      <w:r>
        <w:t xml:space="preserve">Unlike occasions of laughter, then, occasions of crying cannot be described only </w:t>
      </w:r>
      <w:r w:rsidR="001C61BD">
        <w:t>“</w:t>
      </w:r>
      <w:r>
        <w:t>o</w:t>
      </w:r>
      <w:r w:rsidR="001C61BD">
        <w:t>bjectively”</w:t>
      </w:r>
      <w:r w:rsidR="002009BE">
        <w:t>. They operate</w:t>
      </w:r>
      <w:r>
        <w:t xml:space="preserve"> </w:t>
      </w:r>
      <w:r w:rsidR="001C61BD">
        <w:t>“</w:t>
      </w:r>
      <w:r w:rsidRPr="0055255B">
        <w:t>only mediately through a centrally or</w:t>
      </w:r>
      <w:r w:rsidR="00222318">
        <w:t>iented act of the human person”</w:t>
      </w:r>
      <w:r>
        <w:t>.</w:t>
      </w:r>
      <w:r w:rsidR="00222318">
        <w:rPr>
          <w:rStyle w:val="FootnoteReference"/>
        </w:rPr>
        <w:footnoteReference w:id="34"/>
      </w:r>
      <w:r>
        <w:t xml:space="preserve"> Or, to put it simply, we are implicated in the act of crying as we are not in the act of laughing.</w:t>
      </w:r>
    </w:p>
    <w:p w14:paraId="3838844E" w14:textId="1A24A6C5" w:rsidR="00373CC4" w:rsidRDefault="0009706C" w:rsidP="002F2CE3">
      <w:pPr>
        <w:ind w:firstLine="720"/>
      </w:pPr>
      <w:r>
        <w:t>Laughter and tears here come to stand for the irreducible messiness of the human condition</w:t>
      </w:r>
      <w:r w:rsidR="00F3053D">
        <w:t>. Acceptance of</w:t>
      </w:r>
      <w:r>
        <w:t xml:space="preserve"> that irreducible messiness becomes, equally, the hallmark of an appropriately humanistic </w:t>
      </w:r>
      <w:r w:rsidR="006E21E8">
        <w:t>understanding of emotion</w:t>
      </w:r>
      <w:r>
        <w:t xml:space="preserve">: </w:t>
      </w:r>
      <w:r w:rsidR="001C61BD">
        <w:rPr>
          <w:b/>
        </w:rPr>
        <w:t>“</w:t>
      </w:r>
      <w:r w:rsidRPr="0068348A">
        <w:t>phenomena like laughing and crying force us to show our true colours and stand up for the real</w:t>
      </w:r>
      <w:r w:rsidR="001C61BD">
        <w:t xml:space="preserve"> difficulty of human existence</w:t>
      </w:r>
      <w:r w:rsidR="00222318">
        <w:t>”</w:t>
      </w:r>
      <w:r>
        <w:t>.</w:t>
      </w:r>
      <w:r w:rsidR="00222318">
        <w:rPr>
          <w:rStyle w:val="FootnoteReference"/>
        </w:rPr>
        <w:footnoteReference w:id="35"/>
      </w:r>
      <w:r>
        <w:t xml:space="preserve"> </w:t>
      </w:r>
      <w:r w:rsidR="00F3053D">
        <w:t>Plessner wants to make</w:t>
      </w:r>
      <w:r w:rsidR="000940B2" w:rsidRPr="003765DE">
        <w:t xml:space="preserve"> a statement abo</w:t>
      </w:r>
      <w:r w:rsidR="00D0553B">
        <w:t xml:space="preserve">ut what science </w:t>
      </w:r>
      <w:r w:rsidR="002009BE">
        <w:t xml:space="preserve">and social science </w:t>
      </w:r>
      <w:r w:rsidR="00D0553B">
        <w:t xml:space="preserve">cannot yet say but he also wants to insist much more firmly on </w:t>
      </w:r>
      <w:r w:rsidR="006E21E8">
        <w:t>what they</w:t>
      </w:r>
      <w:r w:rsidR="000940B2" w:rsidRPr="003765DE">
        <w:t xml:space="preserve"> will never be able to say.</w:t>
      </w:r>
      <w:r w:rsidR="003765DE">
        <w:t xml:space="preserve"> </w:t>
      </w:r>
      <w:r w:rsidR="00F6173A">
        <w:t>Like Mill, but</w:t>
      </w:r>
      <w:r w:rsidR="00373CC4">
        <w:t xml:space="preserve"> with a historically increased sense of the power of such disciplinary divisions, Plessner pits himself against (on the one </w:t>
      </w:r>
      <w:r w:rsidR="001C61BD">
        <w:t xml:space="preserve">hand) dogmatic idealism of the “Kantian-Hegelian” </w:t>
      </w:r>
      <w:r w:rsidR="00373CC4">
        <w:t>stamp, a</w:t>
      </w:r>
      <w:r w:rsidR="001C61BD">
        <w:t>nd (on the other) an exclusive “</w:t>
      </w:r>
      <w:r w:rsidR="00373CC4">
        <w:t>positivism of th</w:t>
      </w:r>
      <w:r w:rsidR="001C61BD">
        <w:t xml:space="preserve">e Darwinian-Spencerian variety” </w:t>
      </w:r>
      <w:r w:rsidR="00373CC4">
        <w:t>as he saw it aggressively prosecuted in the work of American scientists and social scient</w:t>
      </w:r>
      <w:r w:rsidR="00222318">
        <w:t>ists in the period</w:t>
      </w:r>
      <w:r w:rsidR="00373CC4">
        <w:t>.</w:t>
      </w:r>
      <w:r w:rsidR="00222318">
        <w:rPr>
          <w:rStyle w:val="FootnoteReference"/>
        </w:rPr>
        <w:footnoteReference w:id="36"/>
      </w:r>
    </w:p>
    <w:p w14:paraId="53D73E93" w14:textId="5863CE94" w:rsidR="00F3053D" w:rsidRDefault="002009BE" w:rsidP="00FF4942">
      <w:pPr>
        <w:ind w:firstLine="720"/>
      </w:pPr>
      <w:r>
        <w:t xml:space="preserve">The </w:t>
      </w:r>
      <w:r w:rsidR="003765DE">
        <w:t xml:space="preserve">Introduction and subsequent Prefaces to new editions of </w:t>
      </w:r>
      <w:r w:rsidR="003765DE">
        <w:rPr>
          <w:i/>
        </w:rPr>
        <w:t>Laughing and Crying</w:t>
      </w:r>
      <w:r w:rsidR="00F4293F">
        <w:t xml:space="preserve"> are, indeed, a record of </w:t>
      </w:r>
      <w:r w:rsidR="003765DE">
        <w:t xml:space="preserve">gradually hardening opposition to </w:t>
      </w:r>
      <w:r w:rsidR="00F4293F">
        <w:t xml:space="preserve">all attempts to dispense with </w:t>
      </w:r>
      <w:r w:rsidR="00F3053D">
        <w:t xml:space="preserve">the untidiness of human </w:t>
      </w:r>
      <w:r w:rsidR="004F1E3D">
        <w:t>behavior, even by those fields of inquiry one might th</w:t>
      </w:r>
      <w:r w:rsidR="001C61BD">
        <w:t>ink of as especially atuned to “mess”</w:t>
      </w:r>
      <w:r w:rsidR="004F1E3D">
        <w:t xml:space="preserve">: </w:t>
      </w:r>
      <w:r w:rsidR="00F6173A">
        <w:t>evolutionary theory and psychology</w:t>
      </w:r>
      <w:r w:rsidR="004F1E3D">
        <w:t>. (</w:t>
      </w:r>
      <w:r>
        <w:t>Plessner’s</w:t>
      </w:r>
      <w:r w:rsidR="003765DE">
        <w:t xml:space="preserve"> fervour </w:t>
      </w:r>
      <w:r w:rsidR="004F1E3D">
        <w:t>was</w:t>
      </w:r>
      <w:r w:rsidR="00F6173A">
        <w:t>, presumably,</w:t>
      </w:r>
      <w:r w:rsidR="00F4293F">
        <w:t xml:space="preserve"> </w:t>
      </w:r>
      <w:r w:rsidR="003765DE">
        <w:t>amplified by exposure to the extreme and repellent version</w:t>
      </w:r>
      <w:r w:rsidR="00F4293F">
        <w:t>s</w:t>
      </w:r>
      <w:r w:rsidR="003765DE">
        <w:t xml:space="preserve"> of empiricism</w:t>
      </w:r>
      <w:r w:rsidR="00F4293F">
        <w:t xml:space="preserve"> and idealism</w:t>
      </w:r>
      <w:r w:rsidR="003765DE">
        <w:t xml:space="preserve"> </w:t>
      </w:r>
      <w:r w:rsidR="00F4293F">
        <w:t>he had witnessed in Naziism</w:t>
      </w:r>
      <w:r w:rsidR="003765DE">
        <w:t>.</w:t>
      </w:r>
      <w:r w:rsidR="004F1E3D">
        <w:t>)</w:t>
      </w:r>
      <w:r w:rsidR="000C1EA1">
        <w:t xml:space="preserve"> </w:t>
      </w:r>
      <w:r w:rsidR="001857C3">
        <w:t xml:space="preserve">The </w:t>
      </w:r>
      <w:r w:rsidR="005C68F0">
        <w:t>Introduction to the first edition</w:t>
      </w:r>
      <w:r w:rsidR="001857C3">
        <w:t xml:space="preserve"> </w:t>
      </w:r>
      <w:r w:rsidR="005C68F0">
        <w:t>contained</w:t>
      </w:r>
      <w:r>
        <w:t>, in addition to</w:t>
      </w:r>
      <w:r w:rsidR="001857C3">
        <w:t xml:space="preserve"> his </w:t>
      </w:r>
      <w:r w:rsidR="00F4293F">
        <w:t xml:space="preserve">explicit </w:t>
      </w:r>
      <w:r w:rsidR="006E21E8">
        <w:t>strictures against dogmatic idealism</w:t>
      </w:r>
      <w:r w:rsidR="001857C3">
        <w:t xml:space="preserve"> and </w:t>
      </w:r>
      <w:r>
        <w:t>dogmatic positivism,</w:t>
      </w:r>
      <w:r w:rsidR="0009706C">
        <w:t xml:space="preserve"> a broader</w:t>
      </w:r>
      <w:r w:rsidR="005658D0">
        <w:t xml:space="preserve"> insistence on the limits of all the traditional </w:t>
      </w:r>
      <w:r w:rsidR="005D6FC9">
        <w:t xml:space="preserve">scientific and </w:t>
      </w:r>
      <w:r w:rsidR="005658D0">
        <w:t xml:space="preserve">social-scientific </w:t>
      </w:r>
      <w:r w:rsidR="001C61BD">
        <w:t>“</w:t>
      </w:r>
      <w:r>
        <w:t>-</w:t>
      </w:r>
      <w:r w:rsidR="001C61BD">
        <w:t>ologies”</w:t>
      </w:r>
      <w:r w:rsidR="005658D0">
        <w:t xml:space="preserve"> (</w:t>
      </w:r>
      <w:r w:rsidR="005D6FC9">
        <w:t xml:space="preserve">physiology, psychology, anthropology, sociology) as they offered to explain the </w:t>
      </w:r>
      <w:r w:rsidR="0009706C">
        <w:t>e</w:t>
      </w:r>
      <w:r>
        <w:t>xpression of emotions. They had</w:t>
      </w:r>
      <w:r w:rsidR="00F6173A">
        <w:t xml:space="preserve"> all</w:t>
      </w:r>
      <w:r w:rsidR="005D6FC9">
        <w:t xml:space="preserve"> </w:t>
      </w:r>
      <w:r w:rsidR="001C61BD">
        <w:t>“a share in our questions”</w:t>
      </w:r>
      <w:r w:rsidR="005D6FC9">
        <w:t xml:space="preserve">, </w:t>
      </w:r>
      <w:r w:rsidR="0009706C">
        <w:t xml:space="preserve">as Plessner saw it, </w:t>
      </w:r>
      <w:r w:rsidR="001C61BD">
        <w:t>but “</w:t>
      </w:r>
      <w:r w:rsidR="005D6FC9">
        <w:t>[e]xpression, as the transition from inner to outer, presents a problem to sciences which have after all been established by the separation of the outer (bodily) from the inner (men</w:t>
      </w:r>
      <w:r w:rsidR="001C61BD">
        <w:t>tal)”</w:t>
      </w:r>
      <w:r w:rsidR="005D6FC9">
        <w:t xml:space="preserve"> and which tend fiercely to preserve a one-sided view of the question in line with their o</w:t>
      </w:r>
      <w:r w:rsidR="00977912">
        <w:t>wn disciplinary preserve</w:t>
      </w:r>
      <w:r w:rsidR="005D6FC9">
        <w:t>.</w:t>
      </w:r>
      <w:r w:rsidR="00977912">
        <w:rPr>
          <w:rStyle w:val="FootnoteReference"/>
        </w:rPr>
        <w:footnoteReference w:id="37"/>
      </w:r>
      <w:r w:rsidR="005D6FC9">
        <w:t xml:space="preserve"> T</w:t>
      </w:r>
      <w:r w:rsidR="001857C3">
        <w:t>he Preface to the</w:t>
      </w:r>
      <w:r w:rsidR="005D6FC9">
        <w:t xml:space="preserve"> 2</w:t>
      </w:r>
      <w:r w:rsidR="005D6FC9" w:rsidRPr="005D6FC9">
        <w:rPr>
          <w:vertAlign w:val="superscript"/>
        </w:rPr>
        <w:t>nd</w:t>
      </w:r>
      <w:r>
        <w:t xml:space="preserve"> edition extends these</w:t>
      </w:r>
      <w:r w:rsidR="005D6FC9">
        <w:t xml:space="preserve"> reservations to </w:t>
      </w:r>
      <w:r>
        <w:t xml:space="preserve">the field that had most influenced Plessner’s own philosophical education, phenomenology, </w:t>
      </w:r>
      <w:r w:rsidR="00F6173A">
        <w:t>contesting</w:t>
      </w:r>
      <w:r w:rsidR="005D6FC9">
        <w:t xml:space="preserve"> its reje</w:t>
      </w:r>
      <w:r w:rsidR="00F6173A">
        <w:t>ction o</w:t>
      </w:r>
      <w:r w:rsidR="001C61BD">
        <w:t>f concepts of the body such as “eccentricity” that are not drawn from “</w:t>
      </w:r>
      <w:r w:rsidR="005D6FC9">
        <w:t>m</w:t>
      </w:r>
      <w:r w:rsidR="001C61BD">
        <w:t>an’s actual self-interpretation”</w:t>
      </w:r>
      <w:r w:rsidR="005D6FC9">
        <w:t>.</w:t>
      </w:r>
      <w:r w:rsidR="00222318">
        <w:rPr>
          <w:rStyle w:val="FootnoteReference"/>
        </w:rPr>
        <w:footnoteReference w:id="38"/>
      </w:r>
      <w:r w:rsidR="00F3053D">
        <w:t xml:space="preserve"> </w:t>
      </w:r>
      <w:r w:rsidR="005D6FC9">
        <w:t xml:space="preserve">For Plessner the attraction of crying, as a subject, was precisely that it pushed the student of humanity beyond </w:t>
      </w:r>
      <w:r>
        <w:t xml:space="preserve">such claims to self-knowledge, drawing </w:t>
      </w:r>
      <w:r w:rsidR="005D6FC9">
        <w:t xml:space="preserve">his attention to </w:t>
      </w:r>
      <w:r w:rsidR="001C61BD">
        <w:t>“</w:t>
      </w:r>
      <w:r w:rsidR="005D6FC9">
        <w:t>the unbridgeab</w:t>
      </w:r>
      <w:r w:rsidR="00222318">
        <w:t>le gap between man and himself”.</w:t>
      </w:r>
      <w:r w:rsidR="00222318">
        <w:rPr>
          <w:rStyle w:val="FootnoteReference"/>
        </w:rPr>
        <w:footnoteReference w:id="39"/>
      </w:r>
      <w:r w:rsidR="001857C3">
        <w:t xml:space="preserve"> </w:t>
      </w:r>
      <w:r w:rsidR="00616935">
        <w:t xml:space="preserve">(Hence, phenomenology is for him a method, but it cannot be a theory.) </w:t>
      </w:r>
      <w:r w:rsidR="00A54D02">
        <w:t xml:space="preserve">The </w:t>
      </w:r>
      <w:r>
        <w:t xml:space="preserve">Preface to the </w:t>
      </w:r>
      <w:r w:rsidR="001857C3">
        <w:t>3</w:t>
      </w:r>
      <w:r w:rsidR="001857C3" w:rsidRPr="001857C3">
        <w:rPr>
          <w:vertAlign w:val="superscript"/>
        </w:rPr>
        <w:t>rd</w:t>
      </w:r>
      <w:r w:rsidR="00F4293F">
        <w:t xml:space="preserve"> edition is </w:t>
      </w:r>
      <w:r w:rsidR="00A54D02">
        <w:t xml:space="preserve">more </w:t>
      </w:r>
      <w:r w:rsidR="00A54D02">
        <w:rPr>
          <w:i/>
        </w:rPr>
        <w:t xml:space="preserve">ad </w:t>
      </w:r>
      <w:r w:rsidR="00A54D02" w:rsidRPr="00A54D02">
        <w:rPr>
          <w:i/>
        </w:rPr>
        <w:t>hominem</w:t>
      </w:r>
      <w:r w:rsidR="00A54D02">
        <w:t xml:space="preserve">: </w:t>
      </w:r>
      <w:r w:rsidR="001857C3" w:rsidRPr="001857C3">
        <w:t>Alfred Stern</w:t>
      </w:r>
      <w:r w:rsidR="001857C3">
        <w:t>’s</w:t>
      </w:r>
      <w:r w:rsidR="001857C3" w:rsidRPr="001857C3">
        <w:t xml:space="preserve"> </w:t>
      </w:r>
      <w:r w:rsidR="001857C3" w:rsidRPr="001857C3">
        <w:rPr>
          <w:i/>
        </w:rPr>
        <w:t>Philosohie du rire et des pleurs</w:t>
      </w:r>
      <w:r>
        <w:t xml:space="preserve"> [1949] is criticized for Bergsonian</w:t>
      </w:r>
      <w:r w:rsidR="00F4293F">
        <w:t xml:space="preserve"> reliance on</w:t>
      </w:r>
      <w:r w:rsidR="00A54D02">
        <w:t xml:space="preserve"> concepts of </w:t>
      </w:r>
      <w:r w:rsidR="001C61BD">
        <w:t>“value”</w:t>
      </w:r>
      <w:r w:rsidR="00A54D02">
        <w:t xml:space="preserve"> as the </w:t>
      </w:r>
      <w:r>
        <w:t xml:space="preserve">perspective </w:t>
      </w:r>
      <w:r w:rsidR="001C61BD">
        <w:t>“</w:t>
      </w:r>
      <w:r w:rsidR="00A54D02">
        <w:t>to which every human being subjects himsel</w:t>
      </w:r>
      <w:r w:rsidR="001C61BD">
        <w:t>f”</w:t>
      </w:r>
      <w:r>
        <w:t>—a clouding of anthropology by</w:t>
      </w:r>
      <w:r w:rsidR="00A54D02">
        <w:t xml:space="preserve"> psychology characteristic of</w:t>
      </w:r>
      <w:r w:rsidR="001857C3">
        <w:t xml:space="preserve"> </w:t>
      </w:r>
      <w:r w:rsidR="001C61BD">
        <w:t>“an older generation”</w:t>
      </w:r>
      <w:r w:rsidR="00A54D02">
        <w:t xml:space="preserve"> of scholar</w:t>
      </w:r>
      <w:r w:rsidR="00197E65">
        <w:t>;</w:t>
      </w:r>
      <w:r w:rsidR="001857C3">
        <w:rPr>
          <w:b/>
        </w:rPr>
        <w:t xml:space="preserve"> </w:t>
      </w:r>
      <w:r w:rsidR="00197E65">
        <w:t xml:space="preserve">Francis Jeanson’s </w:t>
      </w:r>
      <w:r w:rsidR="00A54D02">
        <w:t>Sartrean-</w:t>
      </w:r>
      <w:r w:rsidR="00F4293F">
        <w:t xml:space="preserve">existentialist </w:t>
      </w:r>
      <w:r w:rsidR="00A54D02">
        <w:t xml:space="preserve">work </w:t>
      </w:r>
      <w:r w:rsidR="001857C3" w:rsidRPr="00197E65">
        <w:rPr>
          <w:i/>
        </w:rPr>
        <w:t xml:space="preserve">Signification humaine du rire </w:t>
      </w:r>
      <w:r w:rsidR="00197E65">
        <w:t>(</w:t>
      </w:r>
      <w:r w:rsidR="001857C3" w:rsidRPr="00197E65">
        <w:t>1950</w:t>
      </w:r>
      <w:r w:rsidR="00197E65">
        <w:t xml:space="preserve">) is </w:t>
      </w:r>
      <w:r w:rsidR="00A14419">
        <w:t xml:space="preserve">roundly </w:t>
      </w:r>
      <w:r w:rsidR="00197E65">
        <w:t xml:space="preserve">mocked for a </w:t>
      </w:r>
      <w:r w:rsidR="001C61BD">
        <w:t>“</w:t>
      </w:r>
      <w:r w:rsidR="00197E65">
        <w:t>pretheoretical le</w:t>
      </w:r>
      <w:r w:rsidR="001C61BD">
        <w:t>vel of irresponsible moralizing”</w:t>
      </w:r>
      <w:r w:rsidR="00197E65">
        <w:t xml:space="preserve">: </w:t>
      </w:r>
      <w:r w:rsidR="001C61BD">
        <w:rPr>
          <w:b/>
        </w:rPr>
        <w:t>“</w:t>
      </w:r>
      <w:r w:rsidR="001857C3" w:rsidRPr="00197E65">
        <w:t>quite arbitrary explications of a human existence [Dasein]</w:t>
      </w:r>
      <w:r w:rsidR="001C61BD">
        <w:t>”</w:t>
      </w:r>
      <w:r w:rsidR="00197E65">
        <w:t xml:space="preserve"> somehow supposed to be</w:t>
      </w:r>
      <w:r w:rsidR="001857C3" w:rsidRPr="00197E65">
        <w:t xml:space="preserve"> </w:t>
      </w:r>
      <w:r w:rsidR="001C61BD">
        <w:t>“</w:t>
      </w:r>
      <w:r w:rsidR="001857C3" w:rsidRPr="00197E65">
        <w:t>immune from</w:t>
      </w:r>
      <w:r w:rsidR="00197E65">
        <w:t xml:space="preserve"> separation into bodily and mental di</w:t>
      </w:r>
      <w:r w:rsidR="001857C3" w:rsidRPr="00197E65">
        <w:t>mensions</w:t>
      </w:r>
      <w:r w:rsidR="001C61BD">
        <w:t>”</w:t>
      </w:r>
      <w:r w:rsidR="00F3053D">
        <w:t>.</w:t>
      </w:r>
      <w:r w:rsidR="00222318">
        <w:rPr>
          <w:rStyle w:val="FootnoteReference"/>
        </w:rPr>
        <w:footnoteReference w:id="40"/>
      </w:r>
    </w:p>
    <w:p w14:paraId="59F87C2F" w14:textId="078D8134" w:rsidR="000F2744" w:rsidRDefault="00F6173A" w:rsidP="00F3053D">
      <w:pPr>
        <w:ind w:firstLine="720"/>
      </w:pPr>
      <w:r>
        <w:t xml:space="preserve">What Plessner wants by clearing so much intellectual ground in preparation for a </w:t>
      </w:r>
      <w:r w:rsidR="001C61BD">
        <w:t xml:space="preserve">“philosophical anthropological” </w:t>
      </w:r>
      <w:r>
        <w:t xml:space="preserve">account of crying is, in sum, a humanistic understanding of emotional expression, where to be </w:t>
      </w:r>
      <w:r w:rsidR="001C61BD">
        <w:t>“humanistic”</w:t>
      </w:r>
      <w:r>
        <w:t xml:space="preserve"> is to accept a defining limit on human self-understanding. His </w:t>
      </w:r>
      <w:r w:rsidR="001C61BD">
        <w:t>“philosophical anthropology”</w:t>
      </w:r>
      <w:r w:rsidR="004F1E3D">
        <w:t xml:space="preserve"> is deservedly enjoying something of a revival at present, </w:t>
      </w:r>
      <w:r>
        <w:t xml:space="preserve">though </w:t>
      </w:r>
      <w:r w:rsidR="004F1E3D">
        <w:t xml:space="preserve">subsequent work in the sciences and social sciences suggests that we may need to take a broader view than he did of what may be entailed in the idea of emotional expression having </w:t>
      </w:r>
      <w:r w:rsidR="00222318">
        <w:t>“symbolic character</w:t>
      </w:r>
      <w:r w:rsidR="002E76AF">
        <w:t>”</w:t>
      </w:r>
      <w:r w:rsidR="004F1E3D">
        <w:t>.</w:t>
      </w:r>
      <w:r w:rsidR="00222318">
        <w:rPr>
          <w:rStyle w:val="FootnoteReference"/>
        </w:rPr>
        <w:footnoteReference w:id="41"/>
      </w:r>
      <w:r w:rsidR="004F1E3D">
        <w:t xml:space="preserve"> If tears have</w:t>
      </w:r>
      <w:r>
        <w:t xml:space="preserve"> </w:t>
      </w:r>
      <w:r w:rsidR="004F1E3D">
        <w:t>a (relatively late) evolved function in enhancing human communication, and if</w:t>
      </w:r>
      <w:r>
        <w:t>, as recent work has indicated,</w:t>
      </w:r>
      <w:r w:rsidR="004F1E3D">
        <w:t xml:space="preserve"> crying possesses at least some of the characteristics of language, then the kinds of study that may usefully be brought to bear on crying are broader than he was prepared to admit under the title of philosophical anthropology. None of those findings negates (indeed </w:t>
      </w:r>
      <w:r>
        <w:t>several</w:t>
      </w:r>
      <w:r w:rsidR="004F1E3D">
        <w:t xml:space="preserve"> of these more modern researchers repeat) the underlying claim that ties the subject of tears to an essentially elusive humanism. </w:t>
      </w:r>
      <w:r w:rsidR="00F3053D">
        <w:t xml:space="preserve">In the broadest terms it is an approach to the expression of emotion whose logic strongly recalls Mill’s, except that the framing conditions for the argument now involve a much stronger sense of the tendency of intellectual disciplines to claim to have exceeded those limits—requiring, in turn, the </w:t>
      </w:r>
      <w:r>
        <w:t>renewed</w:t>
      </w:r>
      <w:r w:rsidR="00F3053D">
        <w:t xml:space="preserve"> vigilance of the sceptical philosopher.</w:t>
      </w:r>
    </w:p>
    <w:p w14:paraId="5A021D92" w14:textId="6E747145" w:rsidR="00FF4942" w:rsidRDefault="00F3053D" w:rsidP="00F3053D">
      <w:pPr>
        <w:ind w:firstLine="720"/>
        <w:jc w:val="center"/>
      </w:pPr>
      <w:r>
        <w:t>*</w:t>
      </w:r>
    </w:p>
    <w:p w14:paraId="2FFB681C" w14:textId="445D8890" w:rsidR="00942853" w:rsidRDefault="00427153" w:rsidP="00F3053D">
      <w:r>
        <w:t>The</w:t>
      </w:r>
      <w:r w:rsidR="003E7A0B">
        <w:t xml:space="preserve"> </w:t>
      </w:r>
      <w:r w:rsidR="004721A9">
        <w:t xml:space="preserve">story of tears, as told </w:t>
      </w:r>
      <w:r w:rsidR="00FF4942">
        <w:t xml:space="preserve">by Mill </w:t>
      </w:r>
      <w:r w:rsidR="004721A9">
        <w:t xml:space="preserve">and retold </w:t>
      </w:r>
      <w:r w:rsidR="00FF4942">
        <w:t xml:space="preserve">by Plessner </w:t>
      </w:r>
      <w:r w:rsidR="004721A9">
        <w:t xml:space="preserve">on the </w:t>
      </w:r>
      <w:r w:rsidR="00F3053D">
        <w:t>chang</w:t>
      </w:r>
      <w:r w:rsidR="00FF4942">
        <w:t xml:space="preserve">ing </w:t>
      </w:r>
      <w:r w:rsidR="004721A9">
        <w:t xml:space="preserve">boundary between </w:t>
      </w:r>
      <w:r w:rsidR="00AE5A97">
        <w:t>philosophical and scientific</w:t>
      </w:r>
      <w:r w:rsidR="004721A9">
        <w:t xml:space="preserve"> scholars</w:t>
      </w:r>
      <w:r w:rsidR="00203310">
        <w:t>hip</w:t>
      </w:r>
      <w:r w:rsidR="001257D5">
        <w:t xml:space="preserve"> </w:t>
      </w:r>
      <w:r w:rsidR="00157729">
        <w:t xml:space="preserve">is, most importantly, </w:t>
      </w:r>
      <w:r w:rsidR="00AE5A97">
        <w:t>a story about what it means to be fully human</w:t>
      </w:r>
      <w:r w:rsidR="005F535C">
        <w:t xml:space="preserve">. </w:t>
      </w:r>
      <w:r w:rsidR="00AE5A97">
        <w:t>Part of the psychological power of both accounts of emotional expression is that they were fashioned out of exceptionally hostile circumstances</w:t>
      </w:r>
      <w:r w:rsidR="00157729">
        <w:t xml:space="preserve"> for their </w:t>
      </w:r>
      <w:r w:rsidR="00942853">
        <w:t xml:space="preserve">writers’ </w:t>
      </w:r>
      <w:r w:rsidR="00157729">
        <w:t>own flourishing</w:t>
      </w:r>
      <w:r w:rsidR="00AE5A97">
        <w:t xml:space="preserve"> (personal circumstances in Mill’s case, political in Plessner’s—though the personal/political distinction is in both cases fungible). The accounts of human emotion they offer have, by virtue of those circumstances, the added gravitas and the moral force of acts </w:t>
      </w:r>
      <w:r w:rsidR="00157729">
        <w:t xml:space="preserve">of personal resistance. But the stories they tell about tears </w:t>
      </w:r>
      <w:r w:rsidR="00AE5A97">
        <w:t xml:space="preserve">also </w:t>
      </w:r>
      <w:r w:rsidR="00157729">
        <w:t>contain</w:t>
      </w:r>
      <w:r w:rsidR="00AE5A97">
        <w:t xml:space="preserve"> </w:t>
      </w:r>
      <w:r w:rsidR="00EE16FF">
        <w:t xml:space="preserve">strong </w:t>
      </w:r>
      <w:r w:rsidR="00AE5A97">
        <w:t xml:space="preserve">claims </w:t>
      </w:r>
      <w:r w:rsidR="00942853">
        <w:t>regarding</w:t>
      </w:r>
      <w:r w:rsidR="00AE5A97">
        <w:t xml:space="preserve"> the divisions between different branches and styles of knowledge</w:t>
      </w:r>
      <w:r w:rsidR="00EE16FF">
        <w:t xml:space="preserve"> about human behaviour</w:t>
      </w:r>
      <w:r w:rsidR="00AE5A97">
        <w:t xml:space="preserve"> and their comparative claims to authority. </w:t>
      </w:r>
      <w:r w:rsidR="00EE16FF">
        <w:t>In both,</w:t>
      </w:r>
      <w:r w:rsidR="003E7A0B">
        <w:t xml:space="preserve"> </w:t>
      </w:r>
      <w:r w:rsidR="005F535C">
        <w:t>t</w:t>
      </w:r>
      <w:r w:rsidR="003E7A0B">
        <w:t xml:space="preserve">he contemplation of tears </w:t>
      </w:r>
      <w:r w:rsidR="00FF4942">
        <w:t>supports</w:t>
      </w:r>
      <w:r w:rsidR="005F535C">
        <w:t xml:space="preserve"> a symbolic drama in which </w:t>
      </w:r>
      <w:r w:rsidR="00942853">
        <w:t>various</w:t>
      </w:r>
      <w:r w:rsidR="00FF4942">
        <w:t xml:space="preserve"> fields of intellectual inquiry</w:t>
      </w:r>
      <w:r w:rsidR="00942853">
        <w:t xml:space="preserve">—but above all, </w:t>
      </w:r>
      <w:r w:rsidR="00D90D5B">
        <w:t>scientific rationalism</w:t>
      </w:r>
      <w:r w:rsidR="00942853">
        <w:t>—</w:t>
      </w:r>
      <w:r w:rsidR="00FF4942">
        <w:t>are made to</w:t>
      </w:r>
      <w:r w:rsidR="00203310">
        <w:t xml:space="preserve"> confess </w:t>
      </w:r>
      <w:r w:rsidR="001257D5">
        <w:t>their inadequacy before the complexity of the human subject.</w:t>
      </w:r>
    </w:p>
    <w:p w14:paraId="4506DC82" w14:textId="511E4E66" w:rsidR="00942853" w:rsidRDefault="00B2357D" w:rsidP="00942853">
      <w:pPr>
        <w:ind w:firstLine="720"/>
      </w:pPr>
      <w:r>
        <w:t xml:space="preserve">If the humbling of rationalism </w:t>
      </w:r>
      <w:r w:rsidR="00E4116E">
        <w:t xml:space="preserve">is the basic structure </w:t>
      </w:r>
      <w:r>
        <w:t xml:space="preserve">of that story, then </w:t>
      </w:r>
      <w:r w:rsidR="00F3053D">
        <w:t>its</w:t>
      </w:r>
      <w:r>
        <w:t xml:space="preserve"> privileged repository, and in some measure the guarantor of its truth, </w:t>
      </w:r>
      <w:r w:rsidR="00E4116E">
        <w:t>was for Mill and Plessner alike the literary text</w:t>
      </w:r>
      <w:r w:rsidR="00AE5A97">
        <w:t xml:space="preserve">—hence Mill’s appeal to </w:t>
      </w:r>
      <w:r w:rsidR="00EE16FF">
        <w:t xml:space="preserve">F. R. </w:t>
      </w:r>
      <w:r w:rsidR="00AE5A97">
        <w:t>Leavis and m</w:t>
      </w:r>
      <w:r w:rsidR="00EE16FF">
        <w:t>any others who have found in the</w:t>
      </w:r>
      <w:r w:rsidR="00AE5A97">
        <w:t xml:space="preserve"> reaction against classic utilitarianism</w:t>
      </w:r>
      <w:r w:rsidR="00EE16FF">
        <w:t xml:space="preserve"> and towards literature</w:t>
      </w:r>
      <w:r w:rsidR="00AE5A97">
        <w:t xml:space="preserve"> a justification </w:t>
      </w:r>
      <w:r w:rsidR="00EE16FF">
        <w:t>for the work of literary criticism.</w:t>
      </w:r>
      <w:r w:rsidR="00AE5A97">
        <w:t xml:space="preserve"> </w:t>
      </w:r>
      <w:r w:rsidR="00A92F58">
        <w:t>“</w:t>
      </w:r>
      <w:r w:rsidR="003A780B">
        <w:t>Laughing and crying are se</w:t>
      </w:r>
      <w:r w:rsidR="00A92F58">
        <w:t>nsitive reagents,”</w:t>
      </w:r>
      <w:r w:rsidR="003A780B">
        <w:t xml:space="preserve"> as Plessner put it, </w:t>
      </w:r>
      <w:r w:rsidR="00A92F58">
        <w:t>“</w:t>
      </w:r>
      <w:r w:rsidR="003A780B">
        <w:t>which literary artists, their true master</w:t>
      </w:r>
      <w:r w:rsidR="00A92F58">
        <w:t>s and teachers, know how to use”</w:t>
      </w:r>
      <w:r w:rsidR="003A780B">
        <w:t>.</w:t>
      </w:r>
      <w:r w:rsidR="007F5C41">
        <w:rPr>
          <w:rStyle w:val="FootnoteReference"/>
        </w:rPr>
        <w:footnoteReference w:id="42"/>
      </w:r>
      <w:r w:rsidR="003A780B">
        <w:t xml:space="preserve"> </w:t>
      </w:r>
      <w:r w:rsidR="00AE5A97">
        <w:t xml:space="preserve">But the literary text </w:t>
      </w:r>
      <w:r w:rsidR="003A780B">
        <w:t xml:space="preserve">as carrier of, and prompt to, emotional expression </w:t>
      </w:r>
      <w:r w:rsidR="00AE5A97">
        <w:t xml:space="preserve">need </w:t>
      </w:r>
      <w:r w:rsidR="00E4116E">
        <w:t>n</w:t>
      </w:r>
      <w:r w:rsidR="00D90D5B">
        <w:t>ot be, as it was for Leavis, the</w:t>
      </w:r>
      <w:r>
        <w:t xml:space="preserve"> work of </w:t>
      </w:r>
      <w:r w:rsidR="003A780B">
        <w:t>great</w:t>
      </w:r>
      <w:r w:rsidR="00AE5A97">
        <w:t xml:space="preserve"> literary value. </w:t>
      </w:r>
      <w:r>
        <w:t>Marmontel</w:t>
      </w:r>
      <w:r w:rsidR="00AE5A97">
        <w:t xml:space="preserve"> would not pass that test. All that was required for Mill, in the moment of crisis, was </w:t>
      </w:r>
      <w:r>
        <w:t xml:space="preserve">the text </w:t>
      </w:r>
      <w:r w:rsidR="00AE5A97">
        <w:t>as a vehicle of powerful feeling, engagingly expressed</w:t>
      </w:r>
      <w:r w:rsidR="003A780B">
        <w:t>.</w:t>
      </w:r>
      <w:r w:rsidR="00942853">
        <w:t xml:space="preserve"> </w:t>
      </w:r>
      <w:r w:rsidR="004558A9">
        <w:t xml:space="preserve">Even a glance at the recent literature on tears </w:t>
      </w:r>
      <w:r w:rsidR="00EE16FF">
        <w:t>neogitating the boundaries</w:t>
      </w:r>
      <w:r w:rsidR="004558A9">
        <w:t xml:space="preserve"> between philosophy and the sciences suggests that the literary text may, for obvious cultural reasons, no longer </w:t>
      </w:r>
      <w:r w:rsidR="00942853">
        <w:t>hold so much</w:t>
      </w:r>
      <w:r w:rsidR="00D90D5B">
        <w:t xml:space="preserve"> weight</w:t>
      </w:r>
      <w:r w:rsidR="004558A9">
        <w:t xml:space="preserve">. </w:t>
      </w:r>
      <w:r w:rsidR="003A780B">
        <w:t>Bu</w:t>
      </w:r>
      <w:r w:rsidR="004558A9">
        <w:t xml:space="preserve">t is </w:t>
      </w:r>
      <w:r w:rsidR="00E67B59">
        <w:t xml:space="preserve">worth remembering how personally exceptional were the educational circumstances that produced John Stuart Mill’s need for </w:t>
      </w:r>
      <w:r w:rsidR="00942853">
        <w:t xml:space="preserve">eloquent </w:t>
      </w:r>
      <w:r w:rsidR="004558A9">
        <w:t>emotional expression</w:t>
      </w:r>
      <w:r w:rsidR="00E67B59">
        <w:t xml:space="preserve"> to supplement and relieve a too narrow empiricism (never to replace </w:t>
      </w:r>
      <w:r w:rsidR="004558A9">
        <w:t>it); also</w:t>
      </w:r>
      <w:r w:rsidR="00E67B59">
        <w:t xml:space="preserve"> how historically </w:t>
      </w:r>
      <w:r w:rsidR="004F1E3D">
        <w:t xml:space="preserve">and politically </w:t>
      </w:r>
      <w:r w:rsidR="00E67B59">
        <w:t>exceptional were the circumstances that fuelled Plessner’s distrust of all disciplinary claims</w:t>
      </w:r>
      <w:r w:rsidR="003A780B">
        <w:t xml:space="preserve"> and his passionate attachment to Goethe as the figurehead of a great German culture, then being painfully betrayed.</w:t>
      </w:r>
    </w:p>
    <w:p w14:paraId="391D333A" w14:textId="206F7024" w:rsidR="003E7A0B" w:rsidRDefault="00EE16FF" w:rsidP="00942853">
      <w:pPr>
        <w:ind w:firstLine="720"/>
      </w:pPr>
      <w:r>
        <w:t>There are many things Mill and Plessner do not say about tears—they say nothing about tears as aesthetic objects, for example, and little (oddly little, in Plessner’s case) about crying as a co</w:t>
      </w:r>
      <w:r w:rsidR="00942853">
        <w:t xml:space="preserve">mmunicative action. But they </w:t>
      </w:r>
      <w:r>
        <w:t xml:space="preserve">offer the boldest philosophical arguments we </w:t>
      </w:r>
      <w:r w:rsidR="00942853">
        <w:t>have yet had</w:t>
      </w:r>
      <w:r>
        <w:t xml:space="preserve"> for putting tears at the heart of our </w:t>
      </w:r>
      <w:r w:rsidR="009139AE">
        <w:t>reflection on our own humanity</w:t>
      </w:r>
      <w:r>
        <w:t>.</w:t>
      </w:r>
    </w:p>
    <w:p w14:paraId="602B65A6" w14:textId="77777777" w:rsidR="00865171" w:rsidRDefault="00865171" w:rsidP="00E4116E">
      <w:pPr>
        <w:ind w:firstLine="720"/>
      </w:pPr>
    </w:p>
    <w:p w14:paraId="714ECAC2" w14:textId="77777777" w:rsidR="00373CC4" w:rsidRDefault="00373CC4" w:rsidP="00373CC4"/>
    <w:p w14:paraId="13CD65B9" w14:textId="43B60977" w:rsidR="00006836" w:rsidRPr="002E76AF" w:rsidRDefault="00387FED" w:rsidP="002E76AF">
      <w:pPr>
        <w:rPr>
          <w:i/>
        </w:rPr>
      </w:pPr>
      <w:r>
        <w:rPr>
          <w:i/>
        </w:rPr>
        <w:t>Biographical Note: Helen Small is Professor of English Literature at the University of Oxford and a Fellow of Pembroke College, Oxford</w:t>
      </w:r>
      <w:r>
        <w:t xml:space="preserve">. </w:t>
      </w:r>
      <w:r>
        <w:rPr>
          <w:i/>
        </w:rPr>
        <w:t xml:space="preserve">She has written widely on nineteenth-century literature, intellectual history, and the history of science. </w:t>
      </w:r>
      <w:r>
        <w:t xml:space="preserve">Her most recent book </w:t>
      </w:r>
      <w:r>
        <w:rPr>
          <w:i/>
        </w:rPr>
        <w:t>The Long Life (OUP, 2007), is an examination of the literature and philosophy of old age. She is currently completing a study of the defences for the humanities that have been most influential in the nineteenth and twentieth centuries: offering a historical taxonomy of the principal arguments, and testing their validity for the present day</w:t>
      </w:r>
      <w:r w:rsidR="002E76AF">
        <w:rPr>
          <w:i/>
        </w:rPr>
        <w:t>.</w:t>
      </w:r>
    </w:p>
    <w:p w14:paraId="0CC3880B" w14:textId="14EA8099" w:rsidR="00895FBC" w:rsidRPr="00895FBC" w:rsidRDefault="00A92F58" w:rsidP="00E22747">
      <w:pPr>
        <w:ind w:left="720" w:hanging="720"/>
      </w:pPr>
      <w:r>
        <w:t>.</w:t>
      </w:r>
    </w:p>
    <w:p w14:paraId="22176C92" w14:textId="26AB8F7D" w:rsidR="00765383" w:rsidRDefault="00765383" w:rsidP="00E22747">
      <w:pPr>
        <w:ind w:left="720" w:hanging="720"/>
      </w:pPr>
    </w:p>
    <w:sectPr w:rsidR="00765383" w:rsidSect="007F7B8B">
      <w:headerReference w:type="even" r:id="rId8"/>
      <w:headerReference w:type="defaul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56CA5" w14:textId="77777777" w:rsidR="000369D2" w:rsidRDefault="000369D2">
      <w:pPr>
        <w:spacing w:line="240" w:lineRule="auto"/>
      </w:pPr>
      <w:r>
        <w:separator/>
      </w:r>
    </w:p>
  </w:endnote>
  <w:endnote w:type="continuationSeparator" w:id="0">
    <w:p w14:paraId="5EC2DE5D" w14:textId="77777777" w:rsidR="000369D2" w:rsidRDefault="00036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122B" w14:textId="77777777" w:rsidR="000369D2" w:rsidRDefault="000369D2">
      <w:pPr>
        <w:spacing w:line="240" w:lineRule="auto"/>
      </w:pPr>
      <w:r>
        <w:separator/>
      </w:r>
    </w:p>
  </w:footnote>
  <w:footnote w:type="continuationSeparator" w:id="0">
    <w:p w14:paraId="0A70A58D" w14:textId="77777777" w:rsidR="000369D2" w:rsidRDefault="000369D2">
      <w:pPr>
        <w:spacing w:line="240" w:lineRule="auto"/>
      </w:pPr>
      <w:r>
        <w:continuationSeparator/>
      </w:r>
    </w:p>
  </w:footnote>
  <w:footnote w:id="1">
    <w:p w14:paraId="6F1D6D12" w14:textId="079FDE82" w:rsidR="000369D2" w:rsidRDefault="000369D2" w:rsidP="00AC39A5">
      <w:pPr>
        <w:pStyle w:val="FootnoteText"/>
      </w:pPr>
      <w:r>
        <w:rPr>
          <w:rStyle w:val="FootnoteReference"/>
        </w:rPr>
        <w:footnoteRef/>
      </w:r>
      <w:r>
        <w:t xml:space="preserve"> Dylan Evans, </w:t>
      </w:r>
      <w:r>
        <w:rPr>
          <w:i/>
        </w:rPr>
        <w:t>Emotion: The Science of Sentiment</w:t>
      </w:r>
      <w:r>
        <w:t xml:space="preserve"> (Oxford: Oxford University Press, 2001) 43; J. Murube, L. Murube, and A. Murube, “Origin and Types of Emotional Tearing,” </w:t>
      </w:r>
      <w:r>
        <w:rPr>
          <w:i/>
        </w:rPr>
        <w:t>European Journal of Opthalmology</w:t>
      </w:r>
      <w:r>
        <w:t>. 9:2 (1999): 77-84;</w:t>
      </w:r>
    </w:p>
    <w:p w14:paraId="0D5B04A3" w14:textId="68F884E0" w:rsidR="000369D2" w:rsidRDefault="000369D2" w:rsidP="00AC39A5">
      <w:pPr>
        <w:pStyle w:val="FootnoteText"/>
      </w:pPr>
      <w:r>
        <w:t xml:space="preserve">Juan Murube, “Hypotheses on the Development of Psychoemotional Tearing,” </w:t>
      </w:r>
      <w:r>
        <w:rPr>
          <w:i/>
        </w:rPr>
        <w:t xml:space="preserve">The Ocular </w:t>
      </w:r>
      <w:r w:rsidRPr="00FC3907">
        <w:rPr>
          <w:i/>
        </w:rPr>
        <w:t>Surface</w:t>
      </w:r>
      <w:r>
        <w:t xml:space="preserve"> 7:4 (2009): 171-5.</w:t>
      </w:r>
    </w:p>
  </w:footnote>
  <w:footnote w:id="2">
    <w:p w14:paraId="693F9FE3" w14:textId="4A11FD60" w:rsidR="000369D2" w:rsidRDefault="000369D2">
      <w:pPr>
        <w:pStyle w:val="FootnoteText"/>
      </w:pPr>
      <w:r>
        <w:rPr>
          <w:rStyle w:val="FootnoteReference"/>
        </w:rPr>
        <w:footnoteRef/>
      </w:r>
      <w:r>
        <w:t xml:space="preserve"> Isaiah Berlin, “John Stuart Mill and the Ends of Life,” in </w:t>
      </w:r>
      <w:r w:rsidRPr="000E1162">
        <w:rPr>
          <w:i/>
        </w:rPr>
        <w:t>Liberty</w:t>
      </w:r>
      <w:r>
        <w:rPr>
          <w:i/>
        </w:rPr>
        <w:t>: Incorporating Four Essays on Liberty</w:t>
      </w:r>
      <w:r>
        <w:t>. ed. Henry Hardy (Oxford: Oxford University Press, 2002) 218-51, 220.</w:t>
      </w:r>
    </w:p>
  </w:footnote>
  <w:footnote w:id="3">
    <w:p w14:paraId="434F18F8" w14:textId="3D5ACD25" w:rsidR="000369D2" w:rsidRDefault="000369D2">
      <w:pPr>
        <w:pStyle w:val="FootnoteText"/>
      </w:pPr>
      <w:r>
        <w:rPr>
          <w:rStyle w:val="FootnoteReference"/>
        </w:rPr>
        <w:footnoteRef/>
      </w:r>
      <w:r>
        <w:t xml:space="preserve"> Michael St. John Packe, </w:t>
      </w:r>
      <w:r>
        <w:rPr>
          <w:i/>
        </w:rPr>
        <w:t>The Life of John Stuart Mill</w:t>
      </w:r>
      <w:r>
        <w:t>, with a preface by F. A. Hayek (London: Secker and Warburg, 1954) 49.</w:t>
      </w:r>
    </w:p>
  </w:footnote>
  <w:footnote w:id="4">
    <w:p w14:paraId="0F534897" w14:textId="2476DBEC" w:rsidR="000369D2" w:rsidRDefault="000369D2">
      <w:pPr>
        <w:pStyle w:val="FootnoteText"/>
      </w:pPr>
      <w:r>
        <w:rPr>
          <w:rStyle w:val="FootnoteReference"/>
        </w:rPr>
        <w:footnoteRef/>
      </w:r>
      <w:r>
        <w:t xml:space="preserve"> John Stuart Mill, </w:t>
      </w:r>
      <w:r w:rsidRPr="00BF7A4B">
        <w:rPr>
          <w:i/>
        </w:rPr>
        <w:t>Collected</w:t>
      </w:r>
      <w:r>
        <w:rPr>
          <w:i/>
        </w:rPr>
        <w:t xml:space="preserve"> Works</w:t>
      </w:r>
      <w:r>
        <w:t xml:space="preserve"> 33 vols (Toronto: University of Toronto Press, 1981-91) [Hereafter </w:t>
      </w:r>
      <w:r>
        <w:rPr>
          <w:i/>
        </w:rPr>
        <w:t>CW</w:t>
      </w:r>
      <w:r>
        <w:t xml:space="preserve">] I: </w:t>
      </w:r>
      <w:r>
        <w:rPr>
          <w:i/>
        </w:rPr>
        <w:t xml:space="preserve">Autobiography and Literary </w:t>
      </w:r>
      <w:r w:rsidRPr="00BF7A4B">
        <w:rPr>
          <w:i/>
        </w:rPr>
        <w:t>Essays</w:t>
      </w:r>
      <w:r>
        <w:t xml:space="preserve"> </w:t>
      </w:r>
      <w:r w:rsidRPr="00AE26A4">
        <w:t>139</w:t>
      </w:r>
      <w:r>
        <w:t>, 145.</w:t>
      </w:r>
    </w:p>
  </w:footnote>
  <w:footnote w:id="5">
    <w:p w14:paraId="5F403BE7" w14:textId="18698E3D" w:rsidR="000369D2" w:rsidRDefault="000369D2">
      <w:pPr>
        <w:pStyle w:val="FootnoteText"/>
      </w:pPr>
      <w:r>
        <w:rPr>
          <w:rStyle w:val="FootnoteReference"/>
        </w:rPr>
        <w:footnoteRef/>
      </w:r>
      <w:r>
        <w:t xml:space="preserve"> Bruce Mazlish, </w:t>
      </w:r>
      <w:r>
        <w:rPr>
          <w:i/>
        </w:rPr>
        <w:t>James and John Stuart Mill: Father and Son in the Nineteenth Century</w:t>
      </w:r>
      <w:r>
        <w:t xml:space="preserve"> (New York: Basic Books, Inc., 1975) 209-11; Élie Halévy, </w:t>
      </w:r>
      <w:r>
        <w:rPr>
          <w:i/>
        </w:rPr>
        <w:t>The Growth of Philosophic Radicalism</w:t>
      </w:r>
      <w:r>
        <w:t>, trans. Mary Morris, new edn with preface by John Plamenatz (London: Faber, 1972) 269-70.</w:t>
      </w:r>
    </w:p>
  </w:footnote>
  <w:footnote w:id="6">
    <w:p w14:paraId="75B6B119" w14:textId="5A7A8F9F" w:rsidR="000369D2" w:rsidRPr="00A134BD" w:rsidRDefault="000369D2">
      <w:pPr>
        <w:pStyle w:val="FootnoteText"/>
      </w:pPr>
      <w:r>
        <w:rPr>
          <w:rStyle w:val="FootnoteReference"/>
        </w:rPr>
        <w:footnoteRef/>
      </w:r>
      <w:r>
        <w:t xml:space="preserve"> Mill, </w:t>
      </w:r>
      <w:r>
        <w:rPr>
          <w:i/>
        </w:rPr>
        <w:t>Autobiography</w:t>
      </w:r>
      <w:r>
        <w:t>, 111.</w:t>
      </w:r>
    </w:p>
  </w:footnote>
  <w:footnote w:id="7">
    <w:p w14:paraId="6A088D54" w14:textId="1CE228B4" w:rsidR="000369D2" w:rsidRDefault="000369D2">
      <w:pPr>
        <w:pStyle w:val="FootnoteText"/>
      </w:pPr>
      <w:r>
        <w:rPr>
          <w:rStyle w:val="FootnoteReference"/>
        </w:rPr>
        <w:footnoteRef/>
      </w:r>
      <w:r>
        <w:t xml:space="preserve"> Terry Eagleton, “Ideology and Literary Form,” </w:t>
      </w:r>
      <w:r>
        <w:rPr>
          <w:i/>
        </w:rPr>
        <w:t>New Left Review</w:t>
      </w:r>
      <w:r>
        <w:t xml:space="preserve"> I:90 (1975): 81-109, 83. Eagleton is referring in the first instance to Mill’s essays on Bentham and Coleridge, but the </w:t>
      </w:r>
      <w:r>
        <w:rPr>
          <w:i/>
        </w:rPr>
        <w:t>Autobiography</w:t>
      </w:r>
      <w:r>
        <w:t xml:space="preserve"> is, of course, the ur form of the “ideological conjuncture” of an “impoverished empiricist liberalism” with “Romantic humanism” describe.</w:t>
      </w:r>
    </w:p>
  </w:footnote>
  <w:footnote w:id="8">
    <w:p w14:paraId="0C9936F5" w14:textId="157F629F" w:rsidR="000369D2" w:rsidRPr="00A134BD" w:rsidRDefault="000369D2">
      <w:pPr>
        <w:pStyle w:val="FootnoteText"/>
        <w:rPr>
          <w:sz w:val="22"/>
        </w:rPr>
      </w:pPr>
      <w:r>
        <w:rPr>
          <w:rStyle w:val="FootnoteReference"/>
        </w:rPr>
        <w:footnoteRef/>
      </w:r>
      <w:r>
        <w:t xml:space="preserve"> Mill, </w:t>
      </w:r>
      <w:r>
        <w:rPr>
          <w:i/>
        </w:rPr>
        <w:t>Autobiography</w:t>
      </w:r>
      <w:r>
        <w:rPr>
          <w:sz w:val="22"/>
        </w:rPr>
        <w:t>, 111.</w:t>
      </w:r>
    </w:p>
  </w:footnote>
  <w:footnote w:id="9">
    <w:p w14:paraId="64EACC43" w14:textId="40205DBA" w:rsidR="000369D2" w:rsidRDefault="000369D2">
      <w:pPr>
        <w:pStyle w:val="FootnoteText"/>
      </w:pPr>
      <w:r>
        <w:rPr>
          <w:rStyle w:val="FootnoteReference"/>
        </w:rPr>
        <w:footnoteRef/>
      </w:r>
      <w:r>
        <w:t xml:space="preserve"> On his debt to Thomas Brown’s non-cognitive view of the emotions, see Thomas Dixon, </w:t>
      </w:r>
      <w:r>
        <w:rPr>
          <w:i/>
        </w:rPr>
        <w:t>From Passions to Emotions: The Creation of a Secular Psychological Category</w:t>
      </w:r>
      <w:r>
        <w:t xml:space="preserve"> (Cambridge: CUP, 2003) 126-7; also 154 and 158 for Alexander Bain’s influence in separating out the cognitive and the emotive aspects of psychology.</w:t>
      </w:r>
    </w:p>
  </w:footnote>
  <w:footnote w:id="10">
    <w:p w14:paraId="70734712" w14:textId="383346DF" w:rsidR="000369D2" w:rsidRDefault="000369D2">
      <w:pPr>
        <w:pStyle w:val="FootnoteText"/>
      </w:pPr>
      <w:r>
        <w:rPr>
          <w:rStyle w:val="FootnoteReference"/>
        </w:rPr>
        <w:footnoteRef/>
      </w:r>
      <w:r>
        <w:t xml:space="preserve"> Richard Reeve, </w:t>
      </w:r>
      <w:r>
        <w:rPr>
          <w:i/>
        </w:rPr>
        <w:t>John Stuart Mill: Victorian Firebrand</w:t>
      </w:r>
      <w:r>
        <w:t xml:space="preserve"> (London: Atlantic Books, 2007) 63.</w:t>
      </w:r>
    </w:p>
  </w:footnote>
  <w:footnote w:id="11">
    <w:p w14:paraId="38C5DA06" w14:textId="4F4952AC" w:rsidR="000369D2" w:rsidRDefault="000369D2">
      <w:pPr>
        <w:pStyle w:val="FootnoteText"/>
      </w:pPr>
      <w:r>
        <w:rPr>
          <w:rStyle w:val="FootnoteReference"/>
        </w:rPr>
        <w:footnoteRef/>
      </w:r>
      <w:r>
        <w:t xml:space="preserve"> “Mill’s Incubus,” in </w:t>
      </w:r>
      <w:r>
        <w:rPr>
          <w:i/>
        </w:rPr>
        <w:t xml:space="preserve">John Stuart Mill and the Art of </w:t>
      </w:r>
      <w:r w:rsidRPr="00A134BD">
        <w:rPr>
          <w:i/>
        </w:rPr>
        <w:t>Life</w:t>
      </w:r>
      <w:r>
        <w:t>, e</w:t>
      </w:r>
      <w:r w:rsidRPr="00A134BD">
        <w:t>d</w:t>
      </w:r>
      <w:r>
        <w:t>. Ben Eggleston, Dale Miller, and David Weinstein (Oxford: Oxford University Press, 2010) 169-91, 177.</w:t>
      </w:r>
    </w:p>
  </w:footnote>
  <w:footnote w:id="12">
    <w:p w14:paraId="239F79DE" w14:textId="791B5523" w:rsidR="000369D2" w:rsidRPr="00A134BD" w:rsidRDefault="000369D2">
      <w:pPr>
        <w:pStyle w:val="FootnoteText"/>
      </w:pPr>
      <w:r>
        <w:rPr>
          <w:rStyle w:val="FootnoteReference"/>
        </w:rPr>
        <w:footnoteRef/>
      </w:r>
      <w:r>
        <w:t xml:space="preserve"> Mill, </w:t>
      </w:r>
      <w:r>
        <w:rPr>
          <w:i/>
        </w:rPr>
        <w:t>Autobiography</w:t>
      </w:r>
      <w:r>
        <w:t>, 141.</w:t>
      </w:r>
    </w:p>
  </w:footnote>
  <w:footnote w:id="13">
    <w:p w14:paraId="1661EFA0" w14:textId="12BFF321" w:rsidR="000369D2" w:rsidRDefault="000369D2">
      <w:pPr>
        <w:pStyle w:val="FootnoteText"/>
      </w:pPr>
      <w:r>
        <w:rPr>
          <w:rStyle w:val="FootnoteReference"/>
        </w:rPr>
        <w:footnoteRef/>
      </w:r>
      <w:r>
        <w:t xml:space="preserve"> Millgram, “Mill’s Incubus,” 175.</w:t>
      </w:r>
    </w:p>
  </w:footnote>
  <w:footnote w:id="14">
    <w:p w14:paraId="253B33A9" w14:textId="5A136F40" w:rsidR="000369D2" w:rsidRPr="00A134BD" w:rsidRDefault="000369D2">
      <w:pPr>
        <w:pStyle w:val="FootnoteText"/>
      </w:pPr>
      <w:r>
        <w:rPr>
          <w:rStyle w:val="FootnoteReference"/>
        </w:rPr>
        <w:footnoteRef/>
      </w:r>
      <w:r>
        <w:t xml:space="preserve"> Mill, </w:t>
      </w:r>
      <w:r>
        <w:rPr>
          <w:i/>
        </w:rPr>
        <w:t>Autobiography</w:t>
      </w:r>
      <w:r>
        <w:t>, 141, 143.</w:t>
      </w:r>
    </w:p>
  </w:footnote>
  <w:footnote w:id="15">
    <w:p w14:paraId="788EE0A4" w14:textId="366B0B38" w:rsidR="000369D2" w:rsidRDefault="000369D2">
      <w:pPr>
        <w:pStyle w:val="FootnoteText"/>
      </w:pPr>
      <w:r>
        <w:rPr>
          <w:rStyle w:val="FootnoteReference"/>
        </w:rPr>
        <w:footnoteRef/>
      </w:r>
      <w:r>
        <w:t xml:space="preserve"> Millgram, “Mill’s Incubus,” 176, summarizing James Mill. </w:t>
      </w:r>
      <w:r w:rsidRPr="001270AE">
        <w:rPr>
          <w:i/>
        </w:rPr>
        <w:t>Analysis of the Phenomena of the Human Mind</w:t>
      </w:r>
      <w:r>
        <w:t xml:space="preserve"> (</w:t>
      </w:r>
      <w:r w:rsidRPr="001270AE">
        <w:t>1869</w:t>
      </w:r>
      <w:r>
        <w:t>).</w:t>
      </w:r>
      <w:r w:rsidRPr="00902C07">
        <w:t xml:space="preserve"> </w:t>
      </w:r>
      <w:r>
        <w:t xml:space="preserve">ed. John Stuart Mill, </w:t>
      </w:r>
      <w:r>
        <w:rPr>
          <w:i/>
        </w:rPr>
        <w:t>CW</w:t>
      </w:r>
      <w:r>
        <w:t xml:space="preserve"> XXXI: 106-10, 231-32.</w:t>
      </w:r>
    </w:p>
  </w:footnote>
  <w:footnote w:id="16">
    <w:p w14:paraId="645D07A2" w14:textId="7E25209C" w:rsidR="000369D2" w:rsidRPr="00A134BD" w:rsidRDefault="000369D2">
      <w:pPr>
        <w:pStyle w:val="FootnoteText"/>
      </w:pPr>
      <w:r>
        <w:rPr>
          <w:rStyle w:val="FootnoteReference"/>
        </w:rPr>
        <w:footnoteRef/>
      </w:r>
      <w:r>
        <w:t xml:space="preserve"> Mill, </w:t>
      </w:r>
      <w:r>
        <w:rPr>
          <w:i/>
        </w:rPr>
        <w:t>Autobiography</w:t>
      </w:r>
      <w:r>
        <w:t>, 143.</w:t>
      </w:r>
    </w:p>
  </w:footnote>
  <w:footnote w:id="17">
    <w:p w14:paraId="5C50D026" w14:textId="36C7E87F" w:rsidR="000369D2" w:rsidRDefault="000369D2">
      <w:pPr>
        <w:pStyle w:val="FootnoteText"/>
      </w:pPr>
      <w:r>
        <w:rPr>
          <w:rStyle w:val="FootnoteReference"/>
        </w:rPr>
        <w:footnoteRef/>
      </w:r>
      <w:r>
        <w:t xml:space="preserve"> Millgram, “Mill’s Incubus”, 171.</w:t>
      </w:r>
    </w:p>
  </w:footnote>
  <w:footnote w:id="18">
    <w:p w14:paraId="0C0E48CD" w14:textId="1C2DFA97" w:rsidR="000369D2" w:rsidRDefault="000369D2">
      <w:pPr>
        <w:pStyle w:val="FootnoteText"/>
      </w:pPr>
      <w:r>
        <w:rPr>
          <w:rStyle w:val="FootnoteReference"/>
        </w:rPr>
        <w:footnoteRef/>
      </w:r>
      <w:r>
        <w:t xml:space="preserve"> Mill, </w:t>
      </w:r>
      <w:r>
        <w:rPr>
          <w:i/>
        </w:rPr>
        <w:t>A System of Logic Rationcinative and Inductive</w:t>
      </w:r>
      <w:r>
        <w:t xml:space="preserve">, ed. J. M. Robson, Introduction by R. D, McRae, </w:t>
      </w:r>
      <w:r>
        <w:rPr>
          <w:i/>
        </w:rPr>
        <w:t>CW</w:t>
      </w:r>
      <w:r>
        <w:t xml:space="preserve"> VII-VIII, VIII: 840; for commentary see Dale E. Miller, </w:t>
      </w:r>
      <w:r>
        <w:rPr>
          <w:i/>
        </w:rPr>
        <w:t>J. S Mill: Moral, Social and Political Thought</w:t>
      </w:r>
      <w:r>
        <w:t xml:space="preserve"> (Cambridge: Polity Press, 2010) 25.</w:t>
      </w:r>
    </w:p>
  </w:footnote>
  <w:footnote w:id="19">
    <w:p w14:paraId="5D4C8273" w14:textId="57D5FD47" w:rsidR="000369D2" w:rsidRDefault="000369D2">
      <w:pPr>
        <w:pStyle w:val="FootnoteText"/>
      </w:pPr>
      <w:r>
        <w:rPr>
          <w:rStyle w:val="FootnoteReference"/>
        </w:rPr>
        <w:footnoteRef/>
      </w:r>
      <w:r>
        <w:t xml:space="preserve"> Millgram, “Mill’s Incubus,” 178.</w:t>
      </w:r>
    </w:p>
  </w:footnote>
  <w:footnote w:id="20">
    <w:p w14:paraId="7B018B43" w14:textId="26618E66" w:rsidR="000369D2" w:rsidRPr="006D0035" w:rsidRDefault="000369D2">
      <w:pPr>
        <w:pStyle w:val="FootnoteText"/>
        <w:rPr>
          <w:b/>
        </w:rPr>
      </w:pPr>
      <w:r>
        <w:rPr>
          <w:rStyle w:val="FootnoteReference"/>
        </w:rPr>
        <w:footnoteRef/>
      </w:r>
      <w:r>
        <w:t xml:space="preserve"> On the complexity of the word in historical context see Dixon, </w:t>
      </w:r>
      <w:r>
        <w:rPr>
          <w:i/>
        </w:rPr>
        <w:t xml:space="preserve">From Passions to </w:t>
      </w:r>
      <w:r w:rsidRPr="00AE26A4">
        <w:rPr>
          <w:i/>
        </w:rPr>
        <w:t>Emotions</w:t>
      </w:r>
      <w:r>
        <w:t xml:space="preserve">, </w:t>
      </w:r>
      <w:r w:rsidRPr="00AE26A4">
        <w:t>esp</w:t>
      </w:r>
      <w:r>
        <w:t>. 124-5.</w:t>
      </w:r>
    </w:p>
  </w:footnote>
  <w:footnote w:id="21">
    <w:p w14:paraId="02AAC896" w14:textId="6048022C" w:rsidR="000369D2" w:rsidRDefault="000369D2">
      <w:pPr>
        <w:pStyle w:val="FootnoteText"/>
      </w:pPr>
      <w:r>
        <w:rPr>
          <w:rStyle w:val="FootnoteReference"/>
        </w:rPr>
        <w:footnoteRef/>
      </w:r>
      <w:r>
        <w:t xml:space="preserve"> Mill, </w:t>
      </w:r>
      <w:r>
        <w:rPr>
          <w:i/>
        </w:rPr>
        <w:t>Analysis</w:t>
      </w:r>
      <w:r>
        <w:t>,</w:t>
      </w:r>
      <w:r>
        <w:rPr>
          <w:i/>
        </w:rPr>
        <w:t xml:space="preserve"> </w:t>
      </w:r>
      <w:r>
        <w:t>220-21.</w:t>
      </w:r>
    </w:p>
  </w:footnote>
  <w:footnote w:id="22">
    <w:p w14:paraId="33DF4FFA" w14:textId="728972D6" w:rsidR="000369D2" w:rsidRPr="00222318" w:rsidRDefault="000369D2">
      <w:pPr>
        <w:pStyle w:val="FootnoteText"/>
      </w:pPr>
      <w:r>
        <w:rPr>
          <w:rStyle w:val="FootnoteReference"/>
        </w:rPr>
        <w:footnoteRef/>
      </w:r>
      <w:r>
        <w:t xml:space="preserve"> Mill, </w:t>
      </w:r>
      <w:r>
        <w:rPr>
          <w:i/>
        </w:rPr>
        <w:t>Analysis</w:t>
      </w:r>
      <w:r>
        <w:t>, 221.</w:t>
      </w:r>
    </w:p>
  </w:footnote>
  <w:footnote w:id="23">
    <w:p w14:paraId="1F990340" w14:textId="0744C0EF" w:rsidR="000369D2" w:rsidRPr="00222318" w:rsidRDefault="000369D2">
      <w:pPr>
        <w:pStyle w:val="FootnoteText"/>
      </w:pPr>
      <w:r>
        <w:rPr>
          <w:rStyle w:val="FootnoteReference"/>
        </w:rPr>
        <w:footnoteRef/>
      </w:r>
      <w:r>
        <w:t xml:space="preserve"> Mill, </w:t>
      </w:r>
      <w:r>
        <w:rPr>
          <w:i/>
        </w:rPr>
        <w:t>Analysis</w:t>
      </w:r>
      <w:r>
        <w:t>, 221.</w:t>
      </w:r>
    </w:p>
  </w:footnote>
  <w:footnote w:id="24">
    <w:p w14:paraId="63D2BAB8" w14:textId="18500D31" w:rsidR="000369D2" w:rsidRDefault="000369D2">
      <w:pPr>
        <w:pStyle w:val="FootnoteText"/>
      </w:pPr>
      <w:r>
        <w:rPr>
          <w:rStyle w:val="FootnoteReference"/>
        </w:rPr>
        <w:footnoteRef/>
      </w:r>
      <w:r>
        <w:t xml:space="preserve"> "Helmuth Plessner." </w:t>
      </w:r>
      <w:r>
        <w:rPr>
          <w:i/>
          <w:iCs/>
        </w:rPr>
        <w:t>Encyclopædia Britannica Online Academic Edition</w:t>
      </w:r>
      <w:r>
        <w:t xml:space="preserve">. Encyclopædia Britannica Inc., 2012. Accessed 3 May 2012. </w:t>
      </w:r>
      <w:r w:rsidRPr="00E22747">
        <w:t>&lt;</w:t>
      </w:r>
      <w:hyperlink r:id="rId1" w:history="1">
        <w:r w:rsidRPr="00E22747">
          <w:t>http://www.britannica.com/EBchecked/topic/464677/Helmuth-Plessner</w:t>
        </w:r>
      </w:hyperlink>
      <w:r w:rsidRPr="00E22747">
        <w:t>&gt;</w:t>
      </w:r>
      <w:r>
        <w:t xml:space="preserve">  The Plessner archive is based in Groningen. “</w:t>
      </w:r>
      <w:hyperlink r:id="rId2" w:history="1">
        <w:r w:rsidRPr="00006836">
          <w:t>Het Plessner-archief</w:t>
        </w:r>
      </w:hyperlink>
      <w:r>
        <w:t xml:space="preserve">”. </w:t>
      </w:r>
      <w:hyperlink r:id="rId3" w:history="1">
        <w:r w:rsidRPr="00006836">
          <w:t>http://wereldaanboeken.ub.rug.nl/?p=37</w:t>
        </w:r>
      </w:hyperlink>
      <w:r w:rsidRPr="00006836">
        <w:t>.</w:t>
      </w:r>
      <w:r>
        <w:t xml:space="preserve"> Accessed 3 May 2012.</w:t>
      </w:r>
    </w:p>
  </w:footnote>
  <w:footnote w:id="25">
    <w:p w14:paraId="1F37D3DB" w14:textId="49A4F9EA" w:rsidR="000369D2" w:rsidRDefault="000369D2">
      <w:pPr>
        <w:pStyle w:val="FootnoteText"/>
      </w:pPr>
      <w:r>
        <w:rPr>
          <w:rStyle w:val="FootnoteReference"/>
        </w:rPr>
        <w:footnoteRef/>
      </w:r>
      <w:r>
        <w:t xml:space="preserve"> See Hans-Peter Krüger, “Persons and Their Bodies:</w:t>
      </w:r>
      <w:r w:rsidRPr="00164701">
        <w:t xml:space="preserve"> The </w:t>
      </w:r>
      <w:r w:rsidRPr="00164701">
        <w:rPr>
          <w:i/>
        </w:rPr>
        <w:t>Körper/Leib</w:t>
      </w:r>
      <w:r w:rsidRPr="00164701">
        <w:t xml:space="preserve"> Distinction and Helmuth Plessner’s Theories of Ex-centric Positionality and </w:t>
      </w:r>
      <w:r w:rsidRPr="00164701">
        <w:rPr>
          <w:i/>
        </w:rPr>
        <w:t>Homo absconditus</w:t>
      </w:r>
      <w:r>
        <w:t xml:space="preserve">,” </w:t>
      </w:r>
      <w:r>
        <w:rPr>
          <w:i/>
        </w:rPr>
        <w:t>The Journal of Speculative Philosophy</w:t>
      </w:r>
      <w:r>
        <w:t xml:space="preserve"> n.s. 24:3 (2010): 256-74, 266-7; Helmuth Plessner, </w:t>
      </w:r>
      <w:r>
        <w:rPr>
          <w:i/>
        </w:rPr>
        <w:t>The Limits of Community: A Critique of Social Radicalism</w:t>
      </w:r>
      <w:r>
        <w:t xml:space="preserve"> (1924), trans and intro. by Andrew Wallace (Amherst, NY: Humanity Books, 1999); and Steven Grosby, “Review Essay: Helmuth Plessner and the Philosophical Anthropology of Civility: Helmuth Plessner, </w:t>
      </w:r>
      <w:r>
        <w:rPr>
          <w:i/>
        </w:rPr>
        <w:t>The Limits of Community</w:t>
      </w:r>
      <w:r>
        <w:t xml:space="preserve">” [see below]. </w:t>
      </w:r>
      <w:r>
        <w:rPr>
          <w:i/>
        </w:rPr>
        <w:t>Philosophy and Social Criticism</w:t>
      </w:r>
      <w:r>
        <w:t xml:space="preserve"> 28.5 (2002): 605-8.</w:t>
      </w:r>
    </w:p>
  </w:footnote>
  <w:footnote w:id="26">
    <w:p w14:paraId="3A8CF153" w14:textId="69D148F2" w:rsidR="000369D2" w:rsidRDefault="000369D2">
      <w:pPr>
        <w:pStyle w:val="FootnoteText"/>
      </w:pPr>
      <w:r>
        <w:rPr>
          <w:rStyle w:val="FootnoteReference"/>
        </w:rPr>
        <w:footnoteRef/>
      </w:r>
      <w:r>
        <w:t xml:space="preserve"> Krüger, “Persons and Their Bodies,” 259.</w:t>
      </w:r>
    </w:p>
  </w:footnote>
  <w:footnote w:id="27">
    <w:p w14:paraId="24B86A90" w14:textId="7C5D8076" w:rsidR="000369D2" w:rsidRPr="00222318" w:rsidRDefault="000369D2">
      <w:pPr>
        <w:pStyle w:val="FootnoteText"/>
      </w:pPr>
      <w:r>
        <w:rPr>
          <w:rStyle w:val="FootnoteReference"/>
        </w:rPr>
        <w:footnoteRef/>
      </w:r>
      <w:r>
        <w:t xml:space="preserve"> Plessner, </w:t>
      </w:r>
      <w:r>
        <w:rPr>
          <w:i/>
        </w:rPr>
        <w:t>Laughing and Crying</w:t>
      </w:r>
      <w:r>
        <w:t>, 11.</w:t>
      </w:r>
    </w:p>
  </w:footnote>
  <w:footnote w:id="28">
    <w:p w14:paraId="595D0A00" w14:textId="6F347CEF" w:rsidR="000369D2" w:rsidRDefault="000369D2">
      <w:pPr>
        <w:pStyle w:val="FootnoteText"/>
      </w:pPr>
      <w:r>
        <w:rPr>
          <w:rStyle w:val="FootnoteReference"/>
        </w:rPr>
        <w:footnoteRef/>
      </w:r>
      <w:r>
        <w:t xml:space="preserve"> Plessner, </w:t>
      </w:r>
      <w:r>
        <w:rPr>
          <w:i/>
        </w:rPr>
        <w:t>Laughing and Crying</w:t>
      </w:r>
      <w:r>
        <w:t>, 23, 24.</w:t>
      </w:r>
    </w:p>
  </w:footnote>
  <w:footnote w:id="29">
    <w:p w14:paraId="13033ACB" w14:textId="65F372BB" w:rsidR="000369D2" w:rsidRDefault="000369D2">
      <w:pPr>
        <w:pStyle w:val="FootnoteText"/>
      </w:pPr>
      <w:r>
        <w:rPr>
          <w:rStyle w:val="FootnoteReference"/>
        </w:rPr>
        <w:footnoteRef/>
      </w:r>
      <w:r>
        <w:t xml:space="preserve"> Plessner, </w:t>
      </w:r>
      <w:r>
        <w:rPr>
          <w:i/>
        </w:rPr>
        <w:t>Laughing and Crying</w:t>
      </w:r>
      <w:r>
        <w:t>, 32.</w:t>
      </w:r>
    </w:p>
  </w:footnote>
  <w:footnote w:id="30">
    <w:p w14:paraId="71D8881C" w14:textId="2BDBFF3B" w:rsidR="000369D2" w:rsidRDefault="000369D2">
      <w:pPr>
        <w:pStyle w:val="FootnoteText"/>
      </w:pPr>
      <w:r>
        <w:rPr>
          <w:rStyle w:val="FootnoteReference"/>
        </w:rPr>
        <w:footnoteRef/>
      </w:r>
      <w:r>
        <w:t xml:space="preserve"> Plessner, </w:t>
      </w:r>
      <w:r>
        <w:rPr>
          <w:i/>
        </w:rPr>
        <w:t>Laughing and Crying</w:t>
      </w:r>
      <w:r>
        <w:t>, 10.</w:t>
      </w:r>
    </w:p>
  </w:footnote>
  <w:footnote w:id="31">
    <w:p w14:paraId="5C3A2661" w14:textId="1D4DD36F" w:rsidR="000369D2" w:rsidRDefault="000369D2">
      <w:pPr>
        <w:pStyle w:val="FootnoteText"/>
      </w:pPr>
      <w:r>
        <w:rPr>
          <w:rStyle w:val="FootnoteReference"/>
        </w:rPr>
        <w:footnoteRef/>
      </w:r>
      <w:r>
        <w:t xml:space="preserve"> Krüger, “Persons and Their Bodies,” 259.</w:t>
      </w:r>
    </w:p>
  </w:footnote>
  <w:footnote w:id="32">
    <w:p w14:paraId="058384F4" w14:textId="548B7331" w:rsidR="000369D2" w:rsidRDefault="000369D2">
      <w:pPr>
        <w:pStyle w:val="FootnoteText"/>
      </w:pPr>
      <w:r>
        <w:rPr>
          <w:rStyle w:val="FootnoteReference"/>
        </w:rPr>
        <w:footnoteRef/>
      </w:r>
      <w:r>
        <w:t xml:space="preserve"> Plessner, </w:t>
      </w:r>
      <w:r>
        <w:rPr>
          <w:i/>
        </w:rPr>
        <w:t>Laughing and Crying</w:t>
      </w:r>
      <w:r>
        <w:t>, 116.</w:t>
      </w:r>
    </w:p>
  </w:footnote>
  <w:footnote w:id="33">
    <w:p w14:paraId="1D62B098" w14:textId="0909D44A" w:rsidR="000369D2" w:rsidRDefault="000369D2">
      <w:pPr>
        <w:pStyle w:val="FootnoteText"/>
      </w:pPr>
      <w:r>
        <w:rPr>
          <w:rStyle w:val="FootnoteReference"/>
        </w:rPr>
        <w:footnoteRef/>
      </w:r>
      <w:r>
        <w:t xml:space="preserve"> Plessner, </w:t>
      </w:r>
      <w:r>
        <w:rPr>
          <w:i/>
        </w:rPr>
        <w:t>Laughing and Crying</w:t>
      </w:r>
      <w:r>
        <w:t>, 116.</w:t>
      </w:r>
    </w:p>
  </w:footnote>
  <w:footnote w:id="34">
    <w:p w14:paraId="5625558C" w14:textId="0F5DE807" w:rsidR="000369D2" w:rsidRDefault="000369D2">
      <w:pPr>
        <w:pStyle w:val="FootnoteText"/>
      </w:pPr>
      <w:r>
        <w:rPr>
          <w:rStyle w:val="FootnoteReference"/>
        </w:rPr>
        <w:footnoteRef/>
      </w:r>
      <w:r>
        <w:t xml:space="preserve"> Plessner, </w:t>
      </w:r>
      <w:r>
        <w:rPr>
          <w:i/>
        </w:rPr>
        <w:t>Laughing and Crying</w:t>
      </w:r>
      <w:r>
        <w:t>, 117.</w:t>
      </w:r>
    </w:p>
  </w:footnote>
  <w:footnote w:id="35">
    <w:p w14:paraId="6A0DB47D" w14:textId="14D7E05C" w:rsidR="000369D2" w:rsidRDefault="000369D2">
      <w:pPr>
        <w:pStyle w:val="FootnoteText"/>
      </w:pPr>
      <w:r>
        <w:rPr>
          <w:rStyle w:val="FootnoteReference"/>
        </w:rPr>
        <w:footnoteRef/>
      </w:r>
      <w:r>
        <w:t xml:space="preserve"> Plessner, </w:t>
      </w:r>
      <w:r>
        <w:rPr>
          <w:i/>
        </w:rPr>
        <w:t>Laughing and Crying</w:t>
      </w:r>
      <w:r>
        <w:t>, 30-31.</w:t>
      </w:r>
    </w:p>
  </w:footnote>
  <w:footnote w:id="36">
    <w:p w14:paraId="663F67AA" w14:textId="1560D904" w:rsidR="000369D2" w:rsidRDefault="000369D2">
      <w:pPr>
        <w:pStyle w:val="FootnoteText"/>
      </w:pPr>
      <w:r>
        <w:rPr>
          <w:rStyle w:val="FootnoteReference"/>
        </w:rPr>
        <w:footnoteRef/>
      </w:r>
      <w:r>
        <w:t xml:space="preserve"> Plessner, </w:t>
      </w:r>
      <w:r>
        <w:rPr>
          <w:i/>
        </w:rPr>
        <w:t>Laughing and Crying</w:t>
      </w:r>
      <w:r>
        <w:t>, 13.</w:t>
      </w:r>
    </w:p>
  </w:footnote>
  <w:footnote w:id="37">
    <w:p w14:paraId="38538B08" w14:textId="23D644DD" w:rsidR="00977912" w:rsidRDefault="00977912">
      <w:pPr>
        <w:pStyle w:val="FootnoteText"/>
      </w:pPr>
      <w:r>
        <w:rPr>
          <w:rStyle w:val="FootnoteReference"/>
        </w:rPr>
        <w:footnoteRef/>
      </w:r>
      <w:r>
        <w:t xml:space="preserve"> Plessner, </w:t>
      </w:r>
      <w:r>
        <w:rPr>
          <w:i/>
        </w:rPr>
        <w:t>Laughing and Crying</w:t>
      </w:r>
      <w:r>
        <w:t>, 16-17.</w:t>
      </w:r>
    </w:p>
  </w:footnote>
  <w:footnote w:id="38">
    <w:p w14:paraId="116D430F" w14:textId="36A3A179" w:rsidR="000369D2" w:rsidRDefault="000369D2">
      <w:pPr>
        <w:pStyle w:val="FootnoteText"/>
      </w:pPr>
      <w:r>
        <w:rPr>
          <w:rStyle w:val="FootnoteReference"/>
        </w:rPr>
        <w:footnoteRef/>
      </w:r>
      <w:r>
        <w:t xml:space="preserve"> Plessner, </w:t>
      </w:r>
      <w:r>
        <w:rPr>
          <w:i/>
        </w:rPr>
        <w:t>Laughing and Crying</w:t>
      </w:r>
      <w:r>
        <w:t>, 6.</w:t>
      </w:r>
    </w:p>
  </w:footnote>
  <w:footnote w:id="39">
    <w:p w14:paraId="2BC01D56" w14:textId="20D00D55" w:rsidR="000369D2" w:rsidRDefault="000369D2">
      <w:pPr>
        <w:pStyle w:val="FootnoteText"/>
      </w:pPr>
      <w:r>
        <w:rPr>
          <w:rStyle w:val="FootnoteReference"/>
        </w:rPr>
        <w:footnoteRef/>
      </w:r>
      <w:r>
        <w:t xml:space="preserve"> Plessner, </w:t>
      </w:r>
      <w:r>
        <w:rPr>
          <w:i/>
        </w:rPr>
        <w:t>Laughing and Crying</w:t>
      </w:r>
      <w:r>
        <w:t>, 7.</w:t>
      </w:r>
    </w:p>
  </w:footnote>
  <w:footnote w:id="40">
    <w:p w14:paraId="34CB3447" w14:textId="00AF983B" w:rsidR="000369D2" w:rsidRDefault="000369D2">
      <w:pPr>
        <w:pStyle w:val="FootnoteText"/>
      </w:pPr>
      <w:r>
        <w:rPr>
          <w:rStyle w:val="FootnoteReference"/>
        </w:rPr>
        <w:footnoteRef/>
      </w:r>
      <w:r>
        <w:t xml:space="preserve"> Plessner, </w:t>
      </w:r>
      <w:r>
        <w:rPr>
          <w:i/>
        </w:rPr>
        <w:t>Laughing and Crying</w:t>
      </w:r>
      <w:r>
        <w:t>, 3.</w:t>
      </w:r>
    </w:p>
  </w:footnote>
  <w:footnote w:id="41">
    <w:p w14:paraId="2805D18E" w14:textId="5B23E0AA" w:rsidR="000369D2" w:rsidRDefault="000369D2">
      <w:pPr>
        <w:pStyle w:val="FootnoteText"/>
      </w:pPr>
      <w:r>
        <w:rPr>
          <w:rStyle w:val="FootnoteReference"/>
        </w:rPr>
        <w:footnoteRef/>
      </w:r>
      <w:r>
        <w:t xml:space="preserve"> E.g., N. J. Enfield, Review of Phillip Glen, </w:t>
      </w:r>
      <w:r w:rsidRPr="00C42F92">
        <w:rPr>
          <w:i/>
        </w:rPr>
        <w:t>Laughter in</w:t>
      </w:r>
      <w:r>
        <w:t xml:space="preserve"> </w:t>
      </w:r>
      <w:r>
        <w:rPr>
          <w:i/>
        </w:rPr>
        <w:t>Interaction</w:t>
      </w:r>
      <w:r>
        <w:t xml:space="preserve">. Studies in Interactional Sociolinguistics. Cambridge: CUP, 2003. </w:t>
      </w:r>
      <w:r>
        <w:rPr>
          <w:i/>
        </w:rPr>
        <w:t>Linguistics</w:t>
      </w:r>
      <w:r>
        <w:t xml:space="preserve"> 43:6 (2005): 1195-97; Alexa Hepburn, “Crying: Notes on Description, Transcription, and Interaction,” </w:t>
      </w:r>
      <w:r>
        <w:rPr>
          <w:i/>
        </w:rPr>
        <w:t>Research on Language and Social Interaction</w:t>
      </w:r>
      <w:r>
        <w:t xml:space="preserve"> 37:3 (2004): 251-90; A. Montagu, “Natural Selection and the Origin and Evolution of Weeping in Man,” </w:t>
      </w:r>
      <w:r>
        <w:rPr>
          <w:i/>
        </w:rPr>
        <w:t xml:space="preserve">Science </w:t>
      </w:r>
      <w:r>
        <w:t xml:space="preserve">130:3388 (4 Dec 1959): 1572-3; Murube, “Hypotheses”; Robert R.  Provine, “Emotional Tears and NGF: A Biographical Appreciation and Research Beginning,” </w:t>
      </w:r>
      <w:r>
        <w:rPr>
          <w:i/>
        </w:rPr>
        <w:t>Archives Italiennes de Biologie</w:t>
      </w:r>
      <w:r>
        <w:t xml:space="preserve"> 149:2 (2011): 269-74.</w:t>
      </w:r>
    </w:p>
  </w:footnote>
  <w:footnote w:id="42">
    <w:p w14:paraId="3ECD704E" w14:textId="1CF92658" w:rsidR="000369D2" w:rsidRPr="007F5C41" w:rsidRDefault="000369D2">
      <w:pPr>
        <w:pStyle w:val="FootnoteText"/>
      </w:pPr>
      <w:r>
        <w:rPr>
          <w:rStyle w:val="FootnoteReference"/>
        </w:rPr>
        <w:footnoteRef/>
      </w:r>
      <w:r>
        <w:t xml:space="preserve"> Plessner, </w:t>
      </w:r>
      <w:r>
        <w:rPr>
          <w:i/>
        </w:rPr>
        <w:t>Laughing and Crying</w:t>
      </w:r>
      <w:r>
        <w:t>, 11. There are occasional signs of Plessner being pressed into service</w:t>
      </w:r>
      <w:r w:rsidR="00977912">
        <w:t xml:space="preserve"> similar to Leavis’s use of Mill</w:t>
      </w:r>
      <w:r>
        <w:t xml:space="preserve">. See Martin Heinze, “Helmuth Plessner’s Philosophical Anthropology,” </w:t>
      </w:r>
      <w:r>
        <w:rPr>
          <w:i/>
        </w:rPr>
        <w:t>Philosophy Psychiatry and Psychology</w:t>
      </w:r>
      <w:r>
        <w:t xml:space="preserve"> 16:2 (2009): 117-28; and (more cautiously), Bernard G. Prusak, “The Science of Laughter: Helmuth Plessner’s </w:t>
      </w:r>
      <w:r>
        <w:rPr>
          <w:i/>
        </w:rPr>
        <w:t>Laughing and Crying</w:t>
      </w:r>
      <w:r>
        <w:t xml:space="preserve"> Revisited,” </w:t>
      </w:r>
      <w:r>
        <w:rPr>
          <w:i/>
        </w:rPr>
        <w:t>Continental Philosophy Review</w:t>
      </w:r>
      <w:r w:rsidR="00977912">
        <w:t xml:space="preserve"> 38 (2006): 1-69.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8250F" w14:textId="77777777" w:rsidR="000369D2" w:rsidRDefault="000369D2" w:rsidP="007F7B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2A1D1" w14:textId="77777777" w:rsidR="000369D2" w:rsidRDefault="000369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FA4A4" w14:textId="77777777" w:rsidR="000369D2" w:rsidRDefault="000369D2" w:rsidP="007F7B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BEA">
      <w:rPr>
        <w:rStyle w:val="PageNumber"/>
        <w:noProof/>
      </w:rPr>
      <w:t>22</w:t>
    </w:r>
    <w:r>
      <w:rPr>
        <w:rStyle w:val="PageNumber"/>
      </w:rPr>
      <w:fldChar w:fldCharType="end"/>
    </w:r>
  </w:p>
  <w:p w14:paraId="022C1EB8" w14:textId="77777777" w:rsidR="000369D2" w:rsidRDefault="000369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AEC3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6745FAA"/>
    <w:lvl w:ilvl="0">
      <w:start w:val="1"/>
      <w:numFmt w:val="decimal"/>
      <w:lvlText w:val="%1."/>
      <w:lvlJc w:val="left"/>
      <w:pPr>
        <w:tabs>
          <w:tab w:val="num" w:pos="1492"/>
        </w:tabs>
        <w:ind w:left="1492" w:hanging="360"/>
      </w:pPr>
    </w:lvl>
  </w:abstractNum>
  <w:abstractNum w:abstractNumId="2">
    <w:nsid w:val="FFFFFF7D"/>
    <w:multiLevelType w:val="singleLevel"/>
    <w:tmpl w:val="28BC3C32"/>
    <w:lvl w:ilvl="0">
      <w:start w:val="1"/>
      <w:numFmt w:val="decimal"/>
      <w:lvlText w:val="%1."/>
      <w:lvlJc w:val="left"/>
      <w:pPr>
        <w:tabs>
          <w:tab w:val="num" w:pos="1209"/>
        </w:tabs>
        <w:ind w:left="1209" w:hanging="360"/>
      </w:pPr>
    </w:lvl>
  </w:abstractNum>
  <w:abstractNum w:abstractNumId="3">
    <w:nsid w:val="FFFFFF7E"/>
    <w:multiLevelType w:val="singleLevel"/>
    <w:tmpl w:val="61CA195C"/>
    <w:lvl w:ilvl="0">
      <w:start w:val="1"/>
      <w:numFmt w:val="decimal"/>
      <w:lvlText w:val="%1."/>
      <w:lvlJc w:val="left"/>
      <w:pPr>
        <w:tabs>
          <w:tab w:val="num" w:pos="926"/>
        </w:tabs>
        <w:ind w:left="926" w:hanging="360"/>
      </w:pPr>
    </w:lvl>
  </w:abstractNum>
  <w:abstractNum w:abstractNumId="4">
    <w:nsid w:val="FFFFFF7F"/>
    <w:multiLevelType w:val="singleLevel"/>
    <w:tmpl w:val="21A4FE1E"/>
    <w:lvl w:ilvl="0">
      <w:start w:val="1"/>
      <w:numFmt w:val="decimal"/>
      <w:lvlText w:val="%1."/>
      <w:lvlJc w:val="left"/>
      <w:pPr>
        <w:tabs>
          <w:tab w:val="num" w:pos="643"/>
        </w:tabs>
        <w:ind w:left="643" w:hanging="360"/>
      </w:pPr>
    </w:lvl>
  </w:abstractNum>
  <w:abstractNum w:abstractNumId="5">
    <w:nsid w:val="FFFFFF80"/>
    <w:multiLevelType w:val="singleLevel"/>
    <w:tmpl w:val="4800B6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F8ABD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966ECE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3DCFCC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1A86B5C"/>
    <w:lvl w:ilvl="0">
      <w:start w:val="1"/>
      <w:numFmt w:val="decimal"/>
      <w:lvlText w:val="%1."/>
      <w:lvlJc w:val="left"/>
      <w:pPr>
        <w:tabs>
          <w:tab w:val="num" w:pos="360"/>
        </w:tabs>
        <w:ind w:left="360" w:hanging="360"/>
      </w:pPr>
    </w:lvl>
  </w:abstractNum>
  <w:abstractNum w:abstractNumId="10">
    <w:nsid w:val="FFFFFF89"/>
    <w:multiLevelType w:val="singleLevel"/>
    <w:tmpl w:val="1890D27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4E71CA8"/>
    <w:multiLevelType w:val="hybridMultilevel"/>
    <w:tmpl w:val="99A024A8"/>
    <w:lvl w:ilvl="0" w:tplc="32E26120">
      <w:numFmt w:val="bullet"/>
      <w:lvlText w:val=""/>
      <w:lvlJc w:val="left"/>
      <w:pPr>
        <w:ind w:left="720" w:hanging="360"/>
      </w:pPr>
      <w:rPr>
        <w:rFonts w:ascii="Wingdings" w:eastAsiaTheme="minorHAnsi" w:hAnsi="Wingdings" w:cs="Lucida Grande"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FB77C7"/>
    <w:rsid w:val="00000CBB"/>
    <w:rsid w:val="00006407"/>
    <w:rsid w:val="00006836"/>
    <w:rsid w:val="00006CEC"/>
    <w:rsid w:val="00010CF1"/>
    <w:rsid w:val="000112B7"/>
    <w:rsid w:val="00011DE1"/>
    <w:rsid w:val="000129D9"/>
    <w:rsid w:val="0001425B"/>
    <w:rsid w:val="000157B0"/>
    <w:rsid w:val="00016845"/>
    <w:rsid w:val="00021728"/>
    <w:rsid w:val="00021D25"/>
    <w:rsid w:val="00023038"/>
    <w:rsid w:val="0002617A"/>
    <w:rsid w:val="000261DC"/>
    <w:rsid w:val="0002769D"/>
    <w:rsid w:val="00032F5D"/>
    <w:rsid w:val="000336E3"/>
    <w:rsid w:val="000340F6"/>
    <w:rsid w:val="0003481C"/>
    <w:rsid w:val="000369D2"/>
    <w:rsid w:val="00040B84"/>
    <w:rsid w:val="000412CD"/>
    <w:rsid w:val="00043459"/>
    <w:rsid w:val="000435FC"/>
    <w:rsid w:val="000442DC"/>
    <w:rsid w:val="00046F63"/>
    <w:rsid w:val="00053901"/>
    <w:rsid w:val="00056119"/>
    <w:rsid w:val="000568A1"/>
    <w:rsid w:val="00062A40"/>
    <w:rsid w:val="000631F6"/>
    <w:rsid w:val="00064667"/>
    <w:rsid w:val="00064933"/>
    <w:rsid w:val="000649D9"/>
    <w:rsid w:val="00066D52"/>
    <w:rsid w:val="0007253C"/>
    <w:rsid w:val="00074C15"/>
    <w:rsid w:val="00075949"/>
    <w:rsid w:val="000775E1"/>
    <w:rsid w:val="00077B2E"/>
    <w:rsid w:val="00080582"/>
    <w:rsid w:val="00081A4B"/>
    <w:rsid w:val="00081C0D"/>
    <w:rsid w:val="00082CB4"/>
    <w:rsid w:val="00085781"/>
    <w:rsid w:val="00087096"/>
    <w:rsid w:val="0009404D"/>
    <w:rsid w:val="000940B2"/>
    <w:rsid w:val="00094C7E"/>
    <w:rsid w:val="00095DAE"/>
    <w:rsid w:val="00096970"/>
    <w:rsid w:val="0009706C"/>
    <w:rsid w:val="000A26B1"/>
    <w:rsid w:val="000A5B95"/>
    <w:rsid w:val="000B0399"/>
    <w:rsid w:val="000B2C80"/>
    <w:rsid w:val="000B2FBC"/>
    <w:rsid w:val="000B3A9A"/>
    <w:rsid w:val="000B436F"/>
    <w:rsid w:val="000B47B1"/>
    <w:rsid w:val="000B4C79"/>
    <w:rsid w:val="000B4F6B"/>
    <w:rsid w:val="000B6706"/>
    <w:rsid w:val="000B73D2"/>
    <w:rsid w:val="000C0246"/>
    <w:rsid w:val="000C1EA1"/>
    <w:rsid w:val="000C34FF"/>
    <w:rsid w:val="000C408E"/>
    <w:rsid w:val="000D1310"/>
    <w:rsid w:val="000D1C9C"/>
    <w:rsid w:val="000D2291"/>
    <w:rsid w:val="000D2DB4"/>
    <w:rsid w:val="000D7390"/>
    <w:rsid w:val="000D7E91"/>
    <w:rsid w:val="000D7E96"/>
    <w:rsid w:val="000E1162"/>
    <w:rsid w:val="000E1D8D"/>
    <w:rsid w:val="000E324C"/>
    <w:rsid w:val="000E4491"/>
    <w:rsid w:val="000E4F98"/>
    <w:rsid w:val="000E701E"/>
    <w:rsid w:val="000E7514"/>
    <w:rsid w:val="000E7729"/>
    <w:rsid w:val="000F1268"/>
    <w:rsid w:val="000F152A"/>
    <w:rsid w:val="000F2744"/>
    <w:rsid w:val="000F36FA"/>
    <w:rsid w:val="000F462D"/>
    <w:rsid w:val="000F74AC"/>
    <w:rsid w:val="001037D8"/>
    <w:rsid w:val="00105A60"/>
    <w:rsid w:val="00111F78"/>
    <w:rsid w:val="00112962"/>
    <w:rsid w:val="00116286"/>
    <w:rsid w:val="00116904"/>
    <w:rsid w:val="00121752"/>
    <w:rsid w:val="0012517D"/>
    <w:rsid w:val="00125595"/>
    <w:rsid w:val="001257D5"/>
    <w:rsid w:val="0012632C"/>
    <w:rsid w:val="001270AE"/>
    <w:rsid w:val="0012741D"/>
    <w:rsid w:val="001303E2"/>
    <w:rsid w:val="00131145"/>
    <w:rsid w:val="00133FA2"/>
    <w:rsid w:val="0013604F"/>
    <w:rsid w:val="00140651"/>
    <w:rsid w:val="00140B20"/>
    <w:rsid w:val="001410F1"/>
    <w:rsid w:val="00142368"/>
    <w:rsid w:val="00142E5F"/>
    <w:rsid w:val="00145C98"/>
    <w:rsid w:val="001475FA"/>
    <w:rsid w:val="00150DB0"/>
    <w:rsid w:val="001530A0"/>
    <w:rsid w:val="001534FA"/>
    <w:rsid w:val="00157729"/>
    <w:rsid w:val="00161F0B"/>
    <w:rsid w:val="00161F98"/>
    <w:rsid w:val="00164701"/>
    <w:rsid w:val="00164BB9"/>
    <w:rsid w:val="00167C12"/>
    <w:rsid w:val="0017605B"/>
    <w:rsid w:val="00182B69"/>
    <w:rsid w:val="00183CBB"/>
    <w:rsid w:val="00184D02"/>
    <w:rsid w:val="00184F8F"/>
    <w:rsid w:val="001857C3"/>
    <w:rsid w:val="001862B8"/>
    <w:rsid w:val="00191EE2"/>
    <w:rsid w:val="00192471"/>
    <w:rsid w:val="00193893"/>
    <w:rsid w:val="00195089"/>
    <w:rsid w:val="00196412"/>
    <w:rsid w:val="00196E10"/>
    <w:rsid w:val="00197617"/>
    <w:rsid w:val="00197E65"/>
    <w:rsid w:val="001A19A2"/>
    <w:rsid w:val="001A2B8D"/>
    <w:rsid w:val="001A4641"/>
    <w:rsid w:val="001A4F3F"/>
    <w:rsid w:val="001A7DCD"/>
    <w:rsid w:val="001A7EDD"/>
    <w:rsid w:val="001B2E1C"/>
    <w:rsid w:val="001B36E1"/>
    <w:rsid w:val="001B4EAB"/>
    <w:rsid w:val="001C083C"/>
    <w:rsid w:val="001C0C55"/>
    <w:rsid w:val="001C0E55"/>
    <w:rsid w:val="001C20A2"/>
    <w:rsid w:val="001C235E"/>
    <w:rsid w:val="001C61BD"/>
    <w:rsid w:val="001C783B"/>
    <w:rsid w:val="001D0E49"/>
    <w:rsid w:val="001D2689"/>
    <w:rsid w:val="001D65A1"/>
    <w:rsid w:val="001E293D"/>
    <w:rsid w:val="001E2C6D"/>
    <w:rsid w:val="001E3A9D"/>
    <w:rsid w:val="001E6854"/>
    <w:rsid w:val="001E7FAC"/>
    <w:rsid w:val="001F08B9"/>
    <w:rsid w:val="001F23FE"/>
    <w:rsid w:val="001F3045"/>
    <w:rsid w:val="001F3580"/>
    <w:rsid w:val="001F446A"/>
    <w:rsid w:val="001F7D9B"/>
    <w:rsid w:val="00200053"/>
    <w:rsid w:val="00200284"/>
    <w:rsid w:val="002009BE"/>
    <w:rsid w:val="00201A70"/>
    <w:rsid w:val="002022A9"/>
    <w:rsid w:val="00203310"/>
    <w:rsid w:val="00203BAD"/>
    <w:rsid w:val="00205995"/>
    <w:rsid w:val="00206641"/>
    <w:rsid w:val="00210F97"/>
    <w:rsid w:val="00211E6C"/>
    <w:rsid w:val="00214359"/>
    <w:rsid w:val="00214572"/>
    <w:rsid w:val="002153F8"/>
    <w:rsid w:val="00215B63"/>
    <w:rsid w:val="00217553"/>
    <w:rsid w:val="00221919"/>
    <w:rsid w:val="00222318"/>
    <w:rsid w:val="00227B4A"/>
    <w:rsid w:val="002304BE"/>
    <w:rsid w:val="00230B5F"/>
    <w:rsid w:val="002360C1"/>
    <w:rsid w:val="00237D6B"/>
    <w:rsid w:val="002434FF"/>
    <w:rsid w:val="00245109"/>
    <w:rsid w:val="00246D39"/>
    <w:rsid w:val="00247CFC"/>
    <w:rsid w:val="00251F33"/>
    <w:rsid w:val="00252B6A"/>
    <w:rsid w:val="002536E2"/>
    <w:rsid w:val="00253D0B"/>
    <w:rsid w:val="002569D3"/>
    <w:rsid w:val="002600AB"/>
    <w:rsid w:val="002603FB"/>
    <w:rsid w:val="0026370A"/>
    <w:rsid w:val="00265709"/>
    <w:rsid w:val="002664CF"/>
    <w:rsid w:val="00266EB1"/>
    <w:rsid w:val="0026773F"/>
    <w:rsid w:val="00271983"/>
    <w:rsid w:val="00271AA1"/>
    <w:rsid w:val="002779A8"/>
    <w:rsid w:val="00280F30"/>
    <w:rsid w:val="002844F7"/>
    <w:rsid w:val="00290038"/>
    <w:rsid w:val="002936BB"/>
    <w:rsid w:val="002973B3"/>
    <w:rsid w:val="002A01BC"/>
    <w:rsid w:val="002B0BCC"/>
    <w:rsid w:val="002B4FA2"/>
    <w:rsid w:val="002B68F9"/>
    <w:rsid w:val="002C297B"/>
    <w:rsid w:val="002C4555"/>
    <w:rsid w:val="002C5EA0"/>
    <w:rsid w:val="002C6380"/>
    <w:rsid w:val="002D494D"/>
    <w:rsid w:val="002D4F64"/>
    <w:rsid w:val="002D50AC"/>
    <w:rsid w:val="002D64D2"/>
    <w:rsid w:val="002D67A9"/>
    <w:rsid w:val="002D7454"/>
    <w:rsid w:val="002E00C2"/>
    <w:rsid w:val="002E0A9B"/>
    <w:rsid w:val="002E0D28"/>
    <w:rsid w:val="002E2DB9"/>
    <w:rsid w:val="002E3A1F"/>
    <w:rsid w:val="002E5E9B"/>
    <w:rsid w:val="002E6DF1"/>
    <w:rsid w:val="002E72E4"/>
    <w:rsid w:val="002E76AF"/>
    <w:rsid w:val="002F1900"/>
    <w:rsid w:val="002F1E78"/>
    <w:rsid w:val="002F22A6"/>
    <w:rsid w:val="002F2CE3"/>
    <w:rsid w:val="002F400E"/>
    <w:rsid w:val="0030042C"/>
    <w:rsid w:val="0030187F"/>
    <w:rsid w:val="00302976"/>
    <w:rsid w:val="003038A8"/>
    <w:rsid w:val="0030392A"/>
    <w:rsid w:val="00305466"/>
    <w:rsid w:val="00305EB9"/>
    <w:rsid w:val="00306225"/>
    <w:rsid w:val="00306B55"/>
    <w:rsid w:val="00306FE8"/>
    <w:rsid w:val="00310631"/>
    <w:rsid w:val="00311955"/>
    <w:rsid w:val="00311F4C"/>
    <w:rsid w:val="0031258A"/>
    <w:rsid w:val="003139F1"/>
    <w:rsid w:val="00313C33"/>
    <w:rsid w:val="00315D60"/>
    <w:rsid w:val="00317A8F"/>
    <w:rsid w:val="0032628B"/>
    <w:rsid w:val="00327C4F"/>
    <w:rsid w:val="003346B9"/>
    <w:rsid w:val="00340072"/>
    <w:rsid w:val="003432CB"/>
    <w:rsid w:val="003504CE"/>
    <w:rsid w:val="0035402D"/>
    <w:rsid w:val="00354081"/>
    <w:rsid w:val="00357615"/>
    <w:rsid w:val="003576D2"/>
    <w:rsid w:val="00362EF8"/>
    <w:rsid w:val="00364C62"/>
    <w:rsid w:val="00364DF5"/>
    <w:rsid w:val="003670F1"/>
    <w:rsid w:val="0036782C"/>
    <w:rsid w:val="003728FC"/>
    <w:rsid w:val="00372911"/>
    <w:rsid w:val="00373CC4"/>
    <w:rsid w:val="003765DE"/>
    <w:rsid w:val="003766F4"/>
    <w:rsid w:val="00382B6C"/>
    <w:rsid w:val="00382F4E"/>
    <w:rsid w:val="00387FED"/>
    <w:rsid w:val="00390E53"/>
    <w:rsid w:val="00391348"/>
    <w:rsid w:val="0039177B"/>
    <w:rsid w:val="00392FD2"/>
    <w:rsid w:val="0039343C"/>
    <w:rsid w:val="00393E94"/>
    <w:rsid w:val="00396CA2"/>
    <w:rsid w:val="00397CBC"/>
    <w:rsid w:val="003A11A2"/>
    <w:rsid w:val="003A1B64"/>
    <w:rsid w:val="003A2083"/>
    <w:rsid w:val="003A5FC4"/>
    <w:rsid w:val="003A685C"/>
    <w:rsid w:val="003A6C68"/>
    <w:rsid w:val="003A780B"/>
    <w:rsid w:val="003B4C95"/>
    <w:rsid w:val="003B61E4"/>
    <w:rsid w:val="003B7018"/>
    <w:rsid w:val="003B7B99"/>
    <w:rsid w:val="003C3F65"/>
    <w:rsid w:val="003C654E"/>
    <w:rsid w:val="003D0800"/>
    <w:rsid w:val="003D13A6"/>
    <w:rsid w:val="003D1EF2"/>
    <w:rsid w:val="003D2A4A"/>
    <w:rsid w:val="003D7B62"/>
    <w:rsid w:val="003E5F91"/>
    <w:rsid w:val="003E7A0B"/>
    <w:rsid w:val="003F1111"/>
    <w:rsid w:val="003F1FA3"/>
    <w:rsid w:val="003F212F"/>
    <w:rsid w:val="003F2685"/>
    <w:rsid w:val="003F34DF"/>
    <w:rsid w:val="003F6C8C"/>
    <w:rsid w:val="00400347"/>
    <w:rsid w:val="0040122E"/>
    <w:rsid w:val="00405BAF"/>
    <w:rsid w:val="00407C2E"/>
    <w:rsid w:val="004103FD"/>
    <w:rsid w:val="00410854"/>
    <w:rsid w:val="00412055"/>
    <w:rsid w:val="00413F34"/>
    <w:rsid w:val="004174D9"/>
    <w:rsid w:val="004263A4"/>
    <w:rsid w:val="004266E9"/>
    <w:rsid w:val="00427153"/>
    <w:rsid w:val="004275A9"/>
    <w:rsid w:val="004276BE"/>
    <w:rsid w:val="00432565"/>
    <w:rsid w:val="0043615B"/>
    <w:rsid w:val="00442521"/>
    <w:rsid w:val="00443F4D"/>
    <w:rsid w:val="0044412B"/>
    <w:rsid w:val="00446C3B"/>
    <w:rsid w:val="0044752E"/>
    <w:rsid w:val="00453836"/>
    <w:rsid w:val="00453CCF"/>
    <w:rsid w:val="00455129"/>
    <w:rsid w:val="004558A9"/>
    <w:rsid w:val="0046212A"/>
    <w:rsid w:val="00462D6A"/>
    <w:rsid w:val="00464E2C"/>
    <w:rsid w:val="0046665D"/>
    <w:rsid w:val="0046673E"/>
    <w:rsid w:val="004721A9"/>
    <w:rsid w:val="00473188"/>
    <w:rsid w:val="004748C3"/>
    <w:rsid w:val="00474D10"/>
    <w:rsid w:val="00474FF1"/>
    <w:rsid w:val="004839B8"/>
    <w:rsid w:val="00487ED6"/>
    <w:rsid w:val="00494276"/>
    <w:rsid w:val="004949E7"/>
    <w:rsid w:val="00497227"/>
    <w:rsid w:val="004A0B1D"/>
    <w:rsid w:val="004A11C5"/>
    <w:rsid w:val="004A1BA0"/>
    <w:rsid w:val="004A2329"/>
    <w:rsid w:val="004A3ADE"/>
    <w:rsid w:val="004A4351"/>
    <w:rsid w:val="004A5109"/>
    <w:rsid w:val="004A5FDA"/>
    <w:rsid w:val="004A6470"/>
    <w:rsid w:val="004B28EE"/>
    <w:rsid w:val="004B3ED9"/>
    <w:rsid w:val="004B7592"/>
    <w:rsid w:val="004D0A65"/>
    <w:rsid w:val="004D4FA5"/>
    <w:rsid w:val="004D6937"/>
    <w:rsid w:val="004E093E"/>
    <w:rsid w:val="004E1442"/>
    <w:rsid w:val="004E1DF6"/>
    <w:rsid w:val="004E2B98"/>
    <w:rsid w:val="004E3953"/>
    <w:rsid w:val="004E55F0"/>
    <w:rsid w:val="004F07C3"/>
    <w:rsid w:val="004F1E3D"/>
    <w:rsid w:val="004F5C2E"/>
    <w:rsid w:val="004F5E4A"/>
    <w:rsid w:val="004F5EB0"/>
    <w:rsid w:val="004F715E"/>
    <w:rsid w:val="004F7A87"/>
    <w:rsid w:val="004F7F32"/>
    <w:rsid w:val="00506DEB"/>
    <w:rsid w:val="00510190"/>
    <w:rsid w:val="005136E3"/>
    <w:rsid w:val="00514D5C"/>
    <w:rsid w:val="0051555F"/>
    <w:rsid w:val="00516164"/>
    <w:rsid w:val="00516265"/>
    <w:rsid w:val="0052094F"/>
    <w:rsid w:val="00520D01"/>
    <w:rsid w:val="00521921"/>
    <w:rsid w:val="00522034"/>
    <w:rsid w:val="00523339"/>
    <w:rsid w:val="00524FE8"/>
    <w:rsid w:val="00525097"/>
    <w:rsid w:val="00525BA4"/>
    <w:rsid w:val="005306AB"/>
    <w:rsid w:val="00531804"/>
    <w:rsid w:val="00531865"/>
    <w:rsid w:val="005412E3"/>
    <w:rsid w:val="005427A6"/>
    <w:rsid w:val="0054288F"/>
    <w:rsid w:val="005520D9"/>
    <w:rsid w:val="0055255B"/>
    <w:rsid w:val="00552E7B"/>
    <w:rsid w:val="00556F4D"/>
    <w:rsid w:val="00561197"/>
    <w:rsid w:val="005612B7"/>
    <w:rsid w:val="00562609"/>
    <w:rsid w:val="005626D2"/>
    <w:rsid w:val="00563B97"/>
    <w:rsid w:val="00564496"/>
    <w:rsid w:val="00564A27"/>
    <w:rsid w:val="005658D0"/>
    <w:rsid w:val="0056683D"/>
    <w:rsid w:val="00567747"/>
    <w:rsid w:val="00571AD4"/>
    <w:rsid w:val="0059464B"/>
    <w:rsid w:val="0059491D"/>
    <w:rsid w:val="0059554A"/>
    <w:rsid w:val="0059581F"/>
    <w:rsid w:val="005A0C18"/>
    <w:rsid w:val="005A1514"/>
    <w:rsid w:val="005A202E"/>
    <w:rsid w:val="005B0339"/>
    <w:rsid w:val="005B048E"/>
    <w:rsid w:val="005B16E6"/>
    <w:rsid w:val="005B2971"/>
    <w:rsid w:val="005B3494"/>
    <w:rsid w:val="005B69A9"/>
    <w:rsid w:val="005C00C2"/>
    <w:rsid w:val="005C0D55"/>
    <w:rsid w:val="005C318A"/>
    <w:rsid w:val="005C68F0"/>
    <w:rsid w:val="005C6D52"/>
    <w:rsid w:val="005C6DB2"/>
    <w:rsid w:val="005D009E"/>
    <w:rsid w:val="005D1E48"/>
    <w:rsid w:val="005D2147"/>
    <w:rsid w:val="005D4A2E"/>
    <w:rsid w:val="005D5DDF"/>
    <w:rsid w:val="005D6FC9"/>
    <w:rsid w:val="005E220E"/>
    <w:rsid w:val="005E2277"/>
    <w:rsid w:val="005E27BB"/>
    <w:rsid w:val="005E27F8"/>
    <w:rsid w:val="005E2E9E"/>
    <w:rsid w:val="005E6A4D"/>
    <w:rsid w:val="005E7262"/>
    <w:rsid w:val="005F1A3B"/>
    <w:rsid w:val="005F22E5"/>
    <w:rsid w:val="005F49E7"/>
    <w:rsid w:val="005F535C"/>
    <w:rsid w:val="005F57F4"/>
    <w:rsid w:val="005F5B17"/>
    <w:rsid w:val="005F7209"/>
    <w:rsid w:val="00605F54"/>
    <w:rsid w:val="00607AFE"/>
    <w:rsid w:val="006127B0"/>
    <w:rsid w:val="00612944"/>
    <w:rsid w:val="00614975"/>
    <w:rsid w:val="00616935"/>
    <w:rsid w:val="00620909"/>
    <w:rsid w:val="006232C4"/>
    <w:rsid w:val="006232FE"/>
    <w:rsid w:val="00625DF7"/>
    <w:rsid w:val="0063062A"/>
    <w:rsid w:val="00630702"/>
    <w:rsid w:val="00630E50"/>
    <w:rsid w:val="00634BC9"/>
    <w:rsid w:val="00634E76"/>
    <w:rsid w:val="00640A39"/>
    <w:rsid w:val="00641674"/>
    <w:rsid w:val="00643831"/>
    <w:rsid w:val="0064562E"/>
    <w:rsid w:val="006461DE"/>
    <w:rsid w:val="00646CA8"/>
    <w:rsid w:val="006511CD"/>
    <w:rsid w:val="006535C4"/>
    <w:rsid w:val="00653E6F"/>
    <w:rsid w:val="0065699F"/>
    <w:rsid w:val="00657DBD"/>
    <w:rsid w:val="0066140B"/>
    <w:rsid w:val="006617EA"/>
    <w:rsid w:val="006634C4"/>
    <w:rsid w:val="00665C12"/>
    <w:rsid w:val="00665F0F"/>
    <w:rsid w:val="00670CA9"/>
    <w:rsid w:val="00682593"/>
    <w:rsid w:val="0068348A"/>
    <w:rsid w:val="00685D32"/>
    <w:rsid w:val="00686EB2"/>
    <w:rsid w:val="00687551"/>
    <w:rsid w:val="00690295"/>
    <w:rsid w:val="00692A46"/>
    <w:rsid w:val="00693115"/>
    <w:rsid w:val="006938D5"/>
    <w:rsid w:val="00694BFD"/>
    <w:rsid w:val="00696CF3"/>
    <w:rsid w:val="006A1147"/>
    <w:rsid w:val="006A4AEC"/>
    <w:rsid w:val="006A6EE1"/>
    <w:rsid w:val="006B3C35"/>
    <w:rsid w:val="006B4143"/>
    <w:rsid w:val="006B5DE4"/>
    <w:rsid w:val="006B60EE"/>
    <w:rsid w:val="006C5CC8"/>
    <w:rsid w:val="006C7D3D"/>
    <w:rsid w:val="006D0035"/>
    <w:rsid w:val="006D268A"/>
    <w:rsid w:val="006D2C08"/>
    <w:rsid w:val="006D55DE"/>
    <w:rsid w:val="006D6E13"/>
    <w:rsid w:val="006D79A6"/>
    <w:rsid w:val="006D79AD"/>
    <w:rsid w:val="006D7EB0"/>
    <w:rsid w:val="006E21E8"/>
    <w:rsid w:val="006E24D3"/>
    <w:rsid w:val="006E46BF"/>
    <w:rsid w:val="006E65F5"/>
    <w:rsid w:val="006F059C"/>
    <w:rsid w:val="006F0A2B"/>
    <w:rsid w:val="006F0BE0"/>
    <w:rsid w:val="006F18F9"/>
    <w:rsid w:val="006F3E69"/>
    <w:rsid w:val="006F6251"/>
    <w:rsid w:val="007005D0"/>
    <w:rsid w:val="00700EB6"/>
    <w:rsid w:val="00703EE1"/>
    <w:rsid w:val="00705520"/>
    <w:rsid w:val="007062C9"/>
    <w:rsid w:val="00712924"/>
    <w:rsid w:val="00712ED2"/>
    <w:rsid w:val="007157CF"/>
    <w:rsid w:val="007163E0"/>
    <w:rsid w:val="0071709A"/>
    <w:rsid w:val="00720003"/>
    <w:rsid w:val="00721BB5"/>
    <w:rsid w:val="00731DD3"/>
    <w:rsid w:val="0073491A"/>
    <w:rsid w:val="00742456"/>
    <w:rsid w:val="00744291"/>
    <w:rsid w:val="007448DD"/>
    <w:rsid w:val="007517C9"/>
    <w:rsid w:val="0075454C"/>
    <w:rsid w:val="007611B1"/>
    <w:rsid w:val="00761AB8"/>
    <w:rsid w:val="00765383"/>
    <w:rsid w:val="00767CBC"/>
    <w:rsid w:val="00770675"/>
    <w:rsid w:val="00771AA8"/>
    <w:rsid w:val="00772802"/>
    <w:rsid w:val="0077337C"/>
    <w:rsid w:val="00774DB6"/>
    <w:rsid w:val="007774E7"/>
    <w:rsid w:val="0078146B"/>
    <w:rsid w:val="00783D80"/>
    <w:rsid w:val="00786449"/>
    <w:rsid w:val="00787699"/>
    <w:rsid w:val="007950D7"/>
    <w:rsid w:val="00795906"/>
    <w:rsid w:val="00796421"/>
    <w:rsid w:val="007A472B"/>
    <w:rsid w:val="007A4AE9"/>
    <w:rsid w:val="007A4C0F"/>
    <w:rsid w:val="007B1678"/>
    <w:rsid w:val="007B3263"/>
    <w:rsid w:val="007B53CA"/>
    <w:rsid w:val="007B724F"/>
    <w:rsid w:val="007C2CA2"/>
    <w:rsid w:val="007C3089"/>
    <w:rsid w:val="007C366C"/>
    <w:rsid w:val="007E625E"/>
    <w:rsid w:val="007F00EA"/>
    <w:rsid w:val="007F3920"/>
    <w:rsid w:val="007F4F6F"/>
    <w:rsid w:val="007F5C41"/>
    <w:rsid w:val="007F6AA8"/>
    <w:rsid w:val="007F6C8D"/>
    <w:rsid w:val="007F7B8B"/>
    <w:rsid w:val="008004CB"/>
    <w:rsid w:val="0080066F"/>
    <w:rsid w:val="0080369F"/>
    <w:rsid w:val="00810CC2"/>
    <w:rsid w:val="00811362"/>
    <w:rsid w:val="00813344"/>
    <w:rsid w:val="00814E74"/>
    <w:rsid w:val="00817222"/>
    <w:rsid w:val="008216CA"/>
    <w:rsid w:val="00825433"/>
    <w:rsid w:val="0082679E"/>
    <w:rsid w:val="00830951"/>
    <w:rsid w:val="008346F4"/>
    <w:rsid w:val="00840B6D"/>
    <w:rsid w:val="00840DCB"/>
    <w:rsid w:val="00840ED2"/>
    <w:rsid w:val="0084261E"/>
    <w:rsid w:val="00843207"/>
    <w:rsid w:val="00844F48"/>
    <w:rsid w:val="00854657"/>
    <w:rsid w:val="00854F8E"/>
    <w:rsid w:val="00855915"/>
    <w:rsid w:val="00860F50"/>
    <w:rsid w:val="008627A0"/>
    <w:rsid w:val="0086398A"/>
    <w:rsid w:val="00864EC3"/>
    <w:rsid w:val="00865171"/>
    <w:rsid w:val="00866971"/>
    <w:rsid w:val="008705F9"/>
    <w:rsid w:val="00870D1F"/>
    <w:rsid w:val="00873C4A"/>
    <w:rsid w:val="00875D4E"/>
    <w:rsid w:val="00876181"/>
    <w:rsid w:val="008774F6"/>
    <w:rsid w:val="0087764A"/>
    <w:rsid w:val="0088019F"/>
    <w:rsid w:val="0088224C"/>
    <w:rsid w:val="0088524F"/>
    <w:rsid w:val="008859AF"/>
    <w:rsid w:val="00893559"/>
    <w:rsid w:val="008944CC"/>
    <w:rsid w:val="00895CD4"/>
    <w:rsid w:val="00895FBC"/>
    <w:rsid w:val="00897CDF"/>
    <w:rsid w:val="008A0979"/>
    <w:rsid w:val="008A1933"/>
    <w:rsid w:val="008A3780"/>
    <w:rsid w:val="008A55D8"/>
    <w:rsid w:val="008A6C46"/>
    <w:rsid w:val="008B2FA5"/>
    <w:rsid w:val="008B6DC9"/>
    <w:rsid w:val="008C004B"/>
    <w:rsid w:val="008C3152"/>
    <w:rsid w:val="008C31CF"/>
    <w:rsid w:val="008C686A"/>
    <w:rsid w:val="008D0D74"/>
    <w:rsid w:val="008D17DE"/>
    <w:rsid w:val="008D2180"/>
    <w:rsid w:val="008D564D"/>
    <w:rsid w:val="008D592E"/>
    <w:rsid w:val="008E1BD1"/>
    <w:rsid w:val="008E419D"/>
    <w:rsid w:val="008E77FD"/>
    <w:rsid w:val="008E7C65"/>
    <w:rsid w:val="008E7DFB"/>
    <w:rsid w:val="008F0B11"/>
    <w:rsid w:val="008F456E"/>
    <w:rsid w:val="008F55D3"/>
    <w:rsid w:val="008F608C"/>
    <w:rsid w:val="008F67C9"/>
    <w:rsid w:val="0090036F"/>
    <w:rsid w:val="00900886"/>
    <w:rsid w:val="0090228B"/>
    <w:rsid w:val="00902C07"/>
    <w:rsid w:val="009058BD"/>
    <w:rsid w:val="009121B0"/>
    <w:rsid w:val="0091365E"/>
    <w:rsid w:val="009139AE"/>
    <w:rsid w:val="0091442D"/>
    <w:rsid w:val="00915079"/>
    <w:rsid w:val="00915FB3"/>
    <w:rsid w:val="009169EF"/>
    <w:rsid w:val="00920867"/>
    <w:rsid w:val="00921E2E"/>
    <w:rsid w:val="0092301C"/>
    <w:rsid w:val="00924663"/>
    <w:rsid w:val="00925680"/>
    <w:rsid w:val="009314FF"/>
    <w:rsid w:val="0093215E"/>
    <w:rsid w:val="009338CF"/>
    <w:rsid w:val="00933EE8"/>
    <w:rsid w:val="00936300"/>
    <w:rsid w:val="009365F1"/>
    <w:rsid w:val="00940233"/>
    <w:rsid w:val="009408B4"/>
    <w:rsid w:val="00940D9F"/>
    <w:rsid w:val="00940DA6"/>
    <w:rsid w:val="00941CF5"/>
    <w:rsid w:val="00942853"/>
    <w:rsid w:val="00942866"/>
    <w:rsid w:val="009439F2"/>
    <w:rsid w:val="00944DC6"/>
    <w:rsid w:val="00950F3E"/>
    <w:rsid w:val="009511C8"/>
    <w:rsid w:val="00952420"/>
    <w:rsid w:val="00953B6E"/>
    <w:rsid w:val="00953E45"/>
    <w:rsid w:val="0095675D"/>
    <w:rsid w:val="00956D7A"/>
    <w:rsid w:val="009604F0"/>
    <w:rsid w:val="00960773"/>
    <w:rsid w:val="00960C9E"/>
    <w:rsid w:val="0096792E"/>
    <w:rsid w:val="00974FB2"/>
    <w:rsid w:val="00975E1F"/>
    <w:rsid w:val="0097630F"/>
    <w:rsid w:val="00977912"/>
    <w:rsid w:val="009779D6"/>
    <w:rsid w:val="00977D25"/>
    <w:rsid w:val="00981954"/>
    <w:rsid w:val="00981C5F"/>
    <w:rsid w:val="0098478E"/>
    <w:rsid w:val="00986671"/>
    <w:rsid w:val="00991251"/>
    <w:rsid w:val="00991EEF"/>
    <w:rsid w:val="00993B64"/>
    <w:rsid w:val="00996183"/>
    <w:rsid w:val="009A2BC3"/>
    <w:rsid w:val="009A64CE"/>
    <w:rsid w:val="009A66D6"/>
    <w:rsid w:val="009B0CFE"/>
    <w:rsid w:val="009B1755"/>
    <w:rsid w:val="009B3191"/>
    <w:rsid w:val="009B4071"/>
    <w:rsid w:val="009B48B2"/>
    <w:rsid w:val="009B51AC"/>
    <w:rsid w:val="009B5E01"/>
    <w:rsid w:val="009B7FFE"/>
    <w:rsid w:val="009C2E25"/>
    <w:rsid w:val="009C313C"/>
    <w:rsid w:val="009C31E2"/>
    <w:rsid w:val="009C5585"/>
    <w:rsid w:val="009C68CB"/>
    <w:rsid w:val="009C6CC2"/>
    <w:rsid w:val="009C6F75"/>
    <w:rsid w:val="009C7418"/>
    <w:rsid w:val="009D66C7"/>
    <w:rsid w:val="009D75B8"/>
    <w:rsid w:val="009E4602"/>
    <w:rsid w:val="009E4946"/>
    <w:rsid w:val="009E6C28"/>
    <w:rsid w:val="009E759B"/>
    <w:rsid w:val="009F02D9"/>
    <w:rsid w:val="009F6313"/>
    <w:rsid w:val="009F74C9"/>
    <w:rsid w:val="00A046ED"/>
    <w:rsid w:val="00A04F53"/>
    <w:rsid w:val="00A05223"/>
    <w:rsid w:val="00A05313"/>
    <w:rsid w:val="00A07FDA"/>
    <w:rsid w:val="00A111E0"/>
    <w:rsid w:val="00A1135A"/>
    <w:rsid w:val="00A134BD"/>
    <w:rsid w:val="00A14419"/>
    <w:rsid w:val="00A173A8"/>
    <w:rsid w:val="00A2095E"/>
    <w:rsid w:val="00A214C6"/>
    <w:rsid w:val="00A22AAB"/>
    <w:rsid w:val="00A22BEA"/>
    <w:rsid w:val="00A32462"/>
    <w:rsid w:val="00A32BFC"/>
    <w:rsid w:val="00A352CC"/>
    <w:rsid w:val="00A3649E"/>
    <w:rsid w:val="00A43B5C"/>
    <w:rsid w:val="00A45813"/>
    <w:rsid w:val="00A50FC0"/>
    <w:rsid w:val="00A53755"/>
    <w:rsid w:val="00A54D02"/>
    <w:rsid w:val="00A54FE2"/>
    <w:rsid w:val="00A561DF"/>
    <w:rsid w:val="00A60F9F"/>
    <w:rsid w:val="00A61637"/>
    <w:rsid w:val="00A64BE2"/>
    <w:rsid w:val="00A67C21"/>
    <w:rsid w:val="00A70978"/>
    <w:rsid w:val="00A71407"/>
    <w:rsid w:val="00A73E79"/>
    <w:rsid w:val="00A74822"/>
    <w:rsid w:val="00A748C4"/>
    <w:rsid w:val="00A7738C"/>
    <w:rsid w:val="00A80449"/>
    <w:rsid w:val="00A823C3"/>
    <w:rsid w:val="00A83854"/>
    <w:rsid w:val="00A860F2"/>
    <w:rsid w:val="00A86131"/>
    <w:rsid w:val="00A92F58"/>
    <w:rsid w:val="00A95083"/>
    <w:rsid w:val="00A9706D"/>
    <w:rsid w:val="00A974A4"/>
    <w:rsid w:val="00AA122B"/>
    <w:rsid w:val="00AA3580"/>
    <w:rsid w:val="00AB0C15"/>
    <w:rsid w:val="00AB0D1B"/>
    <w:rsid w:val="00AB22F1"/>
    <w:rsid w:val="00AB2C0A"/>
    <w:rsid w:val="00AB3BDE"/>
    <w:rsid w:val="00AB3FDF"/>
    <w:rsid w:val="00AB64E9"/>
    <w:rsid w:val="00AC1BE2"/>
    <w:rsid w:val="00AC1ECF"/>
    <w:rsid w:val="00AC39A5"/>
    <w:rsid w:val="00AC495D"/>
    <w:rsid w:val="00AC5C42"/>
    <w:rsid w:val="00AC78F1"/>
    <w:rsid w:val="00AD1132"/>
    <w:rsid w:val="00AD16A5"/>
    <w:rsid w:val="00AD29CE"/>
    <w:rsid w:val="00AD2A8E"/>
    <w:rsid w:val="00AD2CDF"/>
    <w:rsid w:val="00AD2CE5"/>
    <w:rsid w:val="00AD302D"/>
    <w:rsid w:val="00AD6554"/>
    <w:rsid w:val="00AD7104"/>
    <w:rsid w:val="00AE00BA"/>
    <w:rsid w:val="00AE10A0"/>
    <w:rsid w:val="00AE24F4"/>
    <w:rsid w:val="00AE26A4"/>
    <w:rsid w:val="00AE342C"/>
    <w:rsid w:val="00AE448F"/>
    <w:rsid w:val="00AE4891"/>
    <w:rsid w:val="00AE5A97"/>
    <w:rsid w:val="00AE5CDB"/>
    <w:rsid w:val="00AF1CF5"/>
    <w:rsid w:val="00AF2B87"/>
    <w:rsid w:val="00AF2F6B"/>
    <w:rsid w:val="00AF302C"/>
    <w:rsid w:val="00B01AAC"/>
    <w:rsid w:val="00B13C8F"/>
    <w:rsid w:val="00B1476E"/>
    <w:rsid w:val="00B14DEA"/>
    <w:rsid w:val="00B17370"/>
    <w:rsid w:val="00B1769E"/>
    <w:rsid w:val="00B17F55"/>
    <w:rsid w:val="00B227EE"/>
    <w:rsid w:val="00B23473"/>
    <w:rsid w:val="00B2357D"/>
    <w:rsid w:val="00B24D8E"/>
    <w:rsid w:val="00B31137"/>
    <w:rsid w:val="00B34775"/>
    <w:rsid w:val="00B43358"/>
    <w:rsid w:val="00B44558"/>
    <w:rsid w:val="00B453BE"/>
    <w:rsid w:val="00B47433"/>
    <w:rsid w:val="00B50FD8"/>
    <w:rsid w:val="00B5264D"/>
    <w:rsid w:val="00B53A8F"/>
    <w:rsid w:val="00B60D23"/>
    <w:rsid w:val="00B60F98"/>
    <w:rsid w:val="00B61DBC"/>
    <w:rsid w:val="00B65E77"/>
    <w:rsid w:val="00B66507"/>
    <w:rsid w:val="00B667E5"/>
    <w:rsid w:val="00B66B63"/>
    <w:rsid w:val="00B67261"/>
    <w:rsid w:val="00B716B1"/>
    <w:rsid w:val="00B72486"/>
    <w:rsid w:val="00B7268C"/>
    <w:rsid w:val="00B73B52"/>
    <w:rsid w:val="00B751AC"/>
    <w:rsid w:val="00B75F7B"/>
    <w:rsid w:val="00B80F1D"/>
    <w:rsid w:val="00B83C27"/>
    <w:rsid w:val="00B840F1"/>
    <w:rsid w:val="00B87C56"/>
    <w:rsid w:val="00B9025F"/>
    <w:rsid w:val="00B90F52"/>
    <w:rsid w:val="00B955E4"/>
    <w:rsid w:val="00BA011C"/>
    <w:rsid w:val="00BA08CE"/>
    <w:rsid w:val="00BA0CC3"/>
    <w:rsid w:val="00BA1792"/>
    <w:rsid w:val="00BA2185"/>
    <w:rsid w:val="00BA2312"/>
    <w:rsid w:val="00BA3A67"/>
    <w:rsid w:val="00BA7303"/>
    <w:rsid w:val="00BA79B9"/>
    <w:rsid w:val="00BB0463"/>
    <w:rsid w:val="00BB1EF6"/>
    <w:rsid w:val="00BB6043"/>
    <w:rsid w:val="00BB73BC"/>
    <w:rsid w:val="00BC249B"/>
    <w:rsid w:val="00BC6218"/>
    <w:rsid w:val="00BC6BA6"/>
    <w:rsid w:val="00BC6E61"/>
    <w:rsid w:val="00BD5494"/>
    <w:rsid w:val="00BD746B"/>
    <w:rsid w:val="00BE4C0F"/>
    <w:rsid w:val="00BF0DE3"/>
    <w:rsid w:val="00BF4034"/>
    <w:rsid w:val="00BF60D2"/>
    <w:rsid w:val="00BF6D69"/>
    <w:rsid w:val="00BF7A4B"/>
    <w:rsid w:val="00C04133"/>
    <w:rsid w:val="00C0564D"/>
    <w:rsid w:val="00C06FC8"/>
    <w:rsid w:val="00C07500"/>
    <w:rsid w:val="00C10131"/>
    <w:rsid w:val="00C1281E"/>
    <w:rsid w:val="00C14DD1"/>
    <w:rsid w:val="00C17D9D"/>
    <w:rsid w:val="00C21798"/>
    <w:rsid w:val="00C2197B"/>
    <w:rsid w:val="00C27621"/>
    <w:rsid w:val="00C31332"/>
    <w:rsid w:val="00C31B1A"/>
    <w:rsid w:val="00C31EE1"/>
    <w:rsid w:val="00C3218C"/>
    <w:rsid w:val="00C35BE1"/>
    <w:rsid w:val="00C406C5"/>
    <w:rsid w:val="00C415A6"/>
    <w:rsid w:val="00C42F92"/>
    <w:rsid w:val="00C434BE"/>
    <w:rsid w:val="00C4688A"/>
    <w:rsid w:val="00C47122"/>
    <w:rsid w:val="00C4726D"/>
    <w:rsid w:val="00C50370"/>
    <w:rsid w:val="00C511AD"/>
    <w:rsid w:val="00C53599"/>
    <w:rsid w:val="00C547F0"/>
    <w:rsid w:val="00C54C0E"/>
    <w:rsid w:val="00C56F28"/>
    <w:rsid w:val="00C62901"/>
    <w:rsid w:val="00C63FD0"/>
    <w:rsid w:val="00C64A2F"/>
    <w:rsid w:val="00C6611C"/>
    <w:rsid w:val="00C6748E"/>
    <w:rsid w:val="00C70E25"/>
    <w:rsid w:val="00C71703"/>
    <w:rsid w:val="00C737D8"/>
    <w:rsid w:val="00C746CB"/>
    <w:rsid w:val="00C80A4F"/>
    <w:rsid w:val="00C80FFE"/>
    <w:rsid w:val="00C8271C"/>
    <w:rsid w:val="00C82A1B"/>
    <w:rsid w:val="00C86195"/>
    <w:rsid w:val="00C862AD"/>
    <w:rsid w:val="00C8706A"/>
    <w:rsid w:val="00C9005D"/>
    <w:rsid w:val="00C9133F"/>
    <w:rsid w:val="00CA1DB4"/>
    <w:rsid w:val="00CA21B8"/>
    <w:rsid w:val="00CA449E"/>
    <w:rsid w:val="00CA55EC"/>
    <w:rsid w:val="00CA63B7"/>
    <w:rsid w:val="00CA7456"/>
    <w:rsid w:val="00CB3798"/>
    <w:rsid w:val="00CB601E"/>
    <w:rsid w:val="00CB6B52"/>
    <w:rsid w:val="00CC28FD"/>
    <w:rsid w:val="00CC2E7B"/>
    <w:rsid w:val="00CD1D64"/>
    <w:rsid w:val="00CD319B"/>
    <w:rsid w:val="00CD52C7"/>
    <w:rsid w:val="00CD7B61"/>
    <w:rsid w:val="00CE09F3"/>
    <w:rsid w:val="00CE0AD0"/>
    <w:rsid w:val="00CE35DE"/>
    <w:rsid w:val="00CE4B4C"/>
    <w:rsid w:val="00CE5927"/>
    <w:rsid w:val="00CF087A"/>
    <w:rsid w:val="00CF10FA"/>
    <w:rsid w:val="00D00428"/>
    <w:rsid w:val="00D00C5F"/>
    <w:rsid w:val="00D01487"/>
    <w:rsid w:val="00D016C0"/>
    <w:rsid w:val="00D0187A"/>
    <w:rsid w:val="00D028C2"/>
    <w:rsid w:val="00D03BCE"/>
    <w:rsid w:val="00D05078"/>
    <w:rsid w:val="00D0553B"/>
    <w:rsid w:val="00D06C8C"/>
    <w:rsid w:val="00D0782D"/>
    <w:rsid w:val="00D103E5"/>
    <w:rsid w:val="00D13538"/>
    <w:rsid w:val="00D143C5"/>
    <w:rsid w:val="00D230D4"/>
    <w:rsid w:val="00D23727"/>
    <w:rsid w:val="00D23E6A"/>
    <w:rsid w:val="00D23EDE"/>
    <w:rsid w:val="00D2432E"/>
    <w:rsid w:val="00D26972"/>
    <w:rsid w:val="00D356E9"/>
    <w:rsid w:val="00D35D87"/>
    <w:rsid w:val="00D363E2"/>
    <w:rsid w:val="00D3658A"/>
    <w:rsid w:val="00D36934"/>
    <w:rsid w:val="00D370C0"/>
    <w:rsid w:val="00D373BC"/>
    <w:rsid w:val="00D43AC6"/>
    <w:rsid w:val="00D4738B"/>
    <w:rsid w:val="00D474B4"/>
    <w:rsid w:val="00D524A6"/>
    <w:rsid w:val="00D549C5"/>
    <w:rsid w:val="00D553B9"/>
    <w:rsid w:val="00D56C57"/>
    <w:rsid w:val="00D65909"/>
    <w:rsid w:val="00D66ACD"/>
    <w:rsid w:val="00D73B24"/>
    <w:rsid w:val="00D76548"/>
    <w:rsid w:val="00D77EFD"/>
    <w:rsid w:val="00D84B2B"/>
    <w:rsid w:val="00D8599F"/>
    <w:rsid w:val="00D873DF"/>
    <w:rsid w:val="00D875CE"/>
    <w:rsid w:val="00D90D5B"/>
    <w:rsid w:val="00D918B3"/>
    <w:rsid w:val="00D9438F"/>
    <w:rsid w:val="00D95A3F"/>
    <w:rsid w:val="00DA057C"/>
    <w:rsid w:val="00DA0613"/>
    <w:rsid w:val="00DA0E2A"/>
    <w:rsid w:val="00DA1298"/>
    <w:rsid w:val="00DA1459"/>
    <w:rsid w:val="00DA1D75"/>
    <w:rsid w:val="00DA23FD"/>
    <w:rsid w:val="00DA3529"/>
    <w:rsid w:val="00DA3975"/>
    <w:rsid w:val="00DA7313"/>
    <w:rsid w:val="00DA7C4F"/>
    <w:rsid w:val="00DB43A5"/>
    <w:rsid w:val="00DB4858"/>
    <w:rsid w:val="00DB4A5E"/>
    <w:rsid w:val="00DB4A8C"/>
    <w:rsid w:val="00DB5C41"/>
    <w:rsid w:val="00DB6DD6"/>
    <w:rsid w:val="00DC07A3"/>
    <w:rsid w:val="00DC257E"/>
    <w:rsid w:val="00DC35C7"/>
    <w:rsid w:val="00DC38FA"/>
    <w:rsid w:val="00DC77CD"/>
    <w:rsid w:val="00DD4D26"/>
    <w:rsid w:val="00DD72D7"/>
    <w:rsid w:val="00DD7952"/>
    <w:rsid w:val="00DE21FB"/>
    <w:rsid w:val="00DE2DAD"/>
    <w:rsid w:val="00DE348B"/>
    <w:rsid w:val="00DE3EF2"/>
    <w:rsid w:val="00DE47EB"/>
    <w:rsid w:val="00DE66CF"/>
    <w:rsid w:val="00DE6DF5"/>
    <w:rsid w:val="00DF1AD6"/>
    <w:rsid w:val="00DF2CF1"/>
    <w:rsid w:val="00DF5D07"/>
    <w:rsid w:val="00E00EB4"/>
    <w:rsid w:val="00E029B5"/>
    <w:rsid w:val="00E02F85"/>
    <w:rsid w:val="00E07FB7"/>
    <w:rsid w:val="00E10640"/>
    <w:rsid w:val="00E1234A"/>
    <w:rsid w:val="00E15627"/>
    <w:rsid w:val="00E178CA"/>
    <w:rsid w:val="00E22059"/>
    <w:rsid w:val="00E22747"/>
    <w:rsid w:val="00E24FF4"/>
    <w:rsid w:val="00E34610"/>
    <w:rsid w:val="00E347F5"/>
    <w:rsid w:val="00E351DE"/>
    <w:rsid w:val="00E35F00"/>
    <w:rsid w:val="00E41090"/>
    <w:rsid w:val="00E4116E"/>
    <w:rsid w:val="00E45CFC"/>
    <w:rsid w:val="00E514B2"/>
    <w:rsid w:val="00E5240A"/>
    <w:rsid w:val="00E52A3F"/>
    <w:rsid w:val="00E52DAB"/>
    <w:rsid w:val="00E5435C"/>
    <w:rsid w:val="00E57494"/>
    <w:rsid w:val="00E60531"/>
    <w:rsid w:val="00E60574"/>
    <w:rsid w:val="00E65B8C"/>
    <w:rsid w:val="00E6652F"/>
    <w:rsid w:val="00E66978"/>
    <w:rsid w:val="00E67B59"/>
    <w:rsid w:val="00E71A58"/>
    <w:rsid w:val="00E74627"/>
    <w:rsid w:val="00E74AED"/>
    <w:rsid w:val="00E76158"/>
    <w:rsid w:val="00E80547"/>
    <w:rsid w:val="00E806B6"/>
    <w:rsid w:val="00E80ED0"/>
    <w:rsid w:val="00E82180"/>
    <w:rsid w:val="00E82377"/>
    <w:rsid w:val="00E844E9"/>
    <w:rsid w:val="00E84ACC"/>
    <w:rsid w:val="00E85EF6"/>
    <w:rsid w:val="00E86540"/>
    <w:rsid w:val="00E87345"/>
    <w:rsid w:val="00E9385F"/>
    <w:rsid w:val="00EA12B6"/>
    <w:rsid w:val="00EA3384"/>
    <w:rsid w:val="00EA4C0D"/>
    <w:rsid w:val="00EA4C70"/>
    <w:rsid w:val="00EA6B55"/>
    <w:rsid w:val="00EB0A02"/>
    <w:rsid w:val="00EB4196"/>
    <w:rsid w:val="00EB468C"/>
    <w:rsid w:val="00EB5640"/>
    <w:rsid w:val="00EB5DF5"/>
    <w:rsid w:val="00EB7E34"/>
    <w:rsid w:val="00EC0C2D"/>
    <w:rsid w:val="00EC1C99"/>
    <w:rsid w:val="00EC205A"/>
    <w:rsid w:val="00EC4C72"/>
    <w:rsid w:val="00EC52C0"/>
    <w:rsid w:val="00EC6E89"/>
    <w:rsid w:val="00EC7C7E"/>
    <w:rsid w:val="00ED3334"/>
    <w:rsid w:val="00ED411E"/>
    <w:rsid w:val="00EE16FF"/>
    <w:rsid w:val="00EE265C"/>
    <w:rsid w:val="00EE5F46"/>
    <w:rsid w:val="00EE6D91"/>
    <w:rsid w:val="00EE7DB9"/>
    <w:rsid w:val="00EF17AF"/>
    <w:rsid w:val="00EF469C"/>
    <w:rsid w:val="00F01085"/>
    <w:rsid w:val="00F02929"/>
    <w:rsid w:val="00F02CEC"/>
    <w:rsid w:val="00F04B85"/>
    <w:rsid w:val="00F051A3"/>
    <w:rsid w:val="00F07A60"/>
    <w:rsid w:val="00F10560"/>
    <w:rsid w:val="00F10A12"/>
    <w:rsid w:val="00F122FD"/>
    <w:rsid w:val="00F14EB8"/>
    <w:rsid w:val="00F221C3"/>
    <w:rsid w:val="00F22375"/>
    <w:rsid w:val="00F22F34"/>
    <w:rsid w:val="00F2425C"/>
    <w:rsid w:val="00F2594C"/>
    <w:rsid w:val="00F26351"/>
    <w:rsid w:val="00F27D8D"/>
    <w:rsid w:val="00F3053D"/>
    <w:rsid w:val="00F3174C"/>
    <w:rsid w:val="00F33DD9"/>
    <w:rsid w:val="00F33F73"/>
    <w:rsid w:val="00F358C9"/>
    <w:rsid w:val="00F36120"/>
    <w:rsid w:val="00F40A0E"/>
    <w:rsid w:val="00F4293F"/>
    <w:rsid w:val="00F45F49"/>
    <w:rsid w:val="00F5241C"/>
    <w:rsid w:val="00F57D0F"/>
    <w:rsid w:val="00F60553"/>
    <w:rsid w:val="00F6094E"/>
    <w:rsid w:val="00F6173A"/>
    <w:rsid w:val="00F62C58"/>
    <w:rsid w:val="00F6508E"/>
    <w:rsid w:val="00F65F4B"/>
    <w:rsid w:val="00F6734F"/>
    <w:rsid w:val="00F730F9"/>
    <w:rsid w:val="00F73BCC"/>
    <w:rsid w:val="00F77532"/>
    <w:rsid w:val="00F819E8"/>
    <w:rsid w:val="00F841D8"/>
    <w:rsid w:val="00F86A5E"/>
    <w:rsid w:val="00F906DD"/>
    <w:rsid w:val="00F908CE"/>
    <w:rsid w:val="00F97C0F"/>
    <w:rsid w:val="00FA18FC"/>
    <w:rsid w:val="00FA5A25"/>
    <w:rsid w:val="00FB2037"/>
    <w:rsid w:val="00FB77C7"/>
    <w:rsid w:val="00FB7B26"/>
    <w:rsid w:val="00FC1123"/>
    <w:rsid w:val="00FC3907"/>
    <w:rsid w:val="00FC585A"/>
    <w:rsid w:val="00FD013F"/>
    <w:rsid w:val="00FD273B"/>
    <w:rsid w:val="00FD3593"/>
    <w:rsid w:val="00FD524C"/>
    <w:rsid w:val="00FE099B"/>
    <w:rsid w:val="00FE2FF0"/>
    <w:rsid w:val="00FE37F5"/>
    <w:rsid w:val="00FE4FAF"/>
    <w:rsid w:val="00FE51EA"/>
    <w:rsid w:val="00FE75C3"/>
    <w:rsid w:val="00FF1C19"/>
    <w:rsid w:val="00FF2EA9"/>
    <w:rsid w:val="00FF4942"/>
    <w:rsid w:val="00FF5ACF"/>
    <w:rsid w:val="00FF63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70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B68F9"/>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B20"/>
    <w:rPr>
      <w:rFonts w:ascii="Lucida Grande" w:hAnsi="Lucida Grande"/>
      <w:sz w:val="18"/>
      <w:szCs w:val="18"/>
    </w:rPr>
  </w:style>
  <w:style w:type="character" w:customStyle="1" w:styleId="BalloonTextChar">
    <w:name w:val="Balloon Text Char"/>
    <w:basedOn w:val="DefaultParagraphFont"/>
    <w:link w:val="BalloonText"/>
    <w:uiPriority w:val="99"/>
    <w:semiHidden/>
    <w:rsid w:val="00EC1B20"/>
    <w:rPr>
      <w:rFonts w:ascii="Lucida Grande" w:hAnsi="Lucida Grande"/>
      <w:sz w:val="18"/>
      <w:szCs w:val="18"/>
    </w:rPr>
  </w:style>
  <w:style w:type="paragraph" w:styleId="ListParagraph">
    <w:name w:val="List Paragraph"/>
    <w:basedOn w:val="Normal"/>
    <w:uiPriority w:val="34"/>
    <w:qFormat/>
    <w:rsid w:val="00D0782D"/>
    <w:pPr>
      <w:ind w:left="720"/>
      <w:contextualSpacing/>
    </w:pPr>
  </w:style>
  <w:style w:type="paragraph" w:customStyle="1" w:styleId="q">
    <w:name w:val="q"/>
    <w:basedOn w:val="Normal"/>
    <w:rsid w:val="002B68F9"/>
    <w:pPr>
      <w:spacing w:line="240" w:lineRule="auto"/>
      <w:ind w:left="851"/>
    </w:pPr>
  </w:style>
  <w:style w:type="paragraph" w:styleId="FootnoteText">
    <w:name w:val="footnote text"/>
    <w:basedOn w:val="Normal"/>
    <w:link w:val="FootnoteTextChar"/>
    <w:rsid w:val="00712ED2"/>
    <w:pPr>
      <w:spacing w:line="240" w:lineRule="auto"/>
    </w:pPr>
  </w:style>
  <w:style w:type="character" w:customStyle="1" w:styleId="FootnoteTextChar">
    <w:name w:val="Footnote Text Char"/>
    <w:basedOn w:val="DefaultParagraphFont"/>
    <w:link w:val="FootnoteText"/>
    <w:rsid w:val="00712ED2"/>
  </w:style>
  <w:style w:type="character" w:styleId="FootnoteReference">
    <w:name w:val="footnote reference"/>
    <w:basedOn w:val="DefaultParagraphFont"/>
    <w:rsid w:val="00712ED2"/>
    <w:rPr>
      <w:vertAlign w:val="superscript"/>
    </w:rPr>
  </w:style>
  <w:style w:type="paragraph" w:styleId="Header">
    <w:name w:val="header"/>
    <w:basedOn w:val="Normal"/>
    <w:link w:val="HeaderChar"/>
    <w:rsid w:val="007F7B8B"/>
    <w:pPr>
      <w:tabs>
        <w:tab w:val="center" w:pos="4320"/>
        <w:tab w:val="right" w:pos="8640"/>
      </w:tabs>
      <w:spacing w:line="240" w:lineRule="auto"/>
    </w:pPr>
  </w:style>
  <w:style w:type="character" w:customStyle="1" w:styleId="HeaderChar">
    <w:name w:val="Header Char"/>
    <w:basedOn w:val="DefaultParagraphFont"/>
    <w:link w:val="Header"/>
    <w:rsid w:val="007F7B8B"/>
  </w:style>
  <w:style w:type="character" w:styleId="PageNumber">
    <w:name w:val="page number"/>
    <w:basedOn w:val="DefaultParagraphFont"/>
    <w:rsid w:val="007F7B8B"/>
  </w:style>
  <w:style w:type="character" w:styleId="Hyperlink">
    <w:name w:val="Hyperlink"/>
    <w:basedOn w:val="DefaultParagraphFont"/>
    <w:rsid w:val="006127B0"/>
    <w:rPr>
      <w:color w:val="0000FF" w:themeColor="hyperlink"/>
      <w:u w:val="single"/>
    </w:rPr>
  </w:style>
  <w:style w:type="paragraph" w:customStyle="1" w:styleId="qv">
    <w:name w:val="qv"/>
    <w:basedOn w:val="Normal"/>
    <w:qFormat/>
    <w:rsid w:val="00787699"/>
    <w:pPr>
      <w:spacing w:line="240" w:lineRule="auto"/>
      <w:ind w:left="1418" w:firstLine="720"/>
    </w:pPr>
  </w:style>
  <w:style w:type="paragraph" w:styleId="Footer">
    <w:name w:val="footer"/>
    <w:basedOn w:val="Normal"/>
    <w:link w:val="FooterChar"/>
    <w:rsid w:val="007C366C"/>
    <w:pPr>
      <w:tabs>
        <w:tab w:val="center" w:pos="4320"/>
        <w:tab w:val="right" w:pos="8640"/>
      </w:tabs>
      <w:spacing w:line="240" w:lineRule="auto"/>
    </w:pPr>
  </w:style>
  <w:style w:type="character" w:customStyle="1" w:styleId="FooterChar">
    <w:name w:val="Footer Char"/>
    <w:basedOn w:val="DefaultParagraphFont"/>
    <w:link w:val="Footer"/>
    <w:rsid w:val="007C366C"/>
  </w:style>
  <w:style w:type="paragraph" w:styleId="Quote">
    <w:name w:val="Quote"/>
    <w:basedOn w:val="Normal"/>
    <w:next w:val="Normal"/>
    <w:link w:val="QuoteChar"/>
    <w:rsid w:val="00D05078"/>
    <w:pPr>
      <w:spacing w:line="240" w:lineRule="auto"/>
      <w:ind w:left="851"/>
    </w:pPr>
    <w:rPr>
      <w:color w:val="000000" w:themeColor="text1"/>
    </w:rPr>
  </w:style>
  <w:style w:type="character" w:customStyle="1" w:styleId="QuoteChar">
    <w:name w:val="Quote Char"/>
    <w:basedOn w:val="DefaultParagraphFont"/>
    <w:link w:val="Quote"/>
    <w:rsid w:val="00D05078"/>
    <w:rPr>
      <w:color w:val="000000" w:themeColor="text1"/>
    </w:rPr>
  </w:style>
  <w:style w:type="character" w:styleId="FollowedHyperlink">
    <w:name w:val="FollowedHyperlink"/>
    <w:basedOn w:val="DefaultParagraphFont"/>
    <w:rsid w:val="008006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ritannica.com/EBchecked/topic/464677/Helmuth-Plessner" TargetMode="External"/><Relationship Id="rId2" Type="http://schemas.openxmlformats.org/officeDocument/2006/relationships/hyperlink" Target="http://wereldaanboeken.ub.rug.nl/?p=37" TargetMode="External"/><Relationship Id="rId3" Type="http://schemas.openxmlformats.org/officeDocument/2006/relationships/hyperlink" Target="http://wereldaanboeken.ub.rug.nl/?p=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19575</TotalTime>
  <Pages>22</Pages>
  <Words>5428</Words>
  <Characters>30941</Characters>
  <Application>Microsoft Macintosh Word</Application>
  <DocSecurity>0</DocSecurity>
  <Lines>257</Lines>
  <Paragraphs>72</Paragraphs>
  <ScaleCrop>false</ScaleCrop>
  <Company>Pembroke College</Company>
  <LinksUpToDate>false</LinksUpToDate>
  <CharactersWithSpaces>36297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 Small</cp:lastModifiedBy>
  <cp:revision>616</cp:revision>
  <cp:lastPrinted>2012-05-15T11:12:00Z</cp:lastPrinted>
  <dcterms:created xsi:type="dcterms:W3CDTF">2011-02-24T22:13:00Z</dcterms:created>
  <dcterms:modified xsi:type="dcterms:W3CDTF">2012-05-15T11:43:00Z</dcterms:modified>
</cp:coreProperties>
</file>