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C5" w:rsidRDefault="007050C5" w:rsidP="007050C5">
      <w:pPr>
        <w:pStyle w:val="TAMainText"/>
        <w:spacing w:after="240"/>
        <w:ind w:firstLine="0"/>
        <w:jc w:val="center"/>
        <w:rPr>
          <w:sz w:val="44"/>
          <w:szCs w:val="44"/>
        </w:rPr>
      </w:pPr>
      <w:r w:rsidRPr="001431E0">
        <w:rPr>
          <w:sz w:val="44"/>
          <w:szCs w:val="44"/>
        </w:rPr>
        <w:t xml:space="preserve">Current Density Dependent </w:t>
      </w:r>
      <w:r>
        <w:rPr>
          <w:sz w:val="44"/>
          <w:szCs w:val="44"/>
        </w:rPr>
        <w:t>Electroplating</w:t>
      </w:r>
      <w:r w:rsidRPr="001431E0">
        <w:rPr>
          <w:sz w:val="44"/>
          <w:szCs w:val="44"/>
        </w:rPr>
        <w:t xml:space="preserve"> in Ca Electrolyte</w:t>
      </w:r>
      <w:r>
        <w:rPr>
          <w:sz w:val="44"/>
          <w:szCs w:val="44"/>
        </w:rPr>
        <w:t>s</w:t>
      </w:r>
      <w:r w:rsidRPr="001431E0">
        <w:rPr>
          <w:sz w:val="44"/>
          <w:szCs w:val="44"/>
        </w:rPr>
        <w:t>: From Globules to Dendrites</w:t>
      </w:r>
    </w:p>
    <w:p w:rsidR="007050C5" w:rsidRPr="00C77028" w:rsidRDefault="007050C5" w:rsidP="007050C5">
      <w:pPr>
        <w:pStyle w:val="BBAuthorName"/>
        <w:rPr>
          <w:i w:val="0"/>
          <w:vertAlign w:val="superscript"/>
        </w:rPr>
      </w:pPr>
      <w:proofErr w:type="spellStart"/>
      <w:r>
        <w:t>Shengda</w:t>
      </w:r>
      <w:proofErr w:type="spellEnd"/>
      <w:r>
        <w:t xml:space="preserve"> D. Pu</w:t>
      </w:r>
      <w:r w:rsidRPr="00453B6D">
        <w:rPr>
          <w:vertAlign w:val="superscript"/>
        </w:rPr>
        <w:t>1</w:t>
      </w:r>
      <w:r w:rsidRPr="0083606E">
        <w:rPr>
          <w:vertAlign w:val="superscript"/>
        </w:rPr>
        <w:t>†</w:t>
      </w:r>
      <w:r w:rsidRPr="00453B6D">
        <w:t xml:space="preserve">, </w:t>
      </w:r>
      <w:r>
        <w:t>Chen Gong</w:t>
      </w:r>
      <w:r w:rsidRPr="00453B6D">
        <w:rPr>
          <w:vertAlign w:val="superscript"/>
        </w:rPr>
        <w:t>1</w:t>
      </w:r>
      <w:r w:rsidRPr="0083606E">
        <w:rPr>
          <w:vertAlign w:val="superscript"/>
        </w:rPr>
        <w:t>†</w:t>
      </w:r>
      <w:r w:rsidRPr="00453B6D">
        <w:t>,</w:t>
      </w:r>
      <w:r w:rsidRPr="00453B6D">
        <w:rPr>
          <w:vertAlign w:val="superscript"/>
        </w:rPr>
        <w:t xml:space="preserve"> </w:t>
      </w:r>
      <w:proofErr w:type="spellStart"/>
      <w:r>
        <w:t>Xiangwen</w:t>
      </w:r>
      <w:proofErr w:type="spellEnd"/>
      <w:r>
        <w:t xml:space="preserve"> Gao</w:t>
      </w:r>
      <w:bookmarkStart w:id="0" w:name="_Hlk33375797"/>
      <w:r w:rsidRPr="00453B6D">
        <w:rPr>
          <w:vertAlign w:val="superscript"/>
        </w:rPr>
        <w:t>1</w:t>
      </w:r>
      <w:bookmarkEnd w:id="0"/>
      <w:r w:rsidRPr="00453B6D">
        <w:t>,</w:t>
      </w:r>
      <w:r>
        <w:rPr>
          <w:rFonts w:hint="eastAsia"/>
          <w:lang w:eastAsia="zh-CN"/>
        </w:rPr>
        <w:t xml:space="preserve"> </w:t>
      </w:r>
      <w:proofErr w:type="spellStart"/>
      <w:r>
        <w:rPr>
          <w:rFonts w:hint="eastAsia"/>
          <w:lang w:eastAsia="zh-CN"/>
        </w:rPr>
        <w:t>Ziyang</w:t>
      </w:r>
      <w:proofErr w:type="spellEnd"/>
      <w:r>
        <w:t xml:space="preserve"> Ning</w:t>
      </w:r>
      <w:r w:rsidRPr="00453B6D">
        <w:rPr>
          <w:vertAlign w:val="superscript"/>
        </w:rPr>
        <w:t>1</w:t>
      </w:r>
      <w:r>
        <w:t xml:space="preserve">, </w:t>
      </w:r>
      <w:proofErr w:type="spellStart"/>
      <w:r>
        <w:t>Sixie</w:t>
      </w:r>
      <w:proofErr w:type="spellEnd"/>
      <w:r>
        <w:t xml:space="preserve"> Yang</w:t>
      </w:r>
      <w:r w:rsidRPr="00453B6D">
        <w:rPr>
          <w:vertAlign w:val="superscript"/>
        </w:rPr>
        <w:t>1</w:t>
      </w:r>
      <w:r>
        <w:t>, John-Joseph Marie</w:t>
      </w:r>
      <w:r w:rsidRPr="00453B6D">
        <w:rPr>
          <w:vertAlign w:val="superscript"/>
        </w:rPr>
        <w:t>1</w:t>
      </w:r>
      <w:r w:rsidRPr="00E60089">
        <w:rPr>
          <w:vertAlign w:val="superscript"/>
        </w:rPr>
        <w:t>,</w:t>
      </w:r>
      <w:r>
        <w:rPr>
          <w:vertAlign w:val="superscript"/>
        </w:rPr>
        <w:t>2</w:t>
      </w:r>
      <w:r>
        <w:t xml:space="preserve">, </w:t>
      </w:r>
      <w:proofErr w:type="spellStart"/>
      <w:r>
        <w:t>Boyang</w:t>
      </w:r>
      <w:proofErr w:type="spellEnd"/>
      <w:r>
        <w:t xml:space="preserve"> Liu</w:t>
      </w:r>
      <w:r w:rsidRPr="00453B6D">
        <w:rPr>
          <w:vertAlign w:val="superscript"/>
        </w:rPr>
        <w:t>1</w:t>
      </w:r>
      <w:r w:rsidRPr="00E60089">
        <w:rPr>
          <w:vertAlign w:val="superscript"/>
        </w:rPr>
        <w:t>,</w:t>
      </w:r>
      <w:r>
        <w:rPr>
          <w:vertAlign w:val="superscript"/>
        </w:rPr>
        <w:t>2</w:t>
      </w:r>
      <w:r>
        <w:t>, Robert A. House</w:t>
      </w:r>
      <w:r w:rsidRPr="00453B6D">
        <w:rPr>
          <w:vertAlign w:val="superscript"/>
        </w:rPr>
        <w:t>1</w:t>
      </w:r>
      <w:r w:rsidRPr="00E60089">
        <w:rPr>
          <w:vertAlign w:val="superscript"/>
        </w:rPr>
        <w:t>,</w:t>
      </w:r>
      <w:r>
        <w:rPr>
          <w:vertAlign w:val="superscript"/>
        </w:rPr>
        <w:t>2</w:t>
      </w:r>
      <w:r>
        <w:t>, Gareth O. Hartley</w:t>
      </w:r>
      <w:r w:rsidRPr="00453B6D">
        <w:rPr>
          <w:vertAlign w:val="superscript"/>
        </w:rPr>
        <w:t>1</w:t>
      </w:r>
      <w:r>
        <w:rPr>
          <w:vertAlign w:val="superscript"/>
        </w:rPr>
        <w:t>,2</w:t>
      </w:r>
      <w:r w:rsidRPr="00A00DF1">
        <w:t>,</w:t>
      </w:r>
      <w:r>
        <w:t xml:space="preserve"> Jun Luo</w:t>
      </w:r>
      <w:r>
        <w:rPr>
          <w:vertAlign w:val="superscript"/>
        </w:rPr>
        <w:t>3</w:t>
      </w:r>
      <w:r>
        <w:t>,</w:t>
      </w:r>
      <w:r w:rsidRPr="00307A46">
        <w:t xml:space="preserve"> </w:t>
      </w:r>
      <w:r>
        <w:t>Peter G. Bruce</w:t>
      </w:r>
      <w:r>
        <w:rPr>
          <w:vertAlign w:val="superscript"/>
        </w:rPr>
        <w:t>1,2,4,5*</w:t>
      </w:r>
      <w:r>
        <w:t>,</w:t>
      </w:r>
      <w:r w:rsidRPr="00453B6D">
        <w:t xml:space="preserve"> Alex W. Robertson</w:t>
      </w:r>
      <w:r w:rsidRPr="002D5B62">
        <w:rPr>
          <w:vertAlign w:val="superscript"/>
        </w:rPr>
        <w:t>1</w:t>
      </w:r>
      <w:r>
        <w:rPr>
          <w:vertAlign w:val="superscript"/>
        </w:rPr>
        <w:t>*</w:t>
      </w:r>
    </w:p>
    <w:p w:rsidR="007050C5" w:rsidRDefault="007050C5" w:rsidP="007050C5">
      <w:pPr>
        <w:pStyle w:val="NoSpacing"/>
        <w:rPr>
          <w:lang w:eastAsia="ko-KR"/>
        </w:rPr>
      </w:pPr>
      <w:r w:rsidRPr="00A00DF1">
        <w:rPr>
          <w:vertAlign w:val="superscript"/>
          <w:lang w:eastAsia="ko-KR"/>
        </w:rPr>
        <w:t xml:space="preserve">1 </w:t>
      </w:r>
      <w:r w:rsidRPr="00A00DF1">
        <w:rPr>
          <w:lang w:eastAsia="ko-KR"/>
        </w:rPr>
        <w:t>Department of Materials, University of Oxford, Parks Road, Oxford OX1 3PH, United Kingdom</w:t>
      </w:r>
    </w:p>
    <w:p w:rsidR="007050C5" w:rsidRDefault="007050C5" w:rsidP="007050C5">
      <w:pPr>
        <w:pStyle w:val="NoSpacing"/>
        <w:rPr>
          <w:color w:val="201F1E"/>
        </w:rPr>
      </w:pPr>
      <w:r>
        <w:rPr>
          <w:color w:val="201F1E"/>
          <w:vertAlign w:val="superscript"/>
        </w:rPr>
        <w:t>2</w:t>
      </w:r>
      <w:r w:rsidRPr="00A00DF1">
        <w:rPr>
          <w:color w:val="201F1E"/>
        </w:rPr>
        <w:t xml:space="preserve"> The Faraday Institution, Quad One, Becquerel Avenue, Harwell Campus, </w:t>
      </w:r>
      <w:proofErr w:type="spellStart"/>
      <w:r w:rsidRPr="00A00DF1">
        <w:rPr>
          <w:color w:val="201F1E"/>
        </w:rPr>
        <w:t>Didcot</w:t>
      </w:r>
      <w:proofErr w:type="spellEnd"/>
      <w:r w:rsidRPr="00A00DF1">
        <w:rPr>
          <w:color w:val="201F1E"/>
        </w:rPr>
        <w:t>, OX11 0RA, United Kingdom</w:t>
      </w:r>
    </w:p>
    <w:p w:rsidR="007050C5" w:rsidRPr="00D85CFA" w:rsidRDefault="007050C5" w:rsidP="007050C5">
      <w:pPr>
        <w:pStyle w:val="NoSpacing"/>
        <w:rPr>
          <w:color w:val="201F1E"/>
        </w:rPr>
      </w:pPr>
      <w:r>
        <w:rPr>
          <w:color w:val="201F1E"/>
          <w:vertAlign w:val="superscript"/>
        </w:rPr>
        <w:t>3</w:t>
      </w:r>
      <w:r>
        <w:rPr>
          <w:color w:val="201F1E"/>
        </w:rPr>
        <w:t xml:space="preserve"> </w:t>
      </w:r>
      <w:r w:rsidRPr="00D85CFA">
        <w:rPr>
          <w:color w:val="201F1E"/>
        </w:rPr>
        <w:t>Center for Electron Microscopy and Tianjin Key Lab of Advanced Functional Porous Materials, Institute for New Energy Materials, School of Materials, Tianjin University of Technology, Tianjin, 300384, China</w:t>
      </w:r>
    </w:p>
    <w:p w:rsidR="007050C5" w:rsidRDefault="007050C5" w:rsidP="007050C5">
      <w:pPr>
        <w:pStyle w:val="NoSpacing"/>
        <w:rPr>
          <w:color w:val="000000"/>
          <w:bdr w:val="none" w:sz="0" w:space="0" w:color="auto" w:frame="1"/>
        </w:rPr>
      </w:pPr>
      <w:r>
        <w:rPr>
          <w:color w:val="000000"/>
          <w:bdr w:val="none" w:sz="0" w:space="0" w:color="auto" w:frame="1"/>
          <w:vertAlign w:val="superscript"/>
        </w:rPr>
        <w:t>4</w:t>
      </w:r>
      <w:r w:rsidRPr="00A00DF1">
        <w:rPr>
          <w:color w:val="000000"/>
          <w:bdr w:val="none" w:sz="0" w:space="0" w:color="auto" w:frame="1"/>
        </w:rPr>
        <w:t xml:space="preserve"> </w:t>
      </w:r>
      <w:proofErr w:type="gramStart"/>
      <w:r w:rsidRPr="00A00DF1">
        <w:rPr>
          <w:color w:val="000000"/>
          <w:bdr w:val="none" w:sz="0" w:space="0" w:color="auto" w:frame="1"/>
        </w:rPr>
        <w:t>Department</w:t>
      </w:r>
      <w:proofErr w:type="gramEnd"/>
      <w:r w:rsidRPr="00A00DF1">
        <w:rPr>
          <w:color w:val="000000"/>
          <w:bdr w:val="none" w:sz="0" w:space="0" w:color="auto" w:frame="1"/>
        </w:rPr>
        <w:t xml:space="preserve"> of Chemistry, University of Oxford, South Parks Road, Oxford OX1 3QZ, United Kingdom</w:t>
      </w:r>
    </w:p>
    <w:p w:rsidR="007050C5" w:rsidRDefault="007050C5" w:rsidP="007050C5">
      <w:pPr>
        <w:pStyle w:val="NoSpacing"/>
        <w:rPr>
          <w:color w:val="201F1E"/>
        </w:rPr>
      </w:pPr>
      <w:r>
        <w:rPr>
          <w:color w:val="201F1E"/>
          <w:vertAlign w:val="superscript"/>
        </w:rPr>
        <w:t>5</w:t>
      </w:r>
      <w:r w:rsidRPr="00A00DF1">
        <w:rPr>
          <w:color w:val="201F1E"/>
          <w:vertAlign w:val="superscript"/>
        </w:rPr>
        <w:t xml:space="preserve"> </w:t>
      </w:r>
      <w:r w:rsidRPr="00A00DF1">
        <w:rPr>
          <w:color w:val="201F1E"/>
        </w:rPr>
        <w:t>The Henry Royce Institute, Parks Road, Oxford, OX1 3PH, United Kingdom</w:t>
      </w:r>
    </w:p>
    <w:p w:rsidR="007050C5" w:rsidRPr="005D6CC5" w:rsidRDefault="007050C5" w:rsidP="007050C5">
      <w:pPr>
        <w:pStyle w:val="NoSpacing"/>
        <w:rPr>
          <w:color w:val="201F1E"/>
        </w:rPr>
      </w:pPr>
      <w:r w:rsidRPr="0083606E">
        <w:rPr>
          <w:vertAlign w:val="superscript"/>
        </w:rPr>
        <w:t>†</w:t>
      </w:r>
      <w:r>
        <w:rPr>
          <w:vertAlign w:val="superscript"/>
        </w:rPr>
        <w:t xml:space="preserve"> </w:t>
      </w:r>
      <w:r>
        <w:t>These authors contributed equally to the manuscript.</w:t>
      </w:r>
    </w:p>
    <w:p w:rsidR="007050C5" w:rsidRPr="00FC481B" w:rsidRDefault="007050C5" w:rsidP="007050C5">
      <w:pPr>
        <w:pStyle w:val="TAMainText"/>
        <w:spacing w:after="240" w:line="240" w:lineRule="auto"/>
        <w:ind w:firstLine="0"/>
        <w:rPr>
          <w:color w:val="201F1E"/>
          <w:szCs w:val="24"/>
        </w:rPr>
      </w:pPr>
      <w:r>
        <w:rPr>
          <w:color w:val="201F1E"/>
          <w:szCs w:val="24"/>
        </w:rPr>
        <w:t xml:space="preserve">* </w:t>
      </w:r>
      <w:hyperlink r:id="rId5" w:history="1">
        <w:r w:rsidRPr="00606072">
          <w:rPr>
            <w:rStyle w:val="Hyperlink"/>
            <w:szCs w:val="24"/>
          </w:rPr>
          <w:t>alex.w.robertson@gmail.com</w:t>
        </w:r>
      </w:hyperlink>
      <w:r>
        <w:rPr>
          <w:color w:val="201F1E"/>
          <w:szCs w:val="24"/>
        </w:rPr>
        <w:t xml:space="preserve">  </w:t>
      </w:r>
      <w:hyperlink r:id="rId6" w:history="1">
        <w:r w:rsidRPr="00606072">
          <w:rPr>
            <w:rStyle w:val="Hyperlink"/>
            <w:szCs w:val="24"/>
          </w:rPr>
          <w:t>peter.bruce@materials.ox.ac.uk</w:t>
        </w:r>
      </w:hyperlink>
      <w:r>
        <w:rPr>
          <w:color w:val="201F1E"/>
          <w:szCs w:val="24"/>
        </w:rPr>
        <w:t xml:space="preserve"> </w:t>
      </w:r>
    </w:p>
    <w:p w:rsidR="00C035A4" w:rsidRDefault="00C035A4" w:rsidP="00C035A4">
      <w:pPr>
        <w:spacing w:after="0" w:line="480" w:lineRule="auto"/>
        <w:rPr>
          <w:rFonts w:ascii="Times New Roman" w:hAnsi="Times New Roman" w:cs="Times New Roman"/>
          <w:b/>
          <w:sz w:val="24"/>
          <w:lang w:val="en-US" w:eastAsia="ko-KR"/>
        </w:rPr>
      </w:pPr>
      <w:r>
        <w:rPr>
          <w:rFonts w:ascii="Times New Roman" w:hAnsi="Times New Roman" w:cs="Times New Roman"/>
          <w:b/>
          <w:sz w:val="24"/>
          <w:lang w:val="en-US" w:eastAsia="ko-KR"/>
        </w:rPr>
        <w:t xml:space="preserve">Electrolyte selection </w:t>
      </w:r>
    </w:p>
    <w:p w:rsidR="00C035A4" w:rsidRPr="00133A14" w:rsidRDefault="00C035A4" w:rsidP="00C035A4">
      <w:pPr>
        <w:pStyle w:val="TAMainText"/>
      </w:pPr>
      <w:r w:rsidRPr="00133A14">
        <w:t>A Ca-ion based electrolyte was prepared as 1 M Ca(BH</w:t>
      </w:r>
      <w:r w:rsidRPr="00133A14">
        <w:rPr>
          <w:vertAlign w:val="subscript"/>
        </w:rPr>
        <w:t>4</w:t>
      </w:r>
      <w:r w:rsidRPr="00133A14">
        <w:t>)</w:t>
      </w:r>
      <w:r w:rsidRPr="00133A14">
        <w:rPr>
          <w:vertAlign w:val="subscript"/>
        </w:rPr>
        <w:t>2</w:t>
      </w:r>
      <w:r w:rsidRPr="00133A14">
        <w:t xml:space="preserve"> dissolved in tetrahydrofuran (THF)</w:t>
      </w:r>
      <w:r w:rsidR="00420DB0">
        <w:t>,</w:t>
      </w:r>
      <w:r w:rsidRPr="00133A14">
        <w:t xml:space="preserve"> as per the work of Wang </w:t>
      </w:r>
      <w:r w:rsidRPr="005803DE">
        <w:rPr>
          <w:i/>
        </w:rPr>
        <w:t>et al</w:t>
      </w:r>
      <w:r w:rsidRPr="00133A14">
        <w:t>.</w:t>
      </w:r>
      <w:r w:rsidR="00B60329" w:rsidRPr="00133A14">
        <w:fldChar w:fldCharType="begin" w:fldLock="1"/>
      </w:r>
      <w:r w:rsidR="00B656E8">
        <w:instrText>ADDIN CSL_CITATION {"citationItems":[{"id":"ITEM-1","itemData":{"DOI":"10.1038/nmat5036","ISSN":"1476-1122","author":[{"dropping-particle":"","family":"Wang","given":"Da","non-dropping-particle":"","parse-names":false,"suffix":""},{"dropping-particle":"","family":"Gao","given":"Xiangwen","non-dropping-particle":"","parse-names":false,"suffix":""},{"dropping-particle":"","family":"Chen","given":"Yuhui","non-dropping-particle":"","parse-names":false,"suffix":""},{"dropping-particle":"","family":"Jin","given":"Liyu","non-dropping-particle":"","parse-names":false,"suffix":""},{"dropping-particle":"","family":"Kuss","given":"Christian","non-dropping-particle":"","parse-names":false,"suffix":""},{"dropping-particle":"","family":"Bruce","given":"Peter G.","non-dropping-particle":"","parse-names":false,"suffix":""}],"container-title":"Nature Materials","id":"ITEM-1","issue":"1","issued":{"date-parts":[["2018","1","27"]]},"page":"16-20","title":"Plating and stripping calcium in an organic electrolyte","type":"article-journal","volume":"17"},"uris":["http://www.mendeley.com/documents/?uuid=bb951f57-8fb6-449c-8ae7-c5f508c49117"]}],"mendeley":{"formattedCitation":"&lt;sup&gt;1&lt;/sup&gt;","plainTextFormattedCitation":"1","previouslyFormattedCitation":"&lt;sup&gt;1&lt;/sup&gt;"},"properties":{"noteIndex":0},"schema":"https://github.com/citation-style-language/schema/raw/master/csl-citation.json"}</w:instrText>
      </w:r>
      <w:r w:rsidR="00B60329" w:rsidRPr="00133A14">
        <w:fldChar w:fldCharType="separate"/>
      </w:r>
      <w:r w:rsidRPr="00C035A4">
        <w:rPr>
          <w:noProof/>
          <w:vertAlign w:val="superscript"/>
        </w:rPr>
        <w:t>1</w:t>
      </w:r>
      <w:r w:rsidR="00B60329" w:rsidRPr="00133A14">
        <w:fldChar w:fldCharType="end"/>
      </w:r>
      <w:r w:rsidRPr="00133A14">
        <w:t xml:space="preserve"> This electrolyte has the highest reported co</w:t>
      </w:r>
      <w:r>
        <w:t>u</w:t>
      </w:r>
      <w:r w:rsidRPr="00133A14">
        <w:t>l</w:t>
      </w:r>
      <w:r>
        <w:t>o</w:t>
      </w:r>
      <w:r w:rsidRPr="00133A14">
        <w:t>mbic efficiency at room temperature and forms minimal by-products compared with other Ca-ion based systems</w:t>
      </w:r>
      <w:r>
        <w:t>.</w:t>
      </w:r>
      <w:r w:rsidR="00B60329">
        <w:fldChar w:fldCharType="begin" w:fldLock="1"/>
      </w:r>
      <w:r w:rsidR="00B656E8">
        <w:instrText>ADDIN CSL_CITATION {"citationItems":[{"id":"ITEM-1","itemData":{"DOI":"10.1149/1.2129758","ISSN":"19457111","abstract":"The use of calcium metal as an anode in SOCl2 electrolytes was investigated. Calcium showed an open-circuit potential (OCP) of 3.22V vs. a carbon cathode in 1M Ca(AlCl4)2-SOCl2 electrolyte. Hermetically sealed D cells, when discharged at 1 mA/cm2, displayed level discharge plateaus of 2.8V. SEM photographs indicated the rapid formation of a crystalline layer on the anode; the composition of this film was established as CaCl2. Storage of calcium samples in Ca(AlCl4)2-SOCl2 electrolyte resulted in corrosion of the metal. This corrosion was particularly pronounced at 55?? C and it appeared to be a fundamental behavior which was not eliminated by rigid control of electrolyte purity. The following cell chemistry was suggested by chemical analysis of discharged electrolytes and cathodes [formula omitted] Electrodeposition experiments indicated no evidence for the plating of Caonto a nickel substrate. ?? 1980, The Electrochemical Society, Inc. All rights reserved.","author":[{"dropping-particle":"","family":"Staniewicz","given":"Robert J.","non-dropping-particle":"","parse-names":false,"suffix":""}],"container-title":"Journal of the Electrochemical Society","id":"ITEM-1","issue":"4","issued":{"date-parts":[["1980"]]},"page":"782-789","title":"A Study of the Calcium-Thionyl Chloride Electrochemical System","type":"article-journal","volume":"127"},"uris":["http://www.mendeley.com/documents/?uuid=13b9c6e5-4f69-40d9-b6a9-3c53ba606767"]},{"id":"ITEM-2","itemData":{"DOI":"10.1149/1.2123879","ISSN":"19457111","abstract":"The conductivity of 0.38-1.9M Ca(AlCl4)2-thionyl chloride solutions was determined at temperatures from –30° to +60°0. The maximum specific conductivities at –30°, 30°, and 60°C were found to be 3.25, 6.7, 8.7 mmho cm-1, respectively. The discharge performance of sandwich-like glass laboratory cells was determined at rates of 0:8-13 mA cm-2 over this temperature range. Cell capacity at 25°C was 38 mA-hr cm-2 at 1 mA crrr2 and 22 mA-hr cm-2 at 11 mA cm-2. There was no loss of capacity on discharge at 60°C. At -20°C and 0.8 mA cnrr2 the cell delivers 80% of its 25°C capacity. It was estimated that the energy density of a “jelly-roll” type cell will be 250-300 W-hr kg-1. The safety features of the cell were excellent as it was practically impossible to charge or overdischarge the cell. At a charging or a reversal voltage of 30V the corresponding current densities were smaller than 0.1 mA cm-2. © 1982, The Electrochemical Society, Inc. All rights reserved.","author":[{"dropping-particle":"","family":"Meitav","given":"A.","non-dropping-particle":"","parse-names":false,"suffix":""},{"dropping-particle":"","family":"Peled","given":"E.","non-dropping-particle":"","parse-names":false,"suffix":""}],"container-title":"Journal of the Electrochemical Society","id":"ITEM-2","issue":"3","issued":{"date-parts":[["1982"]]},"page":"451-457","title":"Calcium-Ca(AICI4)2-Thionyl Chloride Cell: Performance and Safety","type":"article-journal","volume":"129"},"uris":["http://www.mendeley.com/documents/?uuid=9d214a6c-4b3b-4e01-809e-44495c01722b"]},{"id":"ITEM-3","itemData":{"DOI":"10.1149/1.2085455","ISSN":"19457111","abstract":"The electrochemical behavior of calcium electrodes in a few important organic electrolyte has been investigated. The solvents used included acetonitrile, tetrahydrofuran, γ-butyrolactone, and propylene carbonate, and the salts included. Ca(ClO4)2, Ca(BF4)2, LiAsF6, and tetrabutyl ammonium salts (ClO-4, BF-4). Various techniques, including cyclic voltammetry, Fourier transform infrared spectroscopy, scanning electron microscopy, and x-ray microanalysis were used in order to characterize discharge processes of calcium anodes in the various systems, and to correlate them with the surface chemistry and morphology of calcium in the electrolyte solutions. Some important surface species formed in the above systems were identified. It was found that, as with lithium, discharge of calcium anodes is surface film-controlled. In contrast to lithium systems, however, calcium deposition in these solvent systems, either on calcium or noble metal electrodes, is impossible, due to the nature of the surface films formed. © 1991, The Electrochemical Society, Inc. All rights reserved.","author":[{"dropping-particle":"","family":"Aurbach","given":"D.","non-dropping-particle":"","parse-names":false,"suffix":""},{"dropping-particle":"","family":"Skaletsky","given":"R.","non-dropping-particle":"","parse-names":false,"suffix":""},{"dropping-particle":"","family":"Gofer","given":"Y.","non-dropping-particle":"","parse-names":false,"suffix":""}],"container-title":"Journal of the Electrochemical Society","id":"ITEM-3","issue":"12","issued":{"date-parts":[["1991"]]},"page":"3536-3545","title":"The Electrochemical Behavior of Calcium Electrodes in a Few Organic Electrolytes","type":"article-journal","volume":"138"},"uris":["http://www.mendeley.com/documents/?uuid=fffc2012-ee3f-4716-9319-efd963925e7c"]},{"id":"ITEM-4","itemData":{"DOI":"10.1038/nmat4462","ISSN":"1476-1122","PMID":"26501412","abstract":"The development of a rechargeable battery technology using light electropositive metal anodes would result in a breakthrough in energy density. For multivalent charge carriers (Mn+), the number of ions that must react to achieve a certain electrochemical capacity is diminished by two (n = 2) or three (n = 3) when compared with Li+ (ref. 2). Whereas proof of concept has been achieved for magnesium, the electrodeposition of calcium has so far been thought to be impossible and research has been restricted to non-rechargeable systems. Here we demonstrate the feasibility of calcium plating at moderate temperatures using conventional organic electrolytes, such as those used for the Li-ion technology. The reversibility of the process on cycling has been ascertained and thus the results presented here constitute the first step towards the development of a new rechargeable battery technology using calcium anodes.","author":[{"dropping-particle":"","family":"Ponrouch","given":"A.","non-dropping-particle":"","parse-names":false,"suffix":""},{"dropping-particle":"","family":"Frontera","given":"C.","non-dropping-particle":"","parse-names":false,"suffix":""},{"dropping-particle":"","family":"Bardé","given":"F.","non-dropping-particle":"","parse-names":false,"suffix":""},{"dropping-particle":"","family":"Palacín","given":"M. R.","non-dropping-particle":"","parse-names":false,"suffix":""}],"container-title":"Nature Materials","id":"ITEM-4","issue":"2","issued":{"date-parts":[["2016","2","26"]]},"page":"169-172","title":"Towards a calcium-based rechargeable battery","type":"article-journal","volume":"15"},"uris":["http://www.mendeley.com/documents/?uuid=c2ef6ce4-dbf9-4ab8-8983-167fb567ba18"]}],"mendeley":{"formattedCitation":"&lt;sup&gt;2–5&lt;/sup&gt;","plainTextFormattedCitation":"2–5","previouslyFormattedCitation":"&lt;sup&gt;2–5&lt;/sup&gt;"},"properties":{"noteIndex":0},"schema":"https://github.com/citation-style-language/schema/raw/master/csl-citation.json"}</w:instrText>
      </w:r>
      <w:r w:rsidR="00B60329">
        <w:fldChar w:fldCharType="separate"/>
      </w:r>
      <w:r w:rsidRPr="00C035A4">
        <w:rPr>
          <w:noProof/>
          <w:vertAlign w:val="superscript"/>
        </w:rPr>
        <w:t>2–5</w:t>
      </w:r>
      <w:r w:rsidR="00B60329">
        <w:fldChar w:fldCharType="end"/>
      </w:r>
      <w:r w:rsidRPr="00133A14">
        <w:t xml:space="preserve"> </w:t>
      </w:r>
      <w:proofErr w:type="gramStart"/>
      <w:r w:rsidRPr="00133A14">
        <w:t>The</w:t>
      </w:r>
      <w:proofErr w:type="gramEnd"/>
      <w:r w:rsidRPr="00133A14">
        <w:t xml:space="preserve"> electrolyte was tested using cyclic voltammetry in a standard 3-electrode cell (Ca as the reference electrode, Pt</w:t>
      </w:r>
      <w:r>
        <w:t xml:space="preserve"> </w:t>
      </w:r>
      <w:r w:rsidRPr="00133A14">
        <w:t xml:space="preserve">as the working and the counter electrode). The result is shown in </w:t>
      </w:r>
      <w:r w:rsidRPr="005803DE">
        <w:t>Figure S</w:t>
      </w:r>
      <w:r w:rsidR="00420DB0">
        <w:t>1</w:t>
      </w:r>
      <w:r w:rsidRPr="00133A14">
        <w:t xml:space="preserve">. Despite being lower than the reported 94% by Wang </w:t>
      </w:r>
      <w:r w:rsidR="00B60329" w:rsidRPr="00133A14">
        <w:fldChar w:fldCharType="begin" w:fldLock="1"/>
      </w:r>
      <w:r w:rsidR="00B656E8">
        <w:instrText>ADDIN CSL_CITATION {"citationItems":[{"id":"ITEM-1","itemData":{"DOI":"10.1038/nmat5036","ISSN":"1476-1122","author":[{"dropping-particle":"","family":"Wang","given":"Da","non-dropping-particle":"","parse-names":false,"suffix":""},{"dropping-particle":"","family":"Gao","given":"Xiangwen","non-dropping-particle":"","parse-names":false,"suffix":""},{"dropping-particle":"","family":"Chen","given":"Yuhui","non-dropping-particle":"","parse-names":false,"suffix":""},{"dropping-particle":"","family":"Jin","given":"Liyu","non-dropping-particle":"","parse-names":false,"suffix":""},{"dropping-particle":"","family":"Kuss","given":"Christian","non-dropping-particle":"","parse-names":false,"suffix":""},{"dropping-particle":"","family":"Bruce","given":"Peter G.","non-dropping-particle":"","parse-names":false,"suffix":""}],"container-title":"Nature Materials","id":"ITEM-1","issue":"1","issued":{"date-parts":[["2018","1","27"]]},"page":"16-20","title":"Plating and stripping calcium in an organic electrolyte","type":"article-journal","volume":"17"},"uris":["http://www.mendeley.com/documents/?uuid=bb951f57-8fb6-449c-8ae7-c5f508c49117"]}],"mendeley":{"formattedCitation":"&lt;sup&gt;1&lt;/sup&gt;","plainTextFormattedCitation":"1","previouslyFormattedCitation":"&lt;sup&gt;1&lt;/sup&gt;"},"properties":{"noteIndex":0},"schema":"https://github.com/citation-style-language/schema/raw/master/csl-citation.json"}</w:instrText>
      </w:r>
      <w:r w:rsidR="00B60329" w:rsidRPr="00133A14">
        <w:fldChar w:fldCharType="separate"/>
      </w:r>
      <w:r w:rsidRPr="00C035A4">
        <w:rPr>
          <w:noProof/>
          <w:vertAlign w:val="superscript"/>
        </w:rPr>
        <w:t>1</w:t>
      </w:r>
      <w:r w:rsidR="00B60329" w:rsidRPr="00133A14">
        <w:fldChar w:fldCharType="end"/>
      </w:r>
      <w:r w:rsidRPr="00133A14">
        <w:t xml:space="preserve"> (possibly the result of using a lower concentration</w:t>
      </w:r>
      <w:r w:rsidR="00B60329">
        <w:fldChar w:fldCharType="begin" w:fldLock="1"/>
      </w:r>
      <w:r w:rsidR="00B656E8">
        <w:instrText xml:space="preserve">ADDIN CSL_CITATION {"citationItems":[{"id":"ITEM-1","itemData":{"DOI":"10.1039/c6ra22816j","ISSN":"20462069","abstract":"Development of Mg electrolytes that can plate/strip Mg is not trivial and remains one of the major roadblocks to advance Mg battery research. Halogen-free electrolyte has attracted great attention due to its high stability, less corrosive nature and compatibility with Mg metal anodes. However, the electrochemical properties of such electrolytes have not been analytically evaluated in the literature. Herein, we report a systematic study of the concentration-dependent electrochemical and mass transport properties of a non-aqueous, halogen-free Mg electrolyte composed of magnesium bis(trifluoromethane sulfonyl)imide in diglyme (Mg(TFSI)2/G2). Specifically, cyclic voltammograms confirm that plating and stripping of Mg in Mg(TFSI)2/G2 electrolyte occur over a wide concentration range. Results suggest a comparably difficult magnesium dissolution in Mg(TFSI)2/G2 electrolyte in contrast to in Grignard based electrolytes. Dissolution overpotential shows a non-monotonic dependence on electrolyte concentration, it requires an </w:instrText>
      </w:r>
      <w:r w:rsidR="00B656E8">
        <w:rPr>
          <w:rFonts w:ascii="Cambria Math" w:hAnsi="Cambria Math" w:cs="Cambria Math"/>
        </w:rPr>
        <w:instrText>∼</w:instrText>
      </w:r>
      <w:r w:rsidR="00B656E8">
        <w:instrText>2 V overpotential to deposit Mg. Findings also reveal concentration-dependent mass transport properties, including concentration-dependent electrolyte diffusivity and transference number. The atomic environment of the Mg(TFSI)2/G2, as being further explored by Nuclear Magnetic Resonance (NMR) measurement and Molecular Dynamics (MD) simulations, is coupled with the electrochemical measurements to explain the observed concentration-dependent mass transport properties.","author":[{"dropping-particle":"","family":"Sa","given":"Niya","non-dropping-particle":"","parse-names":false,"suffix":""},{"dropping-particle":"","family":"Rajput","given":"Nav Nidhi","non-dropping-particle":"","parse-names":false,"suffix":""},{"dropping-particle":"","family":"Wang","given":"Hao","non-dropping-particle":"","parse-names":false,"suffix":""},{"dropping-particle":"","family":"Key","given":"Baris","non-dropping-particle":"","parse-names":false,"suffix":""},{"dropping-particle":"","family":"Ferrandon","given":"Magali","non-dropping-particle":"","parse-names":false,"suffix":""},{"dropping-particle":"","family":"Srinivasan","given":"Venkat","non-dropping-particle":"","parse-names":false,"suffix":""},{"dropping-particle":"","family":"Persson","given":"Kristin A.","non-dropping-particle":"","parse-names":false,"suffix":""},{"dropping-particle":"","family":"Burrell","given":"Anthony K.","non-dropping-particle":"","parse-names":false,"suffix":""},{"dropping-particle":"","family":"Vaughey","given":"John T.","non-dropping-particle":"","parse-names":false,"suffix":""}],"container-title":"RSC Advances","id":"ITEM-1","issue":"114","issued":{"date-parts":[["2016"]]},"page":"113663-113670","publisher":"Royal Society of Chemistry","title":"Concentration dependent electrochemical properties and structural analysis of a simple magnesium electrolyte: magnesium bis(trifluoromethane sulfonyl)imide in diglyme","type":"article-journal","volume":"6"},"uris":["http://www.mendeley.com/documents/?uuid=86cc7fea-d7cc-34ca-868b-a586f46b8eb2","http://www.mendeley.com/documents/?uuid=4fa9cb0d-5b7c-45c7-9cce-51ba07e18caa"]},{"id":"ITEM-2","itemData":{"DOI":"10.1038/nmat4462","ISSN":"1476-1122","PMID":"26501412","abstract":"The development of a rechargeable battery technology using light electropositive metal anodes would result in a breakthrough in energy density. For multivalent charge carriers (Mn+), the number of ions that must react to achieve a certain electrochemical capacity is diminished by two (n = 2) or three (n = 3) when compared with Li+ (ref. 2). Whereas proof of concept has been achieved for magnesium, the electrodeposition of calcium has so far been thought to be impossible and research has been restricted to non-rechargeable systems. Here we demonstrate the feasibility of calcium plating at moderate temperatures using conventional organic electrolytes, such as those used for the Li-ion technology. The reversibility of the process on cycling has been ascertained and thus the results presented here constitute the first step towards the development of a new rechargeable battery technology using calcium anodes.","author":[{"dropping-particle":"","family":"Ponrouch","given":"A.","non-dropping-particle":"","parse-names":false,"suffix":""},{"dropping-particle":"","family":"Frontera","given":"C.","non-dropping-particle":"","parse-names":false,"suffix":""},{"dropping-particle":"","family":"Bardé","given":"F.","non-dropping-particle":"","parse-names":false,"suffix":""},{"dropping-particle":"","family":"Palacín","given":"M. R.","non-dropping-particle":"","parse-names":false,"suffix":""}],"container-title":"Nature Materials","id":"ITEM-2","issue":"2","issued":{"date-parts":[["2016","2","26"]]},"page":"169-172","title":"Towards a calcium-based rechargeable battery","type":"article-journal","volume":"15"},"uris":["http://www.mendeley.com/documents/?uuid=c2ef6ce4-dbf9-4ab8-8983-167fb567ba18"]}],"mendeley":{"formattedCitation":"&lt;sup&gt;5,6&lt;/sup&gt;","plainTextFormattedCitation":"5,6","previouslyFormattedCitation":"&lt;sup&gt;5,6&lt;/sup&gt;"},"properties":{"noteIndex":0},"schema":"https://github.com/citation-style-language/schema/raw/master/csl-citation.json"}</w:instrText>
      </w:r>
      <w:r w:rsidR="00B60329">
        <w:fldChar w:fldCharType="separate"/>
      </w:r>
      <w:r w:rsidRPr="00C035A4">
        <w:rPr>
          <w:noProof/>
          <w:vertAlign w:val="superscript"/>
        </w:rPr>
        <w:t>5,6</w:t>
      </w:r>
      <w:r w:rsidR="00B60329">
        <w:fldChar w:fldCharType="end"/>
      </w:r>
      <w:r w:rsidRPr="00133A14">
        <w:t xml:space="preserve"> or skipping </w:t>
      </w:r>
      <w:r w:rsidR="003C25FE">
        <w:t>the pre-reduction process</w:t>
      </w:r>
      <w:r w:rsidRPr="00133A14">
        <w:t>), a relatively high co</w:t>
      </w:r>
      <w:r>
        <w:t>u</w:t>
      </w:r>
      <w:r w:rsidRPr="00133A14">
        <w:t>l</w:t>
      </w:r>
      <w:r>
        <w:t>o</w:t>
      </w:r>
      <w:r w:rsidRPr="00133A14">
        <w:t>mbic efficiency of almost 90</w:t>
      </w:r>
      <w:r w:rsidR="003C25FE">
        <w:t xml:space="preserve"> </w:t>
      </w:r>
      <w:r w:rsidRPr="00133A14">
        <w:t xml:space="preserve">% was achieved. This indicates our electrolyte has good cyclability </w:t>
      </w:r>
      <w:r w:rsidR="00AF4667">
        <w:t>and</w:t>
      </w:r>
      <w:r w:rsidRPr="00133A14">
        <w:t xml:space="preserve"> can give representative results for our plating morphology study. The same set-up is used for </w:t>
      </w:r>
      <w:r w:rsidR="00AF4667">
        <w:t xml:space="preserve">our </w:t>
      </w:r>
      <w:r w:rsidRPr="00133A14">
        <w:t xml:space="preserve">other plating and stripping experiments on Ca plates or Pt foils. </w:t>
      </w:r>
    </w:p>
    <w:p w:rsidR="00C035A4" w:rsidRDefault="00C035A4" w:rsidP="00C035A4">
      <w:pPr>
        <w:spacing w:after="0" w:line="480" w:lineRule="auto"/>
        <w:rPr>
          <w:rFonts w:ascii="Times New Roman" w:hAnsi="Times New Roman" w:cs="Times New Roman"/>
          <w:b/>
          <w:sz w:val="24"/>
          <w:lang w:val="en-US" w:eastAsia="ko-KR"/>
        </w:rPr>
      </w:pPr>
    </w:p>
    <w:p w:rsidR="00C035A4" w:rsidRPr="0039596A" w:rsidRDefault="00C035A4" w:rsidP="00C035A4">
      <w:pPr>
        <w:spacing w:after="0" w:line="480" w:lineRule="auto"/>
        <w:rPr>
          <w:rFonts w:ascii="Times New Roman" w:hAnsi="Times New Roman" w:cs="Times New Roman"/>
          <w:sz w:val="24"/>
          <w:lang w:val="en-US" w:eastAsia="ko-KR"/>
        </w:rPr>
      </w:pPr>
    </w:p>
    <w:p w:rsidR="00C035A4" w:rsidRDefault="00C035A4" w:rsidP="00D10331">
      <w:pPr>
        <w:spacing w:after="0" w:line="480" w:lineRule="auto"/>
        <w:rPr>
          <w:rFonts w:ascii="Times New Roman" w:hAnsi="Times New Roman" w:cs="Times New Roman"/>
          <w:b/>
          <w:sz w:val="24"/>
          <w:lang w:val="en-US" w:eastAsia="ko-KR"/>
        </w:rPr>
      </w:pPr>
    </w:p>
    <w:p w:rsidR="00C035A4" w:rsidRDefault="00C035A4" w:rsidP="00D10331">
      <w:pPr>
        <w:spacing w:after="0" w:line="480" w:lineRule="auto"/>
        <w:rPr>
          <w:rFonts w:ascii="Times New Roman" w:hAnsi="Times New Roman" w:cs="Times New Roman"/>
          <w:b/>
          <w:sz w:val="24"/>
          <w:lang w:val="en-US" w:eastAsia="ko-KR"/>
        </w:rPr>
      </w:pPr>
    </w:p>
    <w:p w:rsidR="00C035A4" w:rsidRDefault="00C035A4" w:rsidP="00D10331">
      <w:pPr>
        <w:spacing w:after="0" w:line="480" w:lineRule="auto"/>
        <w:rPr>
          <w:rFonts w:ascii="Times New Roman" w:hAnsi="Times New Roman" w:cs="Times New Roman"/>
          <w:b/>
          <w:sz w:val="24"/>
          <w:lang w:val="en-US" w:eastAsia="ko-KR"/>
        </w:rPr>
      </w:pPr>
    </w:p>
    <w:p w:rsidR="00C035A4" w:rsidRDefault="00C035A4" w:rsidP="00D10331">
      <w:pPr>
        <w:spacing w:after="0" w:line="480" w:lineRule="auto"/>
        <w:rPr>
          <w:rFonts w:ascii="Times New Roman" w:hAnsi="Times New Roman" w:cs="Times New Roman"/>
          <w:b/>
          <w:sz w:val="24"/>
          <w:lang w:val="en-US" w:eastAsia="ko-KR"/>
        </w:rPr>
      </w:pPr>
    </w:p>
    <w:p w:rsidR="00C035A4" w:rsidRDefault="00C035A4" w:rsidP="00D10331">
      <w:pPr>
        <w:spacing w:after="0" w:line="480" w:lineRule="auto"/>
        <w:rPr>
          <w:rFonts w:ascii="Times New Roman" w:hAnsi="Times New Roman" w:cs="Times New Roman"/>
          <w:b/>
          <w:sz w:val="24"/>
          <w:lang w:val="en-US" w:eastAsia="ko-KR"/>
        </w:rPr>
      </w:pPr>
    </w:p>
    <w:p w:rsidR="00E72EAB" w:rsidRDefault="00E72EAB" w:rsidP="00971BFF">
      <w:pPr>
        <w:spacing w:after="0" w:line="480" w:lineRule="auto"/>
        <w:rPr>
          <w:rFonts w:ascii="Times New Roman" w:hAnsi="Times New Roman" w:cs="Times New Roman"/>
          <w:lang w:val="en-US"/>
        </w:rPr>
      </w:pPr>
    </w:p>
    <w:p w:rsidR="00247BF0" w:rsidRDefault="00E72EAB" w:rsidP="00322D6B">
      <w:pPr>
        <w:keepNext/>
        <w:spacing w:after="0" w:line="480" w:lineRule="auto"/>
        <w:rPr>
          <w:rFonts w:ascii="Times New Roman" w:hAnsi="Times New Roman" w:cs="Times New Roman"/>
          <w:lang w:val="en-US"/>
        </w:rPr>
      </w:pPr>
      <w:r>
        <w:rPr>
          <w:rFonts w:ascii="Times New Roman" w:hAnsi="Times New Roman" w:cs="Times New Roman"/>
          <w:noProof/>
          <w:lang w:eastAsia="en-GB"/>
        </w:rPr>
        <w:drawing>
          <wp:inline distT="0" distB="0" distL="0" distR="0">
            <wp:extent cx="5908000" cy="37217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2.PN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08000" cy="3721735"/>
                    </a:xfrm>
                    <a:prstGeom prst="rect">
                      <a:avLst/>
                    </a:prstGeom>
                  </pic:spPr>
                </pic:pic>
              </a:graphicData>
            </a:graphic>
          </wp:inline>
        </w:drawing>
      </w:r>
    </w:p>
    <w:p w:rsidR="00247BF0" w:rsidRDefault="005D47DB" w:rsidP="00322D6B">
      <w:pPr>
        <w:spacing w:after="0" w:line="480" w:lineRule="auto"/>
        <w:jc w:val="both"/>
        <w:rPr>
          <w:rFonts w:ascii="Times New Roman" w:hAnsi="Times New Roman" w:cs="Times New Roman"/>
          <w:lang w:val="en-US"/>
        </w:rPr>
      </w:pPr>
      <w:r w:rsidRPr="0039596A">
        <w:rPr>
          <w:rFonts w:ascii="Times New Roman" w:hAnsi="Times New Roman" w:cs="Times New Roman"/>
          <w:b/>
          <w:lang w:val="en-US"/>
        </w:rPr>
        <w:t>Figure S</w:t>
      </w:r>
      <w:r w:rsidR="00420DB0">
        <w:rPr>
          <w:rFonts w:ascii="Times New Roman" w:hAnsi="Times New Roman" w:cs="Times New Roman"/>
          <w:b/>
          <w:lang w:val="en-US"/>
        </w:rPr>
        <w:t>1</w:t>
      </w:r>
      <w:r w:rsidRPr="0039596A">
        <w:rPr>
          <w:rFonts w:ascii="Times New Roman" w:hAnsi="Times New Roman" w:cs="Times New Roman"/>
          <w:b/>
          <w:lang w:val="en-US"/>
        </w:rPr>
        <w:t>.</w:t>
      </w:r>
      <w:r w:rsidRPr="0039596A">
        <w:rPr>
          <w:rFonts w:ascii="Times New Roman" w:hAnsi="Times New Roman" w:cs="Times New Roman"/>
          <w:lang w:val="en-US"/>
        </w:rPr>
        <w:t xml:space="preserve"> </w:t>
      </w:r>
      <w:proofErr w:type="gramStart"/>
      <w:r>
        <w:rPr>
          <w:rFonts w:ascii="Times New Roman" w:hAnsi="Times New Roman" w:cs="Times New Roman"/>
          <w:b/>
          <w:lang w:val="en-US"/>
        </w:rPr>
        <w:t>Coulombic efficiency evaluation of the Ca-electrolyte.</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Five-cycle CV curves and accompanying table showing the CE of each cycle.</w:t>
      </w:r>
      <w:proofErr w:type="gramEnd"/>
    </w:p>
    <w:p w:rsidR="00420DB0" w:rsidRPr="002B0734" w:rsidRDefault="00420DB0" w:rsidP="00420DB0">
      <w:pPr>
        <w:pStyle w:val="TAMainText"/>
      </w:pPr>
    </w:p>
    <w:p w:rsidR="00420DB0" w:rsidRPr="0039596A" w:rsidRDefault="00420DB0" w:rsidP="00420DB0">
      <w:pPr>
        <w:spacing w:after="0" w:line="480" w:lineRule="auto"/>
        <w:rPr>
          <w:rFonts w:ascii="Times New Roman" w:hAnsi="Times New Roman" w:cs="Times New Roman"/>
          <w:sz w:val="24"/>
          <w:lang w:val="en-US" w:eastAsia="ko-KR"/>
        </w:rPr>
      </w:pPr>
      <w:r>
        <w:rPr>
          <w:rFonts w:ascii="Times New Roman" w:hAnsi="Times New Roman" w:cs="Times New Roman"/>
          <w:b/>
          <w:sz w:val="24"/>
          <w:lang w:val="en-US" w:eastAsia="ko-KR"/>
        </w:rPr>
        <w:t>In-situ TEM liquid-cell method details</w:t>
      </w:r>
    </w:p>
    <w:p w:rsidR="00420DB0" w:rsidRPr="00420DB0" w:rsidRDefault="00420DB0" w:rsidP="00420DB0">
      <w:pPr>
        <w:spacing w:after="0" w:line="480" w:lineRule="auto"/>
        <w:ind w:firstLine="204"/>
        <w:jc w:val="both"/>
        <w:rPr>
          <w:rFonts w:ascii="Times New Roman" w:hAnsi="Times New Roman" w:cs="Times New Roman"/>
          <w:sz w:val="24"/>
          <w:szCs w:val="24"/>
        </w:rPr>
      </w:pPr>
      <w:r>
        <w:rPr>
          <w:rFonts w:ascii="Times New Roman" w:hAnsi="Times New Roman" w:cs="Times New Roman"/>
          <w:sz w:val="24"/>
          <w:lang w:val="en-US" w:eastAsia="ko-KR"/>
        </w:rPr>
        <w:t xml:space="preserve">We employed a </w:t>
      </w:r>
      <w:proofErr w:type="spellStart"/>
      <w:r>
        <w:rPr>
          <w:rFonts w:ascii="Times New Roman" w:hAnsi="Times New Roman" w:cs="Times New Roman"/>
          <w:sz w:val="24"/>
          <w:lang w:val="en-US" w:eastAsia="ko-KR"/>
        </w:rPr>
        <w:t>Protochips</w:t>
      </w:r>
      <w:proofErr w:type="spellEnd"/>
      <w:r>
        <w:rPr>
          <w:rFonts w:ascii="Times New Roman" w:hAnsi="Times New Roman" w:cs="Times New Roman"/>
          <w:sz w:val="24"/>
          <w:lang w:val="en-US" w:eastAsia="ko-KR"/>
        </w:rPr>
        <w:t xml:space="preserve"> Poseidon 510 liquid-cell electrochemical transmission electron microscopy (TEM) holder for the in-situ TEM experiments. The details of this system are discussed by </w:t>
      </w:r>
      <w:proofErr w:type="spellStart"/>
      <w:r>
        <w:rPr>
          <w:rFonts w:ascii="Times New Roman" w:hAnsi="Times New Roman" w:cs="Times New Roman"/>
          <w:sz w:val="24"/>
          <w:lang w:val="en-US" w:eastAsia="ko-KR"/>
        </w:rPr>
        <w:t>Unocic</w:t>
      </w:r>
      <w:proofErr w:type="spellEnd"/>
      <w:r>
        <w:rPr>
          <w:rFonts w:ascii="Times New Roman" w:hAnsi="Times New Roman" w:cs="Times New Roman"/>
          <w:sz w:val="24"/>
          <w:lang w:val="en-US" w:eastAsia="ko-KR"/>
        </w:rPr>
        <w:t xml:space="preserve"> </w:t>
      </w:r>
      <w:r w:rsidRPr="00247BF0">
        <w:rPr>
          <w:rFonts w:ascii="Times New Roman" w:hAnsi="Times New Roman" w:cs="Times New Roman"/>
          <w:i/>
          <w:sz w:val="24"/>
          <w:lang w:val="en-US" w:eastAsia="ko-KR"/>
        </w:rPr>
        <w:t>et al</w:t>
      </w:r>
      <w:r>
        <w:rPr>
          <w:rFonts w:ascii="Times New Roman" w:hAnsi="Times New Roman" w:cs="Times New Roman"/>
          <w:sz w:val="24"/>
          <w:lang w:val="en-US" w:eastAsia="ko-KR"/>
        </w:rPr>
        <w:t>.</w:t>
      </w:r>
      <w:r w:rsidR="00B60329">
        <w:rPr>
          <w:rFonts w:ascii="Times New Roman" w:hAnsi="Times New Roman" w:cs="Times New Roman"/>
          <w:sz w:val="24"/>
          <w:lang w:val="en-US" w:eastAsia="ko-KR"/>
        </w:rPr>
        <w:fldChar w:fldCharType="begin" w:fldLock="1"/>
      </w:r>
      <w:r>
        <w:rPr>
          <w:rFonts w:ascii="Times New Roman" w:hAnsi="Times New Roman" w:cs="Times New Roman"/>
          <w:sz w:val="24"/>
          <w:lang w:val="en-US" w:eastAsia="ko-KR"/>
        </w:rPr>
        <w:instrText>ADDIN CSL_CITATION {"citationItems":[{"id":"ITEM-1","itemData":{"DOI":"10.1017/S1431927614000166","ISBN":"1435-8115","ISSN":"1431-9276","PMID":"24618013","abstract":"Insight into dynamic electrochemical processes can be obtained with in situ electrochemical-scanning/ transmission electron microscopy (ec-S/TEM), a technique that utilizes microfluidic electrochemical cells to characterize electrochemical processes with S/TEM imaging, diffraction, or spectroscopy. The microfluidic electrochemical cell is composed of microfabricated devices with glassy carbon and platinum microband electrodes in a three-electrode cell configuration. To establish the validity of thismethod for quantitative in situ electrochemistry research, cyclic voltammetry (CV), choronoamperometry (CA), and electrochemical impedance spectroscopy (EIS) were performed using a standard one electron transfer redox couple [Fe(CN)6]3 − /4 − -based electrolyte. Established relationships of the electrode geometry and microfluidic conditions were fitted with CV and chronoamperometic measurements of analyte diffusion coefficients andwere found to agree withwell-accepted values that are on the order of 10− 5 cm2/s. Influence of the electron beamon electrochemicalmeasurements was found to be negligible during CV scans where the current profile varied only within a few nA with the electron beamon and off, which is wellwithin the hysteresis betweenmultiple CV scans. The combination of experimental results provides a validation that quantitative electrochemistry experiments can be performed with these small-scale microfluidic electrochemical cells provided that accurate geometrical electrode configurations, diffusion boundary layers, and microfluidic conditions are accounted for.","author":[{"dropping-particle":"","family":"Unocic","given":"Raymond R.","non-dropping-particle":"","parse-names":false,"suffix":""},{"dropping-particle":"","family":"Sacci","given":"Robert L.","non-dropping-particle":"","parse-names":false,"suffix":""},{"dropping-particle":"","family":"Brown","given":"Gilbert M.","non-dropping-particle":"","parse-names":false,"suffix":""},{"dropping-particle":"","family":"Veith","given":"Gabriel M.","non-dropping-particle":"","parse-names":false,"suffix":""},{"dropping-particle":"","family":"Dudney","given":"Nancy J.","non-dropping-particle":"","parse-names":false,"suffix":""},{"dropping-particle":"","family":"More","given":"Karren L.","non-dropping-particle":"","parse-names":false,"suffix":""},{"dropping-particle":"","family":"Walden","given":"Franklin S.","non-dropping-particle":"","parse-names":false,"suffix":""},{"dropping-particle":"","family":"Gardiner","given":"Daniel S.","non-dropping-particle":"","parse-names":false,"suffix":""},{"dropping-particle":"","family":"Damiano","given":"John","non-dropping-particle":"","parse-names":false,"suffix":""},{"dropping-particle":"","family":"Nackashi","given":"David P.","non-dropping-particle":"","parse-names":false,"suffix":""}],"container-title":"Microscopy and Microanalysis","id":"ITEM-1","issue":"02","issued":{"date-parts":[["2014","4","11"]]},"page":"452-461","title":"Quantitative Electrochemical Measurements Using In Situ ec-S/TEM Devices","type":"article-journal","volume":"20"},"uris":["http://www.mendeley.com/documents/?uuid=919aae31-3698-414a-a530-ee6494f5c161","http://www.mendeley.com/documents/?uuid=373b8382-aa2e-4392-8165-c8f5c2feba33"]}],"mendeley":{"formattedCitation":"&lt;sup&gt;7&lt;/sup&gt;","plainTextFormattedCitation":"7","previouslyFormattedCitation":"&lt;sup&gt;7&lt;/sup&gt;"},"properties":{"noteIndex":0},"schema":"https://github.com/citation-style-language/schema/raw/master/csl-citation.json"}</w:instrText>
      </w:r>
      <w:r w:rsidR="00B60329">
        <w:rPr>
          <w:rFonts w:ascii="Times New Roman" w:hAnsi="Times New Roman" w:cs="Times New Roman"/>
          <w:sz w:val="24"/>
          <w:lang w:val="en-US" w:eastAsia="ko-KR"/>
        </w:rPr>
        <w:fldChar w:fldCharType="separate"/>
      </w:r>
      <w:r w:rsidRPr="00C035A4">
        <w:rPr>
          <w:rFonts w:ascii="Times New Roman" w:hAnsi="Times New Roman" w:cs="Times New Roman"/>
          <w:noProof/>
          <w:sz w:val="24"/>
          <w:vertAlign w:val="superscript"/>
          <w:lang w:val="en-US" w:eastAsia="ko-KR"/>
        </w:rPr>
        <w:t>7</w:t>
      </w:r>
      <w:r w:rsidR="00B60329">
        <w:rPr>
          <w:rFonts w:ascii="Times New Roman" w:hAnsi="Times New Roman" w:cs="Times New Roman"/>
          <w:sz w:val="24"/>
          <w:lang w:val="en-US" w:eastAsia="ko-KR"/>
        </w:rPr>
        <w:fldChar w:fldCharType="end"/>
      </w:r>
      <w:r>
        <w:rPr>
          <w:rFonts w:ascii="Times New Roman" w:hAnsi="Times New Roman" w:cs="Times New Roman"/>
          <w:sz w:val="24"/>
          <w:lang w:val="en-US" w:eastAsia="ko-KR"/>
        </w:rPr>
        <w:t xml:space="preserve"> </w:t>
      </w:r>
      <w:r w:rsidRPr="0039596A">
        <w:rPr>
          <w:rFonts w:ascii="Times New Roman" w:hAnsi="Times New Roman" w:cs="Times New Roman"/>
          <w:sz w:val="24"/>
          <w:lang w:val="en-US" w:eastAsia="ko-KR"/>
        </w:rPr>
        <w:t>In Figure S</w:t>
      </w:r>
      <w:r w:rsidR="00027856">
        <w:rPr>
          <w:rFonts w:ascii="Times New Roman" w:hAnsi="Times New Roman" w:cs="Times New Roman"/>
          <w:sz w:val="24"/>
          <w:lang w:val="en-US" w:eastAsia="ko-KR"/>
        </w:rPr>
        <w:t>2</w:t>
      </w:r>
      <w:r w:rsidRPr="0039596A">
        <w:rPr>
          <w:rFonts w:ascii="Times New Roman" w:hAnsi="Times New Roman" w:cs="Times New Roman"/>
          <w:sz w:val="24"/>
          <w:lang w:val="en-US" w:eastAsia="ko-KR"/>
        </w:rPr>
        <w:t xml:space="preserve"> </w:t>
      </w:r>
      <w:r>
        <w:rPr>
          <w:rFonts w:ascii="Times New Roman" w:hAnsi="Times New Roman" w:cs="Times New Roman"/>
          <w:sz w:val="24"/>
          <w:lang w:val="en-US" w:eastAsia="ko-KR"/>
        </w:rPr>
        <w:t xml:space="preserve">we show schematics of the in-situ TEM liquid-cell. Two silicon chips </w:t>
      </w:r>
      <w:r>
        <w:rPr>
          <w:rFonts w:ascii="Times New Roman" w:hAnsi="Times New Roman" w:cs="Times New Roman"/>
          <w:sz w:val="24"/>
          <w:lang w:val="en-US" w:eastAsia="ko-KR"/>
        </w:rPr>
        <w:lastRenderedPageBreak/>
        <w:t xml:space="preserve">seal the liquid electrolyte, screening it from the TEM column vacuum (Figure S2a). The chips are pre-fabricated with an electron transparent </w:t>
      </w:r>
      <w:proofErr w:type="spellStart"/>
      <w:r>
        <w:rPr>
          <w:rFonts w:ascii="Times New Roman" w:hAnsi="Times New Roman" w:cs="Times New Roman"/>
          <w:sz w:val="24"/>
          <w:lang w:val="en-US" w:eastAsia="ko-KR"/>
        </w:rPr>
        <w:t>SiN</w:t>
      </w:r>
      <w:proofErr w:type="spellEnd"/>
      <w:r>
        <w:rPr>
          <w:rFonts w:ascii="Times New Roman" w:hAnsi="Times New Roman" w:cs="Times New Roman"/>
          <w:sz w:val="24"/>
          <w:lang w:val="en-US" w:eastAsia="ko-KR"/>
        </w:rPr>
        <w:t xml:space="preserve"> window. </w:t>
      </w:r>
      <w:r w:rsidRPr="00C035A4">
        <w:rPr>
          <w:rFonts w:ascii="Times New Roman" w:hAnsi="Times New Roman" w:cs="Times New Roman"/>
          <w:sz w:val="24"/>
        </w:rPr>
        <w:t>A thin layer of electrolyte was confined between t</w:t>
      </w:r>
      <w:r>
        <w:rPr>
          <w:rFonts w:ascii="Times New Roman" w:hAnsi="Times New Roman" w:cs="Times New Roman"/>
          <w:sz w:val="24"/>
        </w:rPr>
        <w:t xml:space="preserve">he two windows </w:t>
      </w:r>
      <w:r w:rsidRPr="00C035A4">
        <w:rPr>
          <w:rFonts w:ascii="Times New Roman" w:hAnsi="Times New Roman" w:cs="Times New Roman"/>
          <w:sz w:val="24"/>
        </w:rPr>
        <w:t>with a 120 nm spacer. A flow rate of 400 µl h</w:t>
      </w:r>
      <w:r w:rsidRPr="00C035A4">
        <w:rPr>
          <w:rFonts w:ascii="Times New Roman" w:hAnsi="Times New Roman" w:cs="Times New Roman"/>
          <w:sz w:val="24"/>
          <w:vertAlign w:val="superscript"/>
        </w:rPr>
        <w:t>-1</w:t>
      </w:r>
      <w:r w:rsidRPr="00C035A4">
        <w:rPr>
          <w:rFonts w:ascii="Times New Roman" w:hAnsi="Times New Roman" w:cs="Times New Roman"/>
          <w:sz w:val="24"/>
        </w:rPr>
        <w:t xml:space="preserve"> was used during system purging and a flow rate of 80 µl h</w:t>
      </w:r>
      <w:r w:rsidRPr="00C035A4">
        <w:rPr>
          <w:rFonts w:ascii="Times New Roman" w:hAnsi="Times New Roman" w:cs="Times New Roman"/>
          <w:sz w:val="24"/>
          <w:vertAlign w:val="superscript"/>
        </w:rPr>
        <w:t>-1</w:t>
      </w:r>
      <w:r w:rsidRPr="00C035A4">
        <w:rPr>
          <w:rFonts w:ascii="Times New Roman" w:hAnsi="Times New Roman" w:cs="Times New Roman"/>
          <w:sz w:val="24"/>
        </w:rPr>
        <w:t xml:space="preserve"> was used during TEM imaging.</w:t>
      </w:r>
      <w:r>
        <w:rPr>
          <w:rFonts w:ascii="Times New Roman" w:hAnsi="Times New Roman" w:cs="Times New Roman"/>
          <w:sz w:val="24"/>
        </w:rPr>
        <w:t xml:space="preserve"> After the TEM imaging, the cell was then </w:t>
      </w:r>
      <w:r w:rsidRPr="00C035A4">
        <w:rPr>
          <w:rFonts w:ascii="Times New Roman" w:hAnsi="Times New Roman" w:cs="Times New Roman"/>
          <w:sz w:val="24"/>
          <w:szCs w:val="24"/>
        </w:rPr>
        <w:t>purged with tetrahydrofuran (THF) for</w:t>
      </w:r>
      <w:r>
        <w:rPr>
          <w:rFonts w:ascii="Times New Roman" w:hAnsi="Times New Roman" w:cs="Times New Roman"/>
          <w:sz w:val="24"/>
          <w:szCs w:val="24"/>
        </w:rPr>
        <w:t xml:space="preserve"> 2 hours before taken back to the glovebox and disassembled. The post-mortem chip was then studied using SEM. It is to be noticed that during the</w:t>
      </w:r>
      <w:r w:rsidRPr="00C035A4">
        <w:rPr>
          <w:rFonts w:ascii="Times New Roman" w:hAnsi="Times New Roman" w:cs="Times New Roman"/>
          <w:sz w:val="24"/>
          <w:szCs w:val="24"/>
        </w:rPr>
        <w:t xml:space="preserve"> </w:t>
      </w:r>
      <w:r>
        <w:rPr>
          <w:rFonts w:ascii="Times New Roman" w:hAnsi="Times New Roman" w:cs="Times New Roman"/>
          <w:sz w:val="24"/>
          <w:szCs w:val="24"/>
        </w:rPr>
        <w:t xml:space="preserve">disassembly, some Ca pieces can become detached from the chip with the electrodes, either because they became loose and came off or because the deposit adhered to the other chip. </w:t>
      </w:r>
    </w:p>
    <w:p w:rsidR="00420DB0" w:rsidRPr="0039596A" w:rsidRDefault="00420DB0" w:rsidP="00420DB0">
      <w:pPr>
        <w:keepNext/>
        <w:spacing w:after="0" w:line="480" w:lineRule="auto"/>
        <w:rPr>
          <w:lang w:val="en-US" w:eastAsia="ko-KR"/>
        </w:rPr>
      </w:pPr>
      <w:r>
        <w:rPr>
          <w:noProof/>
          <w:lang w:eastAsia="en-GB"/>
        </w:rPr>
        <w:drawing>
          <wp:inline distT="0" distB="0" distL="0" distR="0">
            <wp:extent cx="6188710" cy="3483359"/>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1.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88710" cy="3483359"/>
                    </a:xfrm>
                    <a:prstGeom prst="rect">
                      <a:avLst/>
                    </a:prstGeom>
                  </pic:spPr>
                </pic:pic>
              </a:graphicData>
            </a:graphic>
          </wp:inline>
        </w:drawing>
      </w:r>
    </w:p>
    <w:p w:rsidR="00420DB0" w:rsidRDefault="00420DB0" w:rsidP="00420DB0">
      <w:pPr>
        <w:spacing w:after="0" w:line="480" w:lineRule="auto"/>
        <w:jc w:val="both"/>
        <w:rPr>
          <w:rFonts w:ascii="Times New Roman" w:hAnsi="Times New Roman" w:cs="Times New Roman"/>
          <w:lang w:val="en-US"/>
        </w:rPr>
      </w:pPr>
      <w:r w:rsidRPr="0039596A">
        <w:rPr>
          <w:rFonts w:ascii="Times New Roman" w:hAnsi="Times New Roman" w:cs="Times New Roman"/>
          <w:b/>
          <w:lang w:val="en-US"/>
        </w:rPr>
        <w:t>Figure S</w:t>
      </w:r>
      <w:r>
        <w:rPr>
          <w:rFonts w:ascii="Times New Roman" w:hAnsi="Times New Roman" w:cs="Times New Roman"/>
          <w:b/>
          <w:lang w:val="en-US"/>
        </w:rPr>
        <w:t>2</w:t>
      </w:r>
      <w:r w:rsidRPr="0039596A">
        <w:rPr>
          <w:rFonts w:ascii="Times New Roman" w:hAnsi="Times New Roman" w:cs="Times New Roman"/>
          <w:b/>
          <w:lang w:val="en-US"/>
        </w:rPr>
        <w:t>.</w:t>
      </w:r>
      <w:r w:rsidRPr="0039596A">
        <w:rPr>
          <w:rFonts w:ascii="Times New Roman" w:hAnsi="Times New Roman" w:cs="Times New Roman"/>
          <w:lang w:val="en-US"/>
        </w:rPr>
        <w:t xml:space="preserve"> </w:t>
      </w:r>
      <w:proofErr w:type="gramStart"/>
      <w:r>
        <w:rPr>
          <w:rFonts w:ascii="Times New Roman" w:hAnsi="Times New Roman" w:cs="Times New Roman"/>
          <w:b/>
          <w:lang w:val="en-US"/>
        </w:rPr>
        <w:t>Illustrative schematics of the in-situ TEM liquid-cell.</w:t>
      </w:r>
      <w:proofErr w:type="gramEnd"/>
      <w:r>
        <w:rPr>
          <w:rFonts w:ascii="Times New Roman" w:hAnsi="Times New Roman" w:cs="Times New Roman"/>
          <w:lang w:val="en-US"/>
        </w:rPr>
        <w:t xml:space="preserve"> (a) Side-on cross-section views of the cell assembly. One Si chip has patterned electrodes. (b) Top-down view of the electrode geometry, showing the working and reference electrodes situated on the electron-transparent </w:t>
      </w:r>
      <w:proofErr w:type="spellStart"/>
      <w:r>
        <w:rPr>
          <w:rFonts w:ascii="Times New Roman" w:hAnsi="Times New Roman" w:cs="Times New Roman"/>
          <w:lang w:val="en-US"/>
        </w:rPr>
        <w:t>SiN</w:t>
      </w:r>
      <w:proofErr w:type="spellEnd"/>
      <w:r>
        <w:rPr>
          <w:rFonts w:ascii="Times New Roman" w:hAnsi="Times New Roman" w:cs="Times New Roman"/>
          <w:lang w:val="en-US"/>
        </w:rPr>
        <w:t xml:space="preserve"> window.</w:t>
      </w:r>
    </w:p>
    <w:p w:rsidR="00420DB0" w:rsidRDefault="00420DB0" w:rsidP="00322D6B">
      <w:pPr>
        <w:spacing w:after="0" w:line="480" w:lineRule="auto"/>
        <w:jc w:val="both"/>
        <w:rPr>
          <w:rFonts w:ascii="Times New Roman" w:hAnsi="Times New Roman" w:cs="Times New Roman"/>
          <w:lang w:val="en-US"/>
        </w:rPr>
      </w:pPr>
    </w:p>
    <w:p w:rsidR="005D47DB" w:rsidRDefault="006E0E65" w:rsidP="00322D6B">
      <w:pPr>
        <w:keepNext/>
        <w:spacing w:after="0" w:line="480" w:lineRule="auto"/>
        <w:rPr>
          <w:lang w:val="en-US" w:eastAsia="ko-KR"/>
        </w:rPr>
      </w:pPr>
      <w:r>
        <w:rPr>
          <w:noProof/>
          <w:lang w:eastAsia="en-GB"/>
        </w:rPr>
        <w:lastRenderedPageBreak/>
        <w:drawing>
          <wp:inline distT="0" distB="0" distL="0" distR="0">
            <wp:extent cx="6188710" cy="242504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3.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88710" cy="2425043"/>
                    </a:xfrm>
                    <a:prstGeom prst="rect">
                      <a:avLst/>
                    </a:prstGeom>
                  </pic:spPr>
                </pic:pic>
              </a:graphicData>
            </a:graphic>
          </wp:inline>
        </w:drawing>
      </w:r>
    </w:p>
    <w:p w:rsidR="006E0E65" w:rsidRDefault="006E0E65" w:rsidP="00322D6B">
      <w:pPr>
        <w:spacing w:after="0" w:line="480" w:lineRule="auto"/>
        <w:jc w:val="both"/>
        <w:rPr>
          <w:rFonts w:cstheme="minorHAnsi"/>
          <w:bCs/>
        </w:rPr>
      </w:pPr>
      <w:r w:rsidRPr="0039596A">
        <w:rPr>
          <w:rFonts w:ascii="Times New Roman" w:hAnsi="Times New Roman" w:cs="Times New Roman"/>
          <w:b/>
          <w:lang w:val="en-US"/>
        </w:rPr>
        <w:t>Figure S</w:t>
      </w:r>
      <w:r>
        <w:rPr>
          <w:rFonts w:ascii="Times New Roman" w:hAnsi="Times New Roman" w:cs="Times New Roman"/>
          <w:b/>
          <w:lang w:val="en-US"/>
        </w:rPr>
        <w:t>3</w:t>
      </w:r>
      <w:r w:rsidRPr="0039596A">
        <w:rPr>
          <w:rFonts w:ascii="Times New Roman" w:hAnsi="Times New Roman" w:cs="Times New Roman"/>
          <w:b/>
          <w:lang w:val="en-US"/>
        </w:rPr>
        <w:t>.</w:t>
      </w:r>
      <w:r w:rsidRPr="006E0E65">
        <w:rPr>
          <w:rFonts w:ascii="Times New Roman" w:hAnsi="Times New Roman" w:cs="Times New Roman"/>
          <w:b/>
          <w:lang w:val="en-US"/>
        </w:rPr>
        <w:t xml:space="preserve"> </w:t>
      </w:r>
      <w:proofErr w:type="gramStart"/>
      <w:r w:rsidRPr="006E0E65">
        <w:rPr>
          <w:rFonts w:ascii="Times New Roman" w:hAnsi="Times New Roman" w:cs="Times New Roman"/>
          <w:b/>
          <w:lang w:val="en-US"/>
        </w:rPr>
        <w:t xml:space="preserve">Third </w:t>
      </w:r>
      <w:r>
        <w:rPr>
          <w:rFonts w:ascii="Times New Roman" w:hAnsi="Times New Roman" w:cs="Times New Roman"/>
          <w:b/>
          <w:lang w:val="en-US"/>
        </w:rPr>
        <w:t xml:space="preserve">and </w:t>
      </w:r>
      <w:r w:rsidR="00B656E8">
        <w:rPr>
          <w:rFonts w:ascii="Times New Roman" w:hAnsi="Times New Roman" w:cs="Times New Roman"/>
          <w:b/>
          <w:lang w:val="en-US"/>
        </w:rPr>
        <w:t>f</w:t>
      </w:r>
      <w:r>
        <w:rPr>
          <w:rFonts w:ascii="Times New Roman" w:hAnsi="Times New Roman" w:cs="Times New Roman"/>
          <w:b/>
          <w:lang w:val="en-US"/>
        </w:rPr>
        <w:t>ourth cycles of high current density cell.</w:t>
      </w:r>
      <w:proofErr w:type="gramEnd"/>
      <w:r>
        <w:rPr>
          <w:rFonts w:ascii="Times New Roman" w:hAnsi="Times New Roman" w:cs="Times New Roman"/>
          <w:lang w:val="en-US"/>
        </w:rPr>
        <w:t xml:space="preserve"> (a) Third and (b) fourth galvanostatic cycles for the cell cycled at -</w:t>
      </w:r>
      <w:r w:rsidR="003C25FE">
        <w:rPr>
          <w:rFonts w:ascii="Times New Roman" w:hAnsi="Times New Roman" w:cs="Times New Roman"/>
          <w:lang w:val="en-US"/>
        </w:rPr>
        <w:t xml:space="preserve"> </w:t>
      </w:r>
      <w:proofErr w:type="gramStart"/>
      <w:r>
        <w:rPr>
          <w:rFonts w:ascii="Times New Roman" w:hAnsi="Times New Roman" w:cs="Times New Roman"/>
          <w:lang w:val="en-US"/>
        </w:rPr>
        <w:t>100 mA</w:t>
      </w:r>
      <w:r w:rsidR="003C25FE">
        <w:rPr>
          <w:rFonts w:ascii="Times New Roman" w:hAnsi="Times New Roman" w:cs="Times New Roman"/>
          <w:lang w:val="en-US"/>
        </w:rPr>
        <w:t xml:space="preserve"> </w:t>
      </w:r>
      <w:r>
        <w:rPr>
          <w:rFonts w:ascii="Times New Roman" w:hAnsi="Times New Roman" w:cs="Times New Roman"/>
          <w:lang w:val="en-US"/>
        </w:rPr>
        <w:t>cm</w:t>
      </w:r>
      <w:r w:rsidR="003C25FE">
        <w:rPr>
          <w:rFonts w:ascii="Times New Roman" w:hAnsi="Times New Roman" w:cs="Times New Roman"/>
          <w:vertAlign w:val="superscript"/>
          <w:lang w:val="en-US"/>
        </w:rPr>
        <w:t>-2</w:t>
      </w:r>
      <w:r>
        <w:rPr>
          <w:rFonts w:ascii="Times New Roman" w:hAnsi="Times New Roman" w:cs="Times New Roman"/>
          <w:lang w:val="en-US"/>
        </w:rPr>
        <w:t xml:space="preserve"> for 15 s then +</w:t>
      </w:r>
      <w:r w:rsidR="003C25FE">
        <w:rPr>
          <w:rFonts w:ascii="Times New Roman" w:hAnsi="Times New Roman" w:cs="Times New Roman"/>
          <w:lang w:val="en-US"/>
        </w:rPr>
        <w:t xml:space="preserve"> </w:t>
      </w:r>
      <w:r>
        <w:rPr>
          <w:rFonts w:ascii="Times New Roman" w:hAnsi="Times New Roman" w:cs="Times New Roman"/>
          <w:lang w:val="en-US"/>
        </w:rPr>
        <w:t>100 mA</w:t>
      </w:r>
      <w:r w:rsidR="003C25FE">
        <w:rPr>
          <w:rFonts w:ascii="Times New Roman" w:hAnsi="Times New Roman" w:cs="Times New Roman"/>
          <w:lang w:val="en-US"/>
        </w:rPr>
        <w:t xml:space="preserve"> </w:t>
      </w:r>
      <w:r>
        <w:rPr>
          <w:rFonts w:ascii="Times New Roman" w:hAnsi="Times New Roman" w:cs="Times New Roman"/>
          <w:lang w:val="en-US"/>
        </w:rPr>
        <w:t>cm</w:t>
      </w:r>
      <w:r w:rsidR="003C25FE">
        <w:rPr>
          <w:rFonts w:ascii="Times New Roman" w:hAnsi="Times New Roman" w:cs="Times New Roman"/>
          <w:vertAlign w:val="superscript"/>
          <w:lang w:val="en-US"/>
        </w:rPr>
        <w:t>-2</w:t>
      </w:r>
      <w:r>
        <w:rPr>
          <w:rFonts w:ascii="Times New Roman" w:hAnsi="Times New Roman" w:cs="Times New Roman"/>
          <w:lang w:val="en-US"/>
        </w:rPr>
        <w:t xml:space="preserve"> for 15 s.</w:t>
      </w:r>
      <w:r w:rsidR="00BE2C7E">
        <w:rPr>
          <w:rFonts w:ascii="Times New Roman" w:hAnsi="Times New Roman" w:cs="Times New Roman"/>
          <w:lang w:val="en-US"/>
        </w:rPr>
        <w:t xml:space="preserve"> Blac</w:t>
      </w:r>
      <w:r w:rsidR="00F3040F">
        <w:rPr>
          <w:rFonts w:ascii="Times New Roman" w:hAnsi="Times New Roman" w:cs="Times New Roman"/>
          <w:lang w:val="en-US"/>
        </w:rPr>
        <w:t>k arrows</w:t>
      </w:r>
      <w:proofErr w:type="gramEnd"/>
      <w:r w:rsidR="00F3040F">
        <w:rPr>
          <w:rFonts w:ascii="Times New Roman" w:hAnsi="Times New Roman" w:cs="Times New Roman"/>
          <w:lang w:val="en-US"/>
        </w:rPr>
        <w:t xml:space="preserve"> indicate short-circuit events</w:t>
      </w:r>
      <w:r w:rsidR="00BE2C7E">
        <w:rPr>
          <w:rFonts w:ascii="Times New Roman" w:hAnsi="Times New Roman" w:cs="Times New Roman"/>
          <w:lang w:val="en-US"/>
        </w:rPr>
        <w:t>.</w:t>
      </w:r>
      <w:r w:rsidR="00C4265C">
        <w:rPr>
          <w:rFonts w:ascii="Times New Roman" w:hAnsi="Times New Roman" w:cs="Times New Roman"/>
          <w:lang w:val="en-US"/>
        </w:rPr>
        <w:t xml:space="preserve"> Each </w:t>
      </w:r>
      <w:r w:rsidR="00485740">
        <w:rPr>
          <w:rFonts w:ascii="Times New Roman" w:hAnsi="Times New Roman" w:cs="Times New Roman"/>
          <w:lang w:val="en-US"/>
        </w:rPr>
        <w:t>plating/stripping</w:t>
      </w:r>
      <w:r w:rsidR="00C4265C">
        <w:rPr>
          <w:rFonts w:ascii="Times New Roman" w:hAnsi="Times New Roman" w:cs="Times New Roman"/>
          <w:lang w:val="en-US"/>
        </w:rPr>
        <w:t xml:space="preserve"> had a </w:t>
      </w:r>
      <w:r w:rsidR="00C4265C" w:rsidRPr="002B09A5">
        <w:rPr>
          <w:rFonts w:ascii="Times New Roman" w:hAnsi="Times New Roman" w:cs="Times New Roman"/>
          <w:bCs/>
          <w:lang w:val="en-US"/>
        </w:rPr>
        <w:t xml:space="preserve">total passed charge of 18 </w:t>
      </w:r>
      <m:oMath>
        <m:r>
          <m:rPr>
            <m:sty m:val="p"/>
          </m:rPr>
          <w:rPr>
            <w:rFonts w:ascii="Cambria Math" w:hAnsi="Cambria Math" w:cstheme="minorHAnsi"/>
          </w:rPr>
          <m:t>μ</m:t>
        </m:r>
      </m:oMath>
      <w:r w:rsidR="00C4265C" w:rsidRPr="002B09A5">
        <w:rPr>
          <w:rFonts w:cstheme="minorHAnsi"/>
          <w:bCs/>
        </w:rPr>
        <w:t>C.</w:t>
      </w:r>
    </w:p>
    <w:p w:rsidR="00996A57" w:rsidRDefault="00996A57" w:rsidP="00322D6B">
      <w:pPr>
        <w:spacing w:after="0" w:line="480" w:lineRule="auto"/>
        <w:jc w:val="both"/>
        <w:rPr>
          <w:rFonts w:ascii="Times New Roman" w:hAnsi="Times New Roman" w:cs="Times New Roman"/>
          <w:lang w:val="en-US"/>
        </w:rPr>
      </w:pPr>
    </w:p>
    <w:p w:rsidR="00322D6B" w:rsidRDefault="00EE6837" w:rsidP="00761854">
      <w:pPr>
        <w:keepNext/>
        <w:spacing w:after="0" w:line="480" w:lineRule="auto"/>
        <w:jc w:val="center"/>
        <w:rPr>
          <w:lang w:val="en-US" w:eastAsia="ko-KR"/>
        </w:rPr>
      </w:pPr>
      <w:r>
        <w:rPr>
          <w:noProof/>
          <w:lang w:eastAsia="en-GB"/>
        </w:rPr>
        <w:drawing>
          <wp:inline distT="0" distB="0" distL="0" distR="0">
            <wp:extent cx="6188710" cy="20224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188710" cy="2022475"/>
                    </a:xfrm>
                    <a:prstGeom prst="rect">
                      <a:avLst/>
                    </a:prstGeom>
                  </pic:spPr>
                </pic:pic>
              </a:graphicData>
            </a:graphic>
          </wp:inline>
        </w:drawing>
      </w:r>
    </w:p>
    <w:p w:rsidR="00EE6837" w:rsidRDefault="00EE6837" w:rsidP="00EE6837">
      <w:pPr>
        <w:spacing w:after="0" w:line="480" w:lineRule="auto"/>
        <w:jc w:val="both"/>
        <w:rPr>
          <w:rFonts w:ascii="Times New Roman" w:hAnsi="Times New Roman" w:cs="Times New Roman"/>
          <w:lang w:val="en-US"/>
        </w:rPr>
      </w:pPr>
      <w:r w:rsidRPr="0039596A">
        <w:rPr>
          <w:rFonts w:ascii="Times New Roman" w:hAnsi="Times New Roman" w:cs="Times New Roman"/>
          <w:b/>
          <w:lang w:val="en-US"/>
        </w:rPr>
        <w:t>Figure S</w:t>
      </w:r>
      <w:r>
        <w:rPr>
          <w:rFonts w:ascii="Times New Roman" w:hAnsi="Times New Roman" w:cs="Times New Roman"/>
          <w:b/>
          <w:lang w:val="en-US"/>
        </w:rPr>
        <w:t>4</w:t>
      </w:r>
      <w:r w:rsidRPr="0039596A">
        <w:rPr>
          <w:rFonts w:ascii="Times New Roman" w:hAnsi="Times New Roman" w:cs="Times New Roman"/>
          <w:b/>
          <w:lang w:val="en-US"/>
        </w:rPr>
        <w:t>.</w:t>
      </w:r>
      <w:r w:rsidRPr="006E0E65">
        <w:rPr>
          <w:rFonts w:ascii="Times New Roman" w:hAnsi="Times New Roman" w:cs="Times New Roman"/>
          <w:b/>
          <w:lang w:val="en-US"/>
        </w:rPr>
        <w:t xml:space="preserve"> </w:t>
      </w:r>
      <w:r w:rsidR="003C25FE">
        <w:rPr>
          <w:rFonts w:ascii="Times New Roman" w:hAnsi="Times New Roman" w:cs="Times New Roman"/>
          <w:lang w:val="en-US"/>
        </w:rPr>
        <w:t>SEM</w:t>
      </w:r>
      <w:r w:rsidR="003C25FE" w:rsidRPr="00926669">
        <w:rPr>
          <w:rFonts w:ascii="Times New Roman" w:hAnsi="Times New Roman" w:cs="Times New Roman"/>
          <w:lang w:val="en-US"/>
        </w:rPr>
        <w:t xml:space="preserve"> </w:t>
      </w:r>
      <w:r w:rsidRPr="00926669">
        <w:rPr>
          <w:rFonts w:ascii="Times New Roman" w:hAnsi="Times New Roman" w:cs="Times New Roman"/>
          <w:lang w:val="en-US"/>
        </w:rPr>
        <w:t>images showing the dendrite morphology plated at 100 mA</w:t>
      </w:r>
      <w:r w:rsidR="003C25FE">
        <w:rPr>
          <w:rFonts w:ascii="Times New Roman" w:hAnsi="Times New Roman" w:cs="Times New Roman"/>
          <w:lang w:val="en-US"/>
        </w:rPr>
        <w:t xml:space="preserve"> </w:t>
      </w:r>
      <w:r w:rsidRPr="00926669">
        <w:rPr>
          <w:rFonts w:ascii="Times New Roman" w:hAnsi="Times New Roman" w:cs="Times New Roman"/>
          <w:lang w:val="en-US"/>
        </w:rPr>
        <w:t>cm</w:t>
      </w:r>
      <w:r w:rsidR="003C25FE">
        <w:rPr>
          <w:rFonts w:ascii="Times New Roman" w:hAnsi="Times New Roman" w:cs="Times New Roman"/>
          <w:vertAlign w:val="superscript"/>
          <w:lang w:val="en-US"/>
        </w:rPr>
        <w:t>-2</w:t>
      </w:r>
      <w:r w:rsidR="003C25FE">
        <w:rPr>
          <w:rFonts w:ascii="Times New Roman" w:hAnsi="Times New Roman" w:cs="Times New Roman"/>
          <w:lang w:val="en-US"/>
        </w:rPr>
        <w:t>.</w:t>
      </w:r>
    </w:p>
    <w:p w:rsidR="00112CC8" w:rsidRPr="00926669" w:rsidRDefault="00112CC8" w:rsidP="00EE6837">
      <w:pPr>
        <w:spacing w:after="0" w:line="480" w:lineRule="auto"/>
        <w:jc w:val="both"/>
        <w:rPr>
          <w:rFonts w:ascii="Times New Roman" w:hAnsi="Times New Roman" w:cs="Times New Roman"/>
          <w:vertAlign w:val="superscript"/>
          <w:lang w:val="en-US"/>
        </w:rPr>
      </w:pPr>
    </w:p>
    <w:p w:rsidR="00737AFD" w:rsidRDefault="00112CC8" w:rsidP="00737AFD">
      <w:pPr>
        <w:spacing w:after="0" w:line="480" w:lineRule="auto"/>
        <w:jc w:val="both"/>
        <w:rPr>
          <w:rFonts w:ascii="Times New Roman" w:hAnsi="Times New Roman" w:cs="Times New Roman"/>
          <w:lang w:val="en-US"/>
        </w:rPr>
      </w:pPr>
      <w:r>
        <w:rPr>
          <w:rFonts w:ascii="Times New Roman" w:hAnsi="Times New Roman" w:cs="Times New Roman"/>
          <w:b/>
          <w:noProof/>
          <w:lang w:eastAsia="en-GB"/>
        </w:rPr>
        <w:drawing>
          <wp:inline distT="0" distB="0" distL="0" distR="0">
            <wp:extent cx="6188710" cy="1524000"/>
            <wp:effectExtent l="1905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90"/>
                    <a:stretch>
                      <a:fillRect/>
                    </a:stretch>
                  </pic:blipFill>
                  <pic:spPr bwMode="auto">
                    <a:xfrm>
                      <a:off x="0" y="0"/>
                      <a:ext cx="6188710" cy="1524000"/>
                    </a:xfrm>
                    <a:prstGeom prst="rect">
                      <a:avLst/>
                    </a:prstGeom>
                    <a:noFill/>
                    <a:ln>
                      <a:noFill/>
                    </a:ln>
                    <a:effectLst/>
                  </pic:spPr>
                </pic:pic>
              </a:graphicData>
            </a:graphic>
          </wp:inline>
        </w:drawing>
      </w:r>
      <w:r w:rsidR="00737AFD" w:rsidRPr="0039596A">
        <w:rPr>
          <w:rFonts w:ascii="Times New Roman" w:hAnsi="Times New Roman" w:cs="Times New Roman"/>
          <w:b/>
          <w:lang w:val="en-US"/>
        </w:rPr>
        <w:t>Figure S</w:t>
      </w:r>
      <w:r>
        <w:rPr>
          <w:rFonts w:ascii="Times New Roman" w:hAnsi="Times New Roman" w:cs="Times New Roman"/>
          <w:b/>
          <w:lang w:val="en-US"/>
        </w:rPr>
        <w:t>5</w:t>
      </w:r>
      <w:r w:rsidR="00737AFD" w:rsidRPr="0039596A">
        <w:rPr>
          <w:rFonts w:ascii="Times New Roman" w:hAnsi="Times New Roman" w:cs="Times New Roman"/>
          <w:b/>
          <w:lang w:val="en-US"/>
        </w:rPr>
        <w:t>.</w:t>
      </w:r>
      <w:r w:rsidR="00737AFD" w:rsidRPr="006E0E65">
        <w:rPr>
          <w:rFonts w:ascii="Times New Roman" w:hAnsi="Times New Roman" w:cs="Times New Roman"/>
          <w:b/>
          <w:lang w:val="en-US"/>
        </w:rPr>
        <w:t xml:space="preserve"> </w:t>
      </w:r>
      <w:r w:rsidR="002B09A5">
        <w:rPr>
          <w:rFonts w:ascii="Times New Roman" w:hAnsi="Times New Roman" w:cs="Times New Roman"/>
          <w:bCs/>
          <w:lang w:val="en-US"/>
        </w:rPr>
        <w:t>G</w:t>
      </w:r>
      <w:r w:rsidR="00737AFD" w:rsidRPr="002B09A5">
        <w:rPr>
          <w:rFonts w:ascii="Times New Roman" w:hAnsi="Times New Roman" w:cs="Times New Roman"/>
          <w:bCs/>
          <w:lang w:val="en-US"/>
        </w:rPr>
        <w:t xml:space="preserve">alvanostatic </w:t>
      </w:r>
      <w:r w:rsidR="00737AFD" w:rsidRPr="002B09A5">
        <w:rPr>
          <w:rFonts w:ascii="Times New Roman" w:hAnsi="Times New Roman" w:cs="Times New Roman" w:hint="eastAsia"/>
          <w:bCs/>
          <w:lang w:val="en-US" w:eastAsia="zh-CN"/>
        </w:rPr>
        <w:t>platin</w:t>
      </w:r>
      <w:r w:rsidR="00737AFD" w:rsidRPr="002B09A5">
        <w:rPr>
          <w:rFonts w:ascii="Times New Roman" w:hAnsi="Times New Roman" w:cs="Times New Roman"/>
          <w:bCs/>
          <w:lang w:val="en-US"/>
        </w:rPr>
        <w:t>g at -1 mA</w:t>
      </w:r>
      <w:r w:rsidR="003C25FE">
        <w:rPr>
          <w:rFonts w:ascii="Times New Roman" w:hAnsi="Times New Roman" w:cs="Times New Roman"/>
          <w:bCs/>
          <w:lang w:val="en-US"/>
        </w:rPr>
        <w:t xml:space="preserve"> </w:t>
      </w:r>
      <w:r w:rsidR="00737AFD" w:rsidRPr="002B09A5">
        <w:rPr>
          <w:rFonts w:ascii="Times New Roman" w:hAnsi="Times New Roman" w:cs="Times New Roman"/>
          <w:bCs/>
          <w:lang w:val="en-US"/>
        </w:rPr>
        <w:t>cm</w:t>
      </w:r>
      <w:r w:rsidR="003C25FE">
        <w:rPr>
          <w:rFonts w:ascii="Times New Roman" w:hAnsi="Times New Roman" w:cs="Times New Roman"/>
          <w:bCs/>
          <w:vertAlign w:val="superscript"/>
          <w:lang w:val="en-US"/>
        </w:rPr>
        <w:t>-2</w:t>
      </w:r>
      <w:r w:rsidR="00737AFD" w:rsidRPr="002B09A5">
        <w:rPr>
          <w:rFonts w:ascii="Times New Roman" w:hAnsi="Times New Roman" w:cs="Times New Roman"/>
          <w:bCs/>
          <w:lang w:val="en-US"/>
        </w:rPr>
        <w:t xml:space="preserve"> with a total plating time of 270 seconds and total passed charge of 0.8 </w:t>
      </w:r>
      <m:oMath>
        <m:r>
          <m:rPr>
            <m:sty m:val="p"/>
          </m:rPr>
          <w:rPr>
            <w:rFonts w:ascii="Cambria Math" w:hAnsi="Cambria Math" w:cstheme="minorHAnsi"/>
          </w:rPr>
          <m:t>μ</m:t>
        </m:r>
      </m:oMath>
      <w:r w:rsidR="00737AFD" w:rsidRPr="002B09A5">
        <w:rPr>
          <w:rFonts w:cstheme="minorHAnsi"/>
          <w:bCs/>
        </w:rPr>
        <w:t>C.</w:t>
      </w:r>
      <w:r w:rsidR="00737AFD">
        <w:rPr>
          <w:rFonts w:cstheme="minorHAnsi"/>
          <w:b/>
          <w:bCs/>
        </w:rPr>
        <w:t xml:space="preserve"> </w:t>
      </w:r>
    </w:p>
    <w:p w:rsidR="00112CC8" w:rsidRDefault="00112CC8" w:rsidP="00DC0696">
      <w:pPr>
        <w:spacing w:line="480" w:lineRule="auto"/>
        <w:jc w:val="both"/>
        <w:rPr>
          <w:rFonts w:ascii="Times New Roman" w:hAnsi="Times New Roman" w:cs="Times New Roman"/>
          <w:lang w:val="en-US"/>
        </w:rPr>
      </w:pPr>
    </w:p>
    <w:p w:rsidR="00737AFD" w:rsidRDefault="0045701D" w:rsidP="00DC0696">
      <w:pPr>
        <w:spacing w:line="480" w:lineRule="auto"/>
        <w:jc w:val="both"/>
        <w:rPr>
          <w:rFonts w:ascii="Times New Roman" w:hAnsi="Times New Roman" w:cs="Times New Roman"/>
          <w:lang w:val="en-US"/>
        </w:rPr>
      </w:pPr>
      <w:r w:rsidRPr="0045701D">
        <w:rPr>
          <w:rFonts w:ascii="Times New Roman" w:hAnsi="Times New Roman" w:cs="Times New Roman"/>
          <w:noProof/>
          <w:lang w:eastAsia="en-GB"/>
        </w:rPr>
        <w:drawing>
          <wp:inline distT="0" distB="0" distL="0" distR="0">
            <wp:extent cx="6191526" cy="1486894"/>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88710" cy="1487805"/>
                    </a:xfrm>
                    <a:prstGeom prst="rect">
                      <a:avLst/>
                    </a:prstGeom>
                    <a:noFill/>
                    <a:ln>
                      <a:noFill/>
                    </a:ln>
                    <a:effectLst/>
                  </pic:spPr>
                </pic:pic>
              </a:graphicData>
            </a:graphic>
          </wp:inline>
        </w:drawing>
      </w:r>
    </w:p>
    <w:p w:rsidR="00737AFD" w:rsidRDefault="00737AFD" w:rsidP="00737AFD">
      <w:pPr>
        <w:spacing w:after="0" w:line="480" w:lineRule="auto"/>
        <w:jc w:val="both"/>
        <w:rPr>
          <w:rFonts w:cstheme="minorHAnsi"/>
          <w:b/>
          <w:bCs/>
        </w:rPr>
      </w:pPr>
      <w:r w:rsidRPr="0039596A">
        <w:rPr>
          <w:rFonts w:ascii="Times New Roman" w:hAnsi="Times New Roman" w:cs="Times New Roman"/>
          <w:b/>
          <w:lang w:val="en-US"/>
        </w:rPr>
        <w:t>Figure S</w:t>
      </w:r>
      <w:r w:rsidR="00112CC8">
        <w:rPr>
          <w:rFonts w:ascii="Times New Roman" w:hAnsi="Times New Roman" w:cs="Times New Roman"/>
          <w:b/>
          <w:lang w:val="en-US"/>
        </w:rPr>
        <w:t>6</w:t>
      </w:r>
      <w:r w:rsidRPr="0039596A">
        <w:rPr>
          <w:rFonts w:ascii="Times New Roman" w:hAnsi="Times New Roman" w:cs="Times New Roman"/>
          <w:b/>
          <w:lang w:val="en-US"/>
        </w:rPr>
        <w:t>.</w:t>
      </w:r>
      <w:r w:rsidRPr="006E0E65">
        <w:rPr>
          <w:rFonts w:ascii="Times New Roman" w:hAnsi="Times New Roman" w:cs="Times New Roman"/>
          <w:b/>
          <w:lang w:val="en-US"/>
        </w:rPr>
        <w:t xml:space="preserve"> </w:t>
      </w:r>
      <w:r w:rsidR="002B09A5">
        <w:rPr>
          <w:rFonts w:ascii="Times New Roman" w:hAnsi="Times New Roman" w:cs="Times New Roman"/>
          <w:bCs/>
          <w:lang w:val="en-US"/>
        </w:rPr>
        <w:t>G</w:t>
      </w:r>
      <w:r w:rsidRPr="002B09A5">
        <w:rPr>
          <w:rFonts w:ascii="Times New Roman" w:hAnsi="Times New Roman" w:cs="Times New Roman"/>
          <w:bCs/>
          <w:lang w:val="en-US"/>
        </w:rPr>
        <w:t xml:space="preserve">alvanostatic </w:t>
      </w:r>
      <w:r w:rsidRPr="002B09A5">
        <w:rPr>
          <w:rFonts w:ascii="Times New Roman" w:hAnsi="Times New Roman" w:cs="Times New Roman" w:hint="eastAsia"/>
          <w:bCs/>
          <w:lang w:val="en-US" w:eastAsia="zh-CN"/>
        </w:rPr>
        <w:t>platin</w:t>
      </w:r>
      <w:r w:rsidRPr="002B09A5">
        <w:rPr>
          <w:rFonts w:ascii="Times New Roman" w:hAnsi="Times New Roman" w:cs="Times New Roman"/>
          <w:bCs/>
          <w:lang w:val="en-US"/>
        </w:rPr>
        <w:t>g at -10 mA</w:t>
      </w:r>
      <w:r w:rsidR="003C25FE">
        <w:rPr>
          <w:rFonts w:ascii="Times New Roman" w:hAnsi="Times New Roman" w:cs="Times New Roman"/>
          <w:bCs/>
          <w:lang w:val="en-US"/>
        </w:rPr>
        <w:t xml:space="preserve"> </w:t>
      </w:r>
      <w:r w:rsidRPr="002B09A5">
        <w:rPr>
          <w:rFonts w:ascii="Times New Roman" w:hAnsi="Times New Roman" w:cs="Times New Roman"/>
          <w:bCs/>
          <w:lang w:val="en-US"/>
        </w:rPr>
        <w:t>cm</w:t>
      </w:r>
      <w:r w:rsidR="003C25FE">
        <w:rPr>
          <w:rFonts w:ascii="Times New Roman" w:hAnsi="Times New Roman" w:cs="Times New Roman"/>
          <w:bCs/>
          <w:vertAlign w:val="superscript"/>
          <w:lang w:val="en-US"/>
        </w:rPr>
        <w:t>-2</w:t>
      </w:r>
      <w:r w:rsidRPr="002B09A5">
        <w:rPr>
          <w:rFonts w:ascii="Times New Roman" w:hAnsi="Times New Roman" w:cs="Times New Roman"/>
          <w:bCs/>
          <w:lang w:val="en-US"/>
        </w:rPr>
        <w:t xml:space="preserve"> with a total plating time of 600 seconds and total passed charge of 18 </w:t>
      </w:r>
      <m:oMath>
        <m:r>
          <m:rPr>
            <m:sty m:val="p"/>
          </m:rPr>
          <w:rPr>
            <w:rFonts w:ascii="Cambria Math" w:hAnsi="Cambria Math" w:cstheme="minorHAnsi"/>
          </w:rPr>
          <m:t>μ</m:t>
        </m:r>
      </m:oMath>
      <w:r w:rsidRPr="002B09A5">
        <w:rPr>
          <w:rFonts w:cstheme="minorHAnsi"/>
          <w:bCs/>
        </w:rPr>
        <w:t>C.</w:t>
      </w:r>
      <w:r>
        <w:rPr>
          <w:rFonts w:cstheme="minorHAnsi"/>
          <w:b/>
          <w:bCs/>
        </w:rPr>
        <w:t xml:space="preserve"> </w:t>
      </w:r>
    </w:p>
    <w:p w:rsidR="00706755" w:rsidRDefault="00706755" w:rsidP="00706755">
      <w:pPr>
        <w:spacing w:line="480" w:lineRule="auto"/>
        <w:jc w:val="center"/>
        <w:rPr>
          <w:rFonts w:ascii="Times New Roman" w:hAnsi="Times New Roman" w:cs="Times New Roman"/>
          <w:lang w:val="en-US"/>
        </w:rPr>
      </w:pPr>
      <w:r>
        <w:rPr>
          <w:rFonts w:ascii="Times New Roman" w:hAnsi="Times New Roman" w:cs="Times New Roman"/>
          <w:noProof/>
          <w:lang w:eastAsia="en-GB"/>
        </w:rPr>
        <w:drawing>
          <wp:inline distT="0" distB="0" distL="0" distR="0">
            <wp:extent cx="4521145" cy="2916266"/>
            <wp:effectExtent l="19050" t="0" r="0" b="0"/>
            <wp:docPr id="3" name="Picture 4" descr="Figure 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png"/>
                    <pic:cNvPicPr/>
                  </pic:nvPicPr>
                  <pic:blipFill>
                    <a:blip r:embed="rId13" cstate="print"/>
                    <a:srcRect l="49802"/>
                    <a:stretch>
                      <a:fillRect/>
                    </a:stretch>
                  </pic:blipFill>
                  <pic:spPr>
                    <a:xfrm>
                      <a:off x="0" y="0"/>
                      <a:ext cx="4522029" cy="2916836"/>
                    </a:xfrm>
                    <a:prstGeom prst="rect">
                      <a:avLst/>
                    </a:prstGeom>
                  </pic:spPr>
                </pic:pic>
              </a:graphicData>
            </a:graphic>
          </wp:inline>
        </w:drawing>
      </w:r>
    </w:p>
    <w:p w:rsidR="00706755" w:rsidRDefault="00706755" w:rsidP="00706755">
      <w:pPr>
        <w:spacing w:line="480" w:lineRule="auto"/>
        <w:jc w:val="both"/>
        <w:rPr>
          <w:rFonts w:ascii="Times New Roman" w:hAnsi="Times New Roman" w:cs="Times New Roman"/>
          <w:lang w:val="en-US"/>
        </w:rPr>
      </w:pPr>
      <w:r w:rsidRPr="0039596A">
        <w:rPr>
          <w:rFonts w:ascii="Times New Roman" w:hAnsi="Times New Roman" w:cs="Times New Roman"/>
          <w:b/>
          <w:lang w:val="en-US"/>
        </w:rPr>
        <w:t>Figure S</w:t>
      </w:r>
      <w:r>
        <w:rPr>
          <w:rFonts w:ascii="Times New Roman" w:hAnsi="Times New Roman" w:cs="Times New Roman"/>
          <w:b/>
          <w:lang w:val="en-US"/>
        </w:rPr>
        <w:t>7</w:t>
      </w:r>
      <w:r w:rsidRPr="0039596A">
        <w:rPr>
          <w:rFonts w:ascii="Times New Roman" w:hAnsi="Times New Roman" w:cs="Times New Roman"/>
          <w:b/>
          <w:lang w:val="en-US"/>
        </w:rPr>
        <w:t>.</w:t>
      </w:r>
      <w:r w:rsidRPr="006E0E65">
        <w:rPr>
          <w:rFonts w:ascii="Times New Roman" w:hAnsi="Times New Roman" w:cs="Times New Roman"/>
          <w:b/>
          <w:lang w:val="en-US"/>
        </w:rPr>
        <w:t xml:space="preserve"> </w:t>
      </w:r>
      <w:proofErr w:type="gramStart"/>
      <w:r>
        <w:rPr>
          <w:rFonts w:ascii="Times New Roman" w:hAnsi="Times New Roman" w:cs="Times New Roman"/>
          <w:bCs/>
          <w:lang w:val="en-US"/>
        </w:rPr>
        <w:t>Post-mortem</w:t>
      </w:r>
      <w:r w:rsidR="009C2B83">
        <w:rPr>
          <w:rFonts w:ascii="Times New Roman" w:hAnsi="Times New Roman" w:cs="Times New Roman"/>
          <w:bCs/>
          <w:lang w:val="en-US"/>
        </w:rPr>
        <w:t xml:space="preserve"> cross-section</w:t>
      </w:r>
      <w:r>
        <w:rPr>
          <w:rFonts w:ascii="Times New Roman" w:hAnsi="Times New Roman" w:cs="Times New Roman"/>
          <w:bCs/>
          <w:lang w:val="en-US"/>
        </w:rPr>
        <w:t xml:space="preserve"> SEM image of a working electrode</w:t>
      </w:r>
      <w:r w:rsidRPr="00966F9E">
        <w:rPr>
          <w:rFonts w:ascii="Times New Roman" w:hAnsi="Times New Roman" w:cs="Times New Roman"/>
          <w:bCs/>
          <w:lang w:val="en-US"/>
        </w:rPr>
        <w:t xml:space="preserve"> </w:t>
      </w:r>
      <w:r>
        <w:rPr>
          <w:rFonts w:ascii="Times New Roman" w:hAnsi="Times New Roman" w:cs="Times New Roman"/>
          <w:bCs/>
          <w:lang w:val="en-US"/>
        </w:rPr>
        <w:t>after potentiostatic plating (-1 V for 5 hr</w:t>
      </w:r>
      <w:r w:rsidRPr="00081FFB">
        <w:rPr>
          <w:rFonts w:ascii="Times New Roman" w:hAnsi="Times New Roman" w:cs="Times New Roman"/>
          <w:bCs/>
          <w:lang w:val="en-US"/>
        </w:rPr>
        <w:t>)</w:t>
      </w:r>
      <w:r>
        <w:rPr>
          <w:rFonts w:ascii="Times New Roman" w:hAnsi="Times New Roman" w:cs="Times New Roman"/>
          <w:bCs/>
          <w:lang w:val="en-US"/>
        </w:rPr>
        <w:t>.</w:t>
      </w:r>
      <w:proofErr w:type="gramEnd"/>
      <w:r>
        <w:rPr>
          <w:rFonts w:ascii="Times New Roman" w:hAnsi="Times New Roman" w:cs="Times New Roman"/>
          <w:bCs/>
          <w:lang w:val="en-US"/>
        </w:rPr>
        <w:t xml:space="preserve"> The blue area is magnified in Figure 4 of the main text, and shows a cross-section view of densely packed dendritic structures found at parts of the foil surface. Mossy dendrites can also be seen decorating parts of the surface.</w:t>
      </w:r>
    </w:p>
    <w:p w:rsidR="00420DB0" w:rsidRDefault="00420DB0" w:rsidP="00420DB0">
      <w:pPr>
        <w:spacing w:after="0" w:line="480" w:lineRule="auto"/>
        <w:rPr>
          <w:rFonts w:ascii="Times New Roman" w:hAnsi="Times New Roman" w:cs="Times New Roman"/>
          <w:sz w:val="24"/>
          <w:lang w:val="en-US" w:eastAsia="ko-KR"/>
        </w:rPr>
      </w:pPr>
      <w:r>
        <w:rPr>
          <w:rFonts w:ascii="Times New Roman" w:hAnsi="Times New Roman" w:cs="Times New Roman"/>
          <w:b/>
          <w:sz w:val="24"/>
          <w:lang w:val="en-US" w:eastAsia="ko-KR"/>
        </w:rPr>
        <w:t>Supporting Movie Files</w:t>
      </w:r>
    </w:p>
    <w:p w:rsidR="00420DB0" w:rsidRDefault="00420DB0" w:rsidP="00420DB0">
      <w:pPr>
        <w:pStyle w:val="TAMainText"/>
      </w:pPr>
      <w:r>
        <w:t>Supporting Movie S1 – High current density (100 mA/cm</w:t>
      </w:r>
      <w:r w:rsidRPr="002B0734">
        <w:rPr>
          <w:vertAlign w:val="superscript"/>
        </w:rPr>
        <w:t>2</w:t>
      </w:r>
      <w:r>
        <w:t>) Ca electrolyte cycling in-situ TEM</w:t>
      </w:r>
    </w:p>
    <w:p w:rsidR="00420DB0" w:rsidRDefault="00420DB0" w:rsidP="00420DB0">
      <w:pPr>
        <w:pStyle w:val="TAMainText"/>
      </w:pPr>
      <w:r>
        <w:t>Supporting Movie S2 –</w:t>
      </w:r>
      <w:r w:rsidR="0089794A">
        <w:t xml:space="preserve"> Low </w:t>
      </w:r>
      <w:r>
        <w:t>current density (1 mA/cm</w:t>
      </w:r>
      <w:r w:rsidRPr="002B0734">
        <w:rPr>
          <w:vertAlign w:val="superscript"/>
        </w:rPr>
        <w:t>2</w:t>
      </w:r>
      <w:r>
        <w:t>) Ca electrolyte cycling in-situ TEM</w:t>
      </w:r>
    </w:p>
    <w:p w:rsidR="00420DB0" w:rsidRDefault="00420DB0" w:rsidP="00420DB0">
      <w:pPr>
        <w:pStyle w:val="TAMainText"/>
      </w:pPr>
      <w:r>
        <w:t xml:space="preserve">Supporting Movie S3 – </w:t>
      </w:r>
      <w:r w:rsidR="0089794A">
        <w:t xml:space="preserve">Medium </w:t>
      </w:r>
      <w:r>
        <w:t>current density (1</w:t>
      </w:r>
      <w:r w:rsidR="0089794A">
        <w:t>0</w:t>
      </w:r>
      <w:r>
        <w:t> mA/cm</w:t>
      </w:r>
      <w:r w:rsidRPr="002B0734">
        <w:rPr>
          <w:vertAlign w:val="superscript"/>
        </w:rPr>
        <w:t>2</w:t>
      </w:r>
      <w:r>
        <w:t>) Ca electrolyte cycling in-situ TEM</w:t>
      </w:r>
    </w:p>
    <w:p w:rsidR="00EC2F1A" w:rsidRDefault="00EC2F1A" w:rsidP="00DC0696">
      <w:pPr>
        <w:spacing w:line="480" w:lineRule="auto"/>
        <w:jc w:val="both"/>
        <w:rPr>
          <w:rFonts w:ascii="Times New Roman" w:hAnsi="Times New Roman" w:cs="Times New Roman"/>
          <w:lang w:val="en-US"/>
        </w:rPr>
      </w:pPr>
    </w:p>
    <w:p w:rsidR="00AF3501" w:rsidRDefault="00247BF0" w:rsidP="001D7BD4">
      <w:pPr>
        <w:spacing w:before="240"/>
        <w:rPr>
          <w:lang w:val="en-US"/>
        </w:rPr>
      </w:pPr>
      <w:r>
        <w:rPr>
          <w:rFonts w:ascii="Times New Roman" w:hAnsi="Times New Roman" w:cs="Times New Roman"/>
          <w:b/>
          <w:sz w:val="24"/>
          <w:lang w:val="en-US" w:eastAsia="ko-KR"/>
        </w:rPr>
        <w:t>Reference</w:t>
      </w:r>
    </w:p>
    <w:p w:rsidR="00B656E8" w:rsidRPr="00B656E8" w:rsidRDefault="00B60329" w:rsidP="00B656E8">
      <w:pPr>
        <w:widowControl w:val="0"/>
        <w:autoSpaceDE w:val="0"/>
        <w:autoSpaceDN w:val="0"/>
        <w:adjustRightInd w:val="0"/>
        <w:spacing w:line="240" w:lineRule="auto"/>
        <w:ind w:left="640" w:hanging="640"/>
        <w:rPr>
          <w:rFonts w:ascii="Calibri" w:hAnsi="Calibri" w:cs="Calibri"/>
          <w:noProof/>
          <w:szCs w:val="24"/>
        </w:rPr>
      </w:pPr>
      <w:r>
        <w:rPr>
          <w:lang w:val="en-US"/>
        </w:rPr>
        <w:fldChar w:fldCharType="begin" w:fldLock="1"/>
      </w:r>
      <w:r w:rsidR="00247BF0">
        <w:rPr>
          <w:lang w:val="en-US"/>
        </w:rPr>
        <w:instrText xml:space="preserve">ADDIN Mendeley Bibliography CSL_BIBLIOGRAPHY </w:instrText>
      </w:r>
      <w:r>
        <w:rPr>
          <w:lang w:val="en-US"/>
        </w:rPr>
        <w:fldChar w:fldCharType="separate"/>
      </w:r>
      <w:r w:rsidR="00B656E8" w:rsidRPr="00B656E8">
        <w:rPr>
          <w:rFonts w:ascii="Calibri" w:hAnsi="Calibri" w:cs="Calibri"/>
          <w:noProof/>
          <w:szCs w:val="24"/>
        </w:rPr>
        <w:t xml:space="preserve">(1) </w:t>
      </w:r>
      <w:r w:rsidR="00B656E8" w:rsidRPr="00B656E8">
        <w:rPr>
          <w:rFonts w:ascii="Calibri" w:hAnsi="Calibri" w:cs="Calibri"/>
          <w:noProof/>
          <w:szCs w:val="24"/>
        </w:rPr>
        <w:tab/>
        <w:t xml:space="preserve">Wang, D.; Gao, X.; Chen, Y.; Jin, L.; Kuss, C.; Bruce, P. G. Plating and Stripping Calcium in an Organic Electrolyte. </w:t>
      </w:r>
      <w:r w:rsidR="00B656E8" w:rsidRPr="00B656E8">
        <w:rPr>
          <w:rFonts w:ascii="Calibri" w:hAnsi="Calibri" w:cs="Calibri"/>
          <w:i/>
          <w:iCs/>
          <w:noProof/>
          <w:szCs w:val="24"/>
        </w:rPr>
        <w:t>Nat. Mater.</w:t>
      </w:r>
      <w:r w:rsidR="00B656E8" w:rsidRPr="00B656E8">
        <w:rPr>
          <w:rFonts w:ascii="Calibri" w:hAnsi="Calibri" w:cs="Calibri"/>
          <w:noProof/>
          <w:szCs w:val="24"/>
        </w:rPr>
        <w:t xml:space="preserve"> </w:t>
      </w:r>
      <w:r w:rsidR="00B656E8" w:rsidRPr="00B656E8">
        <w:rPr>
          <w:rFonts w:ascii="Calibri" w:hAnsi="Calibri" w:cs="Calibri"/>
          <w:b/>
          <w:bCs/>
          <w:noProof/>
          <w:szCs w:val="24"/>
        </w:rPr>
        <w:t>2018</w:t>
      </w:r>
      <w:r w:rsidR="00B656E8" w:rsidRPr="00B656E8">
        <w:rPr>
          <w:rFonts w:ascii="Calibri" w:hAnsi="Calibri" w:cs="Calibri"/>
          <w:noProof/>
          <w:szCs w:val="24"/>
        </w:rPr>
        <w:t xml:space="preserve">, </w:t>
      </w:r>
      <w:r w:rsidR="00B656E8" w:rsidRPr="00B656E8">
        <w:rPr>
          <w:rFonts w:ascii="Calibri" w:hAnsi="Calibri" w:cs="Calibri"/>
          <w:i/>
          <w:iCs/>
          <w:noProof/>
          <w:szCs w:val="24"/>
        </w:rPr>
        <w:t>17</w:t>
      </w:r>
      <w:r w:rsidR="00B656E8" w:rsidRPr="00B656E8">
        <w:rPr>
          <w:rFonts w:ascii="Calibri" w:hAnsi="Calibri" w:cs="Calibri"/>
          <w:noProof/>
          <w:szCs w:val="24"/>
        </w:rPr>
        <w:t xml:space="preserve"> (1), 16–20.</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szCs w:val="24"/>
        </w:rPr>
      </w:pPr>
      <w:r w:rsidRPr="00B656E8">
        <w:rPr>
          <w:rFonts w:ascii="Calibri" w:hAnsi="Calibri" w:cs="Calibri"/>
          <w:noProof/>
          <w:szCs w:val="24"/>
        </w:rPr>
        <w:t xml:space="preserve">(2) </w:t>
      </w:r>
      <w:r w:rsidRPr="00B656E8">
        <w:rPr>
          <w:rFonts w:ascii="Calibri" w:hAnsi="Calibri" w:cs="Calibri"/>
          <w:noProof/>
          <w:szCs w:val="24"/>
        </w:rPr>
        <w:tab/>
        <w:t xml:space="preserve">Staniewicz, R. J. A Study of the Calcium-Thionyl Chloride Electrochemical System. </w:t>
      </w:r>
      <w:r w:rsidRPr="00B656E8">
        <w:rPr>
          <w:rFonts w:ascii="Calibri" w:hAnsi="Calibri" w:cs="Calibri"/>
          <w:i/>
          <w:iCs/>
          <w:noProof/>
          <w:szCs w:val="24"/>
        </w:rPr>
        <w:t>J. Electrochem. Soc.</w:t>
      </w:r>
      <w:r w:rsidRPr="00B656E8">
        <w:rPr>
          <w:rFonts w:ascii="Calibri" w:hAnsi="Calibri" w:cs="Calibri"/>
          <w:noProof/>
          <w:szCs w:val="24"/>
        </w:rPr>
        <w:t xml:space="preserve"> </w:t>
      </w:r>
      <w:r w:rsidRPr="00B656E8">
        <w:rPr>
          <w:rFonts w:ascii="Calibri" w:hAnsi="Calibri" w:cs="Calibri"/>
          <w:b/>
          <w:bCs/>
          <w:noProof/>
          <w:szCs w:val="24"/>
        </w:rPr>
        <w:t>1980</w:t>
      </w:r>
      <w:r w:rsidRPr="00B656E8">
        <w:rPr>
          <w:rFonts w:ascii="Calibri" w:hAnsi="Calibri" w:cs="Calibri"/>
          <w:noProof/>
          <w:szCs w:val="24"/>
        </w:rPr>
        <w:t xml:space="preserve">, </w:t>
      </w:r>
      <w:r w:rsidRPr="00B656E8">
        <w:rPr>
          <w:rFonts w:ascii="Calibri" w:hAnsi="Calibri" w:cs="Calibri"/>
          <w:i/>
          <w:iCs/>
          <w:noProof/>
          <w:szCs w:val="24"/>
        </w:rPr>
        <w:t>127</w:t>
      </w:r>
      <w:r w:rsidRPr="00B656E8">
        <w:rPr>
          <w:rFonts w:ascii="Calibri" w:hAnsi="Calibri" w:cs="Calibri"/>
          <w:noProof/>
          <w:szCs w:val="24"/>
        </w:rPr>
        <w:t xml:space="preserve"> (4), 782–789.</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szCs w:val="24"/>
        </w:rPr>
      </w:pPr>
      <w:r w:rsidRPr="00B656E8">
        <w:rPr>
          <w:rFonts w:ascii="Calibri" w:hAnsi="Calibri" w:cs="Calibri"/>
          <w:noProof/>
          <w:szCs w:val="24"/>
        </w:rPr>
        <w:t xml:space="preserve">(3) </w:t>
      </w:r>
      <w:r w:rsidRPr="00B656E8">
        <w:rPr>
          <w:rFonts w:ascii="Calibri" w:hAnsi="Calibri" w:cs="Calibri"/>
          <w:noProof/>
          <w:szCs w:val="24"/>
        </w:rPr>
        <w:tab/>
        <w:t xml:space="preserve">Meitav, A.; Peled, E. Calcium-Ca(AICI4)2-Thionyl Chloride Cell: Performance and Safety. </w:t>
      </w:r>
      <w:r w:rsidRPr="00B656E8">
        <w:rPr>
          <w:rFonts w:ascii="Calibri" w:hAnsi="Calibri" w:cs="Calibri"/>
          <w:i/>
          <w:iCs/>
          <w:noProof/>
          <w:szCs w:val="24"/>
        </w:rPr>
        <w:t>J. Electrochem. Soc.</w:t>
      </w:r>
      <w:r w:rsidRPr="00B656E8">
        <w:rPr>
          <w:rFonts w:ascii="Calibri" w:hAnsi="Calibri" w:cs="Calibri"/>
          <w:noProof/>
          <w:szCs w:val="24"/>
        </w:rPr>
        <w:t xml:space="preserve"> </w:t>
      </w:r>
      <w:r w:rsidRPr="00B656E8">
        <w:rPr>
          <w:rFonts w:ascii="Calibri" w:hAnsi="Calibri" w:cs="Calibri"/>
          <w:b/>
          <w:bCs/>
          <w:noProof/>
          <w:szCs w:val="24"/>
        </w:rPr>
        <w:t>1982</w:t>
      </w:r>
      <w:r w:rsidRPr="00B656E8">
        <w:rPr>
          <w:rFonts w:ascii="Calibri" w:hAnsi="Calibri" w:cs="Calibri"/>
          <w:noProof/>
          <w:szCs w:val="24"/>
        </w:rPr>
        <w:t xml:space="preserve">, </w:t>
      </w:r>
      <w:r w:rsidRPr="00B656E8">
        <w:rPr>
          <w:rFonts w:ascii="Calibri" w:hAnsi="Calibri" w:cs="Calibri"/>
          <w:i/>
          <w:iCs/>
          <w:noProof/>
          <w:szCs w:val="24"/>
        </w:rPr>
        <w:t>129</w:t>
      </w:r>
      <w:r w:rsidRPr="00B656E8">
        <w:rPr>
          <w:rFonts w:ascii="Calibri" w:hAnsi="Calibri" w:cs="Calibri"/>
          <w:noProof/>
          <w:szCs w:val="24"/>
        </w:rPr>
        <w:t xml:space="preserve"> (3), 451–457.</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szCs w:val="24"/>
        </w:rPr>
      </w:pPr>
      <w:r w:rsidRPr="00B656E8">
        <w:rPr>
          <w:rFonts w:ascii="Calibri" w:hAnsi="Calibri" w:cs="Calibri"/>
          <w:noProof/>
          <w:szCs w:val="24"/>
        </w:rPr>
        <w:t xml:space="preserve">(4) </w:t>
      </w:r>
      <w:r w:rsidRPr="00B656E8">
        <w:rPr>
          <w:rFonts w:ascii="Calibri" w:hAnsi="Calibri" w:cs="Calibri"/>
          <w:noProof/>
          <w:szCs w:val="24"/>
        </w:rPr>
        <w:tab/>
        <w:t xml:space="preserve">Aurbach, D.; Skaletsky, R.; Gofer, Y. The Electrochemical Behavior of Calcium Electrodes in a Few Organic Electrolytes. </w:t>
      </w:r>
      <w:r w:rsidRPr="00B656E8">
        <w:rPr>
          <w:rFonts w:ascii="Calibri" w:hAnsi="Calibri" w:cs="Calibri"/>
          <w:i/>
          <w:iCs/>
          <w:noProof/>
          <w:szCs w:val="24"/>
        </w:rPr>
        <w:t>J. Electrochem. Soc.</w:t>
      </w:r>
      <w:r w:rsidRPr="00B656E8">
        <w:rPr>
          <w:rFonts w:ascii="Calibri" w:hAnsi="Calibri" w:cs="Calibri"/>
          <w:noProof/>
          <w:szCs w:val="24"/>
        </w:rPr>
        <w:t xml:space="preserve"> </w:t>
      </w:r>
      <w:r w:rsidRPr="00B656E8">
        <w:rPr>
          <w:rFonts w:ascii="Calibri" w:hAnsi="Calibri" w:cs="Calibri"/>
          <w:b/>
          <w:bCs/>
          <w:noProof/>
          <w:szCs w:val="24"/>
        </w:rPr>
        <w:t>1991</w:t>
      </w:r>
      <w:r w:rsidRPr="00B656E8">
        <w:rPr>
          <w:rFonts w:ascii="Calibri" w:hAnsi="Calibri" w:cs="Calibri"/>
          <w:noProof/>
          <w:szCs w:val="24"/>
        </w:rPr>
        <w:t xml:space="preserve">, </w:t>
      </w:r>
      <w:r w:rsidRPr="00B656E8">
        <w:rPr>
          <w:rFonts w:ascii="Calibri" w:hAnsi="Calibri" w:cs="Calibri"/>
          <w:i/>
          <w:iCs/>
          <w:noProof/>
          <w:szCs w:val="24"/>
        </w:rPr>
        <w:t>138</w:t>
      </w:r>
      <w:r w:rsidRPr="00B656E8">
        <w:rPr>
          <w:rFonts w:ascii="Calibri" w:hAnsi="Calibri" w:cs="Calibri"/>
          <w:noProof/>
          <w:szCs w:val="24"/>
        </w:rPr>
        <w:t xml:space="preserve"> (12), 3536–3545.</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szCs w:val="24"/>
        </w:rPr>
      </w:pPr>
      <w:r w:rsidRPr="00B656E8">
        <w:rPr>
          <w:rFonts w:ascii="Calibri" w:hAnsi="Calibri" w:cs="Calibri"/>
          <w:noProof/>
          <w:szCs w:val="24"/>
        </w:rPr>
        <w:t xml:space="preserve">(5) </w:t>
      </w:r>
      <w:r w:rsidRPr="00B656E8">
        <w:rPr>
          <w:rFonts w:ascii="Calibri" w:hAnsi="Calibri" w:cs="Calibri"/>
          <w:noProof/>
          <w:szCs w:val="24"/>
        </w:rPr>
        <w:tab/>
        <w:t xml:space="preserve">Ponrouch, A.; Frontera, C.; Bardé, F.; Palacín, M. R. Towards a Calcium-Based Rechargeable Battery. </w:t>
      </w:r>
      <w:r w:rsidRPr="00B656E8">
        <w:rPr>
          <w:rFonts w:ascii="Calibri" w:hAnsi="Calibri" w:cs="Calibri"/>
          <w:i/>
          <w:iCs/>
          <w:noProof/>
          <w:szCs w:val="24"/>
        </w:rPr>
        <w:t>Nat. Mater.</w:t>
      </w:r>
      <w:r w:rsidRPr="00B656E8">
        <w:rPr>
          <w:rFonts w:ascii="Calibri" w:hAnsi="Calibri" w:cs="Calibri"/>
          <w:noProof/>
          <w:szCs w:val="24"/>
        </w:rPr>
        <w:t xml:space="preserve"> </w:t>
      </w:r>
      <w:r w:rsidRPr="00B656E8">
        <w:rPr>
          <w:rFonts w:ascii="Calibri" w:hAnsi="Calibri" w:cs="Calibri"/>
          <w:b/>
          <w:bCs/>
          <w:noProof/>
          <w:szCs w:val="24"/>
        </w:rPr>
        <w:t>2016</w:t>
      </w:r>
      <w:r w:rsidRPr="00B656E8">
        <w:rPr>
          <w:rFonts w:ascii="Calibri" w:hAnsi="Calibri" w:cs="Calibri"/>
          <w:noProof/>
          <w:szCs w:val="24"/>
        </w:rPr>
        <w:t xml:space="preserve">, </w:t>
      </w:r>
      <w:r w:rsidRPr="00B656E8">
        <w:rPr>
          <w:rFonts w:ascii="Calibri" w:hAnsi="Calibri" w:cs="Calibri"/>
          <w:i/>
          <w:iCs/>
          <w:noProof/>
          <w:szCs w:val="24"/>
        </w:rPr>
        <w:t>15</w:t>
      </w:r>
      <w:r w:rsidRPr="00B656E8">
        <w:rPr>
          <w:rFonts w:ascii="Calibri" w:hAnsi="Calibri" w:cs="Calibri"/>
          <w:noProof/>
          <w:szCs w:val="24"/>
        </w:rPr>
        <w:t xml:space="preserve"> (2), 169–172.</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szCs w:val="24"/>
        </w:rPr>
      </w:pPr>
      <w:r w:rsidRPr="00B656E8">
        <w:rPr>
          <w:rFonts w:ascii="Calibri" w:hAnsi="Calibri" w:cs="Calibri"/>
          <w:noProof/>
          <w:szCs w:val="24"/>
        </w:rPr>
        <w:t xml:space="preserve">(6) </w:t>
      </w:r>
      <w:r w:rsidRPr="00B656E8">
        <w:rPr>
          <w:rFonts w:ascii="Calibri" w:hAnsi="Calibri" w:cs="Calibri"/>
          <w:noProof/>
          <w:szCs w:val="24"/>
        </w:rPr>
        <w:tab/>
        <w:t xml:space="preserve">Sa, N.; Rajput, N. N.; Wang, H.; Key, B.; Ferrandon, M.; Srinivasan, V.; Persson, K. A.; Burrell, A. K.; Vaughey, J. T. Concentration Dependent Electrochemical Properties and Structural Analysis of a Simple Magnesium Electrolyte: Magnesium Bis(Trifluoromethane Sulfonyl)Imide in Diglyme. </w:t>
      </w:r>
      <w:r w:rsidRPr="00B656E8">
        <w:rPr>
          <w:rFonts w:ascii="Calibri" w:hAnsi="Calibri" w:cs="Calibri"/>
          <w:i/>
          <w:iCs/>
          <w:noProof/>
          <w:szCs w:val="24"/>
        </w:rPr>
        <w:t>RSC Adv.</w:t>
      </w:r>
      <w:r w:rsidRPr="00B656E8">
        <w:rPr>
          <w:rFonts w:ascii="Calibri" w:hAnsi="Calibri" w:cs="Calibri"/>
          <w:noProof/>
          <w:szCs w:val="24"/>
        </w:rPr>
        <w:t xml:space="preserve"> </w:t>
      </w:r>
      <w:r w:rsidRPr="00B656E8">
        <w:rPr>
          <w:rFonts w:ascii="Calibri" w:hAnsi="Calibri" w:cs="Calibri"/>
          <w:b/>
          <w:bCs/>
          <w:noProof/>
          <w:szCs w:val="24"/>
        </w:rPr>
        <w:t>2016</w:t>
      </w:r>
      <w:r w:rsidRPr="00B656E8">
        <w:rPr>
          <w:rFonts w:ascii="Calibri" w:hAnsi="Calibri" w:cs="Calibri"/>
          <w:noProof/>
          <w:szCs w:val="24"/>
        </w:rPr>
        <w:t xml:space="preserve">, </w:t>
      </w:r>
      <w:r w:rsidRPr="00B656E8">
        <w:rPr>
          <w:rFonts w:ascii="Calibri" w:hAnsi="Calibri" w:cs="Calibri"/>
          <w:i/>
          <w:iCs/>
          <w:noProof/>
          <w:szCs w:val="24"/>
        </w:rPr>
        <w:t>6</w:t>
      </w:r>
      <w:r w:rsidRPr="00B656E8">
        <w:rPr>
          <w:rFonts w:ascii="Calibri" w:hAnsi="Calibri" w:cs="Calibri"/>
          <w:noProof/>
          <w:szCs w:val="24"/>
        </w:rPr>
        <w:t xml:space="preserve"> (114), 113663–113670.</w:t>
      </w:r>
    </w:p>
    <w:p w:rsidR="00B656E8" w:rsidRPr="00B656E8" w:rsidRDefault="00B656E8" w:rsidP="00B656E8">
      <w:pPr>
        <w:widowControl w:val="0"/>
        <w:autoSpaceDE w:val="0"/>
        <w:autoSpaceDN w:val="0"/>
        <w:adjustRightInd w:val="0"/>
        <w:spacing w:line="240" w:lineRule="auto"/>
        <w:ind w:left="640" w:hanging="640"/>
        <w:rPr>
          <w:rFonts w:ascii="Calibri" w:hAnsi="Calibri" w:cs="Calibri"/>
          <w:noProof/>
        </w:rPr>
      </w:pPr>
      <w:r w:rsidRPr="00B656E8">
        <w:rPr>
          <w:rFonts w:ascii="Calibri" w:hAnsi="Calibri" w:cs="Calibri"/>
          <w:noProof/>
          <w:szCs w:val="24"/>
        </w:rPr>
        <w:t xml:space="preserve">(7) </w:t>
      </w:r>
      <w:r w:rsidRPr="00B656E8">
        <w:rPr>
          <w:rFonts w:ascii="Calibri" w:hAnsi="Calibri" w:cs="Calibri"/>
          <w:noProof/>
          <w:szCs w:val="24"/>
        </w:rPr>
        <w:tab/>
        <w:t xml:space="preserve">Unocic, R. R.; Sacci, R. L.; Brown, G. M.; Veith, G. M.; Dudney, N. J.; More, K. L.; Walden, F. S.; Gardiner, D. S.; Damiano, J.; Nackashi, D. P. Quantitative Electrochemical Measurements Using In Situ Ec-S/TEM Devices. </w:t>
      </w:r>
      <w:r w:rsidRPr="00B656E8">
        <w:rPr>
          <w:rFonts w:ascii="Calibri" w:hAnsi="Calibri" w:cs="Calibri"/>
          <w:i/>
          <w:iCs/>
          <w:noProof/>
          <w:szCs w:val="24"/>
        </w:rPr>
        <w:t>Microsc. Microanal.</w:t>
      </w:r>
      <w:r w:rsidRPr="00B656E8">
        <w:rPr>
          <w:rFonts w:ascii="Calibri" w:hAnsi="Calibri" w:cs="Calibri"/>
          <w:noProof/>
          <w:szCs w:val="24"/>
        </w:rPr>
        <w:t xml:space="preserve"> </w:t>
      </w:r>
      <w:r w:rsidRPr="00B656E8">
        <w:rPr>
          <w:rFonts w:ascii="Calibri" w:hAnsi="Calibri" w:cs="Calibri"/>
          <w:b/>
          <w:bCs/>
          <w:noProof/>
          <w:szCs w:val="24"/>
        </w:rPr>
        <w:t>2014</w:t>
      </w:r>
      <w:r w:rsidRPr="00B656E8">
        <w:rPr>
          <w:rFonts w:ascii="Calibri" w:hAnsi="Calibri" w:cs="Calibri"/>
          <w:noProof/>
          <w:szCs w:val="24"/>
        </w:rPr>
        <w:t xml:space="preserve">, </w:t>
      </w:r>
      <w:r w:rsidRPr="00B656E8">
        <w:rPr>
          <w:rFonts w:ascii="Calibri" w:hAnsi="Calibri" w:cs="Calibri"/>
          <w:i/>
          <w:iCs/>
          <w:noProof/>
          <w:szCs w:val="24"/>
        </w:rPr>
        <w:t>20</w:t>
      </w:r>
      <w:r w:rsidRPr="00B656E8">
        <w:rPr>
          <w:rFonts w:ascii="Calibri" w:hAnsi="Calibri" w:cs="Calibri"/>
          <w:noProof/>
          <w:szCs w:val="24"/>
        </w:rPr>
        <w:t xml:space="preserve"> (02), 452–461.</w:t>
      </w:r>
    </w:p>
    <w:p w:rsidR="00247BF0" w:rsidRPr="0039596A" w:rsidRDefault="00B60329">
      <w:pPr>
        <w:rPr>
          <w:lang w:val="en-US"/>
        </w:rPr>
      </w:pPr>
      <w:r>
        <w:rPr>
          <w:lang w:val="en-US"/>
        </w:rPr>
        <w:fldChar w:fldCharType="end"/>
      </w:r>
    </w:p>
    <w:sectPr w:rsidR="00247BF0" w:rsidRPr="0039596A" w:rsidSect="00A24DAC">
      <w:pgSz w:w="11906" w:h="16838"/>
      <w:pgMar w:top="1440" w:right="1080" w:bottom="1440" w:left="108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2123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2123FA" w16cid:durableId="2271373A"/>
</w16cid:commentsId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o, Xiangwen">
    <w15:presenceInfo w15:providerId="AD" w15:userId="S::xiangwen.gao@austin.utexas.edu::971565f0-c9ad-424f-8762-b86195623565"/>
  </w15:person>
  <w15:person w15:author="Shengda">
    <w15:presenceInfo w15:providerId="None" w15:userId="Shengd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24DAC"/>
    <w:rsid w:val="00027856"/>
    <w:rsid w:val="00027861"/>
    <w:rsid w:val="00052F5E"/>
    <w:rsid w:val="00055BC0"/>
    <w:rsid w:val="00060C5A"/>
    <w:rsid w:val="00081FFB"/>
    <w:rsid w:val="000A54F1"/>
    <w:rsid w:val="000B7314"/>
    <w:rsid w:val="000E7F23"/>
    <w:rsid w:val="00112CC8"/>
    <w:rsid w:val="00132665"/>
    <w:rsid w:val="001370EC"/>
    <w:rsid w:val="001506EE"/>
    <w:rsid w:val="001561D7"/>
    <w:rsid w:val="001D7BD4"/>
    <w:rsid w:val="001F70C8"/>
    <w:rsid w:val="00202EC0"/>
    <w:rsid w:val="00211994"/>
    <w:rsid w:val="002164ED"/>
    <w:rsid w:val="0023345A"/>
    <w:rsid w:val="00247BF0"/>
    <w:rsid w:val="00251A31"/>
    <w:rsid w:val="00253854"/>
    <w:rsid w:val="00257759"/>
    <w:rsid w:val="00281EFE"/>
    <w:rsid w:val="00287379"/>
    <w:rsid w:val="002A77C1"/>
    <w:rsid w:val="002B0734"/>
    <w:rsid w:val="002B09A5"/>
    <w:rsid w:val="002B7FEA"/>
    <w:rsid w:val="002C28AD"/>
    <w:rsid w:val="00312AFB"/>
    <w:rsid w:val="00322511"/>
    <w:rsid w:val="00322D6B"/>
    <w:rsid w:val="00334E8B"/>
    <w:rsid w:val="0033609F"/>
    <w:rsid w:val="00344A48"/>
    <w:rsid w:val="00360811"/>
    <w:rsid w:val="003611F1"/>
    <w:rsid w:val="0037660E"/>
    <w:rsid w:val="00380CAF"/>
    <w:rsid w:val="0038618F"/>
    <w:rsid w:val="0039596A"/>
    <w:rsid w:val="003C25FE"/>
    <w:rsid w:val="003D6639"/>
    <w:rsid w:val="00420DB0"/>
    <w:rsid w:val="0045701D"/>
    <w:rsid w:val="00485740"/>
    <w:rsid w:val="004A3EEE"/>
    <w:rsid w:val="004A41DA"/>
    <w:rsid w:val="00510865"/>
    <w:rsid w:val="005665D1"/>
    <w:rsid w:val="0057270F"/>
    <w:rsid w:val="005B0E05"/>
    <w:rsid w:val="005C0331"/>
    <w:rsid w:val="005D47DB"/>
    <w:rsid w:val="005E7CAE"/>
    <w:rsid w:val="00612DB1"/>
    <w:rsid w:val="006308DD"/>
    <w:rsid w:val="006376CC"/>
    <w:rsid w:val="006A42BF"/>
    <w:rsid w:val="006B4211"/>
    <w:rsid w:val="006D1203"/>
    <w:rsid w:val="006D2CFC"/>
    <w:rsid w:val="006E0E65"/>
    <w:rsid w:val="007050C5"/>
    <w:rsid w:val="00706755"/>
    <w:rsid w:val="0071090B"/>
    <w:rsid w:val="00721ABE"/>
    <w:rsid w:val="00737AFD"/>
    <w:rsid w:val="00740F79"/>
    <w:rsid w:val="00761854"/>
    <w:rsid w:val="007D62FC"/>
    <w:rsid w:val="00817DCF"/>
    <w:rsid w:val="0082366B"/>
    <w:rsid w:val="00823B85"/>
    <w:rsid w:val="00855B65"/>
    <w:rsid w:val="0089794A"/>
    <w:rsid w:val="008B08B9"/>
    <w:rsid w:val="008F3FDC"/>
    <w:rsid w:val="00906644"/>
    <w:rsid w:val="00926669"/>
    <w:rsid w:val="00932DE9"/>
    <w:rsid w:val="00937D49"/>
    <w:rsid w:val="00966F9E"/>
    <w:rsid w:val="00971BFF"/>
    <w:rsid w:val="00996A57"/>
    <w:rsid w:val="009A39FA"/>
    <w:rsid w:val="009B233D"/>
    <w:rsid w:val="009C2B83"/>
    <w:rsid w:val="00A06FF9"/>
    <w:rsid w:val="00A24DAC"/>
    <w:rsid w:val="00A700A4"/>
    <w:rsid w:val="00A7062D"/>
    <w:rsid w:val="00A95F13"/>
    <w:rsid w:val="00AB2A76"/>
    <w:rsid w:val="00AD1B23"/>
    <w:rsid w:val="00AF1F42"/>
    <w:rsid w:val="00AF3501"/>
    <w:rsid w:val="00AF4667"/>
    <w:rsid w:val="00B07405"/>
    <w:rsid w:val="00B44BE5"/>
    <w:rsid w:val="00B52CFE"/>
    <w:rsid w:val="00B60329"/>
    <w:rsid w:val="00B656E8"/>
    <w:rsid w:val="00B70888"/>
    <w:rsid w:val="00B918BD"/>
    <w:rsid w:val="00B931E7"/>
    <w:rsid w:val="00BA2DB2"/>
    <w:rsid w:val="00BC2CED"/>
    <w:rsid w:val="00BE2C7E"/>
    <w:rsid w:val="00BE3A9A"/>
    <w:rsid w:val="00BF16E6"/>
    <w:rsid w:val="00C035A4"/>
    <w:rsid w:val="00C245EA"/>
    <w:rsid w:val="00C4265C"/>
    <w:rsid w:val="00CA3588"/>
    <w:rsid w:val="00CA4519"/>
    <w:rsid w:val="00CD0724"/>
    <w:rsid w:val="00CF34C7"/>
    <w:rsid w:val="00CF41EC"/>
    <w:rsid w:val="00D02C17"/>
    <w:rsid w:val="00D10331"/>
    <w:rsid w:val="00D91BDA"/>
    <w:rsid w:val="00DB30E8"/>
    <w:rsid w:val="00DC0696"/>
    <w:rsid w:val="00E34BB8"/>
    <w:rsid w:val="00E508AB"/>
    <w:rsid w:val="00E72EAB"/>
    <w:rsid w:val="00E91453"/>
    <w:rsid w:val="00EA18C0"/>
    <w:rsid w:val="00EA54BA"/>
    <w:rsid w:val="00EC2F1A"/>
    <w:rsid w:val="00EE6837"/>
    <w:rsid w:val="00EF2C1F"/>
    <w:rsid w:val="00F3040F"/>
    <w:rsid w:val="00F54CF1"/>
    <w:rsid w:val="00F5733A"/>
    <w:rsid w:val="00FD4F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4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BBAuthorName"/>
    <w:rsid w:val="00A24DAC"/>
    <w:pPr>
      <w:spacing w:before="720" w:after="360" w:line="480" w:lineRule="auto"/>
      <w:jc w:val="center"/>
    </w:pPr>
    <w:rPr>
      <w:rFonts w:ascii="Times New Roman" w:eastAsiaTheme="minorEastAsia" w:hAnsi="Times New Roman" w:cs="Times New Roman"/>
      <w:sz w:val="44"/>
      <w:szCs w:val="20"/>
      <w:lang w:val="en-US"/>
    </w:rPr>
  </w:style>
  <w:style w:type="paragraph" w:customStyle="1" w:styleId="BBAuthorName">
    <w:name w:val="BB_Author_Name"/>
    <w:basedOn w:val="Normal"/>
    <w:next w:val="BCAuthorAddress"/>
    <w:rsid w:val="00A24DAC"/>
    <w:pPr>
      <w:spacing w:after="240" w:line="480" w:lineRule="auto"/>
      <w:jc w:val="center"/>
    </w:pPr>
    <w:rPr>
      <w:rFonts w:ascii="Times" w:eastAsiaTheme="minorEastAsia" w:hAnsi="Times" w:cs="Times New Roman"/>
      <w:i/>
      <w:sz w:val="24"/>
      <w:szCs w:val="20"/>
      <w:lang w:val="en-US"/>
    </w:rPr>
  </w:style>
  <w:style w:type="paragraph" w:customStyle="1" w:styleId="BCAuthorAddress">
    <w:name w:val="BC_Author_Address"/>
    <w:basedOn w:val="Normal"/>
    <w:next w:val="Normal"/>
    <w:rsid w:val="00A24DAC"/>
    <w:pPr>
      <w:spacing w:after="240" w:line="480" w:lineRule="auto"/>
      <w:jc w:val="center"/>
    </w:pPr>
    <w:rPr>
      <w:rFonts w:ascii="Times" w:eastAsiaTheme="minorEastAsia" w:hAnsi="Times" w:cs="Times New Roman"/>
      <w:sz w:val="24"/>
      <w:szCs w:val="20"/>
      <w:lang w:val="en-US"/>
    </w:rPr>
  </w:style>
  <w:style w:type="character" w:styleId="Hyperlink">
    <w:name w:val="Hyperlink"/>
    <w:uiPriority w:val="99"/>
    <w:rsid w:val="00A24DAC"/>
    <w:rPr>
      <w:color w:val="0000FF"/>
      <w:u w:val="single"/>
    </w:rPr>
  </w:style>
  <w:style w:type="paragraph" w:customStyle="1" w:styleId="BIEmailAddress">
    <w:name w:val="BI_Email_Address"/>
    <w:basedOn w:val="Normal"/>
    <w:next w:val="Normal"/>
    <w:rsid w:val="003D6639"/>
    <w:pPr>
      <w:spacing w:after="200" w:line="480" w:lineRule="auto"/>
      <w:jc w:val="both"/>
    </w:pPr>
    <w:rPr>
      <w:rFonts w:ascii="Times" w:eastAsiaTheme="minorEastAsia" w:hAnsi="Times" w:cs="Times New Roman"/>
      <w:sz w:val="24"/>
      <w:szCs w:val="20"/>
      <w:lang w:val="en-US"/>
    </w:rPr>
  </w:style>
  <w:style w:type="paragraph" w:customStyle="1" w:styleId="FACorrespondingAuthorFootnote">
    <w:name w:val="FA_Corresponding_Author_Footnote"/>
    <w:basedOn w:val="Normal"/>
    <w:next w:val="Normal"/>
    <w:rsid w:val="003D6639"/>
    <w:pPr>
      <w:spacing w:after="200" w:line="480" w:lineRule="auto"/>
      <w:jc w:val="both"/>
    </w:pPr>
    <w:rPr>
      <w:rFonts w:ascii="Times" w:eastAsiaTheme="minorEastAsia" w:hAnsi="Times" w:cs="Times New Roman"/>
      <w:sz w:val="24"/>
      <w:szCs w:val="20"/>
      <w:lang w:val="en-US"/>
    </w:rPr>
  </w:style>
  <w:style w:type="character" w:customStyle="1" w:styleId="italic">
    <w:name w:val="italic"/>
    <w:basedOn w:val="DefaultParagraphFont"/>
    <w:rsid w:val="0082366B"/>
  </w:style>
  <w:style w:type="character" w:styleId="CommentReference">
    <w:name w:val="annotation reference"/>
    <w:basedOn w:val="DefaultParagraphFont"/>
    <w:uiPriority w:val="99"/>
    <w:unhideWhenUsed/>
    <w:rsid w:val="00247BF0"/>
    <w:rPr>
      <w:sz w:val="16"/>
      <w:szCs w:val="16"/>
    </w:rPr>
  </w:style>
  <w:style w:type="paragraph" w:styleId="CommentText">
    <w:name w:val="annotation text"/>
    <w:basedOn w:val="Normal"/>
    <w:link w:val="CommentTextChar"/>
    <w:uiPriority w:val="99"/>
    <w:unhideWhenUsed/>
    <w:rsid w:val="00247BF0"/>
    <w:pPr>
      <w:spacing w:line="240" w:lineRule="auto"/>
    </w:pPr>
    <w:rPr>
      <w:sz w:val="20"/>
      <w:szCs w:val="20"/>
    </w:rPr>
  </w:style>
  <w:style w:type="character" w:customStyle="1" w:styleId="CommentTextChar">
    <w:name w:val="Comment Text Char"/>
    <w:basedOn w:val="DefaultParagraphFont"/>
    <w:link w:val="CommentText"/>
    <w:uiPriority w:val="99"/>
    <w:rsid w:val="00247BF0"/>
    <w:rPr>
      <w:sz w:val="20"/>
      <w:szCs w:val="20"/>
    </w:rPr>
  </w:style>
  <w:style w:type="paragraph" w:styleId="CommentSubject">
    <w:name w:val="annotation subject"/>
    <w:basedOn w:val="CommentText"/>
    <w:next w:val="CommentText"/>
    <w:link w:val="CommentSubjectChar"/>
    <w:uiPriority w:val="99"/>
    <w:semiHidden/>
    <w:unhideWhenUsed/>
    <w:rsid w:val="00247BF0"/>
    <w:rPr>
      <w:b/>
      <w:bCs/>
    </w:rPr>
  </w:style>
  <w:style w:type="character" w:customStyle="1" w:styleId="CommentSubjectChar">
    <w:name w:val="Comment Subject Char"/>
    <w:basedOn w:val="CommentTextChar"/>
    <w:link w:val="CommentSubject"/>
    <w:uiPriority w:val="99"/>
    <w:semiHidden/>
    <w:rsid w:val="00247BF0"/>
    <w:rPr>
      <w:b/>
      <w:bCs/>
      <w:sz w:val="20"/>
      <w:szCs w:val="20"/>
    </w:rPr>
  </w:style>
  <w:style w:type="paragraph" w:styleId="BalloonText">
    <w:name w:val="Balloon Text"/>
    <w:basedOn w:val="Normal"/>
    <w:link w:val="BalloonTextChar"/>
    <w:uiPriority w:val="99"/>
    <w:semiHidden/>
    <w:unhideWhenUsed/>
    <w:rsid w:val="00247B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BF0"/>
    <w:rPr>
      <w:rFonts w:ascii="Segoe UI" w:hAnsi="Segoe UI" w:cs="Segoe UI"/>
      <w:sz w:val="18"/>
      <w:szCs w:val="18"/>
    </w:rPr>
  </w:style>
  <w:style w:type="paragraph" w:customStyle="1" w:styleId="TAMainText">
    <w:name w:val="TA_Main_Text"/>
    <w:basedOn w:val="Normal"/>
    <w:rsid w:val="00C035A4"/>
    <w:pPr>
      <w:spacing w:after="0" w:line="480" w:lineRule="auto"/>
      <w:ind w:firstLine="202"/>
      <w:jc w:val="both"/>
    </w:pPr>
    <w:rPr>
      <w:rFonts w:ascii="Times New Roman" w:eastAsiaTheme="minorEastAsia" w:hAnsi="Times New Roman" w:cs="Times New Roman"/>
      <w:sz w:val="24"/>
      <w:szCs w:val="20"/>
      <w:lang w:val="en-US"/>
    </w:rPr>
  </w:style>
  <w:style w:type="paragraph" w:styleId="NoSpacing">
    <w:name w:val="No Spacing"/>
    <w:uiPriority w:val="1"/>
    <w:qFormat/>
    <w:rsid w:val="007050C5"/>
    <w:pPr>
      <w:spacing w:after="0" w:line="240" w:lineRule="auto"/>
      <w:jc w:val="both"/>
    </w:pPr>
    <w:rPr>
      <w:rFonts w:ascii="Times New Roman" w:eastAsiaTheme="minorEastAsia" w:hAnsi="Times New Roman"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peter.bruce@materials.ox.ac.uk" TargetMode="External"/><Relationship Id="rId11" Type="http://schemas.openxmlformats.org/officeDocument/2006/relationships/image" Target="media/image5.png"/><Relationship Id="rId5" Type="http://schemas.openxmlformats.org/officeDocument/2006/relationships/hyperlink" Target="mailto:alex.w.robertson@gmail.com"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10DE-1EF5-4220-B688-5EEBAE8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Department of Materials, University of Oxford</Company>
  <LinksUpToDate>false</LinksUpToDate>
  <CharactersWithSpaces>25080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8</cp:revision>
  <dcterms:created xsi:type="dcterms:W3CDTF">2020-05-22T14:13:00Z</dcterms:created>
  <dcterms:modified xsi:type="dcterms:W3CDTF">2020-06-09T13:13:00Z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http://www.zotero.org/styles/applied-catalysis-b-environmental</vt:lpwstr>
  </property>
  <property fmtid="{D5CDD505-2E9C-101B-9397-08002B2CF9AE}" pid="11" name="Mendeley Recent Style Name 4_1">
    <vt:lpwstr>Applied Catalysis B: Environmental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http://csl.mendeley.com/styles/20448741/minimal-grant-proposals</vt:lpwstr>
  </property>
  <property fmtid="{D5CDD505-2E9C-101B-9397-08002B2CF9AE}" pid="17" name="Mendeley Recent Style Name 7_1">
    <vt:lpwstr>Minimal style for grant proposals</vt:lpwstr>
  </property>
  <property fmtid="{D5CDD505-2E9C-101B-9397-08002B2CF9AE}" pid="18" name="Mendeley Recent Style Id 8_1">
    <vt:lpwstr>http://www.zotero.org/styles/nanoscale</vt:lpwstr>
  </property>
  <property fmtid="{D5CDD505-2E9C-101B-9397-08002B2CF9AE}" pid="19" name="Mendeley Recent Style Name 8_1">
    <vt:lpwstr>Nanoscale</vt:lpwstr>
  </property>
  <property fmtid="{D5CDD505-2E9C-101B-9397-08002B2CF9AE}" pid="20" name="Mendeley Recent Style Id 9_1">
    <vt:lpwstr>http://www.zotero.org/styles/royal-society-open-science</vt:lpwstr>
  </property>
  <property fmtid="{D5CDD505-2E9C-101B-9397-08002B2CF9AE}" pid="21" name="Mendeley Recent Style Name 9_1">
    <vt:lpwstr>Royal Society Open Science</vt:lpwstr>
  </property>
  <property fmtid="{D5CDD505-2E9C-101B-9397-08002B2CF9AE}" pid="22" name="Mendeley Document_1">
    <vt:lpwstr>True</vt:lpwstr>
  </property>
  <property fmtid="{D5CDD505-2E9C-101B-9397-08002B2CF9AE}" pid="23" name="Mendeley Unique User Id_1">
    <vt:lpwstr>e758b14d-f4de-3b6b-aae2-3c895a907cf4</vt:lpwstr>
  </property>
  <property fmtid="{D5CDD505-2E9C-101B-9397-08002B2CF9AE}" pid="24" name="Mendeley Citation Style_1">
    <vt:lpwstr>http://www.zotero.org/styles/acs-nano</vt:lpwstr>
  </property>
</Properties>
</file>