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E8DAC" w14:textId="27FEC171" w:rsidR="00335743" w:rsidRPr="00335743" w:rsidRDefault="002F46CC" w:rsidP="00CB0021">
      <w:pPr>
        <w:pStyle w:val="Appendix2"/>
        <w:numPr>
          <w:ilvl w:val="0"/>
          <w:numId w:val="0"/>
        </w:numPr>
        <w:spacing w:after="120"/>
        <w:rPr>
          <w:b w:val="0"/>
        </w:rPr>
      </w:pPr>
      <w:r w:rsidRPr="00EB4C57">
        <w:rPr>
          <w:i w:val="0"/>
        </w:rPr>
        <w:t xml:space="preserve">Appendix </w:t>
      </w:r>
      <w:r w:rsidR="00335743">
        <w:rPr>
          <w:i w:val="0"/>
        </w:rPr>
        <w:t>1</w:t>
      </w:r>
      <w:r w:rsidR="00CB0021">
        <w:rPr>
          <w:i w:val="0"/>
        </w:rPr>
        <w:t>a</w:t>
      </w:r>
      <w:r w:rsidRPr="00EB4C57">
        <w:rPr>
          <w:i w:val="0"/>
        </w:rPr>
        <w:t xml:space="preserve">: </w:t>
      </w:r>
      <w:r w:rsidR="00CB0021">
        <w:rPr>
          <w:i w:val="0"/>
        </w:rPr>
        <w:t>Sources and data construction: Education and sector of employment</w:t>
      </w:r>
    </w:p>
    <w:p w14:paraId="41E27C31" w14:textId="098E0063" w:rsidR="00335743" w:rsidRDefault="00335743" w:rsidP="00335743">
      <w:pPr>
        <w:spacing w:line="276" w:lineRule="auto"/>
        <w:rPr>
          <w:szCs w:val="20"/>
        </w:rPr>
      </w:pPr>
      <w:r>
        <w:t xml:space="preserve">Tables 1a &amp; b </w:t>
      </w:r>
      <w:r w:rsidRPr="001C62CD">
        <w:t>provides estimates of the share of the public sector labour force with</w:t>
      </w:r>
      <w:r w:rsidRPr="00C54648">
        <w:t xml:space="preserve"> secondary</w:t>
      </w:r>
      <w:r>
        <w:rPr>
          <w:szCs w:val="20"/>
        </w:rPr>
        <w:t xml:space="preserve"> and tertiary education as well as the share of such graduates working in the public sector. The estimates for the 1990s and 2000s are calculated from census and household survey microdata, while the estimates from the 1960s or 1970s build on manpower surveys. These manpower estimates rest on </w:t>
      </w:r>
      <w:r w:rsidR="00245E22">
        <w:rPr>
          <w:szCs w:val="20"/>
        </w:rPr>
        <w:t>several</w:t>
      </w:r>
      <w:r>
        <w:rPr>
          <w:szCs w:val="20"/>
        </w:rPr>
        <w:t xml:space="preserve"> assumptions. Firstly, the various manpower reports give estimates of the total ‘mid- and high-level manpower’ rather than educational attainment directly. These classifications of manpower level, however, rest on educational or skills requirements, and therefore serve as a proxy for educational attainment. However, workers without the requisite educational attainment may at times have been employed in such posts, or alternatively, there may be overqualified candidates in ‘low-level manpower’ posts. Secondly, I assume that all working secondary and tertiary graduates in the 1960s/70s were employed in the formal (rather than informal) sector. Note that this may overstate the public sector share if there are additional high educational achievers working in private establishments not captured by these surveys. A further point to keep in mind is that these estimates include expatriates, who made up a considerable share of the mid and high-level manpower in the 1960s and early 1970s.</w:t>
      </w:r>
    </w:p>
    <w:p w14:paraId="28C34343" w14:textId="77777777" w:rsidR="00335743" w:rsidRDefault="00335743" w:rsidP="00335743">
      <w:pPr>
        <w:spacing w:line="276" w:lineRule="auto"/>
        <w:rPr>
          <w:szCs w:val="20"/>
        </w:rPr>
      </w:pPr>
      <w:r>
        <w:rPr>
          <w:szCs w:val="20"/>
        </w:rPr>
        <w:t>For each country and year I describe how the estimates have been calculated below.</w:t>
      </w:r>
    </w:p>
    <w:p w14:paraId="65F8248C" w14:textId="77777777" w:rsidR="00335743" w:rsidRPr="00D9343F" w:rsidRDefault="00335743" w:rsidP="00335743">
      <w:pPr>
        <w:rPr>
          <w:b/>
          <w:u w:val="single"/>
        </w:rPr>
      </w:pPr>
      <w:r w:rsidRPr="00D9343F">
        <w:rPr>
          <w:b/>
          <w:u w:val="single"/>
        </w:rPr>
        <w:t>Kenya</w:t>
      </w:r>
    </w:p>
    <w:p w14:paraId="7B9F0C70" w14:textId="099E0C36" w:rsidR="00335743" w:rsidRDefault="00335743" w:rsidP="00335743">
      <w:pPr>
        <w:spacing w:line="276" w:lineRule="auto"/>
      </w:pPr>
      <w:r w:rsidRPr="00D9343F">
        <w:rPr>
          <w:b/>
        </w:rPr>
        <w:t>1972:</w:t>
      </w:r>
      <w:r>
        <w:t xml:space="preserve"> Estimates b</w:t>
      </w:r>
      <w:r w:rsidRPr="00BF3ADC">
        <w:t xml:space="preserve">ased on 1972 high and middle level manpower survey, reported in </w:t>
      </w:r>
      <w:r w:rsidR="00C80364">
        <w:t>the Statistical Abstract</w:t>
      </w:r>
      <w:bookmarkStart w:id="0" w:name="_GoBack"/>
      <w:bookmarkEnd w:id="0"/>
      <w:r w:rsidRPr="00BF3ADC">
        <w:t>1974</w:t>
      </w:r>
      <w:r>
        <w:t>, Table 273</w:t>
      </w:r>
      <w:r w:rsidRPr="00BF3ADC">
        <w:t>.</w:t>
      </w:r>
      <w:r w:rsidR="00543C51">
        <w:rPr>
          <w:rStyle w:val="FootnoteReference"/>
        </w:rPr>
        <w:footnoteReference w:id="1"/>
      </w:r>
      <w:r w:rsidRPr="00BF3ADC">
        <w:t xml:space="preserve"> This survey estimated 99,821 people in high and middle level positions</w:t>
      </w:r>
      <w:r>
        <w:t xml:space="preserve"> in Kenya</w:t>
      </w:r>
      <w:r w:rsidRPr="00BF3ADC">
        <w:t>. Of these 41,000 were in the public sector and 59,000 in the private sector. This puts the high and mid manpower ratio at 15% in the public sector and 15% in the formal sector overall, and 41% of the total high and mid-level manpower in the public sector.</w:t>
      </w:r>
      <w:r>
        <w:t xml:space="preserve"> ‘High and mid-level manpower’ is in the Kenyan case synonymous with jobs requiring at least a secondary school degree (Form IV).</w:t>
      </w:r>
    </w:p>
    <w:p w14:paraId="1FAD0F03" w14:textId="3D5A715B" w:rsidR="00335743" w:rsidRDefault="00335743" w:rsidP="00335743">
      <w:pPr>
        <w:spacing w:line="276" w:lineRule="auto"/>
      </w:pPr>
      <w:r>
        <w:rPr>
          <w:b/>
        </w:rPr>
        <w:t>1994</w:t>
      </w:r>
      <w:r w:rsidRPr="00D9343F">
        <w:rPr>
          <w:b/>
        </w:rPr>
        <w:t>:</w:t>
      </w:r>
      <w:r>
        <w:t xml:space="preserve"> Author’s calculation based on KE WMS 1994.</w:t>
      </w:r>
      <w:r w:rsidR="00543C51">
        <w:rPr>
          <w:rStyle w:val="FootnoteReference"/>
        </w:rPr>
        <w:footnoteReference w:id="2"/>
      </w:r>
    </w:p>
    <w:p w14:paraId="4D25B656" w14:textId="0E50CC76" w:rsidR="00335743" w:rsidRDefault="00335743" w:rsidP="00335743">
      <w:pPr>
        <w:spacing w:line="276" w:lineRule="auto"/>
      </w:pPr>
      <w:r w:rsidRPr="00D9343F">
        <w:rPr>
          <w:b/>
        </w:rPr>
        <w:t>2009:</w:t>
      </w:r>
      <w:r>
        <w:t xml:space="preserve"> Author’s calculation based on KE CENSUS 2009.</w:t>
      </w:r>
      <w:r w:rsidR="00543C51">
        <w:rPr>
          <w:rStyle w:val="FootnoteReference"/>
        </w:rPr>
        <w:footnoteReference w:id="3"/>
      </w:r>
    </w:p>
    <w:p w14:paraId="632B4E57" w14:textId="384E205B" w:rsidR="00335743" w:rsidRPr="00BF3ADC" w:rsidRDefault="00335743" w:rsidP="00335743">
      <w:pPr>
        <w:spacing w:line="276" w:lineRule="auto"/>
      </w:pPr>
      <w:r w:rsidRPr="00335743">
        <w:rPr>
          <w:b/>
        </w:rPr>
        <w:t>2015/16:</w:t>
      </w:r>
      <w:r>
        <w:t xml:space="preserve"> Author’s calculation based on KE IHBS 2015/16.</w:t>
      </w:r>
      <w:r w:rsidR="00543C51">
        <w:rPr>
          <w:rStyle w:val="FootnoteReference"/>
        </w:rPr>
        <w:footnoteReference w:id="4"/>
      </w:r>
    </w:p>
    <w:p w14:paraId="1CD6E64D" w14:textId="77777777" w:rsidR="00335743" w:rsidRPr="004B0D57" w:rsidRDefault="00335743" w:rsidP="00335743">
      <w:pPr>
        <w:spacing w:after="120"/>
        <w:rPr>
          <w:b/>
          <w:u w:val="single"/>
        </w:rPr>
      </w:pPr>
      <w:r w:rsidRPr="004B0D57">
        <w:rPr>
          <w:b/>
          <w:u w:val="single"/>
        </w:rPr>
        <w:t>Tanzania</w:t>
      </w:r>
    </w:p>
    <w:p w14:paraId="7B4DE260" w14:textId="185F102A" w:rsidR="00335743" w:rsidRPr="00BF3ADC" w:rsidRDefault="00335743" w:rsidP="00335743">
      <w:pPr>
        <w:spacing w:line="276" w:lineRule="auto"/>
      </w:pPr>
      <w:r w:rsidRPr="00DB41EB">
        <w:rPr>
          <w:b/>
        </w:rPr>
        <w:t xml:space="preserve">1964: </w:t>
      </w:r>
      <w:r w:rsidRPr="00BF3ADC">
        <w:t>Based on results reported in the Annual Manpower Report to the President 1982,</w:t>
      </w:r>
      <w:r w:rsidR="00543C51">
        <w:rPr>
          <w:rStyle w:val="FootnoteReference"/>
        </w:rPr>
        <w:footnoteReference w:id="5"/>
      </w:r>
      <w:r w:rsidRPr="00BF3ADC">
        <w:t xml:space="preserve"> which summarised results from all previous manpower surveys. These surveys classify high and mid-level manpower as those positions requiring four years of secondary schooling or equivalent experience. </w:t>
      </w:r>
    </w:p>
    <w:p w14:paraId="75F264DF" w14:textId="11B51BB3" w:rsidR="00335743" w:rsidRPr="00BF3ADC" w:rsidRDefault="00335743" w:rsidP="00335743">
      <w:pPr>
        <w:spacing w:line="276" w:lineRule="auto"/>
      </w:pPr>
      <w:r w:rsidRPr="00BF3ADC">
        <w:lastRenderedPageBreak/>
        <w:t>For 1964</w:t>
      </w:r>
      <w:r>
        <w:t>,</w:t>
      </w:r>
      <w:r w:rsidRPr="00BF3ADC">
        <w:t xml:space="preserve"> </w:t>
      </w:r>
      <w:r>
        <w:t>this</w:t>
      </w:r>
      <w:r w:rsidRPr="00BF3ADC">
        <w:t xml:space="preserve"> report records total high and mid-level manpower in the formal sector as 12,639 (categories A-C)</w:t>
      </w:r>
      <w:r>
        <w:t>, of which 5,389 work in the civil service</w:t>
      </w:r>
      <w:r w:rsidRPr="00BF3ADC">
        <w:t xml:space="preserve"> </w:t>
      </w:r>
      <w:r>
        <w:t>(Table 64 &amp; 65)</w:t>
      </w:r>
      <w:r w:rsidRPr="00BF3ADC">
        <w:t xml:space="preserve">. </w:t>
      </w:r>
      <w:r>
        <w:t>This means that roughly 6% of all civil service employees and 4% of all formal sector employees overall, had at least four years of secondary schooling</w:t>
      </w:r>
      <w:r w:rsidRPr="00BF3ADC">
        <w:t>.</w:t>
      </w:r>
    </w:p>
    <w:p w14:paraId="6F14C3B5" w14:textId="77777777" w:rsidR="00335743" w:rsidRDefault="00335743" w:rsidP="00335743">
      <w:pPr>
        <w:spacing w:line="276" w:lineRule="auto"/>
      </w:pPr>
      <w:r w:rsidRPr="00BF3ADC">
        <w:t>For the year 1980 the report also provides a breakdown of the total high and mid-level manpower by sector of the formal labour force. It suggests an extremely high share of the educated in public employment, with 90% in either the civil service or parastatals, 9% in the private sector and 1% within the party.</w:t>
      </w:r>
    </w:p>
    <w:p w14:paraId="0AA4EAF9" w14:textId="0951F3B3" w:rsidR="00335743" w:rsidRPr="00BF3ADC" w:rsidRDefault="00335743" w:rsidP="00335743">
      <w:pPr>
        <w:pStyle w:val="Caption"/>
        <w:rPr>
          <w:b w:val="0"/>
        </w:rPr>
      </w:pPr>
      <w:r>
        <w:t>Appendix Table</w:t>
      </w:r>
      <w:r w:rsidR="00CB0021">
        <w:t xml:space="preserve"> 1</w:t>
      </w:r>
      <w:r>
        <w:t xml:space="preserve">. </w:t>
      </w:r>
      <w:r w:rsidRPr="008A5901">
        <w:rPr>
          <w:b w:val="0"/>
        </w:rPr>
        <w:t>Tanzania: Distribution</w:t>
      </w:r>
      <w:r w:rsidRPr="00BF3ADC">
        <w:rPr>
          <w:b w:val="0"/>
        </w:rPr>
        <w:t xml:space="preserve"> of high and mid-level m</w:t>
      </w:r>
      <w:r>
        <w:rPr>
          <w:b w:val="0"/>
        </w:rPr>
        <w:t>anpower</w:t>
      </w:r>
      <w:r w:rsidRPr="00BF3ADC">
        <w:rPr>
          <w:b w:val="0"/>
        </w:rPr>
        <w:t>, 1980</w:t>
      </w:r>
    </w:p>
    <w:tbl>
      <w:tblPr>
        <w:tblStyle w:val="TableGrid"/>
        <w:tblW w:w="0" w:type="auto"/>
        <w:tblLook w:val="04A0" w:firstRow="1" w:lastRow="0" w:firstColumn="1" w:lastColumn="0" w:noHBand="0" w:noVBand="1"/>
      </w:tblPr>
      <w:tblGrid>
        <w:gridCol w:w="2984"/>
        <w:gridCol w:w="1507"/>
        <w:gridCol w:w="1504"/>
        <w:gridCol w:w="1500"/>
        <w:gridCol w:w="1521"/>
      </w:tblGrid>
      <w:tr w:rsidR="00335743" w:rsidRPr="00BA54C5" w14:paraId="29E600C6" w14:textId="77777777" w:rsidTr="009517F9">
        <w:tc>
          <w:tcPr>
            <w:tcW w:w="3085" w:type="dxa"/>
            <w:shd w:val="clear" w:color="auto" w:fill="F2F2F2" w:themeFill="background1" w:themeFillShade="F2"/>
          </w:tcPr>
          <w:p w14:paraId="73D6FB71" w14:textId="77777777" w:rsidR="00335743" w:rsidRPr="00BA54C5" w:rsidRDefault="00335743" w:rsidP="009517F9">
            <w:pPr>
              <w:spacing w:after="0" w:line="240" w:lineRule="auto"/>
              <w:rPr>
                <w:b/>
              </w:rPr>
            </w:pPr>
          </w:p>
        </w:tc>
        <w:tc>
          <w:tcPr>
            <w:tcW w:w="1539" w:type="dxa"/>
            <w:shd w:val="clear" w:color="auto" w:fill="F2F2F2" w:themeFill="background1" w:themeFillShade="F2"/>
          </w:tcPr>
          <w:p w14:paraId="1979059B" w14:textId="77777777" w:rsidR="00335743" w:rsidRPr="00BA54C5" w:rsidRDefault="00335743" w:rsidP="009517F9">
            <w:pPr>
              <w:spacing w:after="0" w:line="240" w:lineRule="auto"/>
              <w:rPr>
                <w:b/>
              </w:rPr>
            </w:pPr>
            <w:r w:rsidRPr="00BA54C5">
              <w:rPr>
                <w:b/>
              </w:rPr>
              <w:t>Citizens</w:t>
            </w:r>
          </w:p>
        </w:tc>
        <w:tc>
          <w:tcPr>
            <w:tcW w:w="1539" w:type="dxa"/>
            <w:shd w:val="clear" w:color="auto" w:fill="F2F2F2" w:themeFill="background1" w:themeFillShade="F2"/>
          </w:tcPr>
          <w:p w14:paraId="52D8BFFB" w14:textId="77777777" w:rsidR="00335743" w:rsidRPr="00BA54C5" w:rsidRDefault="00335743" w:rsidP="009517F9">
            <w:pPr>
              <w:spacing w:after="0" w:line="240" w:lineRule="auto"/>
              <w:rPr>
                <w:b/>
              </w:rPr>
            </w:pPr>
            <w:r w:rsidRPr="00BA54C5">
              <w:rPr>
                <w:b/>
              </w:rPr>
              <w:t>Non-citizens</w:t>
            </w:r>
          </w:p>
        </w:tc>
        <w:tc>
          <w:tcPr>
            <w:tcW w:w="1539" w:type="dxa"/>
            <w:shd w:val="clear" w:color="auto" w:fill="F2F2F2" w:themeFill="background1" w:themeFillShade="F2"/>
          </w:tcPr>
          <w:p w14:paraId="6049F49F" w14:textId="77777777" w:rsidR="00335743" w:rsidRPr="00BA54C5" w:rsidRDefault="00335743" w:rsidP="009517F9">
            <w:pPr>
              <w:spacing w:after="0" w:line="240" w:lineRule="auto"/>
              <w:rPr>
                <w:b/>
              </w:rPr>
            </w:pPr>
            <w:r w:rsidRPr="00BA54C5">
              <w:rPr>
                <w:b/>
              </w:rPr>
              <w:t>Total</w:t>
            </w:r>
          </w:p>
        </w:tc>
        <w:tc>
          <w:tcPr>
            <w:tcW w:w="1540" w:type="dxa"/>
            <w:shd w:val="clear" w:color="auto" w:fill="F2F2F2" w:themeFill="background1" w:themeFillShade="F2"/>
          </w:tcPr>
          <w:p w14:paraId="103A5BF2" w14:textId="77777777" w:rsidR="00335743" w:rsidRPr="00BA54C5" w:rsidRDefault="00335743" w:rsidP="009517F9">
            <w:pPr>
              <w:spacing w:after="0" w:line="240" w:lineRule="auto"/>
              <w:rPr>
                <w:b/>
              </w:rPr>
            </w:pPr>
            <w:r w:rsidRPr="00BA54C5">
              <w:rPr>
                <w:b/>
              </w:rPr>
              <w:t>Percentage</w:t>
            </w:r>
          </w:p>
        </w:tc>
      </w:tr>
      <w:tr w:rsidR="00335743" w:rsidRPr="00BF3ADC" w14:paraId="1039A6BA" w14:textId="77777777" w:rsidTr="009517F9">
        <w:tc>
          <w:tcPr>
            <w:tcW w:w="3085" w:type="dxa"/>
          </w:tcPr>
          <w:p w14:paraId="77B865B2" w14:textId="77777777" w:rsidR="00335743" w:rsidRPr="00BF3ADC" w:rsidRDefault="00335743" w:rsidP="009517F9">
            <w:pPr>
              <w:spacing w:after="0" w:line="240" w:lineRule="auto"/>
            </w:pPr>
            <w:r w:rsidRPr="00BF3ADC">
              <w:t>Civil service (i.e. general govt)</w:t>
            </w:r>
          </w:p>
        </w:tc>
        <w:tc>
          <w:tcPr>
            <w:tcW w:w="1539" w:type="dxa"/>
          </w:tcPr>
          <w:p w14:paraId="78225F96" w14:textId="77777777" w:rsidR="00335743" w:rsidRPr="00BF3ADC" w:rsidRDefault="00335743" w:rsidP="009517F9">
            <w:pPr>
              <w:spacing w:after="0" w:line="240" w:lineRule="auto"/>
            </w:pPr>
            <w:r w:rsidRPr="00BF3ADC">
              <w:t>26,707</w:t>
            </w:r>
          </w:p>
        </w:tc>
        <w:tc>
          <w:tcPr>
            <w:tcW w:w="1539" w:type="dxa"/>
          </w:tcPr>
          <w:p w14:paraId="59B9FC7F" w14:textId="77777777" w:rsidR="00335743" w:rsidRPr="00BF3ADC" w:rsidRDefault="00335743" w:rsidP="009517F9">
            <w:pPr>
              <w:spacing w:after="0" w:line="240" w:lineRule="auto"/>
            </w:pPr>
            <w:r w:rsidRPr="00BF3ADC">
              <w:t>429</w:t>
            </w:r>
          </w:p>
        </w:tc>
        <w:tc>
          <w:tcPr>
            <w:tcW w:w="1539" w:type="dxa"/>
            <w:vAlign w:val="bottom"/>
          </w:tcPr>
          <w:p w14:paraId="4F18697B" w14:textId="77777777" w:rsidR="00335743" w:rsidRPr="00BF3ADC" w:rsidRDefault="00335743" w:rsidP="009517F9">
            <w:pPr>
              <w:spacing w:after="0" w:line="240" w:lineRule="auto"/>
              <w:jc w:val="right"/>
            </w:pPr>
            <w:r w:rsidRPr="00BF3ADC">
              <w:t>27,136</w:t>
            </w:r>
          </w:p>
        </w:tc>
        <w:tc>
          <w:tcPr>
            <w:tcW w:w="1540" w:type="dxa"/>
            <w:vAlign w:val="bottom"/>
          </w:tcPr>
          <w:p w14:paraId="76936940" w14:textId="77777777" w:rsidR="00335743" w:rsidRPr="00BF3ADC" w:rsidRDefault="00335743" w:rsidP="009517F9">
            <w:pPr>
              <w:spacing w:after="0" w:line="240" w:lineRule="auto"/>
              <w:jc w:val="right"/>
            </w:pPr>
            <w:r w:rsidRPr="00BF3ADC">
              <w:t>57%</w:t>
            </w:r>
          </w:p>
        </w:tc>
      </w:tr>
      <w:tr w:rsidR="00335743" w:rsidRPr="00BF3ADC" w14:paraId="5DBD45B0" w14:textId="77777777" w:rsidTr="009517F9">
        <w:tc>
          <w:tcPr>
            <w:tcW w:w="3085" w:type="dxa"/>
          </w:tcPr>
          <w:p w14:paraId="0EBDE565" w14:textId="77777777" w:rsidR="00335743" w:rsidRPr="00BF3ADC" w:rsidRDefault="00335743" w:rsidP="009517F9">
            <w:pPr>
              <w:spacing w:after="0" w:line="240" w:lineRule="auto"/>
            </w:pPr>
            <w:r w:rsidRPr="00BF3ADC">
              <w:t>Parastatals</w:t>
            </w:r>
          </w:p>
        </w:tc>
        <w:tc>
          <w:tcPr>
            <w:tcW w:w="1539" w:type="dxa"/>
          </w:tcPr>
          <w:p w14:paraId="26161388" w14:textId="77777777" w:rsidR="00335743" w:rsidRPr="00BF3ADC" w:rsidRDefault="00335743" w:rsidP="009517F9">
            <w:pPr>
              <w:spacing w:after="0" w:line="240" w:lineRule="auto"/>
            </w:pPr>
            <w:r w:rsidRPr="00BF3ADC">
              <w:t>15,488</w:t>
            </w:r>
          </w:p>
        </w:tc>
        <w:tc>
          <w:tcPr>
            <w:tcW w:w="1539" w:type="dxa"/>
          </w:tcPr>
          <w:p w14:paraId="37F818F4" w14:textId="77777777" w:rsidR="00335743" w:rsidRPr="00BF3ADC" w:rsidRDefault="00335743" w:rsidP="009517F9">
            <w:pPr>
              <w:spacing w:after="0" w:line="240" w:lineRule="auto"/>
            </w:pPr>
            <w:r w:rsidRPr="00BF3ADC">
              <w:t>353</w:t>
            </w:r>
          </w:p>
        </w:tc>
        <w:tc>
          <w:tcPr>
            <w:tcW w:w="1539" w:type="dxa"/>
            <w:vAlign w:val="bottom"/>
          </w:tcPr>
          <w:p w14:paraId="43E22C98" w14:textId="77777777" w:rsidR="00335743" w:rsidRPr="00BF3ADC" w:rsidRDefault="00335743" w:rsidP="009517F9">
            <w:pPr>
              <w:spacing w:after="0" w:line="240" w:lineRule="auto"/>
              <w:jc w:val="right"/>
            </w:pPr>
            <w:r w:rsidRPr="00BF3ADC">
              <w:t>15,841</w:t>
            </w:r>
          </w:p>
        </w:tc>
        <w:tc>
          <w:tcPr>
            <w:tcW w:w="1540" w:type="dxa"/>
            <w:vAlign w:val="bottom"/>
          </w:tcPr>
          <w:p w14:paraId="56D5A8E5" w14:textId="77777777" w:rsidR="00335743" w:rsidRPr="00BF3ADC" w:rsidRDefault="00335743" w:rsidP="009517F9">
            <w:pPr>
              <w:spacing w:after="0" w:line="240" w:lineRule="auto"/>
              <w:jc w:val="right"/>
            </w:pPr>
            <w:r w:rsidRPr="00BF3ADC">
              <w:t>33%</w:t>
            </w:r>
          </w:p>
        </w:tc>
      </w:tr>
      <w:tr w:rsidR="00335743" w:rsidRPr="00BF3ADC" w14:paraId="271A6A7D" w14:textId="77777777" w:rsidTr="009517F9">
        <w:tc>
          <w:tcPr>
            <w:tcW w:w="3085" w:type="dxa"/>
          </w:tcPr>
          <w:p w14:paraId="41274B60" w14:textId="77777777" w:rsidR="00335743" w:rsidRPr="00BF3ADC" w:rsidRDefault="00335743" w:rsidP="009517F9">
            <w:pPr>
              <w:spacing w:after="0" w:line="240" w:lineRule="auto"/>
            </w:pPr>
            <w:r w:rsidRPr="00BF3ADC">
              <w:t>Private firms</w:t>
            </w:r>
          </w:p>
        </w:tc>
        <w:tc>
          <w:tcPr>
            <w:tcW w:w="1539" w:type="dxa"/>
          </w:tcPr>
          <w:p w14:paraId="1B8384EF" w14:textId="77777777" w:rsidR="00335743" w:rsidRPr="00BF3ADC" w:rsidRDefault="00335743" w:rsidP="009517F9">
            <w:pPr>
              <w:spacing w:after="0" w:line="240" w:lineRule="auto"/>
            </w:pPr>
            <w:r w:rsidRPr="00BF3ADC">
              <w:t>4,058</w:t>
            </w:r>
          </w:p>
        </w:tc>
        <w:tc>
          <w:tcPr>
            <w:tcW w:w="1539" w:type="dxa"/>
          </w:tcPr>
          <w:p w14:paraId="1F8F7D3F" w14:textId="77777777" w:rsidR="00335743" w:rsidRPr="00BF3ADC" w:rsidRDefault="00335743" w:rsidP="009517F9">
            <w:pPr>
              <w:spacing w:after="0" w:line="240" w:lineRule="auto"/>
            </w:pPr>
            <w:r w:rsidRPr="00BF3ADC">
              <w:t>455</w:t>
            </w:r>
          </w:p>
        </w:tc>
        <w:tc>
          <w:tcPr>
            <w:tcW w:w="1539" w:type="dxa"/>
            <w:vAlign w:val="bottom"/>
          </w:tcPr>
          <w:p w14:paraId="5EC4AB1C" w14:textId="77777777" w:rsidR="00335743" w:rsidRPr="00BF3ADC" w:rsidRDefault="00335743" w:rsidP="009517F9">
            <w:pPr>
              <w:spacing w:after="0" w:line="240" w:lineRule="auto"/>
              <w:jc w:val="right"/>
            </w:pPr>
            <w:r w:rsidRPr="00BF3ADC">
              <w:t>4,513</w:t>
            </w:r>
          </w:p>
        </w:tc>
        <w:tc>
          <w:tcPr>
            <w:tcW w:w="1540" w:type="dxa"/>
            <w:vAlign w:val="bottom"/>
          </w:tcPr>
          <w:p w14:paraId="39E5271E" w14:textId="77777777" w:rsidR="00335743" w:rsidRPr="00BF3ADC" w:rsidRDefault="00335743" w:rsidP="009517F9">
            <w:pPr>
              <w:spacing w:after="0" w:line="240" w:lineRule="auto"/>
              <w:jc w:val="right"/>
            </w:pPr>
            <w:r w:rsidRPr="00BF3ADC">
              <w:t>9%</w:t>
            </w:r>
          </w:p>
        </w:tc>
      </w:tr>
      <w:tr w:rsidR="00335743" w:rsidRPr="00BF3ADC" w14:paraId="7D99EB8A" w14:textId="77777777" w:rsidTr="009517F9">
        <w:tc>
          <w:tcPr>
            <w:tcW w:w="3085" w:type="dxa"/>
          </w:tcPr>
          <w:p w14:paraId="3B7406EA" w14:textId="77777777" w:rsidR="00335743" w:rsidRPr="00BF3ADC" w:rsidRDefault="00335743" w:rsidP="009517F9">
            <w:pPr>
              <w:spacing w:after="0" w:line="240" w:lineRule="auto"/>
            </w:pPr>
            <w:r w:rsidRPr="00BF3ADC">
              <w:t>CCM or affiliates</w:t>
            </w:r>
          </w:p>
        </w:tc>
        <w:tc>
          <w:tcPr>
            <w:tcW w:w="1539" w:type="dxa"/>
          </w:tcPr>
          <w:p w14:paraId="6D3A201D" w14:textId="77777777" w:rsidR="00335743" w:rsidRPr="00BF3ADC" w:rsidRDefault="00335743" w:rsidP="009517F9">
            <w:pPr>
              <w:spacing w:after="0" w:line="240" w:lineRule="auto"/>
            </w:pPr>
            <w:r w:rsidRPr="00BF3ADC">
              <w:t>329</w:t>
            </w:r>
          </w:p>
        </w:tc>
        <w:tc>
          <w:tcPr>
            <w:tcW w:w="1539" w:type="dxa"/>
          </w:tcPr>
          <w:p w14:paraId="69EEE1F5" w14:textId="77777777" w:rsidR="00335743" w:rsidRPr="00BF3ADC" w:rsidRDefault="00335743" w:rsidP="009517F9">
            <w:pPr>
              <w:spacing w:after="0" w:line="240" w:lineRule="auto"/>
            </w:pPr>
            <w:r w:rsidRPr="00BF3ADC">
              <w:t>12</w:t>
            </w:r>
          </w:p>
        </w:tc>
        <w:tc>
          <w:tcPr>
            <w:tcW w:w="1539" w:type="dxa"/>
            <w:vAlign w:val="bottom"/>
          </w:tcPr>
          <w:p w14:paraId="0C5F63BA" w14:textId="77777777" w:rsidR="00335743" w:rsidRPr="00BF3ADC" w:rsidRDefault="00335743" w:rsidP="009517F9">
            <w:pPr>
              <w:spacing w:after="0" w:line="240" w:lineRule="auto"/>
              <w:jc w:val="right"/>
            </w:pPr>
            <w:r w:rsidRPr="00BF3ADC">
              <w:t>341</w:t>
            </w:r>
          </w:p>
        </w:tc>
        <w:tc>
          <w:tcPr>
            <w:tcW w:w="1540" w:type="dxa"/>
            <w:vAlign w:val="bottom"/>
          </w:tcPr>
          <w:p w14:paraId="42818361" w14:textId="77777777" w:rsidR="00335743" w:rsidRPr="00BF3ADC" w:rsidRDefault="00335743" w:rsidP="009517F9">
            <w:pPr>
              <w:spacing w:after="0" w:line="240" w:lineRule="auto"/>
              <w:jc w:val="right"/>
            </w:pPr>
            <w:r w:rsidRPr="00BF3ADC">
              <w:t>1%</w:t>
            </w:r>
          </w:p>
        </w:tc>
      </w:tr>
    </w:tbl>
    <w:p w14:paraId="14EDFC08" w14:textId="76F7C43A" w:rsidR="00335743" w:rsidRPr="008A5901" w:rsidRDefault="00335743" w:rsidP="00335743">
      <w:pPr>
        <w:rPr>
          <w:sz w:val="20"/>
          <w:szCs w:val="20"/>
        </w:rPr>
      </w:pPr>
      <w:r w:rsidRPr="008A5901">
        <w:rPr>
          <w:b/>
          <w:sz w:val="20"/>
          <w:szCs w:val="20"/>
        </w:rPr>
        <w:t>Source:</w:t>
      </w:r>
      <w:r w:rsidRPr="008A5901">
        <w:rPr>
          <w:sz w:val="20"/>
          <w:szCs w:val="20"/>
        </w:rPr>
        <w:t xml:space="preserve"> </w:t>
      </w:r>
      <w:r w:rsidR="00543C51">
        <w:rPr>
          <w:sz w:val="20"/>
          <w:szCs w:val="20"/>
        </w:rPr>
        <w:t>Tanzania, Annual Manpower Report,</w:t>
      </w:r>
      <w:r w:rsidRPr="008A5901">
        <w:rPr>
          <w:sz w:val="20"/>
          <w:szCs w:val="20"/>
        </w:rPr>
        <w:t xml:space="preserve"> 1982, Table 67</w:t>
      </w:r>
    </w:p>
    <w:p w14:paraId="08EA6BCB" w14:textId="44D5D443" w:rsidR="00335743" w:rsidRDefault="00335743" w:rsidP="00335743">
      <w:pPr>
        <w:spacing w:line="276" w:lineRule="auto"/>
      </w:pPr>
      <w:r w:rsidRPr="00AD5FBC">
        <w:rPr>
          <w:b/>
        </w:rPr>
        <w:t>1993:</w:t>
      </w:r>
      <w:r w:rsidRPr="00AD5FBC">
        <w:t xml:space="preserve"> </w:t>
      </w:r>
      <w:r>
        <w:t>Author’s calculations based on TZ HRDS 1993.</w:t>
      </w:r>
      <w:r w:rsidR="00543C51">
        <w:rPr>
          <w:rStyle w:val="FootnoteReference"/>
        </w:rPr>
        <w:footnoteReference w:id="6"/>
      </w:r>
    </w:p>
    <w:p w14:paraId="6F672D81" w14:textId="401E73B5" w:rsidR="00335743" w:rsidRDefault="00335743" w:rsidP="00335743">
      <w:pPr>
        <w:spacing w:line="276" w:lineRule="auto"/>
      </w:pPr>
      <w:r w:rsidRPr="00335743">
        <w:rPr>
          <w:b/>
        </w:rPr>
        <w:t>2000/01:</w:t>
      </w:r>
      <w:r>
        <w:t xml:space="preserve"> Author’s calculations based on TZ HBS 2000/01.</w:t>
      </w:r>
      <w:r w:rsidR="00543C51">
        <w:rPr>
          <w:rStyle w:val="FootnoteReference"/>
        </w:rPr>
        <w:footnoteReference w:id="7"/>
      </w:r>
    </w:p>
    <w:p w14:paraId="2435F6A8" w14:textId="7D41F158" w:rsidR="00335743" w:rsidRPr="00BF3ADC" w:rsidRDefault="00335743" w:rsidP="00335743">
      <w:pPr>
        <w:spacing w:line="276" w:lineRule="auto"/>
      </w:pPr>
      <w:r w:rsidRPr="00AD5FBC">
        <w:rPr>
          <w:b/>
        </w:rPr>
        <w:t>2011/12:</w:t>
      </w:r>
      <w:r>
        <w:t xml:space="preserve"> Author’s calculations based on TZ HBS 2011/12.</w:t>
      </w:r>
      <w:r w:rsidR="00543C51">
        <w:rPr>
          <w:rStyle w:val="FootnoteReference"/>
        </w:rPr>
        <w:footnoteReference w:id="8"/>
      </w:r>
    </w:p>
    <w:p w14:paraId="165BE0BD" w14:textId="5DC97C63" w:rsidR="00335743" w:rsidRDefault="00335743" w:rsidP="002F46CC">
      <w:pPr>
        <w:pStyle w:val="Appendix2"/>
        <w:numPr>
          <w:ilvl w:val="0"/>
          <w:numId w:val="0"/>
        </w:numPr>
        <w:spacing w:after="120"/>
        <w:rPr>
          <w:i w:val="0"/>
        </w:rPr>
      </w:pPr>
    </w:p>
    <w:p w14:paraId="29499E82" w14:textId="77777777" w:rsidR="00335743" w:rsidRPr="00EB4C57" w:rsidRDefault="00335743" w:rsidP="002F46CC">
      <w:pPr>
        <w:pStyle w:val="Appendix2"/>
        <w:numPr>
          <w:ilvl w:val="0"/>
          <w:numId w:val="0"/>
        </w:numPr>
        <w:spacing w:after="120"/>
        <w:rPr>
          <w:i w:val="0"/>
        </w:rPr>
      </w:pPr>
    </w:p>
    <w:p w14:paraId="6541B67D" w14:textId="77777777" w:rsidR="00335743" w:rsidRDefault="00335743">
      <w:pPr>
        <w:spacing w:after="160" w:line="259" w:lineRule="auto"/>
        <w:jc w:val="left"/>
        <w:rPr>
          <w:rFonts w:eastAsiaTheme="majorEastAsia" w:cstheme="majorBidi"/>
          <w:b/>
          <w:iCs/>
          <w:sz w:val="24"/>
        </w:rPr>
      </w:pPr>
      <w:r>
        <w:rPr>
          <w:i/>
        </w:rPr>
        <w:br w:type="page"/>
      </w:r>
    </w:p>
    <w:p w14:paraId="58928BC3" w14:textId="593A416E" w:rsidR="00CB0021" w:rsidRPr="00335743" w:rsidRDefault="00CB0021" w:rsidP="00CB0021">
      <w:pPr>
        <w:pStyle w:val="Appendix2"/>
        <w:numPr>
          <w:ilvl w:val="0"/>
          <w:numId w:val="0"/>
        </w:numPr>
        <w:spacing w:after="120"/>
        <w:rPr>
          <w:b w:val="0"/>
        </w:rPr>
      </w:pPr>
      <w:r w:rsidRPr="00EB4C57">
        <w:rPr>
          <w:i w:val="0"/>
        </w:rPr>
        <w:lastRenderedPageBreak/>
        <w:t xml:space="preserve">Appendix </w:t>
      </w:r>
      <w:r>
        <w:rPr>
          <w:i w:val="0"/>
        </w:rPr>
        <w:t>1b</w:t>
      </w:r>
      <w:r w:rsidRPr="00EB4C57">
        <w:rPr>
          <w:i w:val="0"/>
        </w:rPr>
        <w:t xml:space="preserve">: </w:t>
      </w:r>
      <w:r>
        <w:rPr>
          <w:i w:val="0"/>
        </w:rPr>
        <w:t>Sources and data construction: Income and consumption</w:t>
      </w:r>
    </w:p>
    <w:p w14:paraId="2E3F34F0" w14:textId="2502C96E" w:rsidR="002F46CC" w:rsidRPr="00522149" w:rsidRDefault="002F46CC" w:rsidP="002F46CC">
      <w:pPr>
        <w:pStyle w:val="Appendix2"/>
        <w:numPr>
          <w:ilvl w:val="0"/>
          <w:numId w:val="0"/>
        </w:numPr>
        <w:spacing w:after="120"/>
        <w:rPr>
          <w:i w:val="0"/>
        </w:rPr>
      </w:pPr>
      <w:r w:rsidRPr="00522149">
        <w:rPr>
          <w:i w:val="0"/>
        </w:rPr>
        <w:t>Kenyan data sources</w:t>
      </w:r>
    </w:p>
    <w:p w14:paraId="49DEA1FF" w14:textId="77777777" w:rsidR="002F46CC" w:rsidRPr="00522149" w:rsidRDefault="002F46CC" w:rsidP="002F46CC">
      <w:pPr>
        <w:pStyle w:val="Heading3"/>
        <w:spacing w:after="120"/>
        <w:rPr>
          <w:b w:val="0"/>
        </w:rPr>
      </w:pPr>
      <w:r w:rsidRPr="00522149">
        <w:rPr>
          <w:b w:val="0"/>
        </w:rPr>
        <w:t>Constructing the 1975 income distribution</w:t>
      </w:r>
    </w:p>
    <w:p w14:paraId="7CF9800F" w14:textId="27B17A58" w:rsidR="002F46CC" w:rsidRPr="00F23F31" w:rsidRDefault="002F46CC" w:rsidP="002F46CC">
      <w:pPr>
        <w:spacing w:after="120" w:line="276" w:lineRule="auto"/>
        <w:rPr>
          <w:bCs/>
          <w:szCs w:val="18"/>
        </w:rPr>
      </w:pPr>
      <w:r w:rsidRPr="00F23F31">
        <w:rPr>
          <w:bCs/>
          <w:szCs w:val="18"/>
        </w:rPr>
        <w:t xml:space="preserve">Kenya did not undertake any comprehensive household budget surveys in the 1960s or 1970s and reconstructions of the income distribution from this period therefore rely on data from several sources. Several authors have used data </w:t>
      </w:r>
      <w:r w:rsidRPr="00522CDF">
        <w:rPr>
          <w:bCs/>
          <w:szCs w:val="18"/>
        </w:rPr>
        <w:t xml:space="preserve">from the Integrated Rural Surveys (1974-79), in combination with other sources, to establish a rough income distribution </w:t>
      </w:r>
      <w:r w:rsidRPr="00522CDF">
        <w:rPr>
          <w:noProof/>
        </w:rPr>
        <w:t>(Crawford and Thorbecke 1978; Smith 1978; Collier and Lal 1980; Livingstone 1981)</w:t>
      </w:r>
      <w:r w:rsidRPr="00522CDF">
        <w:t>.</w:t>
      </w:r>
      <w:r w:rsidR="00245E22" w:rsidRPr="00522CDF">
        <w:rPr>
          <w:rStyle w:val="FootnoteReference"/>
        </w:rPr>
        <w:footnoteReference w:id="9"/>
      </w:r>
      <w:r w:rsidRPr="00522CDF">
        <w:rPr>
          <w:bCs/>
          <w:szCs w:val="18"/>
        </w:rPr>
        <w:t xml:space="preserve"> Because</w:t>
      </w:r>
      <w:r w:rsidRPr="00F23F31">
        <w:rPr>
          <w:bCs/>
          <w:szCs w:val="18"/>
        </w:rPr>
        <w:t xml:space="preserve"> these studies were foremost about poverty, and thus the bottom of the distribution, they tend to have relatively large, undifferentiated brackets at the top. I therefore use the most detailed of the rural income distribution tables </w:t>
      </w:r>
      <w:r>
        <w:rPr>
          <w:bCs/>
          <w:szCs w:val="18"/>
        </w:rPr>
        <w:t>available</w:t>
      </w:r>
      <w:r w:rsidRPr="00F23F31">
        <w:rPr>
          <w:bCs/>
          <w:szCs w:val="18"/>
        </w:rPr>
        <w:t>, constructed by Smith (1978) based on the 1974/75 Integrated Rural Survey</w:t>
      </w:r>
      <w:r>
        <w:rPr>
          <w:bCs/>
          <w:szCs w:val="18"/>
        </w:rPr>
        <w:t>.</w:t>
      </w:r>
      <w:r w:rsidRPr="00F23F31">
        <w:rPr>
          <w:bCs/>
          <w:szCs w:val="18"/>
        </w:rPr>
        <w:t xml:space="preserve"> As this survey only covered smallholder households (roughly 75% of the population), other sources are used to add the missing households to this distribution. Large farming households are added</w:t>
      </w:r>
      <w:r>
        <w:rPr>
          <w:bCs/>
          <w:szCs w:val="18"/>
        </w:rPr>
        <w:t xml:space="preserve"> to this distribution based on the large farm survey</w:t>
      </w:r>
      <w:r w:rsidRPr="00F23F31">
        <w:rPr>
          <w:bCs/>
          <w:szCs w:val="18"/>
        </w:rPr>
        <w:t xml:space="preserve">, along with the data on formal sector wages (from the EES), self-employed (income tax statistics report), and urban informal sector (informal sector survey), and rough estimates of the pastoral population from Collier and Lal (1980).  This is therefore a rough calculation, and relies on a number of simplifying assumptions in order to reconcile the data from different surveys. </w:t>
      </w:r>
    </w:p>
    <w:p w14:paraId="0AB2CA25" w14:textId="77777777" w:rsidR="002F46CC" w:rsidRPr="00E30BEF" w:rsidRDefault="002F46CC" w:rsidP="002F46CC">
      <w:pPr>
        <w:pStyle w:val="Caption"/>
        <w:spacing w:after="120"/>
        <w:rPr>
          <w:b w:val="0"/>
          <w:bCs/>
          <w:i/>
          <w:sz w:val="22"/>
        </w:rPr>
      </w:pPr>
      <w:r w:rsidRPr="00E30BEF">
        <w:rPr>
          <w:b w:val="0"/>
          <w:i/>
          <w:sz w:val="22"/>
        </w:rPr>
        <w:t xml:space="preserve">Appendix Table </w:t>
      </w:r>
      <w:r w:rsidRPr="00E30BEF">
        <w:rPr>
          <w:b w:val="0"/>
          <w:i/>
          <w:noProof/>
          <w:sz w:val="22"/>
        </w:rPr>
        <w:t>1</w:t>
      </w:r>
      <w:r w:rsidRPr="00E30BEF">
        <w:rPr>
          <w:b w:val="0"/>
          <w:i/>
          <w:sz w:val="22"/>
        </w:rPr>
        <w:t>. Constructed income distribution for Kenya, thousands of households, 1975</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800"/>
        <w:gridCol w:w="894"/>
        <w:gridCol w:w="828"/>
        <w:gridCol w:w="960"/>
        <w:gridCol w:w="1025"/>
        <w:gridCol w:w="879"/>
        <w:gridCol w:w="709"/>
        <w:gridCol w:w="850"/>
      </w:tblGrid>
      <w:tr w:rsidR="002F46CC" w:rsidRPr="00BF3ADC" w14:paraId="600F2CC8" w14:textId="77777777" w:rsidTr="009517F9">
        <w:trPr>
          <w:trHeight w:val="300"/>
        </w:trPr>
        <w:tc>
          <w:tcPr>
            <w:tcW w:w="1134" w:type="dxa"/>
            <w:shd w:val="clear" w:color="auto" w:fill="auto"/>
            <w:noWrap/>
            <w:vAlign w:val="bottom"/>
          </w:tcPr>
          <w:p w14:paraId="0801A950" w14:textId="77777777" w:rsidR="002F46CC" w:rsidRPr="00BF3ADC" w:rsidRDefault="002F46CC" w:rsidP="009517F9">
            <w:pPr>
              <w:spacing w:after="0" w:line="240" w:lineRule="auto"/>
              <w:jc w:val="center"/>
              <w:rPr>
                <w:rFonts w:eastAsia="Times New Roman"/>
                <w:b/>
                <w:bCs/>
                <w:color w:val="000000"/>
                <w:sz w:val="18"/>
                <w:lang w:eastAsia="en-GB"/>
              </w:rPr>
            </w:pPr>
          </w:p>
        </w:tc>
        <w:tc>
          <w:tcPr>
            <w:tcW w:w="851" w:type="dxa"/>
            <w:shd w:val="clear" w:color="auto" w:fill="auto"/>
            <w:noWrap/>
            <w:vAlign w:val="bottom"/>
          </w:tcPr>
          <w:p w14:paraId="42C91A8F" w14:textId="77777777" w:rsidR="002F46CC" w:rsidRPr="00BF3ADC" w:rsidRDefault="002F46CC" w:rsidP="009517F9">
            <w:pPr>
              <w:spacing w:after="0" w:line="240" w:lineRule="auto"/>
              <w:jc w:val="center"/>
              <w:rPr>
                <w:rFonts w:eastAsia="Times New Roman"/>
                <w:b/>
                <w:bCs/>
                <w:color w:val="000000"/>
                <w:sz w:val="18"/>
                <w:lang w:eastAsia="en-GB"/>
              </w:rPr>
            </w:pPr>
            <w:r w:rsidRPr="00BF3ADC">
              <w:rPr>
                <w:rFonts w:eastAsia="Times New Roman"/>
                <w:b/>
                <w:bCs/>
                <w:color w:val="000000"/>
                <w:sz w:val="18"/>
                <w:lang w:eastAsia="en-GB"/>
              </w:rPr>
              <w:t>(1)</w:t>
            </w:r>
          </w:p>
        </w:tc>
        <w:tc>
          <w:tcPr>
            <w:tcW w:w="800" w:type="dxa"/>
            <w:vAlign w:val="bottom"/>
          </w:tcPr>
          <w:p w14:paraId="380CB824" w14:textId="77777777" w:rsidR="002F46CC" w:rsidRPr="00BF3ADC" w:rsidRDefault="002F46CC" w:rsidP="009517F9">
            <w:pPr>
              <w:spacing w:after="0" w:line="240" w:lineRule="auto"/>
              <w:jc w:val="center"/>
              <w:rPr>
                <w:rFonts w:eastAsia="Times New Roman"/>
                <w:b/>
                <w:bCs/>
                <w:color w:val="000000"/>
                <w:sz w:val="18"/>
                <w:lang w:eastAsia="en-GB"/>
              </w:rPr>
            </w:pPr>
            <w:r w:rsidRPr="00BF3ADC">
              <w:rPr>
                <w:rFonts w:eastAsia="Times New Roman"/>
                <w:b/>
                <w:bCs/>
                <w:color w:val="000000"/>
                <w:sz w:val="18"/>
                <w:lang w:eastAsia="en-GB"/>
              </w:rPr>
              <w:t>(2)</w:t>
            </w:r>
          </w:p>
        </w:tc>
        <w:tc>
          <w:tcPr>
            <w:tcW w:w="894" w:type="dxa"/>
            <w:vAlign w:val="bottom"/>
          </w:tcPr>
          <w:p w14:paraId="5B010EE6" w14:textId="77777777" w:rsidR="002F46CC" w:rsidRPr="00BF3ADC" w:rsidRDefault="002F46CC" w:rsidP="009517F9">
            <w:pPr>
              <w:spacing w:after="0" w:line="240" w:lineRule="auto"/>
              <w:jc w:val="center"/>
              <w:rPr>
                <w:rFonts w:eastAsia="Times New Roman"/>
                <w:b/>
                <w:bCs/>
                <w:color w:val="000000"/>
                <w:sz w:val="18"/>
                <w:lang w:eastAsia="en-GB"/>
              </w:rPr>
            </w:pPr>
            <w:r w:rsidRPr="00BF3ADC">
              <w:rPr>
                <w:rFonts w:eastAsia="Times New Roman"/>
                <w:b/>
                <w:bCs/>
                <w:color w:val="000000"/>
                <w:sz w:val="18"/>
                <w:lang w:eastAsia="en-GB"/>
              </w:rPr>
              <w:t>(3)</w:t>
            </w:r>
          </w:p>
        </w:tc>
        <w:tc>
          <w:tcPr>
            <w:tcW w:w="828" w:type="dxa"/>
            <w:vAlign w:val="bottom"/>
          </w:tcPr>
          <w:p w14:paraId="52A574E1" w14:textId="77777777" w:rsidR="002F46CC" w:rsidRPr="00BF3ADC" w:rsidRDefault="002F46CC" w:rsidP="009517F9">
            <w:pPr>
              <w:spacing w:after="0" w:line="240" w:lineRule="auto"/>
              <w:jc w:val="center"/>
              <w:rPr>
                <w:rFonts w:eastAsia="Times New Roman"/>
                <w:b/>
                <w:bCs/>
                <w:color w:val="000000"/>
                <w:sz w:val="18"/>
                <w:lang w:eastAsia="en-GB"/>
              </w:rPr>
            </w:pPr>
            <w:r w:rsidRPr="00BF3ADC">
              <w:rPr>
                <w:rFonts w:eastAsia="Times New Roman"/>
                <w:b/>
                <w:bCs/>
                <w:color w:val="000000"/>
                <w:sz w:val="18"/>
                <w:lang w:eastAsia="en-GB"/>
              </w:rPr>
              <w:t>(3)</w:t>
            </w:r>
          </w:p>
        </w:tc>
        <w:tc>
          <w:tcPr>
            <w:tcW w:w="960" w:type="dxa"/>
            <w:vAlign w:val="bottom"/>
          </w:tcPr>
          <w:p w14:paraId="3081C816" w14:textId="77777777" w:rsidR="002F46CC" w:rsidRPr="00BF3ADC" w:rsidRDefault="002F46CC" w:rsidP="009517F9">
            <w:pPr>
              <w:spacing w:after="0" w:line="240" w:lineRule="auto"/>
              <w:jc w:val="center"/>
              <w:rPr>
                <w:rFonts w:eastAsia="Times New Roman"/>
                <w:b/>
                <w:bCs/>
                <w:color w:val="000000"/>
                <w:sz w:val="18"/>
                <w:lang w:eastAsia="en-GB"/>
              </w:rPr>
            </w:pPr>
            <w:r w:rsidRPr="00BF3ADC">
              <w:rPr>
                <w:rFonts w:eastAsia="Times New Roman"/>
                <w:b/>
                <w:bCs/>
                <w:color w:val="000000"/>
                <w:sz w:val="18"/>
                <w:lang w:eastAsia="en-GB"/>
              </w:rPr>
              <w:t>(4)</w:t>
            </w:r>
          </w:p>
        </w:tc>
        <w:tc>
          <w:tcPr>
            <w:tcW w:w="1025" w:type="dxa"/>
            <w:vAlign w:val="bottom"/>
          </w:tcPr>
          <w:p w14:paraId="7DE5C07E" w14:textId="77777777" w:rsidR="002F46CC" w:rsidRPr="00BF3ADC" w:rsidRDefault="002F46CC" w:rsidP="009517F9">
            <w:pPr>
              <w:spacing w:after="0" w:line="240" w:lineRule="auto"/>
              <w:jc w:val="center"/>
              <w:rPr>
                <w:rFonts w:eastAsia="Times New Roman"/>
                <w:b/>
                <w:bCs/>
                <w:color w:val="000000"/>
                <w:sz w:val="18"/>
                <w:lang w:eastAsia="en-GB"/>
              </w:rPr>
            </w:pPr>
            <w:r w:rsidRPr="00BF3ADC">
              <w:rPr>
                <w:rFonts w:eastAsia="Times New Roman"/>
                <w:b/>
                <w:bCs/>
                <w:color w:val="000000"/>
                <w:sz w:val="18"/>
                <w:lang w:eastAsia="en-GB"/>
              </w:rPr>
              <w:t>(5)</w:t>
            </w:r>
          </w:p>
        </w:tc>
        <w:tc>
          <w:tcPr>
            <w:tcW w:w="879" w:type="dxa"/>
            <w:shd w:val="clear" w:color="auto" w:fill="auto"/>
            <w:noWrap/>
            <w:vAlign w:val="bottom"/>
          </w:tcPr>
          <w:p w14:paraId="72168D11" w14:textId="77777777" w:rsidR="002F46CC" w:rsidRPr="00BF3ADC" w:rsidRDefault="002F46CC" w:rsidP="009517F9">
            <w:pPr>
              <w:spacing w:after="0" w:line="240" w:lineRule="auto"/>
              <w:jc w:val="center"/>
              <w:rPr>
                <w:rFonts w:eastAsia="Times New Roman"/>
                <w:b/>
                <w:bCs/>
                <w:color w:val="000000"/>
                <w:sz w:val="18"/>
                <w:lang w:eastAsia="en-GB"/>
              </w:rPr>
            </w:pPr>
            <w:r w:rsidRPr="00BF3ADC">
              <w:rPr>
                <w:rFonts w:eastAsia="Times New Roman"/>
                <w:b/>
                <w:bCs/>
                <w:color w:val="000000"/>
                <w:sz w:val="18"/>
                <w:lang w:eastAsia="en-GB"/>
              </w:rPr>
              <w:t>(6)</w:t>
            </w:r>
          </w:p>
        </w:tc>
        <w:tc>
          <w:tcPr>
            <w:tcW w:w="709" w:type="dxa"/>
            <w:shd w:val="clear" w:color="auto" w:fill="auto"/>
            <w:noWrap/>
            <w:vAlign w:val="bottom"/>
          </w:tcPr>
          <w:p w14:paraId="662EC992" w14:textId="77777777" w:rsidR="002F46CC" w:rsidRPr="00BF3ADC" w:rsidRDefault="002F46CC" w:rsidP="009517F9">
            <w:pPr>
              <w:spacing w:after="0" w:line="240" w:lineRule="auto"/>
              <w:jc w:val="center"/>
              <w:rPr>
                <w:rFonts w:eastAsia="Times New Roman"/>
                <w:b/>
                <w:bCs/>
                <w:color w:val="000000"/>
                <w:sz w:val="18"/>
                <w:lang w:eastAsia="en-GB"/>
              </w:rPr>
            </w:pPr>
            <w:r w:rsidRPr="00BF3ADC">
              <w:rPr>
                <w:rFonts w:eastAsia="Times New Roman"/>
                <w:b/>
                <w:bCs/>
                <w:color w:val="000000"/>
                <w:sz w:val="18"/>
                <w:lang w:eastAsia="en-GB"/>
              </w:rPr>
              <w:t>(7)</w:t>
            </w:r>
          </w:p>
        </w:tc>
        <w:tc>
          <w:tcPr>
            <w:tcW w:w="850" w:type="dxa"/>
            <w:shd w:val="clear" w:color="auto" w:fill="auto"/>
            <w:noWrap/>
            <w:vAlign w:val="bottom"/>
          </w:tcPr>
          <w:p w14:paraId="2BF7E4BF" w14:textId="77777777" w:rsidR="002F46CC" w:rsidRPr="00BF3ADC" w:rsidRDefault="002F46CC" w:rsidP="009517F9">
            <w:pPr>
              <w:spacing w:after="0" w:line="240" w:lineRule="auto"/>
              <w:jc w:val="center"/>
              <w:rPr>
                <w:rFonts w:eastAsia="Times New Roman"/>
                <w:b/>
                <w:bCs/>
                <w:color w:val="000000"/>
                <w:sz w:val="18"/>
                <w:lang w:eastAsia="en-GB"/>
              </w:rPr>
            </w:pPr>
          </w:p>
        </w:tc>
      </w:tr>
      <w:tr w:rsidR="002F46CC" w:rsidRPr="00BF3ADC" w14:paraId="41564089" w14:textId="77777777" w:rsidTr="009517F9">
        <w:trPr>
          <w:trHeight w:val="300"/>
        </w:trPr>
        <w:tc>
          <w:tcPr>
            <w:tcW w:w="1134" w:type="dxa"/>
            <w:vMerge w:val="restart"/>
            <w:shd w:val="clear" w:color="auto" w:fill="auto"/>
            <w:noWrap/>
            <w:vAlign w:val="bottom"/>
            <w:hideMark/>
          </w:tcPr>
          <w:p w14:paraId="4135D3BE" w14:textId="77777777" w:rsidR="002F46CC" w:rsidRPr="00BF3ADC" w:rsidRDefault="002F46CC" w:rsidP="009517F9">
            <w:pPr>
              <w:spacing w:after="0" w:line="240" w:lineRule="auto"/>
              <w:jc w:val="left"/>
              <w:rPr>
                <w:rFonts w:eastAsia="Times New Roman"/>
                <w:b/>
                <w:bCs/>
                <w:color w:val="000000"/>
                <w:sz w:val="18"/>
                <w:lang w:eastAsia="en-GB"/>
              </w:rPr>
            </w:pPr>
            <w:r w:rsidRPr="00BF3ADC">
              <w:rPr>
                <w:rFonts w:eastAsia="Times New Roman"/>
                <w:b/>
                <w:bCs/>
                <w:color w:val="000000"/>
                <w:sz w:val="18"/>
                <w:lang w:eastAsia="en-GB"/>
              </w:rPr>
              <w:t> Income groups, KSh/month</w:t>
            </w:r>
          </w:p>
        </w:tc>
        <w:tc>
          <w:tcPr>
            <w:tcW w:w="851" w:type="dxa"/>
            <w:shd w:val="clear" w:color="auto" w:fill="auto"/>
            <w:noWrap/>
            <w:vAlign w:val="bottom"/>
            <w:hideMark/>
          </w:tcPr>
          <w:p w14:paraId="4908E6C1"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Small holders</w:t>
            </w:r>
          </w:p>
        </w:tc>
        <w:tc>
          <w:tcPr>
            <w:tcW w:w="800" w:type="dxa"/>
            <w:vAlign w:val="bottom"/>
          </w:tcPr>
          <w:p w14:paraId="758965EF"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Large farms</w:t>
            </w:r>
          </w:p>
        </w:tc>
        <w:tc>
          <w:tcPr>
            <w:tcW w:w="894" w:type="dxa"/>
            <w:vAlign w:val="bottom"/>
          </w:tcPr>
          <w:p w14:paraId="33186A46"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Public sector (male)</w:t>
            </w:r>
          </w:p>
        </w:tc>
        <w:tc>
          <w:tcPr>
            <w:tcW w:w="828" w:type="dxa"/>
            <w:vAlign w:val="bottom"/>
          </w:tcPr>
          <w:p w14:paraId="4AB1E15C"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Private sector (male)</w:t>
            </w:r>
          </w:p>
        </w:tc>
        <w:tc>
          <w:tcPr>
            <w:tcW w:w="960" w:type="dxa"/>
            <w:vAlign w:val="bottom"/>
          </w:tcPr>
          <w:p w14:paraId="251F6FC6"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Self-employed (formal)</w:t>
            </w:r>
          </w:p>
        </w:tc>
        <w:tc>
          <w:tcPr>
            <w:tcW w:w="1025" w:type="dxa"/>
            <w:vAlign w:val="bottom"/>
          </w:tcPr>
          <w:p w14:paraId="420FC13E"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Informal sector (urban)</w:t>
            </w:r>
          </w:p>
        </w:tc>
        <w:tc>
          <w:tcPr>
            <w:tcW w:w="879" w:type="dxa"/>
            <w:shd w:val="clear" w:color="auto" w:fill="auto"/>
            <w:noWrap/>
            <w:vAlign w:val="bottom"/>
            <w:hideMark/>
          </w:tcPr>
          <w:p w14:paraId="717537D8"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Pastoral</w:t>
            </w:r>
          </w:p>
        </w:tc>
        <w:tc>
          <w:tcPr>
            <w:tcW w:w="709" w:type="dxa"/>
            <w:shd w:val="clear" w:color="auto" w:fill="auto"/>
            <w:noWrap/>
            <w:vAlign w:val="bottom"/>
            <w:hideMark/>
          </w:tcPr>
          <w:p w14:paraId="38EC4EE2"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Other rural</w:t>
            </w:r>
          </w:p>
        </w:tc>
        <w:tc>
          <w:tcPr>
            <w:tcW w:w="850" w:type="dxa"/>
            <w:shd w:val="clear" w:color="auto" w:fill="auto"/>
            <w:noWrap/>
            <w:vAlign w:val="bottom"/>
            <w:hideMark/>
          </w:tcPr>
          <w:p w14:paraId="5C9AFFDA"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TOTAL</w:t>
            </w:r>
          </w:p>
        </w:tc>
      </w:tr>
      <w:tr w:rsidR="002F46CC" w:rsidRPr="00BF3ADC" w14:paraId="4713994E" w14:textId="77777777" w:rsidTr="009517F9">
        <w:trPr>
          <w:trHeight w:val="300"/>
        </w:trPr>
        <w:tc>
          <w:tcPr>
            <w:tcW w:w="1134" w:type="dxa"/>
            <w:vMerge/>
            <w:shd w:val="clear" w:color="auto" w:fill="auto"/>
            <w:noWrap/>
            <w:vAlign w:val="bottom"/>
            <w:hideMark/>
          </w:tcPr>
          <w:p w14:paraId="24F6A8A7" w14:textId="77777777" w:rsidR="002F46CC" w:rsidRPr="00BF3ADC" w:rsidRDefault="002F46CC" w:rsidP="009517F9">
            <w:pPr>
              <w:spacing w:after="0" w:line="240" w:lineRule="auto"/>
              <w:rPr>
                <w:rFonts w:eastAsia="Times New Roman"/>
                <w:b/>
                <w:bCs/>
                <w:color w:val="000000"/>
                <w:sz w:val="18"/>
                <w:lang w:eastAsia="en-GB"/>
              </w:rPr>
            </w:pPr>
          </w:p>
        </w:tc>
        <w:tc>
          <w:tcPr>
            <w:tcW w:w="851" w:type="dxa"/>
            <w:shd w:val="clear" w:color="auto" w:fill="auto"/>
            <w:noWrap/>
            <w:vAlign w:val="bottom"/>
            <w:hideMark/>
          </w:tcPr>
          <w:p w14:paraId="25B0E330"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IRS 1974/75</w:t>
            </w:r>
          </w:p>
        </w:tc>
        <w:tc>
          <w:tcPr>
            <w:tcW w:w="800" w:type="dxa"/>
            <w:vAlign w:val="bottom"/>
          </w:tcPr>
          <w:p w14:paraId="0E087E15"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Large farm survey</w:t>
            </w:r>
          </w:p>
        </w:tc>
        <w:tc>
          <w:tcPr>
            <w:tcW w:w="894" w:type="dxa"/>
            <w:vAlign w:val="bottom"/>
          </w:tcPr>
          <w:p w14:paraId="76D9B6B4"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EES</w:t>
            </w:r>
          </w:p>
        </w:tc>
        <w:tc>
          <w:tcPr>
            <w:tcW w:w="828" w:type="dxa"/>
            <w:vAlign w:val="bottom"/>
          </w:tcPr>
          <w:p w14:paraId="194317BF"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EES</w:t>
            </w:r>
          </w:p>
        </w:tc>
        <w:tc>
          <w:tcPr>
            <w:tcW w:w="960" w:type="dxa"/>
            <w:vAlign w:val="bottom"/>
          </w:tcPr>
          <w:p w14:paraId="3DF2B3B5"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Income tax report</w:t>
            </w:r>
          </w:p>
        </w:tc>
        <w:tc>
          <w:tcPr>
            <w:tcW w:w="1025" w:type="dxa"/>
            <w:vAlign w:val="bottom"/>
          </w:tcPr>
          <w:p w14:paraId="22E4FEDF"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I</w:t>
            </w:r>
            <w:r>
              <w:rPr>
                <w:rFonts w:eastAsia="Times New Roman"/>
                <w:b/>
                <w:bCs/>
                <w:color w:val="000000"/>
                <w:sz w:val="18"/>
                <w:lang w:eastAsia="en-GB"/>
              </w:rPr>
              <w:t>nformal sector</w:t>
            </w:r>
            <w:r w:rsidRPr="00BF3ADC">
              <w:rPr>
                <w:rFonts w:eastAsia="Times New Roman"/>
                <w:b/>
                <w:bCs/>
                <w:color w:val="000000"/>
                <w:sz w:val="18"/>
                <w:lang w:eastAsia="en-GB"/>
              </w:rPr>
              <w:t xml:space="preserve"> survey</w:t>
            </w:r>
            <w:r w:rsidRPr="00CB0021">
              <w:rPr>
                <w:rStyle w:val="FootnoteReference"/>
              </w:rPr>
              <w:footnoteReference w:id="10"/>
            </w:r>
          </w:p>
        </w:tc>
        <w:tc>
          <w:tcPr>
            <w:tcW w:w="879" w:type="dxa"/>
            <w:shd w:val="clear" w:color="auto" w:fill="auto"/>
            <w:noWrap/>
            <w:vAlign w:val="bottom"/>
            <w:hideMark/>
          </w:tcPr>
          <w:p w14:paraId="46127BDD"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Collier and Lal</w:t>
            </w:r>
          </w:p>
        </w:tc>
        <w:tc>
          <w:tcPr>
            <w:tcW w:w="709" w:type="dxa"/>
            <w:shd w:val="clear" w:color="auto" w:fill="auto"/>
            <w:vAlign w:val="bottom"/>
          </w:tcPr>
          <w:p w14:paraId="4E26B8BB"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Resi</w:t>
            </w:r>
            <w:r>
              <w:rPr>
                <w:rFonts w:eastAsia="Times New Roman"/>
                <w:b/>
                <w:bCs/>
                <w:color w:val="000000"/>
                <w:sz w:val="18"/>
                <w:lang w:eastAsia="en-GB"/>
              </w:rPr>
              <w:t>-</w:t>
            </w:r>
            <w:r w:rsidRPr="00BF3ADC">
              <w:rPr>
                <w:rFonts w:eastAsia="Times New Roman"/>
                <w:b/>
                <w:bCs/>
                <w:color w:val="000000"/>
                <w:sz w:val="18"/>
                <w:lang w:eastAsia="en-GB"/>
              </w:rPr>
              <w:t>dual</w:t>
            </w:r>
          </w:p>
        </w:tc>
        <w:tc>
          <w:tcPr>
            <w:tcW w:w="850" w:type="dxa"/>
            <w:shd w:val="clear" w:color="auto" w:fill="auto"/>
            <w:noWrap/>
            <w:vAlign w:val="bottom"/>
            <w:hideMark/>
          </w:tcPr>
          <w:p w14:paraId="3E89C9E8"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 </w:t>
            </w:r>
          </w:p>
        </w:tc>
      </w:tr>
      <w:tr w:rsidR="002F46CC" w:rsidRPr="00BF3ADC" w14:paraId="4067676B" w14:textId="77777777" w:rsidTr="009517F9">
        <w:trPr>
          <w:trHeight w:val="300"/>
        </w:trPr>
        <w:tc>
          <w:tcPr>
            <w:tcW w:w="1134" w:type="dxa"/>
            <w:shd w:val="clear" w:color="auto" w:fill="auto"/>
            <w:noWrap/>
            <w:vAlign w:val="bottom"/>
            <w:hideMark/>
          </w:tcPr>
          <w:p w14:paraId="55ED1EE0"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0-89</w:t>
            </w:r>
          </w:p>
        </w:tc>
        <w:tc>
          <w:tcPr>
            <w:tcW w:w="851" w:type="dxa"/>
            <w:shd w:val="clear" w:color="auto" w:fill="auto"/>
            <w:noWrap/>
            <w:vAlign w:val="bottom"/>
            <w:hideMark/>
          </w:tcPr>
          <w:p w14:paraId="04C6538A"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192</w:t>
            </w:r>
          </w:p>
        </w:tc>
        <w:tc>
          <w:tcPr>
            <w:tcW w:w="800" w:type="dxa"/>
            <w:vAlign w:val="bottom"/>
          </w:tcPr>
          <w:p w14:paraId="477F98A5"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94" w:type="dxa"/>
            <w:vAlign w:val="bottom"/>
          </w:tcPr>
          <w:p w14:paraId="050FBEAC"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w:t>
            </w:r>
          </w:p>
        </w:tc>
        <w:tc>
          <w:tcPr>
            <w:tcW w:w="828" w:type="dxa"/>
            <w:vAlign w:val="bottom"/>
          </w:tcPr>
          <w:p w14:paraId="48127FF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13</w:t>
            </w:r>
          </w:p>
        </w:tc>
        <w:tc>
          <w:tcPr>
            <w:tcW w:w="960" w:type="dxa"/>
            <w:vAlign w:val="bottom"/>
          </w:tcPr>
          <w:p w14:paraId="08C3D20B"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1025" w:type="dxa"/>
            <w:vAlign w:val="bottom"/>
          </w:tcPr>
          <w:p w14:paraId="5B5DA305"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79" w:type="dxa"/>
            <w:shd w:val="clear" w:color="auto" w:fill="auto"/>
            <w:noWrap/>
            <w:vAlign w:val="bottom"/>
            <w:hideMark/>
          </w:tcPr>
          <w:p w14:paraId="3243EB68"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40</w:t>
            </w:r>
          </w:p>
        </w:tc>
        <w:tc>
          <w:tcPr>
            <w:tcW w:w="709" w:type="dxa"/>
            <w:shd w:val="clear" w:color="auto" w:fill="auto"/>
            <w:noWrap/>
            <w:vAlign w:val="bottom"/>
            <w:hideMark/>
          </w:tcPr>
          <w:p w14:paraId="72AAC088"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38</w:t>
            </w:r>
          </w:p>
        </w:tc>
        <w:tc>
          <w:tcPr>
            <w:tcW w:w="850" w:type="dxa"/>
            <w:shd w:val="clear" w:color="auto" w:fill="auto"/>
            <w:noWrap/>
            <w:vAlign w:val="bottom"/>
            <w:hideMark/>
          </w:tcPr>
          <w:p w14:paraId="1BA913C0"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285</w:t>
            </w:r>
          </w:p>
        </w:tc>
      </w:tr>
      <w:tr w:rsidR="002F46CC" w:rsidRPr="00BF3ADC" w14:paraId="04B4FE73" w14:textId="77777777" w:rsidTr="009517F9">
        <w:trPr>
          <w:trHeight w:val="300"/>
        </w:trPr>
        <w:tc>
          <w:tcPr>
            <w:tcW w:w="1134" w:type="dxa"/>
            <w:shd w:val="clear" w:color="auto" w:fill="auto"/>
            <w:noWrap/>
            <w:vAlign w:val="bottom"/>
            <w:hideMark/>
          </w:tcPr>
          <w:p w14:paraId="59F75653"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90-189</w:t>
            </w:r>
          </w:p>
        </w:tc>
        <w:tc>
          <w:tcPr>
            <w:tcW w:w="851" w:type="dxa"/>
            <w:shd w:val="clear" w:color="auto" w:fill="auto"/>
            <w:noWrap/>
            <w:vAlign w:val="bottom"/>
            <w:hideMark/>
          </w:tcPr>
          <w:p w14:paraId="00B7A1EC"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368</w:t>
            </w:r>
          </w:p>
        </w:tc>
        <w:tc>
          <w:tcPr>
            <w:tcW w:w="800" w:type="dxa"/>
            <w:vAlign w:val="bottom"/>
          </w:tcPr>
          <w:p w14:paraId="1FCB8033"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94" w:type="dxa"/>
            <w:vAlign w:val="bottom"/>
          </w:tcPr>
          <w:p w14:paraId="5D01F779"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7</w:t>
            </w:r>
          </w:p>
        </w:tc>
        <w:tc>
          <w:tcPr>
            <w:tcW w:w="828" w:type="dxa"/>
            <w:vAlign w:val="bottom"/>
          </w:tcPr>
          <w:p w14:paraId="2F7FC539"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137</w:t>
            </w:r>
          </w:p>
        </w:tc>
        <w:tc>
          <w:tcPr>
            <w:tcW w:w="960" w:type="dxa"/>
            <w:vAlign w:val="bottom"/>
          </w:tcPr>
          <w:p w14:paraId="53BDD8D9"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1025" w:type="dxa"/>
            <w:vAlign w:val="bottom"/>
          </w:tcPr>
          <w:p w14:paraId="3534DF10"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79" w:type="dxa"/>
            <w:shd w:val="clear" w:color="auto" w:fill="auto"/>
            <w:noWrap/>
            <w:vAlign w:val="bottom"/>
            <w:hideMark/>
          </w:tcPr>
          <w:p w14:paraId="485E47AC"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40</w:t>
            </w:r>
          </w:p>
        </w:tc>
        <w:tc>
          <w:tcPr>
            <w:tcW w:w="709" w:type="dxa"/>
            <w:shd w:val="clear" w:color="auto" w:fill="auto"/>
            <w:noWrap/>
            <w:vAlign w:val="bottom"/>
            <w:hideMark/>
          </w:tcPr>
          <w:p w14:paraId="63F069AC"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38</w:t>
            </w:r>
          </w:p>
        </w:tc>
        <w:tc>
          <w:tcPr>
            <w:tcW w:w="850" w:type="dxa"/>
            <w:shd w:val="clear" w:color="auto" w:fill="auto"/>
            <w:noWrap/>
            <w:vAlign w:val="bottom"/>
            <w:hideMark/>
          </w:tcPr>
          <w:p w14:paraId="1912E3AC"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590</w:t>
            </w:r>
          </w:p>
        </w:tc>
      </w:tr>
      <w:tr w:rsidR="002F46CC" w:rsidRPr="00BF3ADC" w14:paraId="274AB617" w14:textId="77777777" w:rsidTr="009517F9">
        <w:trPr>
          <w:trHeight w:val="300"/>
        </w:trPr>
        <w:tc>
          <w:tcPr>
            <w:tcW w:w="1134" w:type="dxa"/>
            <w:shd w:val="clear" w:color="auto" w:fill="auto"/>
            <w:noWrap/>
            <w:vAlign w:val="bottom"/>
            <w:hideMark/>
          </w:tcPr>
          <w:p w14:paraId="2E9247C3"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190-389</w:t>
            </w:r>
          </w:p>
        </w:tc>
        <w:tc>
          <w:tcPr>
            <w:tcW w:w="851" w:type="dxa"/>
            <w:shd w:val="clear" w:color="auto" w:fill="auto"/>
            <w:noWrap/>
            <w:vAlign w:val="bottom"/>
            <w:hideMark/>
          </w:tcPr>
          <w:p w14:paraId="3CD7D058"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415</w:t>
            </w:r>
          </w:p>
        </w:tc>
        <w:tc>
          <w:tcPr>
            <w:tcW w:w="800" w:type="dxa"/>
            <w:vAlign w:val="bottom"/>
          </w:tcPr>
          <w:p w14:paraId="3E6084E7"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94" w:type="dxa"/>
            <w:vAlign w:val="bottom"/>
          </w:tcPr>
          <w:p w14:paraId="17D76FF5"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57</w:t>
            </w:r>
          </w:p>
        </w:tc>
        <w:tc>
          <w:tcPr>
            <w:tcW w:w="828" w:type="dxa"/>
            <w:vAlign w:val="bottom"/>
          </w:tcPr>
          <w:p w14:paraId="3EEEBBE8"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90</w:t>
            </w:r>
          </w:p>
        </w:tc>
        <w:tc>
          <w:tcPr>
            <w:tcW w:w="960" w:type="dxa"/>
            <w:vAlign w:val="bottom"/>
          </w:tcPr>
          <w:p w14:paraId="67AB8C12"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1025" w:type="dxa"/>
            <w:vAlign w:val="bottom"/>
          </w:tcPr>
          <w:p w14:paraId="3B2971BF"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44</w:t>
            </w:r>
          </w:p>
        </w:tc>
        <w:tc>
          <w:tcPr>
            <w:tcW w:w="879" w:type="dxa"/>
            <w:shd w:val="clear" w:color="auto" w:fill="auto"/>
            <w:noWrap/>
            <w:vAlign w:val="bottom"/>
            <w:hideMark/>
          </w:tcPr>
          <w:p w14:paraId="3FFD72BF"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40</w:t>
            </w:r>
          </w:p>
        </w:tc>
        <w:tc>
          <w:tcPr>
            <w:tcW w:w="709" w:type="dxa"/>
            <w:shd w:val="clear" w:color="auto" w:fill="auto"/>
            <w:noWrap/>
            <w:vAlign w:val="bottom"/>
            <w:hideMark/>
          </w:tcPr>
          <w:p w14:paraId="7927D25D"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38</w:t>
            </w:r>
          </w:p>
        </w:tc>
        <w:tc>
          <w:tcPr>
            <w:tcW w:w="850" w:type="dxa"/>
            <w:shd w:val="clear" w:color="auto" w:fill="auto"/>
            <w:noWrap/>
            <w:vAlign w:val="bottom"/>
            <w:hideMark/>
          </w:tcPr>
          <w:p w14:paraId="07BE36D8"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684</w:t>
            </w:r>
          </w:p>
        </w:tc>
      </w:tr>
      <w:tr w:rsidR="002F46CC" w:rsidRPr="00BF3ADC" w14:paraId="037C5CED" w14:textId="77777777" w:rsidTr="009517F9">
        <w:trPr>
          <w:trHeight w:val="300"/>
        </w:trPr>
        <w:tc>
          <w:tcPr>
            <w:tcW w:w="1134" w:type="dxa"/>
            <w:shd w:val="clear" w:color="auto" w:fill="auto"/>
            <w:noWrap/>
            <w:vAlign w:val="bottom"/>
            <w:hideMark/>
          </w:tcPr>
          <w:p w14:paraId="78385DFA"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390-579</w:t>
            </w:r>
          </w:p>
        </w:tc>
        <w:tc>
          <w:tcPr>
            <w:tcW w:w="851" w:type="dxa"/>
            <w:shd w:val="clear" w:color="auto" w:fill="auto"/>
            <w:noWrap/>
            <w:vAlign w:val="bottom"/>
            <w:hideMark/>
          </w:tcPr>
          <w:p w14:paraId="257A46EB"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137</w:t>
            </w:r>
          </w:p>
        </w:tc>
        <w:tc>
          <w:tcPr>
            <w:tcW w:w="800" w:type="dxa"/>
            <w:vAlign w:val="bottom"/>
          </w:tcPr>
          <w:p w14:paraId="5EFF6C07"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94" w:type="dxa"/>
            <w:vAlign w:val="bottom"/>
          </w:tcPr>
          <w:p w14:paraId="07E02D6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75</w:t>
            </w:r>
          </w:p>
        </w:tc>
        <w:tc>
          <w:tcPr>
            <w:tcW w:w="828" w:type="dxa"/>
            <w:vAlign w:val="bottom"/>
          </w:tcPr>
          <w:p w14:paraId="3E3A6843"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39</w:t>
            </w:r>
          </w:p>
        </w:tc>
        <w:tc>
          <w:tcPr>
            <w:tcW w:w="960" w:type="dxa"/>
            <w:vAlign w:val="bottom"/>
          </w:tcPr>
          <w:p w14:paraId="61BEB3BF"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1025" w:type="dxa"/>
            <w:vAlign w:val="bottom"/>
          </w:tcPr>
          <w:p w14:paraId="6C028552"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7</w:t>
            </w:r>
          </w:p>
        </w:tc>
        <w:tc>
          <w:tcPr>
            <w:tcW w:w="879" w:type="dxa"/>
            <w:shd w:val="clear" w:color="auto" w:fill="auto"/>
            <w:noWrap/>
            <w:vAlign w:val="bottom"/>
            <w:hideMark/>
          </w:tcPr>
          <w:p w14:paraId="37C179F3"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40</w:t>
            </w:r>
          </w:p>
        </w:tc>
        <w:tc>
          <w:tcPr>
            <w:tcW w:w="709" w:type="dxa"/>
            <w:shd w:val="clear" w:color="auto" w:fill="auto"/>
            <w:noWrap/>
            <w:vAlign w:val="bottom"/>
            <w:hideMark/>
          </w:tcPr>
          <w:p w14:paraId="14702D21"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38</w:t>
            </w:r>
          </w:p>
        </w:tc>
        <w:tc>
          <w:tcPr>
            <w:tcW w:w="850" w:type="dxa"/>
            <w:shd w:val="clear" w:color="auto" w:fill="auto"/>
            <w:noWrap/>
            <w:vAlign w:val="bottom"/>
            <w:hideMark/>
          </w:tcPr>
          <w:p w14:paraId="2E801A44"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335</w:t>
            </w:r>
          </w:p>
        </w:tc>
      </w:tr>
      <w:tr w:rsidR="002F46CC" w:rsidRPr="00BF3ADC" w14:paraId="1321E399" w14:textId="77777777" w:rsidTr="009517F9">
        <w:trPr>
          <w:trHeight w:val="300"/>
        </w:trPr>
        <w:tc>
          <w:tcPr>
            <w:tcW w:w="1134" w:type="dxa"/>
            <w:shd w:val="clear" w:color="auto" w:fill="auto"/>
            <w:noWrap/>
            <w:vAlign w:val="bottom"/>
            <w:hideMark/>
          </w:tcPr>
          <w:p w14:paraId="5505A8BE"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580-990</w:t>
            </w:r>
          </w:p>
        </w:tc>
        <w:tc>
          <w:tcPr>
            <w:tcW w:w="851" w:type="dxa"/>
            <w:shd w:val="clear" w:color="auto" w:fill="auto"/>
            <w:noWrap/>
            <w:vAlign w:val="bottom"/>
            <w:hideMark/>
          </w:tcPr>
          <w:p w14:paraId="5527672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94</w:t>
            </w:r>
          </w:p>
        </w:tc>
        <w:tc>
          <w:tcPr>
            <w:tcW w:w="800" w:type="dxa"/>
            <w:vAlign w:val="bottom"/>
          </w:tcPr>
          <w:p w14:paraId="63AD0CBF"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94" w:type="dxa"/>
            <w:vAlign w:val="bottom"/>
          </w:tcPr>
          <w:p w14:paraId="00CEE377"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75</w:t>
            </w:r>
          </w:p>
        </w:tc>
        <w:tc>
          <w:tcPr>
            <w:tcW w:w="828" w:type="dxa"/>
            <w:vAlign w:val="bottom"/>
          </w:tcPr>
          <w:p w14:paraId="1BF90B2C"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34</w:t>
            </w:r>
          </w:p>
        </w:tc>
        <w:tc>
          <w:tcPr>
            <w:tcW w:w="960" w:type="dxa"/>
            <w:vAlign w:val="bottom"/>
          </w:tcPr>
          <w:p w14:paraId="3C2E60A4"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w:t>
            </w:r>
          </w:p>
        </w:tc>
        <w:tc>
          <w:tcPr>
            <w:tcW w:w="1025" w:type="dxa"/>
            <w:vAlign w:val="bottom"/>
          </w:tcPr>
          <w:p w14:paraId="5A3E47C2"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8</w:t>
            </w:r>
          </w:p>
        </w:tc>
        <w:tc>
          <w:tcPr>
            <w:tcW w:w="879" w:type="dxa"/>
            <w:shd w:val="clear" w:color="auto" w:fill="auto"/>
            <w:noWrap/>
            <w:vAlign w:val="bottom"/>
            <w:hideMark/>
          </w:tcPr>
          <w:p w14:paraId="2253CD46"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709" w:type="dxa"/>
            <w:shd w:val="clear" w:color="auto" w:fill="auto"/>
            <w:noWrap/>
            <w:vAlign w:val="bottom"/>
            <w:hideMark/>
          </w:tcPr>
          <w:p w14:paraId="03F6AA36"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50" w:type="dxa"/>
            <w:shd w:val="clear" w:color="auto" w:fill="auto"/>
            <w:noWrap/>
            <w:vAlign w:val="bottom"/>
            <w:hideMark/>
          </w:tcPr>
          <w:p w14:paraId="28EC7A70"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213</w:t>
            </w:r>
          </w:p>
        </w:tc>
      </w:tr>
      <w:tr w:rsidR="002F46CC" w:rsidRPr="00BF3ADC" w14:paraId="7D84763B" w14:textId="77777777" w:rsidTr="009517F9">
        <w:trPr>
          <w:trHeight w:val="300"/>
        </w:trPr>
        <w:tc>
          <w:tcPr>
            <w:tcW w:w="1134" w:type="dxa"/>
            <w:shd w:val="clear" w:color="auto" w:fill="auto"/>
            <w:noWrap/>
            <w:vAlign w:val="bottom"/>
            <w:hideMark/>
          </w:tcPr>
          <w:p w14:paraId="16250DF2"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990+</w:t>
            </w:r>
          </w:p>
        </w:tc>
        <w:tc>
          <w:tcPr>
            <w:tcW w:w="851" w:type="dxa"/>
            <w:shd w:val="clear" w:color="auto" w:fill="auto"/>
            <w:noWrap/>
            <w:vAlign w:val="bottom"/>
            <w:hideMark/>
          </w:tcPr>
          <w:p w14:paraId="2694BA95"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26</w:t>
            </w:r>
          </w:p>
        </w:tc>
        <w:tc>
          <w:tcPr>
            <w:tcW w:w="800" w:type="dxa"/>
            <w:vAlign w:val="bottom"/>
          </w:tcPr>
          <w:p w14:paraId="32C6AC6A"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w:t>
            </w:r>
          </w:p>
        </w:tc>
        <w:tc>
          <w:tcPr>
            <w:tcW w:w="894" w:type="dxa"/>
            <w:vAlign w:val="bottom"/>
          </w:tcPr>
          <w:p w14:paraId="0AD1208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48</w:t>
            </w:r>
          </w:p>
        </w:tc>
        <w:tc>
          <w:tcPr>
            <w:tcW w:w="828" w:type="dxa"/>
            <w:vAlign w:val="bottom"/>
          </w:tcPr>
          <w:p w14:paraId="13D96922"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37</w:t>
            </w:r>
          </w:p>
        </w:tc>
        <w:tc>
          <w:tcPr>
            <w:tcW w:w="960" w:type="dxa"/>
            <w:vAlign w:val="bottom"/>
          </w:tcPr>
          <w:p w14:paraId="16A2F68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14</w:t>
            </w:r>
          </w:p>
        </w:tc>
        <w:tc>
          <w:tcPr>
            <w:tcW w:w="1025" w:type="dxa"/>
            <w:vAlign w:val="bottom"/>
          </w:tcPr>
          <w:p w14:paraId="04D83CDD"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w:t>
            </w:r>
          </w:p>
        </w:tc>
        <w:tc>
          <w:tcPr>
            <w:tcW w:w="879" w:type="dxa"/>
            <w:shd w:val="clear" w:color="auto" w:fill="auto"/>
            <w:noWrap/>
            <w:vAlign w:val="bottom"/>
            <w:hideMark/>
          </w:tcPr>
          <w:p w14:paraId="76A39704"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709" w:type="dxa"/>
            <w:shd w:val="clear" w:color="auto" w:fill="auto"/>
            <w:noWrap/>
            <w:vAlign w:val="bottom"/>
            <w:hideMark/>
          </w:tcPr>
          <w:p w14:paraId="7CE55F26"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 </w:t>
            </w:r>
          </w:p>
        </w:tc>
        <w:tc>
          <w:tcPr>
            <w:tcW w:w="850" w:type="dxa"/>
            <w:shd w:val="clear" w:color="auto" w:fill="auto"/>
            <w:noWrap/>
            <w:vAlign w:val="bottom"/>
            <w:hideMark/>
          </w:tcPr>
          <w:p w14:paraId="068027D3"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129</w:t>
            </w:r>
          </w:p>
        </w:tc>
      </w:tr>
      <w:tr w:rsidR="002F46CC" w:rsidRPr="00BF3ADC" w14:paraId="2E6815C6" w14:textId="77777777" w:rsidTr="009517F9">
        <w:trPr>
          <w:trHeight w:val="300"/>
        </w:trPr>
        <w:tc>
          <w:tcPr>
            <w:tcW w:w="1134" w:type="dxa"/>
            <w:shd w:val="clear" w:color="auto" w:fill="auto"/>
            <w:noWrap/>
            <w:vAlign w:val="bottom"/>
          </w:tcPr>
          <w:p w14:paraId="5DB8B88E" w14:textId="77777777" w:rsidR="002F46CC" w:rsidRPr="00BF3ADC" w:rsidRDefault="002F46CC" w:rsidP="009517F9">
            <w:pPr>
              <w:spacing w:after="0" w:line="240" w:lineRule="auto"/>
              <w:rPr>
                <w:rFonts w:eastAsia="Times New Roman"/>
                <w:b/>
                <w:color w:val="000000"/>
                <w:sz w:val="18"/>
                <w:lang w:eastAsia="en-GB"/>
              </w:rPr>
            </w:pPr>
            <w:r w:rsidRPr="00BF3ADC">
              <w:rPr>
                <w:rFonts w:eastAsia="Times New Roman"/>
                <w:b/>
                <w:color w:val="000000"/>
                <w:sz w:val="18"/>
                <w:lang w:eastAsia="en-GB"/>
              </w:rPr>
              <w:t>TOTAL</w:t>
            </w:r>
          </w:p>
        </w:tc>
        <w:tc>
          <w:tcPr>
            <w:tcW w:w="851" w:type="dxa"/>
            <w:shd w:val="clear" w:color="auto" w:fill="auto"/>
            <w:noWrap/>
            <w:vAlign w:val="bottom"/>
          </w:tcPr>
          <w:p w14:paraId="128D1AFF"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1233</w:t>
            </w:r>
          </w:p>
        </w:tc>
        <w:tc>
          <w:tcPr>
            <w:tcW w:w="800" w:type="dxa"/>
            <w:vAlign w:val="bottom"/>
          </w:tcPr>
          <w:p w14:paraId="4A516255"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w:t>
            </w:r>
          </w:p>
        </w:tc>
        <w:tc>
          <w:tcPr>
            <w:tcW w:w="894" w:type="dxa"/>
            <w:vAlign w:val="bottom"/>
          </w:tcPr>
          <w:p w14:paraId="2F362B79"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264</w:t>
            </w:r>
          </w:p>
        </w:tc>
        <w:tc>
          <w:tcPr>
            <w:tcW w:w="828" w:type="dxa"/>
            <w:vAlign w:val="bottom"/>
          </w:tcPr>
          <w:p w14:paraId="4C2E9D91"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349</w:t>
            </w:r>
          </w:p>
        </w:tc>
        <w:tc>
          <w:tcPr>
            <w:tcW w:w="960" w:type="dxa"/>
            <w:vAlign w:val="bottom"/>
          </w:tcPr>
          <w:p w14:paraId="335FB0FF"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17</w:t>
            </w:r>
          </w:p>
        </w:tc>
        <w:tc>
          <w:tcPr>
            <w:tcW w:w="1025" w:type="dxa"/>
            <w:vAlign w:val="bottom"/>
          </w:tcPr>
          <w:p w14:paraId="791600FF"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62</w:t>
            </w:r>
          </w:p>
        </w:tc>
        <w:tc>
          <w:tcPr>
            <w:tcW w:w="879" w:type="dxa"/>
            <w:shd w:val="clear" w:color="auto" w:fill="auto"/>
            <w:noWrap/>
            <w:vAlign w:val="bottom"/>
          </w:tcPr>
          <w:p w14:paraId="5C31391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160</w:t>
            </w:r>
          </w:p>
        </w:tc>
        <w:tc>
          <w:tcPr>
            <w:tcW w:w="709" w:type="dxa"/>
            <w:shd w:val="clear" w:color="auto" w:fill="auto"/>
            <w:noWrap/>
            <w:vAlign w:val="bottom"/>
          </w:tcPr>
          <w:p w14:paraId="6767E3F8"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150</w:t>
            </w:r>
          </w:p>
        </w:tc>
        <w:tc>
          <w:tcPr>
            <w:tcW w:w="850" w:type="dxa"/>
            <w:shd w:val="clear" w:color="auto" w:fill="auto"/>
            <w:noWrap/>
            <w:vAlign w:val="bottom"/>
          </w:tcPr>
          <w:p w14:paraId="17A19F47"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2237</w:t>
            </w:r>
          </w:p>
        </w:tc>
      </w:tr>
    </w:tbl>
    <w:p w14:paraId="1E8700E0" w14:textId="77777777" w:rsidR="00522CDF" w:rsidRDefault="00522CDF" w:rsidP="002F46CC">
      <w:pPr>
        <w:pStyle w:val="Caption"/>
        <w:spacing w:before="240" w:after="120"/>
        <w:rPr>
          <w:b w:val="0"/>
          <w:i/>
          <w:sz w:val="22"/>
        </w:rPr>
      </w:pPr>
    </w:p>
    <w:p w14:paraId="7E8E8B49" w14:textId="77777777" w:rsidR="00522CDF" w:rsidRDefault="00522CDF">
      <w:pPr>
        <w:spacing w:after="160" w:line="259" w:lineRule="auto"/>
        <w:jc w:val="left"/>
        <w:rPr>
          <w:i/>
          <w:iCs/>
          <w:szCs w:val="18"/>
        </w:rPr>
      </w:pPr>
      <w:r>
        <w:rPr>
          <w:b/>
          <w:i/>
        </w:rPr>
        <w:br w:type="page"/>
      </w:r>
    </w:p>
    <w:p w14:paraId="6A18227F" w14:textId="3C39556A" w:rsidR="002F46CC" w:rsidRPr="00CB0021" w:rsidRDefault="002F46CC" w:rsidP="002F46CC">
      <w:pPr>
        <w:pStyle w:val="Caption"/>
        <w:spacing w:before="240" w:after="120"/>
        <w:rPr>
          <w:b w:val="0"/>
          <w:bCs/>
          <w:i/>
          <w:sz w:val="22"/>
        </w:rPr>
      </w:pPr>
      <w:r w:rsidRPr="00CB0021">
        <w:rPr>
          <w:b w:val="0"/>
          <w:i/>
          <w:sz w:val="22"/>
        </w:rPr>
        <w:lastRenderedPageBreak/>
        <w:t xml:space="preserve">Appendix Table </w:t>
      </w:r>
      <w:r w:rsidRPr="00CB0021">
        <w:rPr>
          <w:b w:val="0"/>
          <w:i/>
          <w:noProof/>
          <w:sz w:val="22"/>
        </w:rPr>
        <w:t>2</w:t>
      </w:r>
      <w:r w:rsidRPr="00CB0021">
        <w:rPr>
          <w:b w:val="0"/>
          <w:i/>
          <w:sz w:val="22"/>
        </w:rPr>
        <w:t>. Income distribution for Kenya, percentage of each income bracket, 1975</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1271"/>
        <w:gridCol w:w="1272"/>
        <w:gridCol w:w="1271"/>
        <w:gridCol w:w="1272"/>
        <w:gridCol w:w="1272"/>
      </w:tblGrid>
      <w:tr w:rsidR="002F46CC" w:rsidRPr="00BF3ADC" w14:paraId="3AE4A5F3" w14:textId="77777777" w:rsidTr="009517F9">
        <w:trPr>
          <w:trHeight w:val="345"/>
        </w:trPr>
        <w:tc>
          <w:tcPr>
            <w:tcW w:w="1859" w:type="dxa"/>
            <w:shd w:val="clear" w:color="auto" w:fill="auto"/>
            <w:noWrap/>
            <w:vAlign w:val="bottom"/>
            <w:hideMark/>
          </w:tcPr>
          <w:p w14:paraId="3AF04C9C" w14:textId="77777777" w:rsidR="002F46CC" w:rsidRPr="00BF3ADC" w:rsidRDefault="002F46CC" w:rsidP="009517F9">
            <w:pPr>
              <w:spacing w:after="0" w:line="240" w:lineRule="auto"/>
              <w:jc w:val="left"/>
              <w:rPr>
                <w:rFonts w:eastAsia="Times New Roman"/>
                <w:b/>
                <w:bCs/>
                <w:color w:val="000000"/>
                <w:sz w:val="18"/>
                <w:lang w:eastAsia="en-GB"/>
              </w:rPr>
            </w:pPr>
            <w:r w:rsidRPr="00BF3ADC">
              <w:rPr>
                <w:rFonts w:eastAsia="Times New Roman"/>
                <w:b/>
                <w:bCs/>
                <w:color w:val="000000"/>
                <w:sz w:val="18"/>
                <w:lang w:eastAsia="en-GB"/>
              </w:rPr>
              <w:t>Income groups, KSh/month</w:t>
            </w:r>
          </w:p>
        </w:tc>
        <w:tc>
          <w:tcPr>
            <w:tcW w:w="1271" w:type="dxa"/>
            <w:shd w:val="clear" w:color="auto" w:fill="auto"/>
            <w:noWrap/>
            <w:vAlign w:val="bottom"/>
          </w:tcPr>
          <w:p w14:paraId="2FB7DAC8"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Public sector</w:t>
            </w:r>
          </w:p>
        </w:tc>
        <w:tc>
          <w:tcPr>
            <w:tcW w:w="1272" w:type="dxa"/>
            <w:vAlign w:val="bottom"/>
          </w:tcPr>
          <w:p w14:paraId="3B5109E4"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Private sector</w:t>
            </w:r>
          </w:p>
        </w:tc>
        <w:tc>
          <w:tcPr>
            <w:tcW w:w="1271" w:type="dxa"/>
            <w:vAlign w:val="bottom"/>
          </w:tcPr>
          <w:p w14:paraId="2EF54480"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Self-employed and informal</w:t>
            </w:r>
          </w:p>
        </w:tc>
        <w:tc>
          <w:tcPr>
            <w:tcW w:w="1272" w:type="dxa"/>
            <w:vAlign w:val="bottom"/>
          </w:tcPr>
          <w:p w14:paraId="12519FB8"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Agricultural and pastoral</w:t>
            </w:r>
          </w:p>
        </w:tc>
        <w:tc>
          <w:tcPr>
            <w:tcW w:w="1272" w:type="dxa"/>
            <w:vAlign w:val="bottom"/>
          </w:tcPr>
          <w:p w14:paraId="606918AE" w14:textId="77777777" w:rsidR="002F46CC" w:rsidRPr="00BF3ADC" w:rsidRDefault="002F46CC" w:rsidP="009517F9">
            <w:pPr>
              <w:spacing w:after="0" w:line="240" w:lineRule="auto"/>
              <w:rPr>
                <w:rFonts w:eastAsia="Times New Roman"/>
                <w:b/>
                <w:bCs/>
                <w:color w:val="000000"/>
                <w:sz w:val="18"/>
                <w:lang w:eastAsia="en-GB"/>
              </w:rPr>
            </w:pPr>
            <w:r w:rsidRPr="00BF3ADC">
              <w:rPr>
                <w:rFonts w:eastAsia="Times New Roman"/>
                <w:b/>
                <w:bCs/>
                <w:color w:val="000000"/>
                <w:sz w:val="18"/>
                <w:lang w:eastAsia="en-GB"/>
              </w:rPr>
              <w:t>Income bracket share of total hhs</w:t>
            </w:r>
          </w:p>
        </w:tc>
      </w:tr>
      <w:tr w:rsidR="002F46CC" w:rsidRPr="00BF3ADC" w14:paraId="56106703" w14:textId="77777777" w:rsidTr="009517F9">
        <w:trPr>
          <w:trHeight w:val="300"/>
        </w:trPr>
        <w:tc>
          <w:tcPr>
            <w:tcW w:w="1859" w:type="dxa"/>
            <w:shd w:val="clear" w:color="auto" w:fill="auto"/>
            <w:noWrap/>
            <w:vAlign w:val="bottom"/>
            <w:hideMark/>
          </w:tcPr>
          <w:p w14:paraId="70BF33D7"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0-89</w:t>
            </w:r>
          </w:p>
        </w:tc>
        <w:tc>
          <w:tcPr>
            <w:tcW w:w="1271" w:type="dxa"/>
            <w:shd w:val="clear" w:color="auto" w:fill="auto"/>
            <w:noWrap/>
            <w:vAlign w:val="bottom"/>
            <w:hideMark/>
          </w:tcPr>
          <w:p w14:paraId="7234B3C4"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w:t>
            </w:r>
          </w:p>
        </w:tc>
        <w:tc>
          <w:tcPr>
            <w:tcW w:w="1272" w:type="dxa"/>
            <w:vAlign w:val="bottom"/>
          </w:tcPr>
          <w:p w14:paraId="6AE15F5C"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5%</w:t>
            </w:r>
          </w:p>
        </w:tc>
        <w:tc>
          <w:tcPr>
            <w:tcW w:w="1271" w:type="dxa"/>
            <w:vAlign w:val="bottom"/>
          </w:tcPr>
          <w:p w14:paraId="631441AF"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0%</w:t>
            </w:r>
          </w:p>
        </w:tc>
        <w:tc>
          <w:tcPr>
            <w:tcW w:w="1272" w:type="dxa"/>
            <w:vAlign w:val="bottom"/>
          </w:tcPr>
          <w:p w14:paraId="1B28BAC2"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95%</w:t>
            </w:r>
          </w:p>
        </w:tc>
        <w:tc>
          <w:tcPr>
            <w:tcW w:w="1272" w:type="dxa"/>
            <w:vAlign w:val="bottom"/>
          </w:tcPr>
          <w:p w14:paraId="0491525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13%</w:t>
            </w:r>
          </w:p>
        </w:tc>
      </w:tr>
      <w:tr w:rsidR="002F46CC" w:rsidRPr="00BF3ADC" w14:paraId="6C45A20A" w14:textId="77777777" w:rsidTr="009517F9">
        <w:trPr>
          <w:trHeight w:val="300"/>
        </w:trPr>
        <w:tc>
          <w:tcPr>
            <w:tcW w:w="1859" w:type="dxa"/>
            <w:shd w:val="clear" w:color="auto" w:fill="auto"/>
            <w:noWrap/>
            <w:vAlign w:val="bottom"/>
            <w:hideMark/>
          </w:tcPr>
          <w:p w14:paraId="4E4CB9A7"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90-189</w:t>
            </w:r>
          </w:p>
        </w:tc>
        <w:tc>
          <w:tcPr>
            <w:tcW w:w="1271" w:type="dxa"/>
            <w:shd w:val="clear" w:color="auto" w:fill="auto"/>
            <w:noWrap/>
            <w:vAlign w:val="bottom"/>
            <w:hideMark/>
          </w:tcPr>
          <w:p w14:paraId="707B1428"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w:t>
            </w:r>
          </w:p>
        </w:tc>
        <w:tc>
          <w:tcPr>
            <w:tcW w:w="1272" w:type="dxa"/>
            <w:vAlign w:val="bottom"/>
          </w:tcPr>
          <w:p w14:paraId="3CC1303A"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23%</w:t>
            </w:r>
          </w:p>
        </w:tc>
        <w:tc>
          <w:tcPr>
            <w:tcW w:w="1271" w:type="dxa"/>
            <w:vAlign w:val="bottom"/>
          </w:tcPr>
          <w:p w14:paraId="5A63F7E9"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0%</w:t>
            </w:r>
          </w:p>
        </w:tc>
        <w:tc>
          <w:tcPr>
            <w:tcW w:w="1272" w:type="dxa"/>
            <w:vAlign w:val="bottom"/>
          </w:tcPr>
          <w:p w14:paraId="482A937D"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76%</w:t>
            </w:r>
          </w:p>
        </w:tc>
        <w:tc>
          <w:tcPr>
            <w:tcW w:w="1272" w:type="dxa"/>
            <w:vAlign w:val="bottom"/>
          </w:tcPr>
          <w:p w14:paraId="24690731"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26%</w:t>
            </w:r>
          </w:p>
        </w:tc>
      </w:tr>
      <w:tr w:rsidR="002F46CC" w:rsidRPr="00BF3ADC" w14:paraId="0888BA11" w14:textId="77777777" w:rsidTr="009517F9">
        <w:trPr>
          <w:trHeight w:val="300"/>
        </w:trPr>
        <w:tc>
          <w:tcPr>
            <w:tcW w:w="1859" w:type="dxa"/>
            <w:shd w:val="clear" w:color="auto" w:fill="auto"/>
            <w:noWrap/>
            <w:vAlign w:val="bottom"/>
            <w:hideMark/>
          </w:tcPr>
          <w:p w14:paraId="46663F29"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190-389</w:t>
            </w:r>
          </w:p>
        </w:tc>
        <w:tc>
          <w:tcPr>
            <w:tcW w:w="1271" w:type="dxa"/>
            <w:shd w:val="clear" w:color="auto" w:fill="auto"/>
            <w:noWrap/>
            <w:vAlign w:val="bottom"/>
            <w:hideMark/>
          </w:tcPr>
          <w:p w14:paraId="5B91E687"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8%</w:t>
            </w:r>
          </w:p>
        </w:tc>
        <w:tc>
          <w:tcPr>
            <w:tcW w:w="1272" w:type="dxa"/>
            <w:vAlign w:val="bottom"/>
          </w:tcPr>
          <w:p w14:paraId="0745B2B2"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13%</w:t>
            </w:r>
          </w:p>
        </w:tc>
        <w:tc>
          <w:tcPr>
            <w:tcW w:w="1271" w:type="dxa"/>
            <w:vAlign w:val="bottom"/>
          </w:tcPr>
          <w:p w14:paraId="17E50E7D"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6%</w:t>
            </w:r>
          </w:p>
        </w:tc>
        <w:tc>
          <w:tcPr>
            <w:tcW w:w="1272" w:type="dxa"/>
            <w:vAlign w:val="bottom"/>
          </w:tcPr>
          <w:p w14:paraId="49699140"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72%</w:t>
            </w:r>
          </w:p>
        </w:tc>
        <w:tc>
          <w:tcPr>
            <w:tcW w:w="1272" w:type="dxa"/>
            <w:vAlign w:val="bottom"/>
          </w:tcPr>
          <w:p w14:paraId="71F614CC"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31%</w:t>
            </w:r>
          </w:p>
        </w:tc>
      </w:tr>
      <w:tr w:rsidR="002F46CC" w:rsidRPr="00BF3ADC" w14:paraId="249C7133" w14:textId="77777777" w:rsidTr="009517F9">
        <w:trPr>
          <w:trHeight w:val="300"/>
        </w:trPr>
        <w:tc>
          <w:tcPr>
            <w:tcW w:w="1859" w:type="dxa"/>
            <w:shd w:val="clear" w:color="auto" w:fill="auto"/>
            <w:noWrap/>
            <w:vAlign w:val="bottom"/>
            <w:hideMark/>
          </w:tcPr>
          <w:p w14:paraId="0056DDA5"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390-579</w:t>
            </w:r>
          </w:p>
        </w:tc>
        <w:tc>
          <w:tcPr>
            <w:tcW w:w="1271" w:type="dxa"/>
            <w:shd w:val="clear" w:color="auto" w:fill="auto"/>
            <w:noWrap/>
            <w:vAlign w:val="bottom"/>
            <w:hideMark/>
          </w:tcPr>
          <w:p w14:paraId="1F81B0A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22%</w:t>
            </w:r>
          </w:p>
        </w:tc>
        <w:tc>
          <w:tcPr>
            <w:tcW w:w="1272" w:type="dxa"/>
            <w:vAlign w:val="bottom"/>
          </w:tcPr>
          <w:p w14:paraId="4D62A281"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12%</w:t>
            </w:r>
          </w:p>
        </w:tc>
        <w:tc>
          <w:tcPr>
            <w:tcW w:w="1271" w:type="dxa"/>
            <w:vAlign w:val="bottom"/>
          </w:tcPr>
          <w:p w14:paraId="5C00FAB0"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w:t>
            </w:r>
          </w:p>
        </w:tc>
        <w:tc>
          <w:tcPr>
            <w:tcW w:w="1272" w:type="dxa"/>
            <w:vAlign w:val="bottom"/>
          </w:tcPr>
          <w:p w14:paraId="2C9E2B3F"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64%</w:t>
            </w:r>
          </w:p>
        </w:tc>
        <w:tc>
          <w:tcPr>
            <w:tcW w:w="1272" w:type="dxa"/>
            <w:vAlign w:val="bottom"/>
          </w:tcPr>
          <w:p w14:paraId="4AEDECA6"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15%</w:t>
            </w:r>
          </w:p>
        </w:tc>
      </w:tr>
      <w:tr w:rsidR="002F46CC" w:rsidRPr="00BF3ADC" w14:paraId="48B0B484" w14:textId="77777777" w:rsidTr="009517F9">
        <w:trPr>
          <w:trHeight w:val="300"/>
        </w:trPr>
        <w:tc>
          <w:tcPr>
            <w:tcW w:w="1859" w:type="dxa"/>
            <w:shd w:val="clear" w:color="auto" w:fill="auto"/>
            <w:noWrap/>
            <w:vAlign w:val="bottom"/>
            <w:hideMark/>
          </w:tcPr>
          <w:p w14:paraId="20AF83A7"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580-990</w:t>
            </w:r>
          </w:p>
        </w:tc>
        <w:tc>
          <w:tcPr>
            <w:tcW w:w="1271" w:type="dxa"/>
            <w:shd w:val="clear" w:color="auto" w:fill="auto"/>
            <w:noWrap/>
            <w:vAlign w:val="bottom"/>
            <w:hideMark/>
          </w:tcPr>
          <w:p w14:paraId="085A5425"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35%</w:t>
            </w:r>
          </w:p>
        </w:tc>
        <w:tc>
          <w:tcPr>
            <w:tcW w:w="1272" w:type="dxa"/>
            <w:vAlign w:val="bottom"/>
          </w:tcPr>
          <w:p w14:paraId="0C5AC4F2"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16%</w:t>
            </w:r>
          </w:p>
        </w:tc>
        <w:tc>
          <w:tcPr>
            <w:tcW w:w="1271" w:type="dxa"/>
            <w:vAlign w:val="bottom"/>
          </w:tcPr>
          <w:p w14:paraId="11421F8E"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5%</w:t>
            </w:r>
          </w:p>
        </w:tc>
        <w:tc>
          <w:tcPr>
            <w:tcW w:w="1272" w:type="dxa"/>
            <w:vAlign w:val="bottom"/>
          </w:tcPr>
          <w:p w14:paraId="30C1416F"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44%</w:t>
            </w:r>
          </w:p>
        </w:tc>
        <w:tc>
          <w:tcPr>
            <w:tcW w:w="1272" w:type="dxa"/>
            <w:vAlign w:val="bottom"/>
          </w:tcPr>
          <w:p w14:paraId="00F817AB"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10%</w:t>
            </w:r>
          </w:p>
        </w:tc>
      </w:tr>
      <w:tr w:rsidR="002F46CC" w:rsidRPr="00BF3ADC" w14:paraId="12C9D050" w14:textId="77777777" w:rsidTr="009517F9">
        <w:trPr>
          <w:trHeight w:val="300"/>
        </w:trPr>
        <w:tc>
          <w:tcPr>
            <w:tcW w:w="1859" w:type="dxa"/>
            <w:shd w:val="clear" w:color="auto" w:fill="auto"/>
            <w:noWrap/>
            <w:vAlign w:val="bottom"/>
            <w:hideMark/>
          </w:tcPr>
          <w:p w14:paraId="3E0A0B0A" w14:textId="77777777" w:rsidR="002F46CC" w:rsidRPr="00BF3ADC" w:rsidRDefault="002F46CC" w:rsidP="009517F9">
            <w:pPr>
              <w:spacing w:after="0" w:line="240" w:lineRule="auto"/>
              <w:rPr>
                <w:rFonts w:eastAsia="Times New Roman"/>
                <w:color w:val="000000"/>
                <w:sz w:val="18"/>
                <w:lang w:eastAsia="en-GB"/>
              </w:rPr>
            </w:pPr>
            <w:r w:rsidRPr="00BF3ADC">
              <w:rPr>
                <w:rFonts w:eastAsia="Times New Roman"/>
                <w:color w:val="000000"/>
                <w:sz w:val="18"/>
                <w:lang w:eastAsia="en-GB"/>
              </w:rPr>
              <w:t>990+</w:t>
            </w:r>
          </w:p>
        </w:tc>
        <w:tc>
          <w:tcPr>
            <w:tcW w:w="1271" w:type="dxa"/>
            <w:shd w:val="clear" w:color="auto" w:fill="auto"/>
            <w:noWrap/>
            <w:vAlign w:val="bottom"/>
            <w:hideMark/>
          </w:tcPr>
          <w:p w14:paraId="225650D5"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37%</w:t>
            </w:r>
          </w:p>
        </w:tc>
        <w:tc>
          <w:tcPr>
            <w:tcW w:w="1272" w:type="dxa"/>
            <w:vAlign w:val="bottom"/>
          </w:tcPr>
          <w:p w14:paraId="6467B8D1"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29%</w:t>
            </w:r>
          </w:p>
        </w:tc>
        <w:tc>
          <w:tcPr>
            <w:tcW w:w="1271" w:type="dxa"/>
            <w:vAlign w:val="bottom"/>
          </w:tcPr>
          <w:p w14:paraId="7A2A2807"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12%</w:t>
            </w:r>
          </w:p>
        </w:tc>
        <w:tc>
          <w:tcPr>
            <w:tcW w:w="1272" w:type="dxa"/>
            <w:vAlign w:val="bottom"/>
          </w:tcPr>
          <w:p w14:paraId="3E4E8948"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22%</w:t>
            </w:r>
          </w:p>
        </w:tc>
        <w:tc>
          <w:tcPr>
            <w:tcW w:w="1272" w:type="dxa"/>
            <w:vAlign w:val="bottom"/>
          </w:tcPr>
          <w:p w14:paraId="65F568FE" w14:textId="77777777" w:rsidR="002F46CC" w:rsidRPr="00BF3ADC" w:rsidRDefault="002F46CC" w:rsidP="009517F9">
            <w:pPr>
              <w:spacing w:after="0" w:line="240" w:lineRule="auto"/>
              <w:jc w:val="right"/>
              <w:rPr>
                <w:rFonts w:eastAsia="Times New Roman"/>
                <w:color w:val="000000"/>
                <w:sz w:val="18"/>
                <w:lang w:eastAsia="en-GB"/>
              </w:rPr>
            </w:pPr>
            <w:r w:rsidRPr="00BF3ADC">
              <w:rPr>
                <w:rFonts w:eastAsia="Times New Roman"/>
                <w:color w:val="000000"/>
                <w:sz w:val="18"/>
                <w:lang w:eastAsia="en-GB"/>
              </w:rPr>
              <w:t>6%</w:t>
            </w:r>
          </w:p>
        </w:tc>
      </w:tr>
      <w:tr w:rsidR="002F46CC" w:rsidRPr="00BF3ADC" w14:paraId="7F9FF4CB" w14:textId="77777777" w:rsidTr="009517F9">
        <w:trPr>
          <w:trHeight w:val="300"/>
        </w:trPr>
        <w:tc>
          <w:tcPr>
            <w:tcW w:w="1859" w:type="dxa"/>
            <w:shd w:val="clear" w:color="auto" w:fill="auto"/>
            <w:noWrap/>
            <w:vAlign w:val="bottom"/>
          </w:tcPr>
          <w:p w14:paraId="63494016" w14:textId="77777777" w:rsidR="002F46CC" w:rsidRPr="00BF3ADC" w:rsidRDefault="002F46CC" w:rsidP="009517F9">
            <w:pPr>
              <w:spacing w:after="0" w:line="240" w:lineRule="auto"/>
              <w:rPr>
                <w:rFonts w:eastAsia="Times New Roman"/>
                <w:b/>
                <w:i/>
                <w:color w:val="000000"/>
                <w:sz w:val="18"/>
                <w:lang w:eastAsia="en-GB"/>
              </w:rPr>
            </w:pPr>
            <w:r w:rsidRPr="00BF3ADC">
              <w:rPr>
                <w:rFonts w:eastAsia="Times New Roman"/>
                <w:b/>
                <w:i/>
                <w:color w:val="000000"/>
                <w:sz w:val="18"/>
                <w:lang w:eastAsia="en-GB"/>
              </w:rPr>
              <w:t>TOP 10%</w:t>
            </w:r>
          </w:p>
        </w:tc>
        <w:tc>
          <w:tcPr>
            <w:tcW w:w="1271" w:type="dxa"/>
            <w:shd w:val="clear" w:color="auto" w:fill="auto"/>
            <w:noWrap/>
            <w:vAlign w:val="bottom"/>
          </w:tcPr>
          <w:p w14:paraId="0C2C8096" w14:textId="77777777" w:rsidR="002F46CC" w:rsidRPr="00BF3ADC" w:rsidRDefault="002F46CC" w:rsidP="009517F9">
            <w:pPr>
              <w:spacing w:after="0" w:line="240" w:lineRule="auto"/>
              <w:jc w:val="right"/>
              <w:rPr>
                <w:rFonts w:eastAsia="Times New Roman"/>
                <w:b/>
                <w:i/>
                <w:iCs/>
                <w:color w:val="000000"/>
                <w:sz w:val="18"/>
                <w:lang w:eastAsia="en-GB"/>
              </w:rPr>
            </w:pPr>
            <w:r w:rsidRPr="00BF3ADC">
              <w:rPr>
                <w:rFonts w:eastAsia="Times New Roman"/>
                <w:b/>
                <w:i/>
                <w:iCs/>
                <w:color w:val="000000"/>
                <w:sz w:val="18"/>
                <w:lang w:eastAsia="en-GB"/>
              </w:rPr>
              <w:t>36%</w:t>
            </w:r>
          </w:p>
        </w:tc>
        <w:tc>
          <w:tcPr>
            <w:tcW w:w="1272" w:type="dxa"/>
            <w:vAlign w:val="bottom"/>
          </w:tcPr>
          <w:p w14:paraId="224D9FE2" w14:textId="77777777" w:rsidR="002F46CC" w:rsidRPr="00BF3ADC" w:rsidRDefault="002F46CC" w:rsidP="009517F9">
            <w:pPr>
              <w:spacing w:after="0" w:line="240" w:lineRule="auto"/>
              <w:jc w:val="right"/>
              <w:rPr>
                <w:rFonts w:eastAsia="Times New Roman"/>
                <w:b/>
                <w:i/>
                <w:iCs/>
                <w:color w:val="000000"/>
                <w:sz w:val="18"/>
                <w:lang w:eastAsia="en-GB"/>
              </w:rPr>
            </w:pPr>
            <w:r w:rsidRPr="00BF3ADC">
              <w:rPr>
                <w:rFonts w:eastAsia="Times New Roman"/>
                <w:b/>
                <w:i/>
                <w:iCs/>
                <w:color w:val="000000"/>
                <w:sz w:val="18"/>
                <w:lang w:eastAsia="en-GB"/>
              </w:rPr>
              <w:t>23%</w:t>
            </w:r>
          </w:p>
        </w:tc>
        <w:tc>
          <w:tcPr>
            <w:tcW w:w="1271" w:type="dxa"/>
            <w:vAlign w:val="bottom"/>
          </w:tcPr>
          <w:p w14:paraId="16FB6D15" w14:textId="77777777" w:rsidR="002F46CC" w:rsidRPr="00BF3ADC" w:rsidRDefault="002F46CC" w:rsidP="009517F9">
            <w:pPr>
              <w:spacing w:after="0" w:line="240" w:lineRule="auto"/>
              <w:jc w:val="right"/>
              <w:rPr>
                <w:rFonts w:eastAsia="Times New Roman"/>
                <w:b/>
                <w:i/>
                <w:iCs/>
                <w:color w:val="000000"/>
                <w:sz w:val="18"/>
                <w:lang w:eastAsia="en-GB"/>
              </w:rPr>
            </w:pPr>
            <w:r w:rsidRPr="00BF3ADC">
              <w:rPr>
                <w:rFonts w:eastAsia="Times New Roman"/>
                <w:b/>
                <w:i/>
                <w:iCs/>
                <w:color w:val="000000"/>
                <w:sz w:val="18"/>
                <w:lang w:eastAsia="en-GB"/>
              </w:rPr>
              <w:t>9%</w:t>
            </w:r>
          </w:p>
        </w:tc>
        <w:tc>
          <w:tcPr>
            <w:tcW w:w="1272" w:type="dxa"/>
            <w:vAlign w:val="bottom"/>
          </w:tcPr>
          <w:p w14:paraId="46947926" w14:textId="77777777" w:rsidR="002F46CC" w:rsidRPr="00BF3ADC" w:rsidRDefault="002F46CC" w:rsidP="009517F9">
            <w:pPr>
              <w:spacing w:after="0" w:line="240" w:lineRule="auto"/>
              <w:jc w:val="right"/>
              <w:rPr>
                <w:rFonts w:eastAsia="Times New Roman"/>
                <w:b/>
                <w:i/>
                <w:iCs/>
                <w:color w:val="000000"/>
                <w:sz w:val="18"/>
                <w:lang w:eastAsia="en-GB"/>
              </w:rPr>
            </w:pPr>
            <w:r w:rsidRPr="00BF3ADC">
              <w:rPr>
                <w:rFonts w:eastAsia="Times New Roman"/>
                <w:b/>
                <w:i/>
                <w:iCs/>
                <w:color w:val="000000"/>
                <w:sz w:val="18"/>
                <w:lang w:eastAsia="en-GB"/>
              </w:rPr>
              <w:t>32%</w:t>
            </w:r>
          </w:p>
        </w:tc>
        <w:tc>
          <w:tcPr>
            <w:tcW w:w="1272" w:type="dxa"/>
            <w:vAlign w:val="bottom"/>
          </w:tcPr>
          <w:p w14:paraId="48F87B53" w14:textId="77777777" w:rsidR="002F46CC" w:rsidRPr="00BF3ADC" w:rsidRDefault="002F46CC" w:rsidP="009517F9">
            <w:pPr>
              <w:spacing w:after="0" w:line="240" w:lineRule="auto"/>
              <w:jc w:val="right"/>
              <w:rPr>
                <w:rFonts w:eastAsia="Times New Roman"/>
                <w:b/>
                <w:i/>
                <w:color w:val="000000"/>
                <w:sz w:val="18"/>
                <w:lang w:eastAsia="en-GB"/>
              </w:rPr>
            </w:pPr>
            <w:r w:rsidRPr="00BF3ADC">
              <w:rPr>
                <w:rFonts w:eastAsia="Times New Roman"/>
                <w:b/>
                <w:i/>
                <w:color w:val="000000"/>
                <w:sz w:val="18"/>
                <w:lang w:eastAsia="en-GB"/>
              </w:rPr>
              <w:t>10%</w:t>
            </w:r>
          </w:p>
        </w:tc>
      </w:tr>
    </w:tbl>
    <w:p w14:paraId="6E55320A" w14:textId="77777777" w:rsidR="00245E22" w:rsidRDefault="00245E22" w:rsidP="002F46CC">
      <w:pPr>
        <w:spacing w:line="276" w:lineRule="auto"/>
        <w:rPr>
          <w:bCs/>
        </w:rPr>
      </w:pPr>
    </w:p>
    <w:p w14:paraId="367F0130" w14:textId="3C11CAB3" w:rsidR="002F46CC" w:rsidRPr="00F23F31" w:rsidRDefault="002F46CC" w:rsidP="002F46CC">
      <w:pPr>
        <w:spacing w:line="276" w:lineRule="auto"/>
        <w:rPr>
          <w:bCs/>
        </w:rPr>
      </w:pPr>
      <w:r w:rsidRPr="00F23F31">
        <w:rPr>
          <w:bCs/>
        </w:rPr>
        <w:t xml:space="preserve">(1) Small holders comprised 55% of total households. The income distribution in the small holder sector </w:t>
      </w:r>
      <w:r>
        <w:rPr>
          <w:bCs/>
        </w:rPr>
        <w:t>is drawn from</w:t>
      </w:r>
      <w:r w:rsidRPr="00F23F31">
        <w:rPr>
          <w:bCs/>
        </w:rPr>
        <w:t xml:space="preserve"> the Integrated Ru</w:t>
      </w:r>
      <w:r w:rsidRPr="00522CDF">
        <w:rPr>
          <w:bCs/>
        </w:rPr>
        <w:t xml:space="preserve">ral Survey </w:t>
      </w:r>
      <w:r w:rsidR="00245E22" w:rsidRPr="00522CDF">
        <w:rPr>
          <w:bCs/>
        </w:rPr>
        <w:t xml:space="preserve">(IRS) </w:t>
      </w:r>
      <w:r w:rsidRPr="00522CDF">
        <w:rPr>
          <w:bCs/>
        </w:rPr>
        <w:t>from 1974/75 (Kenya Central Bureau of Statistics 1975). Smith (1978) calculated</w:t>
      </w:r>
      <w:r w:rsidRPr="00F23F31">
        <w:rPr>
          <w:bCs/>
        </w:rPr>
        <w:t xml:space="preserve"> an income distribution based on this survey which presents number of ‘adult equivalents’ by income group (in KSh per annum). Adult equivalents were calculated by giving all adults aged 15 and above a weight of 1, and all children below 15 a weight of 0.5. For the purposes of this paper the distribution was recalculated into monthly KSh. per household, assuming an average household size of 6.7 and presuming that 50% of household members were below the age of 15 (</w:t>
      </w:r>
      <w:r>
        <w:rPr>
          <w:bCs/>
        </w:rPr>
        <w:t>as per the</w:t>
      </w:r>
      <w:r w:rsidRPr="00F23F31">
        <w:rPr>
          <w:bCs/>
        </w:rPr>
        <w:t xml:space="preserve"> 1969 census). Furthermore, as remittances were included as a form of income, the income cut-offs were lowered on the basis of the average remittance share of income. Lastly, the IRS also included a significant share of households in the top brackets that were headed by formal sector employees; of households in the top income bracket for instance, 27% of that income was earned from regular or casual employment. I therefore adjust the number of households downwards to account for those whose main form of income was from paid employment, thus avoiding double counting as these households will also be captured by the enumeration of employees.</w:t>
      </w:r>
    </w:p>
    <w:p w14:paraId="415D6894" w14:textId="77777777" w:rsidR="002F46CC" w:rsidRPr="00F23F31" w:rsidRDefault="002F46CC" w:rsidP="002F46CC">
      <w:pPr>
        <w:spacing w:line="276" w:lineRule="auto"/>
        <w:rPr>
          <w:bCs/>
        </w:rPr>
      </w:pPr>
      <w:r w:rsidRPr="00F23F31">
        <w:rPr>
          <w:bCs/>
        </w:rPr>
        <w:t xml:space="preserve">Note that in contrast to the assumptions made by Crawford and Thorbecke (1978), the so-called intermediate or gap farms with holdings of between 20-50 acres (8-20 hectare) are assumed to be captured by the small holder survey, as the total estimated holdings of 8 hectare and above roughly match the number reported in the 1979 intermediate farm survey. </w:t>
      </w:r>
    </w:p>
    <w:p w14:paraId="3781BCF3" w14:textId="1257A7EB" w:rsidR="002F46CC" w:rsidRPr="00F23F31" w:rsidRDefault="002F46CC" w:rsidP="002F46CC">
      <w:pPr>
        <w:spacing w:line="276" w:lineRule="auto"/>
      </w:pPr>
      <w:r w:rsidRPr="00F23F31">
        <w:t>(2) Kenyan authorities defined farms of over 50 acres as large farms. These were land holdings in the former scheduled areas, and there were roughly 3,000 such farms in 1975</w:t>
      </w:r>
      <w:r>
        <w:t xml:space="preserve"> (Kenya Statistical Abstract 1980: Table 84)</w:t>
      </w:r>
      <w:r w:rsidRPr="00F23F31">
        <w:t xml:space="preserve">. I assume that all 3,000 large farm households had incomes that placed them in the top income </w:t>
      </w:r>
      <w:r>
        <w:t>decile</w:t>
      </w:r>
      <w:r w:rsidRPr="00F23F31">
        <w:t>.</w:t>
      </w:r>
    </w:p>
    <w:p w14:paraId="073A7F30" w14:textId="77777777" w:rsidR="002F46CC" w:rsidRPr="00F23F31" w:rsidRDefault="002F46CC" w:rsidP="002F46CC">
      <w:pPr>
        <w:spacing w:line="276" w:lineRule="auto"/>
      </w:pPr>
      <w:r w:rsidRPr="00F23F31">
        <w:t>(3) Formal sector employee households are calculated from the 1975 Enumeration of Employees Survey</w:t>
      </w:r>
      <w:r>
        <w:t xml:space="preserve"> (Kenya Statistical Abstract 1976: Tables 255-257)</w:t>
      </w:r>
      <w:r w:rsidRPr="00F23F31">
        <w:t xml:space="preserve">. This survey reports the number of employees by wage group. The female share of each wage group is subtracted from the total to give the number of male employees by wage bracket, to avoid double counting. I then assume that each male employee is the head of one household and his earnings are the household’s sole source of income. This is a problematic assumption, as many households headed by employees in formal employment had other sources of income that would have raised their overall household income. Thus the formal sector shares in the top income brackets are likely to be under-estimated. As the wage brackets do not overlap perfectly with the income group brackets given by the IRS, I assume a linear distribution of employees within each bracket. Experimenting with alternative in-bracket distributions suggests that this simplification makes little difference to the overall results. </w:t>
      </w:r>
    </w:p>
    <w:p w14:paraId="6A2DFDCC" w14:textId="77777777" w:rsidR="002F46CC" w:rsidRPr="00F23F31" w:rsidRDefault="002F46CC" w:rsidP="002F46CC">
      <w:pPr>
        <w:spacing w:line="276" w:lineRule="auto"/>
      </w:pPr>
      <w:r w:rsidRPr="00F23F31">
        <w:lastRenderedPageBreak/>
        <w:t xml:space="preserve"> (4) Data on self-employed, high income households is taken from the income tax department annual report for 1974. It assumes that each tax unit is a household, and the reported taxable income their total household earnings for that year.</w:t>
      </w:r>
    </w:p>
    <w:p w14:paraId="016E5F25" w14:textId="77777777" w:rsidR="002F46CC" w:rsidRPr="00F23F31" w:rsidRDefault="002F46CC" w:rsidP="002F46CC">
      <w:pPr>
        <w:spacing w:line="276" w:lineRule="auto"/>
      </w:pPr>
      <w:r w:rsidRPr="00F23F31">
        <w:t>(5) Informal sector workers in the urban areas are estimated based on the 1975 informal sector survey (republished in Crawford and Thorbecke</w:t>
      </w:r>
      <w:r>
        <w:t xml:space="preserve"> 1978:</w:t>
      </w:r>
      <w:r w:rsidRPr="00F23F31">
        <w:t xml:space="preserve"> Appendix B). This survey gives average earnings by industrial sub-group. These workers are assigned to income brackets on the basis of the average earnings in their respective industrial sub-group. I assume the same male share of workers as in the formal sector (85%) and thus subtract 15% from each bracket.</w:t>
      </w:r>
    </w:p>
    <w:p w14:paraId="0244AE5D" w14:textId="77777777" w:rsidR="002F46CC" w:rsidRPr="00F23F31" w:rsidRDefault="002F46CC" w:rsidP="002F46CC">
      <w:pPr>
        <w:spacing w:line="276" w:lineRule="auto"/>
      </w:pPr>
      <w:r w:rsidRPr="00F23F31">
        <w:t>(6) The number of pastoral households is taken from Collier and Lal</w:t>
      </w:r>
      <w:r>
        <w:t xml:space="preserve"> (</w:t>
      </w:r>
      <w:r w:rsidRPr="00F23F31">
        <w:t>1980</w:t>
      </w:r>
      <w:r>
        <w:t>)</w:t>
      </w:r>
      <w:r w:rsidRPr="00F23F31">
        <w:t xml:space="preserve">. They are assumed to be distributed evenly in the bottom </w:t>
      </w:r>
      <w:r>
        <w:t xml:space="preserve">four </w:t>
      </w:r>
      <w:r w:rsidRPr="00F23F31">
        <w:t>brackets. This is an arbitrary decision, but as they are unlikely to be found in the top decile or percentile, this is unlikely to affect the reported results.</w:t>
      </w:r>
    </w:p>
    <w:p w14:paraId="1FE1E7CD" w14:textId="77777777" w:rsidR="002F46CC" w:rsidRPr="00F23F31" w:rsidRDefault="002F46CC" w:rsidP="002F46CC">
      <w:pPr>
        <w:spacing w:line="276" w:lineRule="auto"/>
      </w:pPr>
      <w:r w:rsidRPr="00F23F31">
        <w:t xml:space="preserve">(7) The missing rural households (presumed to be squatters or landless households) are calculated as a residual (based on the total population size) and distributed evenly in the bottom </w:t>
      </w:r>
      <w:r>
        <w:t xml:space="preserve">four </w:t>
      </w:r>
      <w:r w:rsidRPr="00F23F31">
        <w:t xml:space="preserve">brackets. This is an arbitrary decision, but as they are unlikely to be found in the top decile or percentile, this is unlikely to affect main the reported results. </w:t>
      </w:r>
    </w:p>
    <w:p w14:paraId="3886636C" w14:textId="77777777" w:rsidR="002F46CC" w:rsidRPr="00F23F31" w:rsidRDefault="002F46CC" w:rsidP="002F46CC">
      <w:pPr>
        <w:spacing w:line="276" w:lineRule="auto"/>
      </w:pPr>
      <w:r w:rsidRPr="00F23F31">
        <w:t>The top 10% is calculated from the top two brackets, weighting the top bracket by 0.6 and the second by 0.4, thus capturing the top 10% of the distribution.</w:t>
      </w:r>
    </w:p>
    <w:p w14:paraId="16A0FD6B" w14:textId="77777777" w:rsidR="002F46CC" w:rsidRPr="00F23F31" w:rsidRDefault="002F46CC" w:rsidP="002F46CC">
      <w:pPr>
        <w:spacing w:line="276" w:lineRule="auto"/>
      </w:pPr>
      <w:r w:rsidRPr="00F23F31">
        <w:t>The top 1% estimate for 1975 is calculated solely from the income tax department annual report and enumeration of employees, assuming that all those with incomes that put them in the top 1% would pay taxes and making adjustments for women.</w:t>
      </w:r>
    </w:p>
    <w:p w14:paraId="39269F21" w14:textId="77777777" w:rsidR="002F46CC" w:rsidRPr="00522149" w:rsidRDefault="002F46CC" w:rsidP="002F46CC">
      <w:pPr>
        <w:pStyle w:val="Caption"/>
        <w:rPr>
          <w:b w:val="0"/>
          <w:i/>
          <w:sz w:val="22"/>
        </w:rPr>
      </w:pPr>
      <w:r w:rsidRPr="00522149">
        <w:rPr>
          <w:b w:val="0"/>
          <w:i/>
          <w:sz w:val="22"/>
        </w:rPr>
        <w:t xml:space="preserve">Appendix Table </w:t>
      </w:r>
      <w:r w:rsidRPr="00522149">
        <w:rPr>
          <w:b w:val="0"/>
          <w:i/>
          <w:noProof/>
          <w:sz w:val="22"/>
        </w:rPr>
        <w:t>3</w:t>
      </w:r>
      <w:r w:rsidRPr="00522149">
        <w:rPr>
          <w:b w:val="0"/>
          <w:i/>
          <w:sz w:val="22"/>
        </w:rPr>
        <w:t>. Composition of top 1% of households</w:t>
      </w: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976"/>
        <w:gridCol w:w="976"/>
        <w:gridCol w:w="2448"/>
        <w:gridCol w:w="993"/>
      </w:tblGrid>
      <w:tr w:rsidR="002F46CC" w:rsidRPr="00F23F31" w14:paraId="1274311F" w14:textId="77777777" w:rsidTr="009517F9">
        <w:trPr>
          <w:trHeight w:val="300"/>
        </w:trPr>
        <w:tc>
          <w:tcPr>
            <w:tcW w:w="1724" w:type="dxa"/>
            <w:shd w:val="clear" w:color="auto" w:fill="auto"/>
            <w:noWrap/>
            <w:vAlign w:val="bottom"/>
            <w:hideMark/>
          </w:tcPr>
          <w:p w14:paraId="19B383BE" w14:textId="77777777" w:rsidR="002F46CC" w:rsidRPr="00F23F31" w:rsidRDefault="002F46CC" w:rsidP="009517F9">
            <w:pPr>
              <w:spacing w:after="0" w:line="240" w:lineRule="auto"/>
              <w:rPr>
                <w:sz w:val="20"/>
                <w:lang w:eastAsia="en-GB"/>
              </w:rPr>
            </w:pPr>
          </w:p>
        </w:tc>
        <w:tc>
          <w:tcPr>
            <w:tcW w:w="976" w:type="dxa"/>
            <w:shd w:val="clear" w:color="auto" w:fill="auto"/>
            <w:noWrap/>
            <w:vAlign w:val="bottom"/>
            <w:hideMark/>
          </w:tcPr>
          <w:p w14:paraId="16D1BFD5" w14:textId="77777777" w:rsidR="002F46CC" w:rsidRPr="00F23F31" w:rsidRDefault="002F46CC" w:rsidP="009517F9">
            <w:pPr>
              <w:spacing w:after="0" w:line="240" w:lineRule="auto"/>
              <w:rPr>
                <w:sz w:val="20"/>
                <w:lang w:eastAsia="en-GB"/>
              </w:rPr>
            </w:pPr>
            <w:r w:rsidRPr="00F23F31">
              <w:rPr>
                <w:sz w:val="20"/>
                <w:lang w:eastAsia="en-GB"/>
              </w:rPr>
              <w:t xml:space="preserve">Public </w:t>
            </w:r>
          </w:p>
        </w:tc>
        <w:tc>
          <w:tcPr>
            <w:tcW w:w="976" w:type="dxa"/>
            <w:shd w:val="clear" w:color="auto" w:fill="auto"/>
            <w:noWrap/>
            <w:vAlign w:val="bottom"/>
            <w:hideMark/>
          </w:tcPr>
          <w:p w14:paraId="07B8FD83" w14:textId="77777777" w:rsidR="002F46CC" w:rsidRPr="00F23F31" w:rsidRDefault="002F46CC" w:rsidP="009517F9">
            <w:pPr>
              <w:spacing w:after="0" w:line="240" w:lineRule="auto"/>
              <w:rPr>
                <w:sz w:val="20"/>
                <w:lang w:eastAsia="en-GB"/>
              </w:rPr>
            </w:pPr>
            <w:r w:rsidRPr="00F23F31">
              <w:rPr>
                <w:sz w:val="20"/>
                <w:lang w:eastAsia="en-GB"/>
              </w:rPr>
              <w:t xml:space="preserve">Private </w:t>
            </w:r>
          </w:p>
        </w:tc>
        <w:tc>
          <w:tcPr>
            <w:tcW w:w="2448" w:type="dxa"/>
            <w:shd w:val="clear" w:color="auto" w:fill="auto"/>
            <w:noWrap/>
            <w:vAlign w:val="bottom"/>
            <w:hideMark/>
          </w:tcPr>
          <w:p w14:paraId="5EE247BB" w14:textId="77777777" w:rsidR="002F46CC" w:rsidRPr="00F23F31" w:rsidRDefault="002F46CC" w:rsidP="009517F9">
            <w:pPr>
              <w:spacing w:after="0" w:line="240" w:lineRule="auto"/>
              <w:rPr>
                <w:sz w:val="20"/>
                <w:lang w:eastAsia="en-GB"/>
              </w:rPr>
            </w:pPr>
            <w:r w:rsidRPr="00F23F31">
              <w:rPr>
                <w:sz w:val="20"/>
                <w:lang w:eastAsia="en-GB"/>
              </w:rPr>
              <w:t>Self-employed</w:t>
            </w:r>
          </w:p>
        </w:tc>
        <w:tc>
          <w:tcPr>
            <w:tcW w:w="993" w:type="dxa"/>
            <w:shd w:val="clear" w:color="auto" w:fill="auto"/>
            <w:noWrap/>
            <w:vAlign w:val="bottom"/>
            <w:hideMark/>
          </w:tcPr>
          <w:p w14:paraId="29E6B32B" w14:textId="77777777" w:rsidR="002F46CC" w:rsidRPr="00F23F31" w:rsidRDefault="002F46CC" w:rsidP="009517F9">
            <w:pPr>
              <w:spacing w:after="0" w:line="240" w:lineRule="auto"/>
              <w:rPr>
                <w:sz w:val="20"/>
                <w:lang w:eastAsia="en-GB"/>
              </w:rPr>
            </w:pPr>
            <w:r w:rsidRPr="00F23F31">
              <w:rPr>
                <w:sz w:val="20"/>
                <w:lang w:eastAsia="en-GB"/>
              </w:rPr>
              <w:t>TOTAL</w:t>
            </w:r>
          </w:p>
        </w:tc>
      </w:tr>
      <w:tr w:rsidR="002F46CC" w:rsidRPr="00F23F31" w14:paraId="686AF109" w14:textId="77777777" w:rsidTr="009517F9">
        <w:trPr>
          <w:trHeight w:val="300"/>
        </w:trPr>
        <w:tc>
          <w:tcPr>
            <w:tcW w:w="1724" w:type="dxa"/>
            <w:shd w:val="clear" w:color="auto" w:fill="auto"/>
            <w:noWrap/>
            <w:vAlign w:val="bottom"/>
          </w:tcPr>
          <w:p w14:paraId="0E8D2418" w14:textId="77777777" w:rsidR="002F46CC" w:rsidRPr="00F23F31" w:rsidRDefault="002F46CC" w:rsidP="009517F9">
            <w:pPr>
              <w:spacing w:after="0" w:line="240" w:lineRule="auto"/>
              <w:jc w:val="left"/>
              <w:rPr>
                <w:sz w:val="20"/>
                <w:lang w:eastAsia="en-GB"/>
              </w:rPr>
            </w:pPr>
            <w:r w:rsidRPr="00F23F31">
              <w:rPr>
                <w:sz w:val="20"/>
                <w:lang w:eastAsia="en-GB"/>
              </w:rPr>
              <w:t>Source</w:t>
            </w:r>
          </w:p>
        </w:tc>
        <w:tc>
          <w:tcPr>
            <w:tcW w:w="976" w:type="dxa"/>
            <w:shd w:val="clear" w:color="auto" w:fill="auto"/>
            <w:noWrap/>
            <w:vAlign w:val="bottom"/>
          </w:tcPr>
          <w:p w14:paraId="57AE582D" w14:textId="77777777" w:rsidR="002F46CC" w:rsidRPr="00F23F31" w:rsidRDefault="002F46CC" w:rsidP="009517F9">
            <w:pPr>
              <w:spacing w:after="0" w:line="240" w:lineRule="auto"/>
              <w:jc w:val="left"/>
              <w:rPr>
                <w:sz w:val="20"/>
                <w:lang w:eastAsia="en-GB"/>
              </w:rPr>
            </w:pPr>
            <w:r w:rsidRPr="00F23F31">
              <w:rPr>
                <w:sz w:val="20"/>
                <w:lang w:eastAsia="en-GB"/>
              </w:rPr>
              <w:t>EES</w:t>
            </w:r>
          </w:p>
        </w:tc>
        <w:tc>
          <w:tcPr>
            <w:tcW w:w="976" w:type="dxa"/>
            <w:shd w:val="clear" w:color="auto" w:fill="auto"/>
            <w:noWrap/>
            <w:vAlign w:val="bottom"/>
          </w:tcPr>
          <w:p w14:paraId="56799DAC" w14:textId="77777777" w:rsidR="002F46CC" w:rsidRPr="00F23F31" w:rsidRDefault="002F46CC" w:rsidP="009517F9">
            <w:pPr>
              <w:spacing w:after="0" w:line="240" w:lineRule="auto"/>
              <w:jc w:val="left"/>
              <w:rPr>
                <w:sz w:val="20"/>
                <w:lang w:eastAsia="en-GB"/>
              </w:rPr>
            </w:pPr>
            <w:r w:rsidRPr="00F23F31">
              <w:rPr>
                <w:sz w:val="20"/>
                <w:lang w:eastAsia="en-GB"/>
              </w:rPr>
              <w:t>EES</w:t>
            </w:r>
          </w:p>
        </w:tc>
        <w:tc>
          <w:tcPr>
            <w:tcW w:w="2448" w:type="dxa"/>
            <w:shd w:val="clear" w:color="auto" w:fill="auto"/>
            <w:noWrap/>
            <w:vAlign w:val="bottom"/>
          </w:tcPr>
          <w:p w14:paraId="12A2BBD5" w14:textId="77777777" w:rsidR="002F46CC" w:rsidRPr="00F23F31" w:rsidRDefault="002F46CC" w:rsidP="009517F9">
            <w:pPr>
              <w:spacing w:after="0" w:line="240" w:lineRule="auto"/>
              <w:jc w:val="left"/>
              <w:rPr>
                <w:sz w:val="20"/>
                <w:lang w:eastAsia="en-GB"/>
              </w:rPr>
            </w:pPr>
            <w:r w:rsidRPr="00F23F31">
              <w:rPr>
                <w:sz w:val="20"/>
                <w:lang w:eastAsia="en-GB"/>
              </w:rPr>
              <w:t>Income tax statistics report</w:t>
            </w:r>
          </w:p>
        </w:tc>
        <w:tc>
          <w:tcPr>
            <w:tcW w:w="993" w:type="dxa"/>
            <w:shd w:val="clear" w:color="auto" w:fill="auto"/>
            <w:noWrap/>
            <w:vAlign w:val="bottom"/>
          </w:tcPr>
          <w:p w14:paraId="080CA6E2" w14:textId="77777777" w:rsidR="002F46CC" w:rsidRPr="00F23F31" w:rsidRDefault="002F46CC" w:rsidP="009517F9">
            <w:pPr>
              <w:spacing w:after="0" w:line="240" w:lineRule="auto"/>
              <w:jc w:val="left"/>
              <w:rPr>
                <w:sz w:val="20"/>
                <w:lang w:eastAsia="en-GB"/>
              </w:rPr>
            </w:pPr>
          </w:p>
        </w:tc>
      </w:tr>
      <w:tr w:rsidR="002F46CC" w:rsidRPr="00F23F31" w14:paraId="34F793C8" w14:textId="77777777" w:rsidTr="009517F9">
        <w:trPr>
          <w:trHeight w:val="300"/>
        </w:trPr>
        <w:tc>
          <w:tcPr>
            <w:tcW w:w="1724" w:type="dxa"/>
            <w:shd w:val="clear" w:color="auto" w:fill="auto"/>
            <w:noWrap/>
            <w:vAlign w:val="bottom"/>
            <w:hideMark/>
          </w:tcPr>
          <w:p w14:paraId="69ADC44D" w14:textId="77777777" w:rsidR="002F46CC" w:rsidRPr="00F23F31" w:rsidRDefault="002F46CC" w:rsidP="009517F9">
            <w:pPr>
              <w:spacing w:after="0" w:line="240" w:lineRule="auto"/>
              <w:jc w:val="left"/>
              <w:rPr>
                <w:sz w:val="20"/>
                <w:lang w:eastAsia="en-GB"/>
              </w:rPr>
            </w:pPr>
            <w:r w:rsidRPr="00F23F31">
              <w:rPr>
                <w:sz w:val="20"/>
                <w:lang w:eastAsia="en-GB"/>
              </w:rPr>
              <w:t># hhs earning</w:t>
            </w:r>
          </w:p>
          <w:p w14:paraId="4A50BC9A" w14:textId="77777777" w:rsidR="002F46CC" w:rsidRPr="00F23F31" w:rsidRDefault="002F46CC" w:rsidP="009517F9">
            <w:pPr>
              <w:spacing w:after="0" w:line="240" w:lineRule="auto"/>
              <w:jc w:val="left"/>
              <w:rPr>
                <w:sz w:val="20"/>
                <w:lang w:eastAsia="en-GB"/>
              </w:rPr>
            </w:pPr>
            <w:r w:rsidRPr="00F23F31">
              <w:rPr>
                <w:sz w:val="20"/>
                <w:lang w:eastAsia="en-GB"/>
              </w:rPr>
              <w:t>&gt;KSh.3000 / month</w:t>
            </w:r>
          </w:p>
        </w:tc>
        <w:tc>
          <w:tcPr>
            <w:tcW w:w="976" w:type="dxa"/>
            <w:shd w:val="clear" w:color="auto" w:fill="auto"/>
            <w:noWrap/>
            <w:vAlign w:val="bottom"/>
            <w:hideMark/>
          </w:tcPr>
          <w:p w14:paraId="166038BD" w14:textId="77777777" w:rsidR="002F46CC" w:rsidRPr="00F23F31" w:rsidRDefault="002F46CC" w:rsidP="009517F9">
            <w:pPr>
              <w:spacing w:after="0" w:line="240" w:lineRule="auto"/>
              <w:jc w:val="left"/>
              <w:rPr>
                <w:sz w:val="20"/>
                <w:lang w:eastAsia="en-GB"/>
              </w:rPr>
            </w:pPr>
            <w:r w:rsidRPr="00F23F31">
              <w:rPr>
                <w:sz w:val="20"/>
                <w:lang w:eastAsia="en-GB"/>
              </w:rPr>
              <w:t>7</w:t>
            </w:r>
          </w:p>
        </w:tc>
        <w:tc>
          <w:tcPr>
            <w:tcW w:w="976" w:type="dxa"/>
            <w:shd w:val="clear" w:color="auto" w:fill="auto"/>
            <w:noWrap/>
            <w:vAlign w:val="bottom"/>
            <w:hideMark/>
          </w:tcPr>
          <w:p w14:paraId="046D6782" w14:textId="77777777" w:rsidR="002F46CC" w:rsidRPr="00F23F31" w:rsidRDefault="002F46CC" w:rsidP="009517F9">
            <w:pPr>
              <w:spacing w:after="0" w:line="240" w:lineRule="auto"/>
              <w:jc w:val="left"/>
              <w:rPr>
                <w:sz w:val="20"/>
                <w:lang w:eastAsia="en-GB"/>
              </w:rPr>
            </w:pPr>
            <w:r w:rsidRPr="00F23F31">
              <w:rPr>
                <w:sz w:val="20"/>
                <w:lang w:eastAsia="en-GB"/>
              </w:rPr>
              <w:t>11</w:t>
            </w:r>
          </w:p>
        </w:tc>
        <w:tc>
          <w:tcPr>
            <w:tcW w:w="2448" w:type="dxa"/>
            <w:shd w:val="clear" w:color="auto" w:fill="auto"/>
            <w:noWrap/>
            <w:vAlign w:val="bottom"/>
            <w:hideMark/>
          </w:tcPr>
          <w:p w14:paraId="74288638" w14:textId="77777777" w:rsidR="002F46CC" w:rsidRPr="00F23F31" w:rsidRDefault="002F46CC" w:rsidP="009517F9">
            <w:pPr>
              <w:spacing w:after="0" w:line="240" w:lineRule="auto"/>
              <w:jc w:val="left"/>
              <w:rPr>
                <w:sz w:val="20"/>
                <w:lang w:eastAsia="en-GB"/>
              </w:rPr>
            </w:pPr>
            <w:r w:rsidRPr="00F23F31">
              <w:rPr>
                <w:sz w:val="20"/>
                <w:lang w:eastAsia="en-GB"/>
              </w:rPr>
              <w:t>7</w:t>
            </w:r>
          </w:p>
        </w:tc>
        <w:tc>
          <w:tcPr>
            <w:tcW w:w="993" w:type="dxa"/>
            <w:shd w:val="clear" w:color="auto" w:fill="auto"/>
            <w:noWrap/>
            <w:vAlign w:val="bottom"/>
            <w:hideMark/>
          </w:tcPr>
          <w:p w14:paraId="51B201B0" w14:textId="77777777" w:rsidR="002F46CC" w:rsidRPr="00F23F31" w:rsidRDefault="002F46CC" w:rsidP="009517F9">
            <w:pPr>
              <w:spacing w:after="0" w:line="240" w:lineRule="auto"/>
              <w:jc w:val="left"/>
              <w:rPr>
                <w:sz w:val="20"/>
                <w:lang w:eastAsia="en-GB"/>
              </w:rPr>
            </w:pPr>
            <w:r w:rsidRPr="00F23F31">
              <w:rPr>
                <w:sz w:val="20"/>
                <w:lang w:eastAsia="en-GB"/>
              </w:rPr>
              <w:t>25</w:t>
            </w:r>
          </w:p>
        </w:tc>
      </w:tr>
      <w:tr w:rsidR="002F46CC" w:rsidRPr="00F23F31" w14:paraId="30A76B81" w14:textId="77777777" w:rsidTr="009517F9">
        <w:trPr>
          <w:trHeight w:val="300"/>
        </w:trPr>
        <w:tc>
          <w:tcPr>
            <w:tcW w:w="1724" w:type="dxa"/>
            <w:shd w:val="clear" w:color="auto" w:fill="auto"/>
            <w:noWrap/>
            <w:vAlign w:val="bottom"/>
            <w:hideMark/>
          </w:tcPr>
          <w:p w14:paraId="18ED2724" w14:textId="77777777" w:rsidR="002F46CC" w:rsidRPr="00F23F31" w:rsidRDefault="002F46CC" w:rsidP="009517F9">
            <w:pPr>
              <w:spacing w:after="0" w:line="240" w:lineRule="auto"/>
              <w:jc w:val="left"/>
              <w:rPr>
                <w:sz w:val="20"/>
                <w:lang w:eastAsia="en-GB"/>
              </w:rPr>
            </w:pPr>
            <w:r w:rsidRPr="00F23F31">
              <w:rPr>
                <w:sz w:val="20"/>
                <w:lang w:eastAsia="en-GB"/>
              </w:rPr>
              <w:t>Share of total</w:t>
            </w:r>
          </w:p>
        </w:tc>
        <w:tc>
          <w:tcPr>
            <w:tcW w:w="976" w:type="dxa"/>
            <w:shd w:val="clear" w:color="auto" w:fill="auto"/>
            <w:noWrap/>
            <w:vAlign w:val="bottom"/>
            <w:hideMark/>
          </w:tcPr>
          <w:p w14:paraId="5D034E7E" w14:textId="77777777" w:rsidR="002F46CC" w:rsidRPr="00F23F31" w:rsidRDefault="002F46CC" w:rsidP="009517F9">
            <w:pPr>
              <w:spacing w:after="0" w:line="240" w:lineRule="auto"/>
              <w:jc w:val="left"/>
              <w:rPr>
                <w:sz w:val="20"/>
                <w:lang w:eastAsia="en-GB"/>
              </w:rPr>
            </w:pPr>
            <w:r w:rsidRPr="00F23F31">
              <w:rPr>
                <w:sz w:val="20"/>
                <w:lang w:eastAsia="en-GB"/>
              </w:rPr>
              <w:t>29%</w:t>
            </w:r>
          </w:p>
        </w:tc>
        <w:tc>
          <w:tcPr>
            <w:tcW w:w="976" w:type="dxa"/>
            <w:shd w:val="clear" w:color="auto" w:fill="auto"/>
            <w:noWrap/>
            <w:vAlign w:val="bottom"/>
            <w:hideMark/>
          </w:tcPr>
          <w:p w14:paraId="62E71D60" w14:textId="77777777" w:rsidR="002F46CC" w:rsidRPr="00F23F31" w:rsidRDefault="002F46CC" w:rsidP="009517F9">
            <w:pPr>
              <w:spacing w:after="0" w:line="240" w:lineRule="auto"/>
              <w:jc w:val="left"/>
              <w:rPr>
                <w:sz w:val="20"/>
                <w:lang w:eastAsia="en-GB"/>
              </w:rPr>
            </w:pPr>
            <w:r w:rsidRPr="00F23F31">
              <w:rPr>
                <w:sz w:val="20"/>
                <w:lang w:eastAsia="en-GB"/>
              </w:rPr>
              <w:t>46%</w:t>
            </w:r>
          </w:p>
        </w:tc>
        <w:tc>
          <w:tcPr>
            <w:tcW w:w="2448" w:type="dxa"/>
            <w:shd w:val="clear" w:color="auto" w:fill="auto"/>
            <w:noWrap/>
            <w:vAlign w:val="bottom"/>
            <w:hideMark/>
          </w:tcPr>
          <w:p w14:paraId="575ED167" w14:textId="77777777" w:rsidR="002F46CC" w:rsidRPr="00F23F31" w:rsidRDefault="002F46CC" w:rsidP="009517F9">
            <w:pPr>
              <w:spacing w:after="0" w:line="240" w:lineRule="auto"/>
              <w:jc w:val="left"/>
              <w:rPr>
                <w:sz w:val="20"/>
                <w:lang w:eastAsia="en-GB"/>
              </w:rPr>
            </w:pPr>
            <w:r w:rsidRPr="00F23F31">
              <w:rPr>
                <w:sz w:val="20"/>
                <w:lang w:eastAsia="en-GB"/>
              </w:rPr>
              <w:t>25%</w:t>
            </w:r>
          </w:p>
        </w:tc>
        <w:tc>
          <w:tcPr>
            <w:tcW w:w="993" w:type="dxa"/>
            <w:shd w:val="clear" w:color="auto" w:fill="auto"/>
            <w:noWrap/>
            <w:vAlign w:val="bottom"/>
            <w:hideMark/>
          </w:tcPr>
          <w:p w14:paraId="6B943AFA" w14:textId="77777777" w:rsidR="002F46CC" w:rsidRPr="00F23F31" w:rsidRDefault="002F46CC" w:rsidP="009517F9">
            <w:pPr>
              <w:spacing w:after="0" w:line="240" w:lineRule="auto"/>
              <w:jc w:val="left"/>
              <w:rPr>
                <w:sz w:val="20"/>
                <w:lang w:eastAsia="en-GB"/>
              </w:rPr>
            </w:pPr>
            <w:r w:rsidRPr="00F23F31">
              <w:rPr>
                <w:sz w:val="20"/>
                <w:lang w:eastAsia="en-GB"/>
              </w:rPr>
              <w:t>100%</w:t>
            </w:r>
          </w:p>
        </w:tc>
      </w:tr>
    </w:tbl>
    <w:p w14:paraId="21D3EFE2" w14:textId="77777777" w:rsidR="002F46CC" w:rsidRDefault="002F46CC" w:rsidP="002F46CC">
      <w:pPr>
        <w:rPr>
          <w:b/>
          <w:i/>
          <w:sz w:val="24"/>
        </w:rPr>
      </w:pPr>
    </w:p>
    <w:p w14:paraId="5AA67788" w14:textId="1FB6A3C3" w:rsidR="002F46CC" w:rsidRPr="00522149" w:rsidRDefault="002F46CC" w:rsidP="002F46CC">
      <w:pPr>
        <w:rPr>
          <w:i/>
          <w:sz w:val="24"/>
        </w:rPr>
      </w:pPr>
      <w:r w:rsidRPr="00522149">
        <w:rPr>
          <w:i/>
          <w:sz w:val="24"/>
        </w:rPr>
        <w:t>The 1994</w:t>
      </w:r>
      <w:r w:rsidR="009517F9">
        <w:rPr>
          <w:i/>
          <w:sz w:val="24"/>
        </w:rPr>
        <w:t xml:space="preserve">, </w:t>
      </w:r>
      <w:r w:rsidRPr="00522149">
        <w:rPr>
          <w:i/>
          <w:sz w:val="24"/>
        </w:rPr>
        <w:t xml:space="preserve">2005/06 </w:t>
      </w:r>
      <w:r w:rsidR="009517F9">
        <w:rPr>
          <w:i/>
          <w:sz w:val="24"/>
        </w:rPr>
        <w:t xml:space="preserve">and 2015/16 </w:t>
      </w:r>
      <w:r w:rsidRPr="00522149">
        <w:rPr>
          <w:i/>
          <w:sz w:val="24"/>
        </w:rPr>
        <w:t>household surveys</w:t>
      </w:r>
    </w:p>
    <w:p w14:paraId="3F4492B8" w14:textId="77777777" w:rsidR="002F46CC" w:rsidRPr="00522149" w:rsidRDefault="002F46CC" w:rsidP="002F46CC">
      <w:pPr>
        <w:pStyle w:val="Caption"/>
        <w:rPr>
          <w:b w:val="0"/>
          <w:i/>
          <w:color w:val="000000"/>
          <w:sz w:val="22"/>
          <w:szCs w:val="20"/>
        </w:rPr>
      </w:pPr>
      <w:r w:rsidRPr="00522149">
        <w:rPr>
          <w:b w:val="0"/>
          <w:i/>
          <w:sz w:val="22"/>
        </w:rPr>
        <w:t xml:space="preserve">Appendix Table </w:t>
      </w:r>
      <w:r w:rsidRPr="00522149">
        <w:rPr>
          <w:b w:val="0"/>
          <w:i/>
          <w:noProof/>
          <w:sz w:val="22"/>
        </w:rPr>
        <w:t>4</w:t>
      </w:r>
      <w:r w:rsidRPr="00522149">
        <w:rPr>
          <w:b w:val="0"/>
          <w:i/>
          <w:sz w:val="22"/>
        </w:rPr>
        <w:t xml:space="preserve">. </w:t>
      </w:r>
      <w:r w:rsidRPr="00522149">
        <w:rPr>
          <w:b w:val="0"/>
          <w:i/>
          <w:color w:val="000000"/>
          <w:sz w:val="22"/>
          <w:szCs w:val="20"/>
        </w:rPr>
        <w:t>Details of Kenyan surveys used in analysis</w:t>
      </w:r>
    </w:p>
    <w:tbl>
      <w:tblPr>
        <w:tblStyle w:val="TableGrid"/>
        <w:tblW w:w="0" w:type="auto"/>
        <w:tblLook w:val="04A0" w:firstRow="1" w:lastRow="0" w:firstColumn="1" w:lastColumn="0" w:noHBand="0" w:noVBand="1"/>
      </w:tblPr>
      <w:tblGrid>
        <w:gridCol w:w="2096"/>
        <w:gridCol w:w="2499"/>
        <w:gridCol w:w="2204"/>
        <w:gridCol w:w="2217"/>
      </w:tblGrid>
      <w:tr w:rsidR="009517F9" w:rsidRPr="00BF3ADC" w14:paraId="78EBE159" w14:textId="4C62F960" w:rsidTr="004129AD">
        <w:tc>
          <w:tcPr>
            <w:tcW w:w="2096" w:type="dxa"/>
          </w:tcPr>
          <w:p w14:paraId="44BD6F6A" w14:textId="77777777" w:rsidR="009517F9" w:rsidRPr="00BF3ADC" w:rsidRDefault="009517F9" w:rsidP="009517F9">
            <w:pPr>
              <w:spacing w:after="0" w:line="240" w:lineRule="auto"/>
              <w:rPr>
                <w:b/>
                <w:color w:val="000000"/>
                <w:szCs w:val="20"/>
              </w:rPr>
            </w:pPr>
          </w:p>
        </w:tc>
        <w:tc>
          <w:tcPr>
            <w:tcW w:w="2499" w:type="dxa"/>
          </w:tcPr>
          <w:p w14:paraId="326815CB" w14:textId="34C0777A" w:rsidR="009517F9" w:rsidRPr="00BF3ADC" w:rsidRDefault="009517F9" w:rsidP="004129AD">
            <w:pPr>
              <w:spacing w:after="0" w:line="240" w:lineRule="auto"/>
              <w:jc w:val="left"/>
              <w:rPr>
                <w:b/>
                <w:color w:val="000000"/>
                <w:szCs w:val="20"/>
              </w:rPr>
            </w:pPr>
            <w:r w:rsidRPr="00BF3ADC">
              <w:rPr>
                <w:b/>
                <w:color w:val="000000"/>
                <w:szCs w:val="20"/>
              </w:rPr>
              <w:t>Welfare Monitoring Survey 2, 1994</w:t>
            </w:r>
          </w:p>
        </w:tc>
        <w:tc>
          <w:tcPr>
            <w:tcW w:w="2204" w:type="dxa"/>
          </w:tcPr>
          <w:p w14:paraId="5E18CFE1" w14:textId="2AB9B13C" w:rsidR="009517F9" w:rsidRPr="00BF3ADC" w:rsidRDefault="009517F9" w:rsidP="004129AD">
            <w:pPr>
              <w:spacing w:after="0" w:line="240" w:lineRule="auto"/>
              <w:jc w:val="left"/>
              <w:rPr>
                <w:b/>
                <w:color w:val="000000"/>
                <w:szCs w:val="20"/>
              </w:rPr>
            </w:pPr>
            <w:r w:rsidRPr="00BF3ADC">
              <w:rPr>
                <w:b/>
                <w:color w:val="000000"/>
                <w:szCs w:val="20"/>
              </w:rPr>
              <w:t>Kenya Integrated Household Budget Survey 2005</w:t>
            </w:r>
            <w:r>
              <w:rPr>
                <w:b/>
                <w:color w:val="000000"/>
                <w:szCs w:val="20"/>
              </w:rPr>
              <w:t>/</w:t>
            </w:r>
            <w:r w:rsidRPr="00BF3ADC">
              <w:rPr>
                <w:b/>
                <w:color w:val="000000"/>
                <w:szCs w:val="20"/>
              </w:rPr>
              <w:t>06</w:t>
            </w:r>
          </w:p>
        </w:tc>
        <w:tc>
          <w:tcPr>
            <w:tcW w:w="2217" w:type="dxa"/>
          </w:tcPr>
          <w:p w14:paraId="0C05C4D3" w14:textId="2600BCF0" w:rsidR="009517F9" w:rsidRPr="004129AD" w:rsidRDefault="009517F9" w:rsidP="004129AD">
            <w:pPr>
              <w:spacing w:after="0" w:line="240" w:lineRule="auto"/>
              <w:jc w:val="left"/>
              <w:rPr>
                <w:b/>
                <w:color w:val="000000"/>
                <w:szCs w:val="20"/>
              </w:rPr>
            </w:pPr>
            <w:r w:rsidRPr="004129AD">
              <w:rPr>
                <w:b/>
                <w:color w:val="000000"/>
                <w:szCs w:val="20"/>
              </w:rPr>
              <w:t>Kenya Integrated Household Budget Survey 2015/16</w:t>
            </w:r>
          </w:p>
        </w:tc>
      </w:tr>
      <w:tr w:rsidR="009517F9" w:rsidRPr="00BF3ADC" w14:paraId="3F373901" w14:textId="545C8A2C" w:rsidTr="004129AD">
        <w:tc>
          <w:tcPr>
            <w:tcW w:w="2096" w:type="dxa"/>
          </w:tcPr>
          <w:p w14:paraId="0C3101C8" w14:textId="77777777" w:rsidR="009517F9" w:rsidRPr="00BF3ADC" w:rsidRDefault="009517F9" w:rsidP="009517F9">
            <w:pPr>
              <w:spacing w:after="0" w:line="240" w:lineRule="auto"/>
              <w:rPr>
                <w:b/>
                <w:color w:val="000000"/>
                <w:szCs w:val="20"/>
              </w:rPr>
            </w:pPr>
            <w:r w:rsidRPr="00BF3ADC">
              <w:rPr>
                <w:b/>
                <w:color w:val="000000"/>
                <w:szCs w:val="20"/>
              </w:rPr>
              <w:t>Coverage</w:t>
            </w:r>
          </w:p>
        </w:tc>
        <w:tc>
          <w:tcPr>
            <w:tcW w:w="2499" w:type="dxa"/>
          </w:tcPr>
          <w:p w14:paraId="4F1DFF3E" w14:textId="77777777" w:rsidR="009517F9" w:rsidRPr="00BF3ADC" w:rsidRDefault="009517F9" w:rsidP="009517F9">
            <w:pPr>
              <w:spacing w:after="0" w:line="240" w:lineRule="auto"/>
              <w:rPr>
                <w:color w:val="000000"/>
                <w:szCs w:val="20"/>
              </w:rPr>
            </w:pPr>
            <w:r w:rsidRPr="00BF3ADC">
              <w:rPr>
                <w:color w:val="000000"/>
                <w:szCs w:val="20"/>
              </w:rPr>
              <w:t>National</w:t>
            </w:r>
          </w:p>
        </w:tc>
        <w:tc>
          <w:tcPr>
            <w:tcW w:w="2204" w:type="dxa"/>
          </w:tcPr>
          <w:p w14:paraId="4CD5C018" w14:textId="77777777" w:rsidR="009517F9" w:rsidRPr="00BF3ADC" w:rsidRDefault="009517F9" w:rsidP="009517F9">
            <w:pPr>
              <w:spacing w:after="0" w:line="240" w:lineRule="auto"/>
              <w:rPr>
                <w:color w:val="000000"/>
                <w:szCs w:val="20"/>
              </w:rPr>
            </w:pPr>
            <w:r w:rsidRPr="00BF3ADC">
              <w:rPr>
                <w:color w:val="000000"/>
                <w:szCs w:val="20"/>
              </w:rPr>
              <w:t>National</w:t>
            </w:r>
          </w:p>
        </w:tc>
        <w:tc>
          <w:tcPr>
            <w:tcW w:w="2217" w:type="dxa"/>
          </w:tcPr>
          <w:p w14:paraId="7D2DAAAC" w14:textId="324EEBC7" w:rsidR="009517F9" w:rsidRPr="004129AD" w:rsidRDefault="009517F9" w:rsidP="009517F9">
            <w:pPr>
              <w:spacing w:after="0" w:line="240" w:lineRule="auto"/>
              <w:rPr>
                <w:color w:val="000000"/>
                <w:szCs w:val="20"/>
              </w:rPr>
            </w:pPr>
            <w:r w:rsidRPr="004129AD">
              <w:rPr>
                <w:color w:val="000000"/>
                <w:szCs w:val="20"/>
              </w:rPr>
              <w:t>National</w:t>
            </w:r>
          </w:p>
        </w:tc>
      </w:tr>
      <w:tr w:rsidR="009517F9" w:rsidRPr="00BF3ADC" w14:paraId="2D24782E" w14:textId="5BF98FE1" w:rsidTr="004129AD">
        <w:tc>
          <w:tcPr>
            <w:tcW w:w="2096" w:type="dxa"/>
          </w:tcPr>
          <w:p w14:paraId="44929E80" w14:textId="77777777" w:rsidR="009517F9" w:rsidRPr="00BF3ADC" w:rsidRDefault="009517F9" w:rsidP="009517F9">
            <w:pPr>
              <w:spacing w:after="0" w:line="240" w:lineRule="auto"/>
              <w:jc w:val="left"/>
              <w:rPr>
                <w:b/>
                <w:color w:val="000000"/>
                <w:szCs w:val="20"/>
              </w:rPr>
            </w:pPr>
            <w:r w:rsidRPr="00BF3ADC">
              <w:rPr>
                <w:b/>
                <w:color w:val="000000"/>
                <w:szCs w:val="20"/>
              </w:rPr>
              <w:t>Sample size (households)</w:t>
            </w:r>
          </w:p>
        </w:tc>
        <w:tc>
          <w:tcPr>
            <w:tcW w:w="2499" w:type="dxa"/>
          </w:tcPr>
          <w:p w14:paraId="47D764C0" w14:textId="77777777" w:rsidR="009517F9" w:rsidRPr="00BF3ADC" w:rsidRDefault="009517F9" w:rsidP="009517F9">
            <w:pPr>
              <w:spacing w:after="0" w:line="240" w:lineRule="auto"/>
              <w:rPr>
                <w:color w:val="000000"/>
                <w:szCs w:val="20"/>
              </w:rPr>
            </w:pPr>
            <w:r w:rsidRPr="00BF3ADC">
              <w:rPr>
                <w:color w:val="000000"/>
                <w:szCs w:val="20"/>
              </w:rPr>
              <w:t>11,279</w:t>
            </w:r>
          </w:p>
        </w:tc>
        <w:tc>
          <w:tcPr>
            <w:tcW w:w="2204" w:type="dxa"/>
          </w:tcPr>
          <w:p w14:paraId="2D40E1D5" w14:textId="77777777" w:rsidR="009517F9" w:rsidRPr="00BF3ADC" w:rsidRDefault="009517F9" w:rsidP="009517F9">
            <w:pPr>
              <w:spacing w:after="0" w:line="240" w:lineRule="auto"/>
              <w:rPr>
                <w:color w:val="000000"/>
                <w:szCs w:val="20"/>
              </w:rPr>
            </w:pPr>
            <w:r w:rsidRPr="00BF3ADC">
              <w:rPr>
                <w:color w:val="000000"/>
                <w:szCs w:val="20"/>
              </w:rPr>
              <w:t>13,430</w:t>
            </w:r>
          </w:p>
        </w:tc>
        <w:tc>
          <w:tcPr>
            <w:tcW w:w="2217" w:type="dxa"/>
          </w:tcPr>
          <w:p w14:paraId="10118D46" w14:textId="50B51337" w:rsidR="009517F9" w:rsidRPr="004129AD" w:rsidRDefault="009517F9" w:rsidP="009517F9">
            <w:pPr>
              <w:spacing w:after="0" w:line="240" w:lineRule="auto"/>
              <w:rPr>
                <w:color w:val="000000"/>
                <w:szCs w:val="20"/>
              </w:rPr>
            </w:pPr>
            <w:r w:rsidRPr="004129AD">
              <w:rPr>
                <w:color w:val="000000"/>
                <w:szCs w:val="20"/>
              </w:rPr>
              <w:t>21,773</w:t>
            </w:r>
          </w:p>
        </w:tc>
      </w:tr>
      <w:tr w:rsidR="009517F9" w:rsidRPr="00BF3ADC" w14:paraId="56594AD7" w14:textId="0C656470" w:rsidTr="004129AD">
        <w:tc>
          <w:tcPr>
            <w:tcW w:w="2096" w:type="dxa"/>
          </w:tcPr>
          <w:p w14:paraId="6B234158" w14:textId="77777777" w:rsidR="009517F9" w:rsidRPr="00BF3ADC" w:rsidRDefault="009517F9" w:rsidP="009517F9">
            <w:pPr>
              <w:spacing w:after="0" w:line="240" w:lineRule="auto"/>
              <w:jc w:val="left"/>
              <w:rPr>
                <w:b/>
                <w:color w:val="000000"/>
                <w:szCs w:val="20"/>
              </w:rPr>
            </w:pPr>
            <w:r w:rsidRPr="00BF3ADC">
              <w:rPr>
                <w:b/>
                <w:color w:val="000000"/>
                <w:szCs w:val="20"/>
              </w:rPr>
              <w:t>Sampling frame</w:t>
            </w:r>
          </w:p>
        </w:tc>
        <w:tc>
          <w:tcPr>
            <w:tcW w:w="2499" w:type="dxa"/>
          </w:tcPr>
          <w:p w14:paraId="428EB57E" w14:textId="77777777" w:rsidR="009517F9" w:rsidRPr="00BF3ADC" w:rsidRDefault="009517F9" w:rsidP="009517F9">
            <w:pPr>
              <w:spacing w:after="0" w:line="240" w:lineRule="auto"/>
              <w:jc w:val="left"/>
              <w:rPr>
                <w:color w:val="000000"/>
                <w:szCs w:val="20"/>
              </w:rPr>
            </w:pPr>
            <w:r w:rsidRPr="00BF3ADC">
              <w:rPr>
                <w:color w:val="000000"/>
                <w:szCs w:val="20"/>
              </w:rPr>
              <w:t>National Sample Surveys and Evaluation Programme (NASSEP III) sample frame, based on the 1989 Population and Housing Census</w:t>
            </w:r>
          </w:p>
        </w:tc>
        <w:tc>
          <w:tcPr>
            <w:tcW w:w="2204" w:type="dxa"/>
          </w:tcPr>
          <w:p w14:paraId="77D58B98" w14:textId="77777777" w:rsidR="009517F9" w:rsidRPr="00BF3ADC" w:rsidRDefault="009517F9" w:rsidP="009517F9">
            <w:pPr>
              <w:spacing w:after="0" w:line="240" w:lineRule="auto"/>
              <w:jc w:val="left"/>
              <w:rPr>
                <w:color w:val="000000"/>
                <w:szCs w:val="20"/>
              </w:rPr>
            </w:pPr>
            <w:r w:rsidRPr="00BF3ADC">
              <w:rPr>
                <w:color w:val="000000"/>
                <w:szCs w:val="20"/>
              </w:rPr>
              <w:t>NASSEP IV sampling frame, based on the 1999 Population and Housing Census</w:t>
            </w:r>
          </w:p>
        </w:tc>
        <w:tc>
          <w:tcPr>
            <w:tcW w:w="2217" w:type="dxa"/>
          </w:tcPr>
          <w:p w14:paraId="28CAE465" w14:textId="5092C3AB" w:rsidR="009517F9" w:rsidRPr="004129AD" w:rsidRDefault="009517F9" w:rsidP="009517F9">
            <w:pPr>
              <w:spacing w:after="0" w:line="240" w:lineRule="auto"/>
              <w:jc w:val="left"/>
              <w:rPr>
                <w:color w:val="000000"/>
                <w:szCs w:val="20"/>
              </w:rPr>
            </w:pPr>
            <w:r w:rsidRPr="004129AD">
              <w:rPr>
                <w:color w:val="222222"/>
                <w:shd w:val="clear" w:color="auto" w:fill="FFFFFF"/>
              </w:rPr>
              <w:t xml:space="preserve">NASSEP V sampling frame, based on </w:t>
            </w:r>
            <w:r w:rsidR="004129AD" w:rsidRPr="004129AD">
              <w:rPr>
                <w:color w:val="222222"/>
                <w:shd w:val="clear" w:color="auto" w:fill="FFFFFF"/>
              </w:rPr>
              <w:t xml:space="preserve">2009 </w:t>
            </w:r>
            <w:r w:rsidRPr="004129AD">
              <w:rPr>
                <w:color w:val="222222"/>
                <w:shd w:val="clear" w:color="auto" w:fill="FFFFFF"/>
              </w:rPr>
              <w:t>Population and Housing Census</w:t>
            </w:r>
            <w:r w:rsidR="004129AD" w:rsidRPr="004129AD">
              <w:rPr>
                <w:color w:val="222222"/>
                <w:shd w:val="clear" w:color="auto" w:fill="FFFFFF"/>
              </w:rPr>
              <w:t>.</w:t>
            </w:r>
            <w:r w:rsidRPr="004129AD">
              <w:rPr>
                <w:color w:val="222222"/>
                <w:shd w:val="clear" w:color="auto" w:fill="FFFFFF"/>
              </w:rPr>
              <w:t> </w:t>
            </w:r>
          </w:p>
        </w:tc>
      </w:tr>
      <w:tr w:rsidR="009517F9" w:rsidRPr="00BF3ADC" w14:paraId="3BB6840C" w14:textId="0AA8CA04" w:rsidTr="004129AD">
        <w:tc>
          <w:tcPr>
            <w:tcW w:w="2096" w:type="dxa"/>
          </w:tcPr>
          <w:p w14:paraId="3A99076D" w14:textId="77777777" w:rsidR="009517F9" w:rsidRPr="00BF3ADC" w:rsidRDefault="009517F9" w:rsidP="009517F9">
            <w:pPr>
              <w:spacing w:after="0" w:line="240" w:lineRule="auto"/>
              <w:jc w:val="left"/>
              <w:rPr>
                <w:b/>
                <w:color w:val="000000"/>
                <w:szCs w:val="20"/>
              </w:rPr>
            </w:pPr>
            <w:r w:rsidRPr="00BF3ADC">
              <w:rPr>
                <w:b/>
                <w:color w:val="000000"/>
                <w:szCs w:val="20"/>
              </w:rPr>
              <w:lastRenderedPageBreak/>
              <w:t>Sampling</w:t>
            </w:r>
          </w:p>
        </w:tc>
        <w:tc>
          <w:tcPr>
            <w:tcW w:w="2499" w:type="dxa"/>
          </w:tcPr>
          <w:p w14:paraId="1BBEBAF7" w14:textId="77777777" w:rsidR="009517F9" w:rsidRPr="00BF3ADC" w:rsidRDefault="009517F9" w:rsidP="009517F9">
            <w:pPr>
              <w:spacing w:after="0" w:line="240" w:lineRule="auto"/>
              <w:jc w:val="left"/>
              <w:rPr>
                <w:color w:val="000000"/>
                <w:szCs w:val="20"/>
              </w:rPr>
            </w:pPr>
            <w:r w:rsidRPr="00BF3ADC">
              <w:rPr>
                <w:color w:val="000000"/>
                <w:szCs w:val="20"/>
              </w:rPr>
              <w:t xml:space="preserve">Three-stage sampling technique, sampling by enumeration area, cluster and household, for a total of 1,377 clusters and 11,279 households. Sampling was stratified by district and urban/rural status.  </w:t>
            </w:r>
          </w:p>
        </w:tc>
        <w:tc>
          <w:tcPr>
            <w:tcW w:w="2204" w:type="dxa"/>
          </w:tcPr>
          <w:p w14:paraId="7F174B73" w14:textId="77777777" w:rsidR="009517F9" w:rsidRPr="00BF3ADC" w:rsidRDefault="009517F9" w:rsidP="009517F9">
            <w:pPr>
              <w:spacing w:after="0" w:line="240" w:lineRule="auto"/>
              <w:jc w:val="left"/>
              <w:rPr>
                <w:color w:val="000000"/>
                <w:szCs w:val="20"/>
              </w:rPr>
            </w:pPr>
            <w:r w:rsidRPr="00BF3ADC">
              <w:rPr>
                <w:color w:val="000000"/>
                <w:szCs w:val="20"/>
              </w:rPr>
              <w:t>It covered 1,343 clusters, selected randomly on a district basis, and 13,430 households (10 selected randomly per cluster), stratified by district and urban/rural status.</w:t>
            </w:r>
          </w:p>
        </w:tc>
        <w:tc>
          <w:tcPr>
            <w:tcW w:w="2217" w:type="dxa"/>
          </w:tcPr>
          <w:p w14:paraId="085AAE55" w14:textId="0C3A0FFD" w:rsidR="009517F9" w:rsidRPr="004129AD" w:rsidRDefault="004129AD" w:rsidP="009517F9">
            <w:pPr>
              <w:spacing w:after="0" w:line="240" w:lineRule="auto"/>
              <w:jc w:val="left"/>
              <w:rPr>
                <w:color w:val="000000"/>
                <w:szCs w:val="20"/>
              </w:rPr>
            </w:pPr>
            <w:r w:rsidRPr="004129AD">
              <w:rPr>
                <w:color w:val="000000"/>
                <w:szCs w:val="20"/>
              </w:rPr>
              <w:t>Two-stage stratified sample, covering 5,630 clusters, stratified at county and urban/rural level.</w:t>
            </w:r>
          </w:p>
        </w:tc>
      </w:tr>
      <w:tr w:rsidR="009517F9" w:rsidRPr="00BF3ADC" w14:paraId="52AF7E43" w14:textId="19DEB32C" w:rsidTr="004129AD">
        <w:tc>
          <w:tcPr>
            <w:tcW w:w="2096" w:type="dxa"/>
          </w:tcPr>
          <w:p w14:paraId="63F49135" w14:textId="77777777" w:rsidR="009517F9" w:rsidRPr="00BF3ADC" w:rsidRDefault="009517F9" w:rsidP="009517F9">
            <w:pPr>
              <w:spacing w:after="0" w:line="240" w:lineRule="auto"/>
              <w:jc w:val="left"/>
              <w:rPr>
                <w:b/>
                <w:color w:val="000000"/>
                <w:szCs w:val="20"/>
              </w:rPr>
            </w:pPr>
            <w:r w:rsidRPr="00BF3ADC">
              <w:rPr>
                <w:b/>
                <w:color w:val="000000"/>
                <w:szCs w:val="20"/>
              </w:rPr>
              <w:t>Data collection time period</w:t>
            </w:r>
          </w:p>
        </w:tc>
        <w:tc>
          <w:tcPr>
            <w:tcW w:w="2499" w:type="dxa"/>
          </w:tcPr>
          <w:p w14:paraId="387377B8" w14:textId="77777777" w:rsidR="009517F9" w:rsidRPr="00BF3ADC" w:rsidRDefault="009517F9" w:rsidP="009517F9">
            <w:pPr>
              <w:spacing w:after="0" w:line="240" w:lineRule="auto"/>
              <w:jc w:val="left"/>
              <w:rPr>
                <w:color w:val="000000"/>
                <w:szCs w:val="20"/>
              </w:rPr>
            </w:pPr>
            <w:r w:rsidRPr="00BF3ADC">
              <w:rPr>
                <w:color w:val="000000"/>
                <w:szCs w:val="20"/>
              </w:rPr>
              <w:t>Started June 1994</w:t>
            </w:r>
          </w:p>
        </w:tc>
        <w:tc>
          <w:tcPr>
            <w:tcW w:w="2204" w:type="dxa"/>
          </w:tcPr>
          <w:p w14:paraId="40C4A30A" w14:textId="77777777" w:rsidR="009517F9" w:rsidRPr="00BF3ADC" w:rsidRDefault="009517F9" w:rsidP="009517F9">
            <w:pPr>
              <w:spacing w:after="0" w:line="240" w:lineRule="auto"/>
              <w:jc w:val="left"/>
              <w:rPr>
                <w:color w:val="000000"/>
                <w:szCs w:val="20"/>
              </w:rPr>
            </w:pPr>
            <w:r w:rsidRPr="00BF3ADC">
              <w:rPr>
                <w:color w:val="000000"/>
                <w:szCs w:val="20"/>
              </w:rPr>
              <w:t>May 2005 - May 2006</w:t>
            </w:r>
          </w:p>
        </w:tc>
        <w:tc>
          <w:tcPr>
            <w:tcW w:w="2217" w:type="dxa"/>
          </w:tcPr>
          <w:p w14:paraId="0F8C4C9E" w14:textId="1E5ED6A3" w:rsidR="009517F9" w:rsidRPr="004129AD" w:rsidRDefault="004129AD" w:rsidP="009517F9">
            <w:pPr>
              <w:spacing w:after="0" w:line="240" w:lineRule="auto"/>
              <w:jc w:val="left"/>
              <w:rPr>
                <w:color w:val="000000"/>
                <w:szCs w:val="20"/>
              </w:rPr>
            </w:pPr>
            <w:r w:rsidRPr="004129AD">
              <w:rPr>
                <w:color w:val="000000"/>
                <w:szCs w:val="20"/>
              </w:rPr>
              <w:t>Sept 2015 – Aug 2016</w:t>
            </w:r>
          </w:p>
        </w:tc>
      </w:tr>
      <w:tr w:rsidR="009517F9" w:rsidRPr="00BF3ADC" w14:paraId="1DBD81D2" w14:textId="146414A1" w:rsidTr="004129AD">
        <w:tc>
          <w:tcPr>
            <w:tcW w:w="2096" w:type="dxa"/>
          </w:tcPr>
          <w:p w14:paraId="318BC30E" w14:textId="77777777" w:rsidR="009517F9" w:rsidRPr="00BF3ADC" w:rsidRDefault="009517F9" w:rsidP="009517F9">
            <w:pPr>
              <w:spacing w:after="0" w:line="240" w:lineRule="auto"/>
              <w:jc w:val="left"/>
              <w:rPr>
                <w:b/>
                <w:color w:val="000000"/>
                <w:szCs w:val="20"/>
              </w:rPr>
            </w:pPr>
            <w:r w:rsidRPr="00BF3ADC">
              <w:rPr>
                <w:b/>
                <w:color w:val="000000"/>
                <w:szCs w:val="20"/>
              </w:rPr>
              <w:t xml:space="preserve">Data collection </w:t>
            </w:r>
          </w:p>
        </w:tc>
        <w:tc>
          <w:tcPr>
            <w:tcW w:w="2499" w:type="dxa"/>
          </w:tcPr>
          <w:p w14:paraId="59C6CD72" w14:textId="77777777" w:rsidR="009517F9" w:rsidRPr="00BF3ADC" w:rsidRDefault="009517F9" w:rsidP="009517F9">
            <w:pPr>
              <w:spacing w:after="0" w:line="240" w:lineRule="auto"/>
              <w:jc w:val="left"/>
              <w:rPr>
                <w:color w:val="000000"/>
                <w:szCs w:val="20"/>
              </w:rPr>
            </w:pPr>
            <w:r w:rsidRPr="00BF3ADC">
              <w:rPr>
                <w:color w:val="000000"/>
                <w:szCs w:val="20"/>
              </w:rPr>
              <w:t>Face to face interviews</w:t>
            </w:r>
          </w:p>
        </w:tc>
        <w:tc>
          <w:tcPr>
            <w:tcW w:w="2204" w:type="dxa"/>
          </w:tcPr>
          <w:p w14:paraId="3AC474B1" w14:textId="72F41AC5" w:rsidR="009517F9" w:rsidRPr="00BF3ADC" w:rsidRDefault="009517F9" w:rsidP="009517F9">
            <w:pPr>
              <w:spacing w:after="0" w:line="240" w:lineRule="auto"/>
              <w:jc w:val="left"/>
              <w:rPr>
                <w:color w:val="000000"/>
                <w:szCs w:val="20"/>
              </w:rPr>
            </w:pPr>
            <w:r w:rsidRPr="00BF3ADC">
              <w:rPr>
                <w:color w:val="000000"/>
                <w:szCs w:val="20"/>
              </w:rPr>
              <w:t xml:space="preserve">Face to face interviews. Households kept diaries to record </w:t>
            </w:r>
            <w:r w:rsidR="004129AD">
              <w:rPr>
                <w:color w:val="000000"/>
                <w:szCs w:val="20"/>
              </w:rPr>
              <w:t>consumption.</w:t>
            </w:r>
          </w:p>
        </w:tc>
        <w:tc>
          <w:tcPr>
            <w:tcW w:w="2217" w:type="dxa"/>
          </w:tcPr>
          <w:p w14:paraId="5E78260D" w14:textId="4A13BED6" w:rsidR="009517F9" w:rsidRPr="004129AD" w:rsidRDefault="004129AD" w:rsidP="009517F9">
            <w:pPr>
              <w:spacing w:after="0" w:line="240" w:lineRule="auto"/>
              <w:jc w:val="left"/>
              <w:rPr>
                <w:color w:val="000000"/>
                <w:szCs w:val="20"/>
              </w:rPr>
            </w:pPr>
            <w:r w:rsidRPr="004129AD">
              <w:rPr>
                <w:color w:val="000000"/>
                <w:szCs w:val="20"/>
              </w:rPr>
              <w:t>Face to face interviews. Households kept diaries to record consumption.</w:t>
            </w:r>
          </w:p>
        </w:tc>
      </w:tr>
      <w:tr w:rsidR="009517F9" w:rsidRPr="00BF3ADC" w14:paraId="513D97A6" w14:textId="42589817" w:rsidTr="004129AD">
        <w:tc>
          <w:tcPr>
            <w:tcW w:w="2096" w:type="dxa"/>
          </w:tcPr>
          <w:p w14:paraId="0A2A0EC3" w14:textId="77777777" w:rsidR="009517F9" w:rsidRPr="00BF3ADC" w:rsidRDefault="009517F9" w:rsidP="009517F9">
            <w:pPr>
              <w:spacing w:after="0" w:line="240" w:lineRule="auto"/>
              <w:rPr>
                <w:b/>
                <w:color w:val="000000"/>
                <w:szCs w:val="20"/>
              </w:rPr>
            </w:pPr>
            <w:r w:rsidRPr="00BF3ADC">
              <w:rPr>
                <w:b/>
                <w:color w:val="000000"/>
                <w:szCs w:val="20"/>
              </w:rPr>
              <w:t>Produced by</w:t>
            </w:r>
          </w:p>
        </w:tc>
        <w:tc>
          <w:tcPr>
            <w:tcW w:w="2499" w:type="dxa"/>
          </w:tcPr>
          <w:p w14:paraId="0A850E88" w14:textId="77777777" w:rsidR="009517F9" w:rsidRPr="00BF3ADC" w:rsidRDefault="009517F9" w:rsidP="009517F9">
            <w:pPr>
              <w:spacing w:after="0" w:line="240" w:lineRule="auto"/>
              <w:jc w:val="left"/>
              <w:rPr>
                <w:color w:val="000000"/>
                <w:szCs w:val="20"/>
              </w:rPr>
            </w:pPr>
            <w:r w:rsidRPr="00BF3ADC">
              <w:rPr>
                <w:color w:val="000000"/>
                <w:szCs w:val="20"/>
              </w:rPr>
              <w:t>Kenya National Bureau of Statistics, with technical and financial support from the World Bank</w:t>
            </w:r>
          </w:p>
        </w:tc>
        <w:tc>
          <w:tcPr>
            <w:tcW w:w="2204" w:type="dxa"/>
          </w:tcPr>
          <w:p w14:paraId="2D8B3A05" w14:textId="77777777" w:rsidR="009517F9" w:rsidRPr="00BF3ADC" w:rsidRDefault="009517F9" w:rsidP="009517F9">
            <w:pPr>
              <w:spacing w:after="0" w:line="240" w:lineRule="auto"/>
              <w:jc w:val="left"/>
              <w:rPr>
                <w:color w:val="000000"/>
                <w:szCs w:val="20"/>
              </w:rPr>
            </w:pPr>
            <w:r w:rsidRPr="00BF3ADC">
              <w:rPr>
                <w:color w:val="000000"/>
                <w:szCs w:val="20"/>
              </w:rPr>
              <w:t>Kenya National Bureau of Statistics Funded by: Government of Kenya, DFID, USAID and General Data Dissemination System (GDDS)</w:t>
            </w:r>
          </w:p>
        </w:tc>
        <w:tc>
          <w:tcPr>
            <w:tcW w:w="2217" w:type="dxa"/>
          </w:tcPr>
          <w:p w14:paraId="5BCF7C40" w14:textId="1D2807D9" w:rsidR="009517F9" w:rsidRPr="004129AD" w:rsidRDefault="004129AD" w:rsidP="009517F9">
            <w:pPr>
              <w:spacing w:after="0" w:line="240" w:lineRule="auto"/>
              <w:jc w:val="left"/>
              <w:rPr>
                <w:color w:val="000000"/>
                <w:szCs w:val="20"/>
              </w:rPr>
            </w:pPr>
            <w:r>
              <w:rPr>
                <w:color w:val="000000"/>
                <w:szCs w:val="20"/>
              </w:rPr>
              <w:t>Kenya National Bureau of Statistics.</w:t>
            </w:r>
          </w:p>
        </w:tc>
      </w:tr>
    </w:tbl>
    <w:p w14:paraId="42EFA03C" w14:textId="77777777" w:rsidR="002F46CC" w:rsidRPr="00BF3ADC" w:rsidRDefault="002F46CC" w:rsidP="002F46CC">
      <w:pPr>
        <w:spacing w:line="240" w:lineRule="auto"/>
        <w:rPr>
          <w:color w:val="000000"/>
          <w:szCs w:val="20"/>
        </w:rPr>
      </w:pPr>
    </w:p>
    <w:p w14:paraId="7DE2EAF8" w14:textId="77777777" w:rsidR="002F46CC" w:rsidRPr="00522149" w:rsidRDefault="002F46CC" w:rsidP="002F46CC">
      <w:pPr>
        <w:rPr>
          <w:i/>
          <w:sz w:val="24"/>
        </w:rPr>
      </w:pPr>
      <w:r w:rsidRPr="00522149">
        <w:rPr>
          <w:i/>
          <w:sz w:val="24"/>
        </w:rPr>
        <w:t>Construction of main variables</w:t>
      </w:r>
    </w:p>
    <w:p w14:paraId="055D2FBF" w14:textId="77777777" w:rsidR="002F46CC" w:rsidRPr="00BF3ADC" w:rsidRDefault="002F46CC" w:rsidP="002F46CC">
      <w:pPr>
        <w:spacing w:after="0"/>
      </w:pPr>
      <w:r w:rsidRPr="00BF3ADC">
        <w:rPr>
          <w:b/>
        </w:rPr>
        <w:t xml:space="preserve">Public sector-headed households: </w:t>
      </w:r>
      <w:r w:rsidRPr="00BF3ADC">
        <w:t>designated household head reports working in the public sector.</w:t>
      </w:r>
    </w:p>
    <w:p w14:paraId="62FD6B68" w14:textId="77777777" w:rsidR="002F46CC" w:rsidRPr="00BF3ADC" w:rsidRDefault="002F46CC" w:rsidP="002F46CC">
      <w:pPr>
        <w:pStyle w:val="ListParagraph"/>
        <w:numPr>
          <w:ilvl w:val="0"/>
          <w:numId w:val="1"/>
        </w:numPr>
        <w:spacing w:line="276" w:lineRule="auto"/>
        <w:jc w:val="left"/>
      </w:pPr>
      <w:r w:rsidRPr="00BF3ADC">
        <w:t>1994 WMS: Based on variables mainoccu &amp; empsecto, excluding observations where respondents report zero income from public sector employment and removing those who worked less than 9 months of the preceding year (unless they were recent hires).</w:t>
      </w:r>
    </w:p>
    <w:p w14:paraId="2F0E5763" w14:textId="3A83A88A" w:rsidR="002F46CC" w:rsidRDefault="002F46CC" w:rsidP="002F46CC">
      <w:pPr>
        <w:pStyle w:val="ListParagraph"/>
        <w:numPr>
          <w:ilvl w:val="0"/>
          <w:numId w:val="1"/>
        </w:numPr>
        <w:spacing w:line="276" w:lineRule="auto"/>
        <w:jc w:val="left"/>
      </w:pPr>
      <w:r w:rsidRPr="00BF3ADC">
        <w:t>2005/06 KIHBS: Based on sector of employment, variable e17, excluding those not reporting any wage income.</w:t>
      </w:r>
    </w:p>
    <w:p w14:paraId="67E58029" w14:textId="6173FC4D" w:rsidR="004129AD" w:rsidRPr="00BF3ADC" w:rsidRDefault="004129AD" w:rsidP="004129AD">
      <w:pPr>
        <w:pStyle w:val="ListParagraph"/>
        <w:numPr>
          <w:ilvl w:val="0"/>
          <w:numId w:val="1"/>
        </w:numPr>
        <w:spacing w:line="276" w:lineRule="auto"/>
        <w:jc w:val="left"/>
      </w:pPr>
      <w:r>
        <w:t>2015</w:t>
      </w:r>
      <w:r w:rsidRPr="00BF3ADC">
        <w:t>/</w:t>
      </w:r>
      <w:r>
        <w:t>1</w:t>
      </w:r>
      <w:r w:rsidRPr="00BF3ADC">
        <w:t xml:space="preserve">6 KIHBS: Based on sector of employment, variable </w:t>
      </w:r>
      <w:r>
        <w:t>d</w:t>
      </w:r>
      <w:r w:rsidRPr="00BF3ADC">
        <w:t>17</w:t>
      </w:r>
      <w:r>
        <w:t>.</w:t>
      </w:r>
    </w:p>
    <w:p w14:paraId="543B4C4D" w14:textId="77777777" w:rsidR="002F46CC" w:rsidRPr="00BF3ADC" w:rsidRDefault="002F46CC" w:rsidP="002F46CC">
      <w:pPr>
        <w:spacing w:line="276" w:lineRule="auto"/>
      </w:pPr>
      <w:r w:rsidRPr="00BF3ADC">
        <w:t>A point to note is that the in contrast to the EES the household surveys do not explicitly exclude the military, although they tend to be limited to private households and thus exclude army barracks. However, the military was only 8% of total public sector employment and their inclusion thus make only minor difference to the final results.</w:t>
      </w:r>
    </w:p>
    <w:p w14:paraId="01EB0FED" w14:textId="77777777" w:rsidR="002F46CC" w:rsidRPr="00BF3ADC" w:rsidRDefault="002F46CC" w:rsidP="002F46CC">
      <w:pPr>
        <w:spacing w:after="0"/>
      </w:pPr>
      <w:r w:rsidRPr="00BF3ADC">
        <w:rPr>
          <w:b/>
        </w:rPr>
        <w:t xml:space="preserve">Main economic activity of household head: </w:t>
      </w:r>
    </w:p>
    <w:p w14:paraId="31CEA46E" w14:textId="74FFCC3A" w:rsidR="002F46CC" w:rsidRPr="00BF3ADC" w:rsidRDefault="002F46CC" w:rsidP="002F46CC">
      <w:pPr>
        <w:pStyle w:val="ListParagraph"/>
        <w:numPr>
          <w:ilvl w:val="0"/>
          <w:numId w:val="1"/>
        </w:numPr>
        <w:spacing w:line="276" w:lineRule="auto"/>
        <w:jc w:val="left"/>
      </w:pPr>
      <w:r w:rsidRPr="00BF3ADC">
        <w:t>1994 WMS: Based on variable empsecto</w:t>
      </w:r>
      <w:r w:rsidR="00F23961">
        <w:t>, with adjustments as per above.</w:t>
      </w:r>
    </w:p>
    <w:p w14:paraId="5F86E5AE" w14:textId="457D6E79" w:rsidR="002F46CC" w:rsidRDefault="002F46CC" w:rsidP="002F46CC">
      <w:pPr>
        <w:pStyle w:val="ListParagraph"/>
        <w:numPr>
          <w:ilvl w:val="0"/>
          <w:numId w:val="1"/>
        </w:numPr>
        <w:spacing w:line="276" w:lineRule="auto"/>
        <w:jc w:val="left"/>
      </w:pPr>
      <w:r w:rsidRPr="00BF3ADC">
        <w:t>2005/06 KIHBS: Based on economic activity, variable e03. Paid employees were subsequently divided into public, private and informal sector on the basis of sector of employment (e17). In order to reduce the other category (where household head reports being retired, looking for job or gave no information), all households in this category which reported agricultural income or business incomes of 50% or more of household expenditure were re</w:t>
      </w:r>
      <w:r>
        <w:t>-</w:t>
      </w:r>
      <w:r w:rsidRPr="00BF3ADC">
        <w:t>categorized to the agricultural or business/informal sectors.</w:t>
      </w:r>
    </w:p>
    <w:p w14:paraId="7803FF48" w14:textId="39ABF03A" w:rsidR="004129AD" w:rsidRPr="00BF3ADC" w:rsidRDefault="004129AD" w:rsidP="002F46CC">
      <w:pPr>
        <w:pStyle w:val="ListParagraph"/>
        <w:numPr>
          <w:ilvl w:val="0"/>
          <w:numId w:val="1"/>
        </w:numPr>
        <w:spacing w:line="276" w:lineRule="auto"/>
        <w:jc w:val="left"/>
      </w:pPr>
      <w:r>
        <w:t>2015/16</w:t>
      </w:r>
      <w:r w:rsidRPr="00BF3ADC">
        <w:t xml:space="preserve"> KIHBS: Based on </w:t>
      </w:r>
      <w:r w:rsidR="00EB4DEB">
        <w:t>main employer variable d17.</w:t>
      </w:r>
    </w:p>
    <w:p w14:paraId="55262D42" w14:textId="77777777" w:rsidR="002F46CC" w:rsidRPr="00BF3ADC" w:rsidRDefault="002F46CC" w:rsidP="002F46CC">
      <w:pPr>
        <w:spacing w:after="0"/>
        <w:rPr>
          <w:b/>
        </w:rPr>
      </w:pPr>
      <w:r w:rsidRPr="00BF3ADC">
        <w:rPr>
          <w:b/>
        </w:rPr>
        <w:t xml:space="preserve">Total household consumption: </w:t>
      </w:r>
    </w:p>
    <w:p w14:paraId="34A33024" w14:textId="69A38F23" w:rsidR="002F46CC" w:rsidRPr="00BF3ADC" w:rsidRDefault="002F46CC" w:rsidP="002F46CC">
      <w:pPr>
        <w:pStyle w:val="ListParagraph"/>
        <w:numPr>
          <w:ilvl w:val="0"/>
          <w:numId w:val="1"/>
        </w:numPr>
        <w:spacing w:line="276" w:lineRule="auto"/>
        <w:jc w:val="left"/>
      </w:pPr>
      <w:r w:rsidRPr="00BF3ADC">
        <w:t>1994 WMS: Based on variable hh_expen (total household expenditure)</w:t>
      </w:r>
      <w:r w:rsidR="00F23961">
        <w:t>, but adjusted to remove durables and infrequent purchases (harmonized with KIHBSs).</w:t>
      </w:r>
    </w:p>
    <w:p w14:paraId="737AB5E2" w14:textId="39A30E88" w:rsidR="002F46CC" w:rsidRDefault="002F46CC" w:rsidP="002F46CC">
      <w:pPr>
        <w:pStyle w:val="ListParagraph"/>
        <w:numPr>
          <w:ilvl w:val="0"/>
          <w:numId w:val="1"/>
        </w:numPr>
        <w:spacing w:line="276" w:lineRule="auto"/>
        <w:jc w:val="left"/>
      </w:pPr>
      <w:r w:rsidRPr="00BF3ADC">
        <w:t xml:space="preserve">2005/06 KIHBS: Based on variable hhtexp. </w:t>
      </w:r>
    </w:p>
    <w:p w14:paraId="3F715B36" w14:textId="5980483E" w:rsidR="004129AD" w:rsidRPr="00BF3ADC" w:rsidRDefault="004129AD" w:rsidP="004129AD">
      <w:pPr>
        <w:pStyle w:val="ListParagraph"/>
        <w:numPr>
          <w:ilvl w:val="0"/>
          <w:numId w:val="1"/>
        </w:numPr>
        <w:spacing w:line="276" w:lineRule="auto"/>
        <w:jc w:val="left"/>
      </w:pPr>
      <w:r w:rsidRPr="00BF3ADC">
        <w:lastRenderedPageBreak/>
        <w:t>20</w:t>
      </w:r>
      <w:r>
        <w:t>15</w:t>
      </w:r>
      <w:r w:rsidRPr="00BF3ADC">
        <w:t>/</w:t>
      </w:r>
      <w:r>
        <w:t>1</w:t>
      </w:r>
      <w:r w:rsidRPr="00BF3ADC">
        <w:t>6 KIHBS:</w:t>
      </w:r>
      <w:r>
        <w:t xml:space="preserve"> Based on variable </w:t>
      </w:r>
      <w:r w:rsidRPr="004129AD">
        <w:t>padqexp</w:t>
      </w:r>
      <w:r>
        <w:t xml:space="preserve"> (recalculated on an adult basis).</w:t>
      </w:r>
    </w:p>
    <w:p w14:paraId="5E8D5B42" w14:textId="2C4A663C" w:rsidR="00CB0021" w:rsidRDefault="00CB0021" w:rsidP="00CB0021">
      <w:pPr>
        <w:spacing w:after="0" w:line="240" w:lineRule="auto"/>
      </w:pPr>
      <w:r>
        <w:t>These consumption totals rest on slightly different methodologies. The 2005/06 and 2015/16 KIHBS are similar in methodology. The survey was undertaken over the course of a full year and prices were adjusted for seasonal variation as well as spatial price level differences (provincial and urban/rural). The 1994 survey was undertaken over there months are reflects adjustments for spatial price variation, but not seasonality.</w:t>
      </w:r>
    </w:p>
    <w:p w14:paraId="3D40E899" w14:textId="7E27FAC6" w:rsidR="00CB0021" w:rsidRDefault="00CB0021" w:rsidP="00CB0021">
      <w:pPr>
        <w:spacing w:after="0" w:line="240" w:lineRule="auto"/>
      </w:pPr>
    </w:p>
    <w:p w14:paraId="49A7ED3B" w14:textId="5903A761" w:rsidR="00CB0021" w:rsidRDefault="00CB0021" w:rsidP="00CB0021">
      <w:pPr>
        <w:spacing w:after="0" w:line="240" w:lineRule="auto"/>
      </w:pPr>
      <w:r>
        <w:t xml:space="preserve">The items </w:t>
      </w:r>
      <w:r w:rsidR="00F23961">
        <w:t>included in the KIHBS consumption totals</w:t>
      </w:r>
      <w:r>
        <w:t xml:space="preserve"> include food</w:t>
      </w:r>
      <w:r w:rsidR="003842EC">
        <w:t xml:space="preserve"> (</w:t>
      </w:r>
      <w:r>
        <w:t>bought and own-produced</w:t>
      </w:r>
      <w:r w:rsidR="003842EC">
        <w:t xml:space="preserve"> at imputed value), recurrent non-food items including </w:t>
      </w:r>
      <w:r w:rsidR="00E759B1">
        <w:t>‘</w:t>
      </w:r>
      <w:r w:rsidR="00E759B1" w:rsidRPr="00E759B1">
        <w:t>education, health expenditure (only include medication),</w:t>
      </w:r>
      <w:r w:rsidR="00F23961">
        <w:t xml:space="preserve"> </w:t>
      </w:r>
      <w:r w:rsidR="00E759B1" w:rsidRPr="00E759B1">
        <w:t>tobacco, water, cooking and lighting fuel, household operation and personal care, transport, communication, refuse costs, domestic services (domestic workers), recreation and entertainment, clothing and footwear, furnishings, and rent (actual or imputed). However, the expenditure totals used in poverty analysis exclude house rent for rural areas.</w:t>
      </w:r>
      <w:r w:rsidR="00E759B1">
        <w:t>’</w:t>
      </w:r>
      <w:r w:rsidR="009F7D08">
        <w:rPr>
          <w:rStyle w:val="FootnoteReference"/>
        </w:rPr>
        <w:footnoteReference w:id="11"/>
      </w:r>
      <w:r w:rsidR="00E759B1">
        <w:t xml:space="preserve"> </w:t>
      </w:r>
      <w:r>
        <w:t>Durables, assets, one-off medical costs and other non-recurrent expenditures are excluded</w:t>
      </w:r>
      <w:r w:rsidR="00E759B1">
        <w:t xml:space="preserve">. </w:t>
      </w:r>
    </w:p>
    <w:p w14:paraId="2C9BF4F7" w14:textId="76116D7C" w:rsidR="00CB0021" w:rsidRDefault="00CB0021" w:rsidP="00CB0021">
      <w:pPr>
        <w:spacing w:after="0" w:line="240" w:lineRule="auto"/>
      </w:pPr>
    </w:p>
    <w:p w14:paraId="6144352D" w14:textId="445692DD" w:rsidR="00E759B1" w:rsidRDefault="00E759B1" w:rsidP="00CB0021">
      <w:pPr>
        <w:spacing w:after="0" w:line="240" w:lineRule="auto"/>
      </w:pPr>
      <w:r>
        <w:t xml:space="preserve">The 1994 WMS consumption total has been recalculated to cover the same categories of non-food expenditure as the KIHBS. However, the variable includes rent paid, but not imputed rent for owner-occupiers. </w:t>
      </w:r>
      <w:r w:rsidR="00F23961">
        <w:t>Unlike the KIHBS, u</w:t>
      </w:r>
      <w:r>
        <w:t>rban and rural areas are treated the same, although it is noteworthy that 70% of urban households report rent while only 7% of rural ones do.</w:t>
      </w:r>
    </w:p>
    <w:p w14:paraId="500FE674" w14:textId="77777777" w:rsidR="00CB0021" w:rsidRDefault="00CB0021" w:rsidP="002F46CC">
      <w:pPr>
        <w:spacing w:after="0"/>
        <w:rPr>
          <w:b/>
        </w:rPr>
      </w:pPr>
    </w:p>
    <w:p w14:paraId="3C34DA4B" w14:textId="6FF2C8D7" w:rsidR="002F46CC" w:rsidRDefault="002F46CC" w:rsidP="002F46CC">
      <w:pPr>
        <w:spacing w:after="0"/>
        <w:rPr>
          <w:b/>
        </w:rPr>
      </w:pPr>
      <w:r>
        <w:rPr>
          <w:b/>
        </w:rPr>
        <w:t>Asset wealth (index constructed based on following variables)</w:t>
      </w:r>
    </w:p>
    <w:p w14:paraId="52A740EB" w14:textId="77777777" w:rsidR="002F46CC" w:rsidRPr="00CA3064" w:rsidRDefault="002F46CC" w:rsidP="002F46CC">
      <w:pPr>
        <w:pStyle w:val="ListParagraph"/>
        <w:numPr>
          <w:ilvl w:val="0"/>
          <w:numId w:val="2"/>
        </w:numPr>
        <w:spacing w:line="276" w:lineRule="auto"/>
        <w:jc w:val="left"/>
      </w:pPr>
      <w:r>
        <w:t xml:space="preserve">1994 WMS: </w:t>
      </w:r>
      <w:r w:rsidRPr="00CA3064">
        <w:t xml:space="preserve">Electricity in home, </w:t>
      </w:r>
      <w:r>
        <w:t xml:space="preserve">piped water, </w:t>
      </w:r>
      <w:r w:rsidRPr="00CA3064">
        <w:t xml:space="preserve">flush toilet, cooking fuel (gas or electricity); </w:t>
      </w:r>
      <w:r w:rsidRPr="00CA3064">
        <w:rPr>
          <w:rFonts w:eastAsia="Times New Roman"/>
          <w:color w:val="000000"/>
          <w:lang w:eastAsia="en-GB"/>
        </w:rPr>
        <w:t>flooring (whether tiles, wood or cement)</w:t>
      </w:r>
      <w:r>
        <w:rPr>
          <w:rFonts w:eastAsia="Times New Roman"/>
          <w:color w:val="000000"/>
          <w:lang w:eastAsia="en-GB"/>
        </w:rPr>
        <w:t>, modern walls and roof to home.</w:t>
      </w:r>
    </w:p>
    <w:p w14:paraId="757250C2" w14:textId="77777777" w:rsidR="002F46CC" w:rsidRPr="003A2F41" w:rsidRDefault="002F46CC" w:rsidP="002F46CC">
      <w:pPr>
        <w:pStyle w:val="ListParagraph"/>
        <w:numPr>
          <w:ilvl w:val="0"/>
          <w:numId w:val="2"/>
        </w:numPr>
        <w:spacing w:line="276" w:lineRule="auto"/>
        <w:jc w:val="left"/>
      </w:pPr>
      <w:r>
        <w:rPr>
          <w:rFonts w:eastAsia="Times New Roman"/>
          <w:color w:val="000000"/>
          <w:lang w:eastAsia="en-GB"/>
        </w:rPr>
        <w:t xml:space="preserve">2005/06 IHBS: </w:t>
      </w:r>
      <w:r w:rsidRPr="00CA3064">
        <w:t>Electricity in home,</w:t>
      </w:r>
      <w:r>
        <w:t xml:space="preserve"> piped water,</w:t>
      </w:r>
      <w:r w:rsidRPr="00CA3064">
        <w:t xml:space="preserve"> flush toilet, cooking fuel (gas or electricity); </w:t>
      </w:r>
      <w:r w:rsidRPr="00CA3064">
        <w:rPr>
          <w:rFonts w:eastAsia="Times New Roman"/>
          <w:color w:val="000000"/>
          <w:lang w:eastAsia="en-GB"/>
        </w:rPr>
        <w:t>flooring (whether tiles, wood or cement)</w:t>
      </w:r>
      <w:r>
        <w:rPr>
          <w:rFonts w:eastAsia="Times New Roman"/>
          <w:color w:val="000000"/>
          <w:lang w:eastAsia="en-GB"/>
        </w:rPr>
        <w:t>, car, TV, refrigerator, computer.</w:t>
      </w:r>
    </w:p>
    <w:p w14:paraId="3D911711" w14:textId="2960616B" w:rsidR="002F46CC" w:rsidRPr="004129AD" w:rsidRDefault="002F46CC" w:rsidP="002F46CC">
      <w:pPr>
        <w:pStyle w:val="ListParagraph"/>
        <w:numPr>
          <w:ilvl w:val="0"/>
          <w:numId w:val="2"/>
        </w:numPr>
        <w:spacing w:after="360" w:line="276" w:lineRule="auto"/>
        <w:jc w:val="left"/>
      </w:pPr>
      <w:r>
        <w:rPr>
          <w:rFonts w:eastAsia="Times New Roman"/>
          <w:color w:val="000000"/>
          <w:lang w:eastAsia="en-GB"/>
        </w:rPr>
        <w:t xml:space="preserve">2009 CENSUS: </w:t>
      </w:r>
      <w:r w:rsidRPr="00CA3064">
        <w:t xml:space="preserve">Electricity in home, </w:t>
      </w:r>
      <w:r>
        <w:t xml:space="preserve">piped water, </w:t>
      </w:r>
      <w:r w:rsidRPr="00CA3064">
        <w:t xml:space="preserve">flush toilet, cooking fuel (gas or electricity); </w:t>
      </w:r>
      <w:r w:rsidRPr="00CA3064">
        <w:rPr>
          <w:rFonts w:eastAsia="Times New Roman"/>
          <w:color w:val="000000"/>
          <w:lang w:eastAsia="en-GB"/>
        </w:rPr>
        <w:t>flooring (whether tiles, wood or cement)</w:t>
      </w:r>
      <w:r>
        <w:rPr>
          <w:rFonts w:eastAsia="Times New Roman"/>
          <w:color w:val="000000"/>
          <w:lang w:eastAsia="en-GB"/>
        </w:rPr>
        <w:t>, car, TV, refrigerator, computer.</w:t>
      </w:r>
    </w:p>
    <w:p w14:paraId="7186191D" w14:textId="7BEFCD16" w:rsidR="004129AD" w:rsidRPr="003A2F41" w:rsidRDefault="004129AD" w:rsidP="002F46CC">
      <w:pPr>
        <w:pStyle w:val="ListParagraph"/>
        <w:numPr>
          <w:ilvl w:val="0"/>
          <w:numId w:val="2"/>
        </w:numPr>
        <w:spacing w:after="360" w:line="276" w:lineRule="auto"/>
        <w:jc w:val="left"/>
      </w:pPr>
      <w:r>
        <w:rPr>
          <w:rFonts w:eastAsia="Times New Roman"/>
          <w:color w:val="000000"/>
          <w:lang w:eastAsia="en-GB"/>
        </w:rPr>
        <w:t xml:space="preserve">2015/16 IHBS: </w:t>
      </w:r>
      <w:r w:rsidRPr="00CA3064">
        <w:t xml:space="preserve">Electricity </w:t>
      </w:r>
      <w:r>
        <w:t>as main source of lights</w:t>
      </w:r>
      <w:r w:rsidRPr="00CA3064">
        <w:t>,</w:t>
      </w:r>
      <w:r>
        <w:t xml:space="preserve"> piped water in dwelling or compound,</w:t>
      </w:r>
      <w:r w:rsidRPr="00CA3064">
        <w:t xml:space="preserve"> flush toilet, cooking fuel (gas or electricity)</w:t>
      </w:r>
      <w:r>
        <w:t>, garbage collected from residence,</w:t>
      </w:r>
      <w:r w:rsidRPr="00CA3064">
        <w:t xml:space="preserve"> </w:t>
      </w:r>
      <w:r w:rsidRPr="00CA3064">
        <w:rPr>
          <w:rFonts w:eastAsia="Times New Roman"/>
          <w:color w:val="000000"/>
          <w:lang w:eastAsia="en-GB"/>
        </w:rPr>
        <w:t>flooring (whether tiles, wood or cement)</w:t>
      </w:r>
      <w:r>
        <w:rPr>
          <w:rFonts w:eastAsia="Times New Roman"/>
          <w:color w:val="000000"/>
          <w:lang w:eastAsia="en-GB"/>
        </w:rPr>
        <w:t>, car, TV, pay TV subscription, internet, computer.</w:t>
      </w:r>
    </w:p>
    <w:p w14:paraId="022EB2EF" w14:textId="77777777" w:rsidR="002F46CC" w:rsidRDefault="002F46CC" w:rsidP="002F46CC">
      <w:pPr>
        <w:spacing w:after="160" w:line="259" w:lineRule="auto"/>
        <w:jc w:val="left"/>
        <w:rPr>
          <w:rFonts w:eastAsiaTheme="majorEastAsia" w:cstheme="majorBidi"/>
          <w:b/>
          <w:i/>
          <w:iCs/>
          <w:sz w:val="24"/>
        </w:rPr>
      </w:pPr>
      <w:r>
        <w:br w:type="page"/>
      </w:r>
    </w:p>
    <w:p w14:paraId="54932070" w14:textId="77777777" w:rsidR="002F46CC" w:rsidRPr="00522149" w:rsidRDefault="002F46CC" w:rsidP="002F46CC">
      <w:pPr>
        <w:pStyle w:val="Appendix2"/>
        <w:numPr>
          <w:ilvl w:val="0"/>
          <w:numId w:val="0"/>
        </w:numPr>
        <w:rPr>
          <w:i w:val="0"/>
        </w:rPr>
      </w:pPr>
      <w:r w:rsidRPr="00522149">
        <w:rPr>
          <w:i w:val="0"/>
        </w:rPr>
        <w:lastRenderedPageBreak/>
        <w:t>Tanzanian data sources</w:t>
      </w:r>
    </w:p>
    <w:p w14:paraId="2B504993" w14:textId="77777777" w:rsidR="002F46CC" w:rsidRPr="00522149" w:rsidRDefault="002F46CC" w:rsidP="002F46CC">
      <w:pPr>
        <w:rPr>
          <w:i/>
          <w:sz w:val="24"/>
        </w:rPr>
      </w:pPr>
      <w:r w:rsidRPr="00522149">
        <w:rPr>
          <w:i/>
          <w:sz w:val="24"/>
        </w:rPr>
        <w:t>The 1969 distribution</w:t>
      </w:r>
    </w:p>
    <w:p w14:paraId="42235190" w14:textId="7B9842C2" w:rsidR="002F46CC" w:rsidRPr="00BF3ADC" w:rsidRDefault="002F46CC" w:rsidP="002F46CC">
      <w:pPr>
        <w:spacing w:line="276" w:lineRule="auto"/>
      </w:pPr>
      <w:r w:rsidRPr="00BF3ADC">
        <w:t xml:space="preserve">The 1969 estimate was derived by comparing the 1969 </w:t>
      </w:r>
      <w:r w:rsidRPr="00522CDF">
        <w:t>national income distribution (on a cash basis) with the salaries of public and formal private sector employees (Tanzania Household Budget Survey 1969; Tanzania Survey of Employment and Earnings 1969: Table 26).</w:t>
      </w:r>
      <w:r w:rsidR="00522CDF" w:rsidRPr="00522CDF">
        <w:rPr>
          <w:rStyle w:val="FootnoteReference"/>
        </w:rPr>
        <w:footnoteReference w:id="12"/>
      </w:r>
      <w:r w:rsidRPr="00522CDF">
        <w:t xml:space="preserve"> As in the Kenyan analysis, this comparison rests on the assumption that gross public sector cash earnings are a good approximation of the total income of public sector-headed households. This will underestimate earnings somewhat, as the 1969 survey results showed that employees in the services industry</w:t>
      </w:r>
      <w:r w:rsidRPr="00BF3ADC">
        <w:t xml:space="preserve"> (primarily government) earned on average 82% of household cash earnings from wages and salaries and the other 18% from a variety of sources (crops, trade and business). </w:t>
      </w:r>
    </w:p>
    <w:p w14:paraId="5FFCCDE3" w14:textId="77777777" w:rsidR="002F46CC" w:rsidRPr="00BF3ADC" w:rsidRDefault="002F46CC" w:rsidP="002F46CC">
      <w:pPr>
        <w:spacing w:line="276" w:lineRule="auto"/>
      </w:pPr>
      <w:r w:rsidRPr="00BF3ADC">
        <w:t>Possibly biasing the public sector share upward instead, is that the income data in the national distribution table excluded production for own-consumption and therefore underestimates the incomes of rural households. This should</w:t>
      </w:r>
      <w:r>
        <w:t>, however,</w:t>
      </w:r>
      <w:r w:rsidRPr="00BF3ADC">
        <w:t xml:space="preserve"> have less of an impact on incomes among the top 10% and top 1%, as own-production of food is presumably a fairly small share of total consumption at these income levels.</w:t>
      </w:r>
    </w:p>
    <w:p w14:paraId="00736FBC" w14:textId="77777777" w:rsidR="002F46CC" w:rsidRPr="00522149" w:rsidRDefault="002F46CC" w:rsidP="002F46CC">
      <w:pPr>
        <w:pStyle w:val="Caption"/>
        <w:rPr>
          <w:b w:val="0"/>
          <w:i/>
          <w:sz w:val="22"/>
        </w:rPr>
      </w:pPr>
      <w:r w:rsidRPr="00522149">
        <w:rPr>
          <w:b w:val="0"/>
          <w:i/>
          <w:sz w:val="22"/>
        </w:rPr>
        <w:t xml:space="preserve">Appendix Table </w:t>
      </w:r>
      <w:r w:rsidRPr="00522149">
        <w:rPr>
          <w:b w:val="0"/>
          <w:i/>
          <w:noProof/>
          <w:sz w:val="22"/>
        </w:rPr>
        <w:t>5</w:t>
      </w:r>
      <w:r w:rsidRPr="00522149">
        <w:rPr>
          <w:b w:val="0"/>
          <w:i/>
          <w:sz w:val="22"/>
        </w:rPr>
        <w:t xml:space="preserve">. Employment by wage group, reproduced from TZ EES 1969 </w:t>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211"/>
        <w:gridCol w:w="1332"/>
        <w:gridCol w:w="1275"/>
        <w:gridCol w:w="1134"/>
        <w:gridCol w:w="1276"/>
        <w:gridCol w:w="1276"/>
      </w:tblGrid>
      <w:tr w:rsidR="002F46CC" w:rsidRPr="00BF3ADC" w14:paraId="62F79538" w14:textId="77777777" w:rsidTr="009517F9">
        <w:trPr>
          <w:trHeight w:val="300"/>
        </w:trPr>
        <w:tc>
          <w:tcPr>
            <w:tcW w:w="1143" w:type="dxa"/>
            <w:shd w:val="clear" w:color="auto" w:fill="auto"/>
            <w:noWrap/>
            <w:vAlign w:val="center"/>
            <w:hideMark/>
          </w:tcPr>
          <w:p w14:paraId="679232D8" w14:textId="77777777" w:rsidR="002F46CC" w:rsidRPr="00BF3ADC" w:rsidRDefault="002F46CC" w:rsidP="009517F9">
            <w:pPr>
              <w:spacing w:after="0" w:line="240" w:lineRule="auto"/>
              <w:rPr>
                <w:rFonts w:eastAsia="Times New Roman"/>
                <w:b/>
                <w:color w:val="000000"/>
                <w:sz w:val="18"/>
                <w:szCs w:val="18"/>
                <w:lang w:eastAsia="en-GB"/>
              </w:rPr>
            </w:pPr>
            <w:r w:rsidRPr="00BF3ADC">
              <w:rPr>
                <w:rFonts w:eastAsia="Times New Roman"/>
                <w:b/>
                <w:color w:val="000000"/>
                <w:sz w:val="18"/>
                <w:szCs w:val="18"/>
                <w:lang w:eastAsia="en-GB"/>
              </w:rPr>
              <w:t>TSh./annum</w:t>
            </w:r>
          </w:p>
        </w:tc>
        <w:tc>
          <w:tcPr>
            <w:tcW w:w="1211" w:type="dxa"/>
            <w:shd w:val="clear" w:color="auto" w:fill="auto"/>
            <w:noWrap/>
            <w:vAlign w:val="center"/>
            <w:hideMark/>
          </w:tcPr>
          <w:p w14:paraId="6EB58779" w14:textId="77777777" w:rsidR="002F46CC" w:rsidRPr="00BF3ADC" w:rsidRDefault="002F46CC" w:rsidP="009517F9">
            <w:pPr>
              <w:spacing w:after="0" w:line="240" w:lineRule="auto"/>
              <w:rPr>
                <w:rFonts w:eastAsia="Times New Roman"/>
                <w:b/>
                <w:color w:val="000000"/>
                <w:sz w:val="18"/>
                <w:szCs w:val="18"/>
                <w:lang w:eastAsia="en-GB"/>
              </w:rPr>
            </w:pPr>
            <w:r w:rsidRPr="00BF3ADC">
              <w:rPr>
                <w:rFonts w:eastAsia="Times New Roman"/>
                <w:b/>
                <w:color w:val="000000"/>
                <w:sz w:val="18"/>
                <w:szCs w:val="18"/>
                <w:lang w:eastAsia="en-GB"/>
              </w:rPr>
              <w:t>TSh./month</w:t>
            </w:r>
          </w:p>
        </w:tc>
        <w:tc>
          <w:tcPr>
            <w:tcW w:w="1332" w:type="dxa"/>
            <w:shd w:val="clear" w:color="auto" w:fill="auto"/>
            <w:noWrap/>
            <w:vAlign w:val="center"/>
            <w:hideMark/>
          </w:tcPr>
          <w:p w14:paraId="451B0DB1" w14:textId="77777777" w:rsidR="002F46CC" w:rsidRPr="00BF3ADC" w:rsidRDefault="002F46CC" w:rsidP="009517F9">
            <w:pPr>
              <w:spacing w:after="0" w:line="240" w:lineRule="auto"/>
              <w:rPr>
                <w:rFonts w:eastAsia="Times New Roman"/>
                <w:b/>
                <w:color w:val="000000"/>
                <w:sz w:val="18"/>
                <w:szCs w:val="18"/>
                <w:lang w:eastAsia="en-GB"/>
              </w:rPr>
            </w:pPr>
            <w:r w:rsidRPr="00BF3ADC">
              <w:rPr>
                <w:rFonts w:eastAsia="Times New Roman"/>
                <w:b/>
                <w:color w:val="000000"/>
                <w:sz w:val="18"/>
                <w:szCs w:val="18"/>
                <w:lang w:eastAsia="en-GB"/>
              </w:rPr>
              <w:t>All employees</w:t>
            </w:r>
          </w:p>
          <w:p w14:paraId="39E905F5" w14:textId="77777777" w:rsidR="002F46CC" w:rsidRPr="00BF3ADC" w:rsidRDefault="002F46CC" w:rsidP="009517F9">
            <w:pPr>
              <w:spacing w:after="0" w:line="240" w:lineRule="auto"/>
              <w:rPr>
                <w:rFonts w:eastAsia="Times New Roman"/>
                <w:b/>
                <w:color w:val="000000"/>
                <w:sz w:val="18"/>
                <w:szCs w:val="18"/>
                <w:lang w:eastAsia="en-GB"/>
              </w:rPr>
            </w:pPr>
            <w:r w:rsidRPr="00BF3ADC">
              <w:rPr>
                <w:rFonts w:eastAsia="Times New Roman"/>
                <w:b/>
                <w:color w:val="000000"/>
                <w:sz w:val="18"/>
                <w:szCs w:val="18"/>
                <w:lang w:eastAsia="en-GB"/>
              </w:rPr>
              <w:t>(adult male)</w:t>
            </w:r>
          </w:p>
        </w:tc>
        <w:tc>
          <w:tcPr>
            <w:tcW w:w="1275" w:type="dxa"/>
            <w:shd w:val="clear" w:color="auto" w:fill="auto"/>
            <w:noWrap/>
            <w:vAlign w:val="center"/>
            <w:hideMark/>
          </w:tcPr>
          <w:p w14:paraId="3B966CDC" w14:textId="77777777" w:rsidR="002F46CC" w:rsidRPr="00BF3ADC" w:rsidRDefault="002F46CC" w:rsidP="009517F9">
            <w:pPr>
              <w:spacing w:after="0" w:line="240" w:lineRule="auto"/>
              <w:rPr>
                <w:rFonts w:eastAsia="Times New Roman"/>
                <w:b/>
                <w:i/>
                <w:iCs/>
                <w:color w:val="000000"/>
                <w:sz w:val="18"/>
                <w:szCs w:val="18"/>
                <w:lang w:eastAsia="en-GB"/>
              </w:rPr>
            </w:pPr>
            <w:r w:rsidRPr="00BF3ADC">
              <w:rPr>
                <w:rFonts w:eastAsia="Times New Roman"/>
                <w:b/>
                <w:i/>
                <w:iCs/>
                <w:color w:val="000000"/>
                <w:sz w:val="18"/>
                <w:szCs w:val="18"/>
                <w:lang w:eastAsia="en-GB"/>
              </w:rPr>
              <w:t>Government (adult male)</w:t>
            </w:r>
          </w:p>
        </w:tc>
        <w:tc>
          <w:tcPr>
            <w:tcW w:w="1134" w:type="dxa"/>
            <w:shd w:val="clear" w:color="auto" w:fill="auto"/>
            <w:noWrap/>
            <w:vAlign w:val="center"/>
            <w:hideMark/>
          </w:tcPr>
          <w:p w14:paraId="14DAFA22" w14:textId="77777777" w:rsidR="002F46CC" w:rsidRPr="00BF3ADC" w:rsidRDefault="002F46CC" w:rsidP="009517F9">
            <w:pPr>
              <w:spacing w:after="0" w:line="240" w:lineRule="auto"/>
              <w:rPr>
                <w:rFonts w:eastAsia="Times New Roman"/>
                <w:b/>
                <w:i/>
                <w:iCs/>
                <w:color w:val="000000"/>
                <w:sz w:val="18"/>
                <w:szCs w:val="18"/>
                <w:lang w:eastAsia="en-GB"/>
              </w:rPr>
            </w:pPr>
            <w:r w:rsidRPr="00BF3ADC">
              <w:rPr>
                <w:rFonts w:eastAsia="Times New Roman"/>
                <w:b/>
                <w:i/>
                <w:iCs/>
                <w:color w:val="000000"/>
                <w:sz w:val="18"/>
                <w:szCs w:val="18"/>
                <w:lang w:eastAsia="en-GB"/>
              </w:rPr>
              <w:t>Parastatal (adult male)</w:t>
            </w:r>
          </w:p>
        </w:tc>
        <w:tc>
          <w:tcPr>
            <w:tcW w:w="1276" w:type="dxa"/>
            <w:shd w:val="clear" w:color="auto" w:fill="auto"/>
            <w:noWrap/>
            <w:vAlign w:val="center"/>
            <w:hideMark/>
          </w:tcPr>
          <w:p w14:paraId="2FBAA565" w14:textId="77777777" w:rsidR="002F46CC" w:rsidRPr="00BF3ADC" w:rsidRDefault="002F46CC" w:rsidP="009517F9">
            <w:pPr>
              <w:spacing w:after="0" w:line="240" w:lineRule="auto"/>
              <w:rPr>
                <w:rFonts w:eastAsia="Times New Roman"/>
                <w:b/>
                <w:color w:val="000000"/>
                <w:sz w:val="18"/>
                <w:szCs w:val="18"/>
                <w:lang w:eastAsia="en-GB"/>
              </w:rPr>
            </w:pPr>
            <w:r w:rsidRPr="00BF3ADC">
              <w:rPr>
                <w:rFonts w:eastAsia="Times New Roman"/>
                <w:b/>
                <w:color w:val="000000"/>
                <w:sz w:val="18"/>
                <w:szCs w:val="18"/>
                <w:lang w:eastAsia="en-GB"/>
              </w:rPr>
              <w:t>Public (total)</w:t>
            </w:r>
          </w:p>
          <w:p w14:paraId="2667F2A1" w14:textId="77777777" w:rsidR="002F46CC" w:rsidRPr="00BF3ADC" w:rsidRDefault="002F46CC" w:rsidP="009517F9">
            <w:pPr>
              <w:spacing w:after="0" w:line="240" w:lineRule="auto"/>
              <w:rPr>
                <w:rFonts w:eastAsia="Times New Roman"/>
                <w:b/>
                <w:color w:val="000000"/>
                <w:sz w:val="18"/>
                <w:szCs w:val="18"/>
                <w:lang w:eastAsia="en-GB"/>
              </w:rPr>
            </w:pPr>
            <w:r w:rsidRPr="00BF3ADC">
              <w:rPr>
                <w:rFonts w:eastAsia="Times New Roman"/>
                <w:b/>
                <w:color w:val="000000"/>
                <w:sz w:val="18"/>
                <w:szCs w:val="18"/>
                <w:lang w:eastAsia="en-GB"/>
              </w:rPr>
              <w:t>(adult male)</w:t>
            </w:r>
          </w:p>
        </w:tc>
        <w:tc>
          <w:tcPr>
            <w:tcW w:w="1276" w:type="dxa"/>
            <w:shd w:val="clear" w:color="auto" w:fill="auto"/>
            <w:noWrap/>
            <w:vAlign w:val="center"/>
            <w:hideMark/>
          </w:tcPr>
          <w:p w14:paraId="7CD3C348" w14:textId="77777777" w:rsidR="002F46CC" w:rsidRPr="00BF3ADC" w:rsidRDefault="002F46CC" w:rsidP="009517F9">
            <w:pPr>
              <w:spacing w:after="0" w:line="240" w:lineRule="auto"/>
              <w:rPr>
                <w:rFonts w:eastAsia="Times New Roman"/>
                <w:b/>
                <w:color w:val="000000"/>
                <w:sz w:val="18"/>
                <w:szCs w:val="18"/>
                <w:lang w:eastAsia="en-GB"/>
              </w:rPr>
            </w:pPr>
            <w:r w:rsidRPr="00BF3ADC">
              <w:rPr>
                <w:rFonts w:eastAsia="Times New Roman"/>
                <w:b/>
                <w:color w:val="000000"/>
                <w:sz w:val="18"/>
                <w:szCs w:val="18"/>
                <w:lang w:eastAsia="en-GB"/>
              </w:rPr>
              <w:t>Private sector (adult male)</w:t>
            </w:r>
          </w:p>
        </w:tc>
      </w:tr>
      <w:tr w:rsidR="002F46CC" w:rsidRPr="00BF3ADC" w14:paraId="392F20F6" w14:textId="77777777" w:rsidTr="009517F9">
        <w:trPr>
          <w:trHeight w:val="273"/>
        </w:trPr>
        <w:tc>
          <w:tcPr>
            <w:tcW w:w="1143" w:type="dxa"/>
            <w:shd w:val="clear" w:color="auto" w:fill="auto"/>
            <w:noWrap/>
            <w:vAlign w:val="center"/>
            <w:hideMark/>
          </w:tcPr>
          <w:p w14:paraId="4F246D1E"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&lt;1200</w:t>
            </w:r>
          </w:p>
        </w:tc>
        <w:tc>
          <w:tcPr>
            <w:tcW w:w="1211" w:type="dxa"/>
            <w:shd w:val="clear" w:color="auto" w:fill="auto"/>
            <w:noWrap/>
            <w:vAlign w:val="center"/>
            <w:hideMark/>
          </w:tcPr>
          <w:p w14:paraId="437B07B1"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&lt;100</w:t>
            </w:r>
          </w:p>
        </w:tc>
        <w:tc>
          <w:tcPr>
            <w:tcW w:w="1332" w:type="dxa"/>
            <w:shd w:val="clear" w:color="auto" w:fill="auto"/>
            <w:noWrap/>
            <w:vAlign w:val="center"/>
            <w:hideMark/>
          </w:tcPr>
          <w:p w14:paraId="61E2EB70"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11,987 </w:t>
            </w:r>
          </w:p>
        </w:tc>
        <w:tc>
          <w:tcPr>
            <w:tcW w:w="1275" w:type="dxa"/>
            <w:shd w:val="clear" w:color="auto" w:fill="auto"/>
            <w:noWrap/>
            <w:vAlign w:val="center"/>
            <w:hideMark/>
          </w:tcPr>
          <w:p w14:paraId="596F153B"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1,457 </w:t>
            </w:r>
          </w:p>
        </w:tc>
        <w:tc>
          <w:tcPr>
            <w:tcW w:w="1134" w:type="dxa"/>
            <w:shd w:val="clear" w:color="auto" w:fill="auto"/>
            <w:noWrap/>
            <w:vAlign w:val="center"/>
            <w:hideMark/>
          </w:tcPr>
          <w:p w14:paraId="158E67B4"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387 </w:t>
            </w:r>
          </w:p>
        </w:tc>
        <w:tc>
          <w:tcPr>
            <w:tcW w:w="1276" w:type="dxa"/>
            <w:shd w:val="clear" w:color="auto" w:fill="auto"/>
            <w:noWrap/>
            <w:vAlign w:val="center"/>
            <w:hideMark/>
          </w:tcPr>
          <w:p w14:paraId="132D341E"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1,844 </w:t>
            </w:r>
          </w:p>
        </w:tc>
        <w:tc>
          <w:tcPr>
            <w:tcW w:w="1276" w:type="dxa"/>
            <w:shd w:val="clear" w:color="auto" w:fill="auto"/>
            <w:noWrap/>
            <w:vAlign w:val="center"/>
            <w:hideMark/>
          </w:tcPr>
          <w:p w14:paraId="48352090"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10,143 </w:t>
            </w:r>
          </w:p>
        </w:tc>
      </w:tr>
      <w:tr w:rsidR="002F46CC" w:rsidRPr="00BF3ADC" w14:paraId="26D0829D" w14:textId="77777777" w:rsidTr="009517F9">
        <w:trPr>
          <w:trHeight w:val="281"/>
        </w:trPr>
        <w:tc>
          <w:tcPr>
            <w:tcW w:w="1143" w:type="dxa"/>
            <w:shd w:val="clear" w:color="auto" w:fill="auto"/>
            <w:noWrap/>
            <w:vAlign w:val="center"/>
            <w:hideMark/>
          </w:tcPr>
          <w:p w14:paraId="60103F61"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1200 - 1499</w:t>
            </w:r>
          </w:p>
        </w:tc>
        <w:tc>
          <w:tcPr>
            <w:tcW w:w="1211" w:type="dxa"/>
            <w:shd w:val="clear" w:color="auto" w:fill="auto"/>
            <w:noWrap/>
            <w:vAlign w:val="center"/>
            <w:hideMark/>
          </w:tcPr>
          <w:p w14:paraId="6A5C470D"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100-124</w:t>
            </w:r>
          </w:p>
        </w:tc>
        <w:tc>
          <w:tcPr>
            <w:tcW w:w="1332" w:type="dxa"/>
            <w:shd w:val="clear" w:color="auto" w:fill="auto"/>
            <w:noWrap/>
            <w:vAlign w:val="center"/>
            <w:hideMark/>
          </w:tcPr>
          <w:p w14:paraId="711E9D41"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24,091 </w:t>
            </w:r>
          </w:p>
        </w:tc>
        <w:tc>
          <w:tcPr>
            <w:tcW w:w="1275" w:type="dxa"/>
            <w:shd w:val="clear" w:color="auto" w:fill="auto"/>
            <w:noWrap/>
            <w:vAlign w:val="center"/>
            <w:hideMark/>
          </w:tcPr>
          <w:p w14:paraId="3E83B728"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11,947 </w:t>
            </w:r>
          </w:p>
        </w:tc>
        <w:tc>
          <w:tcPr>
            <w:tcW w:w="1134" w:type="dxa"/>
            <w:shd w:val="clear" w:color="auto" w:fill="auto"/>
            <w:noWrap/>
            <w:vAlign w:val="center"/>
            <w:hideMark/>
          </w:tcPr>
          <w:p w14:paraId="5E164CC6"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1,063 </w:t>
            </w:r>
          </w:p>
        </w:tc>
        <w:tc>
          <w:tcPr>
            <w:tcW w:w="1276" w:type="dxa"/>
            <w:shd w:val="clear" w:color="auto" w:fill="auto"/>
            <w:noWrap/>
            <w:vAlign w:val="center"/>
            <w:hideMark/>
          </w:tcPr>
          <w:p w14:paraId="188C4091"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13,010 </w:t>
            </w:r>
          </w:p>
        </w:tc>
        <w:tc>
          <w:tcPr>
            <w:tcW w:w="1276" w:type="dxa"/>
            <w:shd w:val="clear" w:color="auto" w:fill="auto"/>
            <w:noWrap/>
            <w:vAlign w:val="center"/>
            <w:hideMark/>
          </w:tcPr>
          <w:p w14:paraId="5795BF16"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11,081 </w:t>
            </w:r>
          </w:p>
        </w:tc>
      </w:tr>
      <w:tr w:rsidR="002F46CC" w:rsidRPr="00BF3ADC" w14:paraId="41930929" w14:textId="77777777" w:rsidTr="009517F9">
        <w:trPr>
          <w:trHeight w:val="300"/>
        </w:trPr>
        <w:tc>
          <w:tcPr>
            <w:tcW w:w="1143" w:type="dxa"/>
            <w:shd w:val="clear" w:color="auto" w:fill="D0CECE" w:themeFill="background2" w:themeFillShade="E6"/>
            <w:noWrap/>
            <w:vAlign w:val="center"/>
            <w:hideMark/>
          </w:tcPr>
          <w:p w14:paraId="282F8FC9"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1500 - 1800</w:t>
            </w:r>
          </w:p>
        </w:tc>
        <w:tc>
          <w:tcPr>
            <w:tcW w:w="1211" w:type="dxa"/>
            <w:shd w:val="clear" w:color="auto" w:fill="auto"/>
            <w:noWrap/>
            <w:vAlign w:val="center"/>
            <w:hideMark/>
          </w:tcPr>
          <w:p w14:paraId="43ABE830"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125-149</w:t>
            </w:r>
          </w:p>
        </w:tc>
        <w:tc>
          <w:tcPr>
            <w:tcW w:w="1332" w:type="dxa"/>
            <w:shd w:val="clear" w:color="auto" w:fill="auto"/>
            <w:noWrap/>
            <w:vAlign w:val="center"/>
            <w:hideMark/>
          </w:tcPr>
          <w:p w14:paraId="34F74EEF"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28,041 </w:t>
            </w:r>
          </w:p>
        </w:tc>
        <w:tc>
          <w:tcPr>
            <w:tcW w:w="1275" w:type="dxa"/>
            <w:shd w:val="clear" w:color="auto" w:fill="auto"/>
            <w:noWrap/>
            <w:vAlign w:val="center"/>
            <w:hideMark/>
          </w:tcPr>
          <w:p w14:paraId="0E9BE3F8"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10,000 </w:t>
            </w:r>
          </w:p>
        </w:tc>
        <w:tc>
          <w:tcPr>
            <w:tcW w:w="1134" w:type="dxa"/>
            <w:shd w:val="clear" w:color="auto" w:fill="auto"/>
            <w:noWrap/>
            <w:vAlign w:val="center"/>
            <w:hideMark/>
          </w:tcPr>
          <w:p w14:paraId="0D855CF7"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3,614 </w:t>
            </w:r>
          </w:p>
        </w:tc>
        <w:tc>
          <w:tcPr>
            <w:tcW w:w="1276" w:type="dxa"/>
            <w:shd w:val="clear" w:color="auto" w:fill="auto"/>
            <w:noWrap/>
            <w:vAlign w:val="center"/>
            <w:hideMark/>
          </w:tcPr>
          <w:p w14:paraId="504C283A"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13,614 </w:t>
            </w:r>
          </w:p>
        </w:tc>
        <w:tc>
          <w:tcPr>
            <w:tcW w:w="1276" w:type="dxa"/>
            <w:shd w:val="clear" w:color="auto" w:fill="auto"/>
            <w:noWrap/>
            <w:vAlign w:val="center"/>
            <w:hideMark/>
          </w:tcPr>
          <w:p w14:paraId="14B01144"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14,427 </w:t>
            </w:r>
          </w:p>
        </w:tc>
      </w:tr>
      <w:tr w:rsidR="002F46CC" w:rsidRPr="00BF3ADC" w14:paraId="1E3155FD" w14:textId="77777777" w:rsidTr="009517F9">
        <w:trPr>
          <w:trHeight w:val="300"/>
        </w:trPr>
        <w:tc>
          <w:tcPr>
            <w:tcW w:w="1143" w:type="dxa"/>
            <w:shd w:val="clear" w:color="auto" w:fill="auto"/>
            <w:noWrap/>
            <w:vAlign w:val="center"/>
            <w:hideMark/>
          </w:tcPr>
          <w:p w14:paraId="40D35139"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1800 - 2400</w:t>
            </w:r>
          </w:p>
        </w:tc>
        <w:tc>
          <w:tcPr>
            <w:tcW w:w="1211" w:type="dxa"/>
            <w:shd w:val="clear" w:color="auto" w:fill="auto"/>
            <w:noWrap/>
            <w:vAlign w:val="center"/>
            <w:hideMark/>
          </w:tcPr>
          <w:p w14:paraId="05DFBDB2"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150 - 199</w:t>
            </w:r>
          </w:p>
        </w:tc>
        <w:tc>
          <w:tcPr>
            <w:tcW w:w="1332" w:type="dxa"/>
            <w:shd w:val="clear" w:color="auto" w:fill="auto"/>
            <w:noWrap/>
            <w:vAlign w:val="center"/>
            <w:hideMark/>
          </w:tcPr>
          <w:p w14:paraId="737CFBCD"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68,767 </w:t>
            </w:r>
          </w:p>
        </w:tc>
        <w:tc>
          <w:tcPr>
            <w:tcW w:w="1275" w:type="dxa"/>
            <w:shd w:val="clear" w:color="auto" w:fill="auto"/>
            <w:noWrap/>
            <w:vAlign w:val="center"/>
            <w:hideMark/>
          </w:tcPr>
          <w:p w14:paraId="1CD4D2C6"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33,450 </w:t>
            </w:r>
          </w:p>
        </w:tc>
        <w:tc>
          <w:tcPr>
            <w:tcW w:w="1134" w:type="dxa"/>
            <w:shd w:val="clear" w:color="auto" w:fill="auto"/>
            <w:noWrap/>
            <w:vAlign w:val="center"/>
            <w:hideMark/>
          </w:tcPr>
          <w:p w14:paraId="2BA6AD9A"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8,359 </w:t>
            </w:r>
          </w:p>
        </w:tc>
        <w:tc>
          <w:tcPr>
            <w:tcW w:w="1276" w:type="dxa"/>
            <w:shd w:val="clear" w:color="auto" w:fill="auto"/>
            <w:noWrap/>
            <w:vAlign w:val="center"/>
            <w:hideMark/>
          </w:tcPr>
          <w:p w14:paraId="345EC536"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41,809 </w:t>
            </w:r>
          </w:p>
        </w:tc>
        <w:tc>
          <w:tcPr>
            <w:tcW w:w="1276" w:type="dxa"/>
            <w:shd w:val="clear" w:color="auto" w:fill="auto"/>
            <w:noWrap/>
            <w:vAlign w:val="center"/>
            <w:hideMark/>
          </w:tcPr>
          <w:p w14:paraId="32C08169"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26,958 </w:t>
            </w:r>
          </w:p>
        </w:tc>
      </w:tr>
      <w:tr w:rsidR="002F46CC" w:rsidRPr="00BF3ADC" w14:paraId="4D555126" w14:textId="77777777" w:rsidTr="009517F9">
        <w:trPr>
          <w:trHeight w:val="300"/>
        </w:trPr>
        <w:tc>
          <w:tcPr>
            <w:tcW w:w="1143" w:type="dxa"/>
            <w:shd w:val="clear" w:color="auto" w:fill="auto"/>
            <w:noWrap/>
            <w:vAlign w:val="center"/>
            <w:hideMark/>
          </w:tcPr>
          <w:p w14:paraId="65BC9144"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2400 - 3600</w:t>
            </w:r>
          </w:p>
        </w:tc>
        <w:tc>
          <w:tcPr>
            <w:tcW w:w="1211" w:type="dxa"/>
            <w:shd w:val="clear" w:color="auto" w:fill="auto"/>
            <w:noWrap/>
            <w:vAlign w:val="center"/>
            <w:hideMark/>
          </w:tcPr>
          <w:p w14:paraId="0E1DCD0D"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200-299</w:t>
            </w:r>
          </w:p>
        </w:tc>
        <w:tc>
          <w:tcPr>
            <w:tcW w:w="1332" w:type="dxa"/>
            <w:shd w:val="clear" w:color="auto" w:fill="auto"/>
            <w:noWrap/>
            <w:vAlign w:val="center"/>
            <w:hideMark/>
          </w:tcPr>
          <w:p w14:paraId="28501C0E"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50,402 </w:t>
            </w:r>
          </w:p>
        </w:tc>
        <w:tc>
          <w:tcPr>
            <w:tcW w:w="1275" w:type="dxa"/>
            <w:shd w:val="clear" w:color="auto" w:fill="auto"/>
            <w:noWrap/>
            <w:vAlign w:val="center"/>
            <w:hideMark/>
          </w:tcPr>
          <w:p w14:paraId="2450FEA2"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21,990 </w:t>
            </w:r>
          </w:p>
        </w:tc>
        <w:tc>
          <w:tcPr>
            <w:tcW w:w="1134" w:type="dxa"/>
            <w:shd w:val="clear" w:color="auto" w:fill="auto"/>
            <w:noWrap/>
            <w:vAlign w:val="center"/>
            <w:hideMark/>
          </w:tcPr>
          <w:p w14:paraId="52455382"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10,212 </w:t>
            </w:r>
          </w:p>
        </w:tc>
        <w:tc>
          <w:tcPr>
            <w:tcW w:w="1276" w:type="dxa"/>
            <w:shd w:val="clear" w:color="auto" w:fill="auto"/>
            <w:noWrap/>
            <w:vAlign w:val="center"/>
            <w:hideMark/>
          </w:tcPr>
          <w:p w14:paraId="48A18714"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32,202 </w:t>
            </w:r>
          </w:p>
        </w:tc>
        <w:tc>
          <w:tcPr>
            <w:tcW w:w="1276" w:type="dxa"/>
            <w:shd w:val="clear" w:color="auto" w:fill="auto"/>
            <w:noWrap/>
            <w:vAlign w:val="center"/>
            <w:hideMark/>
          </w:tcPr>
          <w:p w14:paraId="77C7F6D5"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18,200 </w:t>
            </w:r>
          </w:p>
        </w:tc>
      </w:tr>
      <w:tr w:rsidR="002F46CC" w:rsidRPr="00BF3ADC" w14:paraId="433D2C74" w14:textId="77777777" w:rsidTr="009517F9">
        <w:trPr>
          <w:trHeight w:val="300"/>
        </w:trPr>
        <w:tc>
          <w:tcPr>
            <w:tcW w:w="1143" w:type="dxa"/>
            <w:shd w:val="clear" w:color="auto" w:fill="D0CECE" w:themeFill="background2" w:themeFillShade="E6"/>
            <w:noWrap/>
            <w:vAlign w:val="center"/>
            <w:hideMark/>
          </w:tcPr>
          <w:p w14:paraId="5D16FDBD"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3600 - 4800</w:t>
            </w:r>
          </w:p>
        </w:tc>
        <w:tc>
          <w:tcPr>
            <w:tcW w:w="1211" w:type="dxa"/>
            <w:shd w:val="clear" w:color="auto" w:fill="auto"/>
            <w:noWrap/>
            <w:vAlign w:val="center"/>
            <w:hideMark/>
          </w:tcPr>
          <w:p w14:paraId="56111AD1"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300-399</w:t>
            </w:r>
          </w:p>
        </w:tc>
        <w:tc>
          <w:tcPr>
            <w:tcW w:w="1332" w:type="dxa"/>
            <w:shd w:val="clear" w:color="auto" w:fill="auto"/>
            <w:noWrap/>
            <w:vAlign w:val="center"/>
            <w:hideMark/>
          </w:tcPr>
          <w:p w14:paraId="693EB7FD"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26,411 </w:t>
            </w:r>
          </w:p>
        </w:tc>
        <w:tc>
          <w:tcPr>
            <w:tcW w:w="1275" w:type="dxa"/>
            <w:shd w:val="clear" w:color="auto" w:fill="auto"/>
            <w:noWrap/>
            <w:vAlign w:val="center"/>
            <w:hideMark/>
          </w:tcPr>
          <w:p w14:paraId="26254C9D"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13,212 </w:t>
            </w:r>
          </w:p>
        </w:tc>
        <w:tc>
          <w:tcPr>
            <w:tcW w:w="1134" w:type="dxa"/>
            <w:shd w:val="clear" w:color="auto" w:fill="auto"/>
            <w:noWrap/>
            <w:vAlign w:val="center"/>
            <w:hideMark/>
          </w:tcPr>
          <w:p w14:paraId="7FF8E57E"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5,633 </w:t>
            </w:r>
          </w:p>
        </w:tc>
        <w:tc>
          <w:tcPr>
            <w:tcW w:w="1276" w:type="dxa"/>
            <w:shd w:val="clear" w:color="auto" w:fill="auto"/>
            <w:noWrap/>
            <w:vAlign w:val="center"/>
            <w:hideMark/>
          </w:tcPr>
          <w:p w14:paraId="0A891766"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18,845 </w:t>
            </w:r>
          </w:p>
        </w:tc>
        <w:tc>
          <w:tcPr>
            <w:tcW w:w="1276" w:type="dxa"/>
            <w:shd w:val="clear" w:color="auto" w:fill="auto"/>
            <w:noWrap/>
            <w:vAlign w:val="center"/>
            <w:hideMark/>
          </w:tcPr>
          <w:p w14:paraId="48536B03"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7,566 </w:t>
            </w:r>
          </w:p>
        </w:tc>
      </w:tr>
      <w:tr w:rsidR="002F46CC" w:rsidRPr="00BF3ADC" w14:paraId="16DC7DB1" w14:textId="77777777" w:rsidTr="009517F9">
        <w:trPr>
          <w:trHeight w:val="300"/>
        </w:trPr>
        <w:tc>
          <w:tcPr>
            <w:tcW w:w="1143" w:type="dxa"/>
            <w:shd w:val="clear" w:color="auto" w:fill="auto"/>
            <w:noWrap/>
            <w:vAlign w:val="center"/>
            <w:hideMark/>
          </w:tcPr>
          <w:p w14:paraId="1CDF3A3B"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4800 - 6000</w:t>
            </w:r>
          </w:p>
        </w:tc>
        <w:tc>
          <w:tcPr>
            <w:tcW w:w="1211" w:type="dxa"/>
            <w:shd w:val="clear" w:color="auto" w:fill="auto"/>
            <w:noWrap/>
            <w:vAlign w:val="center"/>
            <w:hideMark/>
          </w:tcPr>
          <w:p w14:paraId="3AC9A5FA"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400-499</w:t>
            </w:r>
          </w:p>
        </w:tc>
        <w:tc>
          <w:tcPr>
            <w:tcW w:w="1332" w:type="dxa"/>
            <w:shd w:val="clear" w:color="auto" w:fill="auto"/>
            <w:noWrap/>
            <w:vAlign w:val="center"/>
            <w:hideMark/>
          </w:tcPr>
          <w:p w14:paraId="64F138AA"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10,583 </w:t>
            </w:r>
          </w:p>
        </w:tc>
        <w:tc>
          <w:tcPr>
            <w:tcW w:w="1275" w:type="dxa"/>
            <w:shd w:val="clear" w:color="auto" w:fill="auto"/>
            <w:noWrap/>
            <w:vAlign w:val="center"/>
            <w:hideMark/>
          </w:tcPr>
          <w:p w14:paraId="1517D197"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5,033 </w:t>
            </w:r>
          </w:p>
        </w:tc>
        <w:tc>
          <w:tcPr>
            <w:tcW w:w="1134" w:type="dxa"/>
            <w:shd w:val="clear" w:color="auto" w:fill="auto"/>
            <w:noWrap/>
            <w:vAlign w:val="center"/>
            <w:hideMark/>
          </w:tcPr>
          <w:p w14:paraId="4DD03CAF"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1,488 </w:t>
            </w:r>
          </w:p>
        </w:tc>
        <w:tc>
          <w:tcPr>
            <w:tcW w:w="1276" w:type="dxa"/>
            <w:shd w:val="clear" w:color="auto" w:fill="auto"/>
            <w:noWrap/>
            <w:vAlign w:val="center"/>
            <w:hideMark/>
          </w:tcPr>
          <w:p w14:paraId="48B4F392"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6,521 </w:t>
            </w:r>
          </w:p>
        </w:tc>
        <w:tc>
          <w:tcPr>
            <w:tcW w:w="1276" w:type="dxa"/>
            <w:shd w:val="clear" w:color="auto" w:fill="auto"/>
            <w:noWrap/>
            <w:vAlign w:val="center"/>
            <w:hideMark/>
          </w:tcPr>
          <w:p w14:paraId="60F0F464"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4,062 </w:t>
            </w:r>
          </w:p>
        </w:tc>
      </w:tr>
      <w:tr w:rsidR="002F46CC" w:rsidRPr="00BF3ADC" w14:paraId="7CC911F6" w14:textId="77777777" w:rsidTr="009517F9">
        <w:trPr>
          <w:trHeight w:val="300"/>
        </w:trPr>
        <w:tc>
          <w:tcPr>
            <w:tcW w:w="1143" w:type="dxa"/>
            <w:shd w:val="clear" w:color="auto" w:fill="D0CECE" w:themeFill="background2" w:themeFillShade="E6"/>
            <w:noWrap/>
            <w:vAlign w:val="center"/>
            <w:hideMark/>
          </w:tcPr>
          <w:p w14:paraId="23CEAF37"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6000 - 9000</w:t>
            </w:r>
          </w:p>
        </w:tc>
        <w:tc>
          <w:tcPr>
            <w:tcW w:w="1211" w:type="dxa"/>
            <w:shd w:val="clear" w:color="auto" w:fill="auto"/>
            <w:noWrap/>
            <w:vAlign w:val="center"/>
            <w:hideMark/>
          </w:tcPr>
          <w:p w14:paraId="4B24A87F"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500-749</w:t>
            </w:r>
          </w:p>
        </w:tc>
        <w:tc>
          <w:tcPr>
            <w:tcW w:w="1332" w:type="dxa"/>
            <w:shd w:val="clear" w:color="auto" w:fill="auto"/>
            <w:noWrap/>
            <w:vAlign w:val="center"/>
            <w:hideMark/>
          </w:tcPr>
          <w:p w14:paraId="5860EFF8"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17,900 </w:t>
            </w:r>
          </w:p>
        </w:tc>
        <w:tc>
          <w:tcPr>
            <w:tcW w:w="1275" w:type="dxa"/>
            <w:shd w:val="clear" w:color="auto" w:fill="auto"/>
            <w:noWrap/>
            <w:vAlign w:val="center"/>
            <w:hideMark/>
          </w:tcPr>
          <w:p w14:paraId="19E2E326"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9,048 </w:t>
            </w:r>
          </w:p>
        </w:tc>
        <w:tc>
          <w:tcPr>
            <w:tcW w:w="1134" w:type="dxa"/>
            <w:shd w:val="clear" w:color="auto" w:fill="auto"/>
            <w:noWrap/>
            <w:vAlign w:val="center"/>
            <w:hideMark/>
          </w:tcPr>
          <w:p w14:paraId="3030EB6B"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2,261 </w:t>
            </w:r>
          </w:p>
        </w:tc>
        <w:tc>
          <w:tcPr>
            <w:tcW w:w="1276" w:type="dxa"/>
            <w:shd w:val="clear" w:color="auto" w:fill="auto"/>
            <w:noWrap/>
            <w:vAlign w:val="center"/>
            <w:hideMark/>
          </w:tcPr>
          <w:p w14:paraId="5FC42DB4"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11,309 </w:t>
            </w:r>
          </w:p>
        </w:tc>
        <w:tc>
          <w:tcPr>
            <w:tcW w:w="1276" w:type="dxa"/>
            <w:shd w:val="clear" w:color="auto" w:fill="auto"/>
            <w:noWrap/>
            <w:vAlign w:val="center"/>
            <w:hideMark/>
          </w:tcPr>
          <w:p w14:paraId="041A3753"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6,591 </w:t>
            </w:r>
          </w:p>
        </w:tc>
      </w:tr>
      <w:tr w:rsidR="002F46CC" w:rsidRPr="00BF3ADC" w14:paraId="2518FA63" w14:textId="77777777" w:rsidTr="009517F9">
        <w:trPr>
          <w:trHeight w:val="300"/>
        </w:trPr>
        <w:tc>
          <w:tcPr>
            <w:tcW w:w="1143" w:type="dxa"/>
            <w:shd w:val="clear" w:color="auto" w:fill="auto"/>
            <w:noWrap/>
            <w:vAlign w:val="center"/>
            <w:hideMark/>
          </w:tcPr>
          <w:p w14:paraId="48C30E04"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9000 - 12000</w:t>
            </w:r>
          </w:p>
        </w:tc>
        <w:tc>
          <w:tcPr>
            <w:tcW w:w="1211" w:type="dxa"/>
            <w:shd w:val="clear" w:color="auto" w:fill="auto"/>
            <w:noWrap/>
            <w:vAlign w:val="center"/>
            <w:hideMark/>
          </w:tcPr>
          <w:p w14:paraId="7DFD8ED5"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750-999</w:t>
            </w:r>
          </w:p>
        </w:tc>
        <w:tc>
          <w:tcPr>
            <w:tcW w:w="1332" w:type="dxa"/>
            <w:shd w:val="clear" w:color="auto" w:fill="auto"/>
            <w:noWrap/>
            <w:vAlign w:val="center"/>
            <w:hideMark/>
          </w:tcPr>
          <w:p w14:paraId="035D8A5A"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5,642 </w:t>
            </w:r>
          </w:p>
        </w:tc>
        <w:tc>
          <w:tcPr>
            <w:tcW w:w="1275" w:type="dxa"/>
            <w:shd w:val="clear" w:color="auto" w:fill="auto"/>
            <w:noWrap/>
            <w:vAlign w:val="center"/>
            <w:hideMark/>
          </w:tcPr>
          <w:p w14:paraId="369153AC"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2,570 </w:t>
            </w:r>
          </w:p>
        </w:tc>
        <w:tc>
          <w:tcPr>
            <w:tcW w:w="1134" w:type="dxa"/>
            <w:shd w:val="clear" w:color="auto" w:fill="auto"/>
            <w:noWrap/>
            <w:vAlign w:val="center"/>
            <w:hideMark/>
          </w:tcPr>
          <w:p w14:paraId="0043B113"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1,278 </w:t>
            </w:r>
          </w:p>
        </w:tc>
        <w:tc>
          <w:tcPr>
            <w:tcW w:w="1276" w:type="dxa"/>
            <w:shd w:val="clear" w:color="auto" w:fill="auto"/>
            <w:noWrap/>
            <w:vAlign w:val="center"/>
            <w:hideMark/>
          </w:tcPr>
          <w:p w14:paraId="3FECD33C"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3,848 </w:t>
            </w:r>
          </w:p>
        </w:tc>
        <w:tc>
          <w:tcPr>
            <w:tcW w:w="1276" w:type="dxa"/>
            <w:shd w:val="clear" w:color="auto" w:fill="auto"/>
            <w:noWrap/>
            <w:vAlign w:val="center"/>
            <w:hideMark/>
          </w:tcPr>
          <w:p w14:paraId="7B707A83"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1,794 </w:t>
            </w:r>
          </w:p>
        </w:tc>
      </w:tr>
      <w:tr w:rsidR="002F46CC" w:rsidRPr="00BF3ADC" w14:paraId="52010A39" w14:textId="77777777" w:rsidTr="009517F9">
        <w:trPr>
          <w:trHeight w:val="300"/>
        </w:trPr>
        <w:tc>
          <w:tcPr>
            <w:tcW w:w="1143" w:type="dxa"/>
            <w:shd w:val="clear" w:color="auto" w:fill="D0CECE" w:themeFill="background2" w:themeFillShade="E6"/>
            <w:noWrap/>
            <w:vAlign w:val="center"/>
            <w:hideMark/>
          </w:tcPr>
          <w:p w14:paraId="4A4A791D"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&gt;12000</w:t>
            </w:r>
          </w:p>
        </w:tc>
        <w:tc>
          <w:tcPr>
            <w:tcW w:w="1211" w:type="dxa"/>
            <w:shd w:val="clear" w:color="auto" w:fill="auto"/>
            <w:noWrap/>
            <w:vAlign w:val="center"/>
            <w:hideMark/>
          </w:tcPr>
          <w:p w14:paraId="26151C83"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&gt;1000</w:t>
            </w:r>
          </w:p>
        </w:tc>
        <w:tc>
          <w:tcPr>
            <w:tcW w:w="1332" w:type="dxa"/>
            <w:shd w:val="clear" w:color="auto" w:fill="auto"/>
            <w:noWrap/>
            <w:vAlign w:val="center"/>
            <w:hideMark/>
          </w:tcPr>
          <w:p w14:paraId="12F3924D"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9,607 </w:t>
            </w:r>
          </w:p>
        </w:tc>
        <w:tc>
          <w:tcPr>
            <w:tcW w:w="1275" w:type="dxa"/>
            <w:shd w:val="clear" w:color="auto" w:fill="auto"/>
            <w:noWrap/>
            <w:vAlign w:val="center"/>
            <w:hideMark/>
          </w:tcPr>
          <w:p w14:paraId="25405D1B"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4,082 </w:t>
            </w:r>
          </w:p>
        </w:tc>
        <w:tc>
          <w:tcPr>
            <w:tcW w:w="1134" w:type="dxa"/>
            <w:shd w:val="clear" w:color="auto" w:fill="auto"/>
            <w:noWrap/>
            <w:vAlign w:val="center"/>
            <w:hideMark/>
          </w:tcPr>
          <w:p w14:paraId="31409313"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2,070 </w:t>
            </w:r>
          </w:p>
        </w:tc>
        <w:tc>
          <w:tcPr>
            <w:tcW w:w="1276" w:type="dxa"/>
            <w:shd w:val="clear" w:color="auto" w:fill="auto"/>
            <w:noWrap/>
            <w:vAlign w:val="center"/>
            <w:hideMark/>
          </w:tcPr>
          <w:p w14:paraId="15571792"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6,152 </w:t>
            </w:r>
          </w:p>
        </w:tc>
        <w:tc>
          <w:tcPr>
            <w:tcW w:w="1276" w:type="dxa"/>
            <w:shd w:val="clear" w:color="auto" w:fill="auto"/>
            <w:noWrap/>
            <w:vAlign w:val="center"/>
            <w:hideMark/>
          </w:tcPr>
          <w:p w14:paraId="49300372"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3,455 </w:t>
            </w:r>
          </w:p>
        </w:tc>
      </w:tr>
      <w:tr w:rsidR="002F46CC" w:rsidRPr="00BF3ADC" w14:paraId="74CB1E96" w14:textId="77777777" w:rsidTr="009517F9">
        <w:trPr>
          <w:trHeight w:val="300"/>
        </w:trPr>
        <w:tc>
          <w:tcPr>
            <w:tcW w:w="1143" w:type="dxa"/>
            <w:shd w:val="clear" w:color="auto" w:fill="auto"/>
            <w:noWrap/>
            <w:vAlign w:val="center"/>
            <w:hideMark/>
          </w:tcPr>
          <w:p w14:paraId="0CF2166F" w14:textId="77777777" w:rsidR="002F46CC" w:rsidRPr="00BF3ADC" w:rsidRDefault="002F46CC" w:rsidP="009517F9">
            <w:pPr>
              <w:spacing w:after="0" w:line="240" w:lineRule="auto"/>
              <w:rPr>
                <w:rFonts w:eastAsia="Times New Roman"/>
                <w:color w:val="000000"/>
                <w:sz w:val="18"/>
                <w:szCs w:val="18"/>
                <w:lang w:eastAsia="en-GB"/>
              </w:rPr>
            </w:pPr>
          </w:p>
        </w:tc>
        <w:tc>
          <w:tcPr>
            <w:tcW w:w="1211" w:type="dxa"/>
            <w:shd w:val="clear" w:color="auto" w:fill="auto"/>
            <w:noWrap/>
            <w:vAlign w:val="center"/>
            <w:hideMark/>
          </w:tcPr>
          <w:p w14:paraId="3E535F1D"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Total</w:t>
            </w:r>
          </w:p>
        </w:tc>
        <w:tc>
          <w:tcPr>
            <w:tcW w:w="1332" w:type="dxa"/>
            <w:shd w:val="clear" w:color="auto" w:fill="auto"/>
            <w:noWrap/>
            <w:vAlign w:val="center"/>
            <w:hideMark/>
          </w:tcPr>
          <w:p w14:paraId="1F74BD9E"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253,431 </w:t>
            </w:r>
          </w:p>
        </w:tc>
        <w:tc>
          <w:tcPr>
            <w:tcW w:w="1275" w:type="dxa"/>
            <w:shd w:val="clear" w:color="auto" w:fill="auto"/>
            <w:noWrap/>
            <w:vAlign w:val="center"/>
            <w:hideMark/>
          </w:tcPr>
          <w:p w14:paraId="5C9B2752"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112,789 </w:t>
            </w:r>
          </w:p>
        </w:tc>
        <w:tc>
          <w:tcPr>
            <w:tcW w:w="1134" w:type="dxa"/>
            <w:shd w:val="clear" w:color="auto" w:fill="auto"/>
            <w:noWrap/>
            <w:vAlign w:val="center"/>
            <w:hideMark/>
          </w:tcPr>
          <w:p w14:paraId="47405539"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36,365 </w:t>
            </w:r>
          </w:p>
        </w:tc>
        <w:tc>
          <w:tcPr>
            <w:tcW w:w="1276" w:type="dxa"/>
            <w:shd w:val="clear" w:color="auto" w:fill="auto"/>
            <w:noWrap/>
            <w:vAlign w:val="center"/>
            <w:hideMark/>
          </w:tcPr>
          <w:p w14:paraId="0A123CC8"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149,154 </w:t>
            </w:r>
          </w:p>
        </w:tc>
        <w:tc>
          <w:tcPr>
            <w:tcW w:w="1276" w:type="dxa"/>
            <w:shd w:val="clear" w:color="auto" w:fill="auto"/>
            <w:noWrap/>
            <w:vAlign w:val="center"/>
            <w:hideMark/>
          </w:tcPr>
          <w:p w14:paraId="78B28CA9"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 xml:space="preserve">    104,277 </w:t>
            </w:r>
          </w:p>
        </w:tc>
      </w:tr>
    </w:tbl>
    <w:p w14:paraId="2F614F9D" w14:textId="77777777" w:rsidR="002F46CC" w:rsidRPr="004109AB" w:rsidRDefault="002F46CC" w:rsidP="002F46CC">
      <w:pPr>
        <w:spacing w:after="240"/>
        <w:rPr>
          <w:sz w:val="20"/>
        </w:rPr>
      </w:pPr>
      <w:r w:rsidRPr="004109AB">
        <w:rPr>
          <w:b/>
          <w:sz w:val="20"/>
        </w:rPr>
        <w:t>Note:</w:t>
      </w:r>
      <w:r w:rsidRPr="004109AB">
        <w:rPr>
          <w:sz w:val="20"/>
        </w:rPr>
        <w:t xml:space="preserve"> shaded cells denotes income thresholds common to both the EES and the household survey</w:t>
      </w:r>
    </w:p>
    <w:p w14:paraId="50161D2D" w14:textId="77777777" w:rsidR="00522CDF" w:rsidRDefault="00522CDF">
      <w:pPr>
        <w:spacing w:after="160" w:line="259" w:lineRule="auto"/>
        <w:jc w:val="left"/>
        <w:rPr>
          <w:i/>
          <w:iCs/>
          <w:szCs w:val="18"/>
        </w:rPr>
      </w:pPr>
      <w:r>
        <w:rPr>
          <w:b/>
          <w:i/>
        </w:rPr>
        <w:br w:type="page"/>
      </w:r>
    </w:p>
    <w:p w14:paraId="4337FBE6" w14:textId="3D82702C" w:rsidR="002F46CC" w:rsidRPr="00522149" w:rsidRDefault="002F46CC" w:rsidP="002F46CC">
      <w:pPr>
        <w:pStyle w:val="Caption"/>
        <w:rPr>
          <w:b w:val="0"/>
          <w:i/>
          <w:sz w:val="22"/>
        </w:rPr>
      </w:pPr>
      <w:r w:rsidRPr="00522149">
        <w:rPr>
          <w:b w:val="0"/>
          <w:i/>
          <w:sz w:val="22"/>
        </w:rPr>
        <w:lastRenderedPageBreak/>
        <w:t xml:space="preserve">Appendix Table </w:t>
      </w:r>
      <w:r w:rsidRPr="00522149">
        <w:rPr>
          <w:b w:val="0"/>
          <w:i/>
          <w:noProof/>
          <w:sz w:val="22"/>
        </w:rPr>
        <w:t>6</w:t>
      </w:r>
      <w:r w:rsidRPr="00522149">
        <w:rPr>
          <w:b w:val="0"/>
          <w:i/>
          <w:sz w:val="22"/>
        </w:rPr>
        <w:t>. Tanzania 1969: Estimated public sector share by household income bracket, EES (grey), total households from 1969 household income survey</w:t>
      </w:r>
    </w:p>
    <w:tbl>
      <w:tblPr>
        <w:tblW w:w="9067" w:type="dxa"/>
        <w:tblLook w:val="04A0" w:firstRow="1" w:lastRow="0" w:firstColumn="1" w:lastColumn="0" w:noHBand="0" w:noVBand="1"/>
      </w:tblPr>
      <w:tblGrid>
        <w:gridCol w:w="1134"/>
        <w:gridCol w:w="567"/>
        <w:gridCol w:w="936"/>
        <w:gridCol w:w="850"/>
        <w:gridCol w:w="761"/>
        <w:gridCol w:w="801"/>
        <w:gridCol w:w="801"/>
        <w:gridCol w:w="808"/>
        <w:gridCol w:w="977"/>
        <w:gridCol w:w="766"/>
        <w:gridCol w:w="776"/>
      </w:tblGrid>
      <w:tr w:rsidR="002F46CC" w:rsidRPr="00BF3ADC" w14:paraId="7E505D0F" w14:textId="77777777" w:rsidTr="009517F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7736E" w14:textId="77777777" w:rsidR="002F46CC" w:rsidRPr="00BF3ADC" w:rsidRDefault="002F46CC" w:rsidP="009517F9">
            <w:pPr>
              <w:spacing w:after="0" w:line="240" w:lineRule="auto"/>
              <w:jc w:val="left"/>
              <w:rPr>
                <w:rFonts w:eastAsia="Times New Roman"/>
                <w:b/>
                <w:bCs/>
                <w:color w:val="000000"/>
                <w:sz w:val="18"/>
                <w:szCs w:val="18"/>
                <w:lang w:eastAsia="en-GB"/>
              </w:rPr>
            </w:pPr>
            <w:r w:rsidRPr="00BF3ADC">
              <w:rPr>
                <w:rFonts w:eastAsia="Times New Roman"/>
                <w:b/>
                <w:bCs/>
                <w:color w:val="000000"/>
                <w:sz w:val="18"/>
                <w:szCs w:val="18"/>
                <w:lang w:eastAsia="en-GB"/>
              </w:rPr>
              <w:t>TSh. /year</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5FA42ABC" w14:textId="77777777" w:rsidR="002F46CC" w:rsidRPr="00BF3ADC" w:rsidRDefault="002F46CC" w:rsidP="009517F9">
            <w:pPr>
              <w:spacing w:after="0" w:line="240" w:lineRule="auto"/>
              <w:jc w:val="left"/>
              <w:rPr>
                <w:rFonts w:eastAsia="Times New Roman"/>
                <w:b/>
                <w:bCs/>
                <w:color w:val="000000"/>
                <w:sz w:val="18"/>
                <w:szCs w:val="18"/>
                <w:lang w:eastAsia="en-GB"/>
              </w:rPr>
            </w:pPr>
            <w:r w:rsidRPr="00BF3ADC">
              <w:rPr>
                <w:rFonts w:eastAsia="Times New Roman"/>
                <w:b/>
                <w:bCs/>
                <w:color w:val="000000"/>
                <w:sz w:val="18"/>
                <w:szCs w:val="18"/>
                <w:lang w:eastAsia="en-GB"/>
              </w:rPr>
              <w:t xml:space="preserve">% of </w:t>
            </w:r>
            <w:r>
              <w:rPr>
                <w:rFonts w:eastAsia="Times New Roman"/>
                <w:b/>
                <w:bCs/>
                <w:color w:val="000000"/>
                <w:sz w:val="18"/>
                <w:szCs w:val="18"/>
                <w:lang w:eastAsia="en-GB"/>
              </w:rPr>
              <w:t>hhs</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14:paraId="38085E17" w14:textId="77777777" w:rsidR="002F46CC" w:rsidRPr="00BF3ADC" w:rsidRDefault="002F46CC" w:rsidP="009517F9">
            <w:pPr>
              <w:spacing w:after="0" w:line="240" w:lineRule="auto"/>
              <w:jc w:val="left"/>
              <w:rPr>
                <w:rFonts w:eastAsia="Times New Roman"/>
                <w:b/>
                <w:bCs/>
                <w:color w:val="000000"/>
                <w:sz w:val="18"/>
                <w:szCs w:val="18"/>
                <w:lang w:eastAsia="en-GB"/>
              </w:rPr>
            </w:pPr>
            <w:r w:rsidRPr="00BF3ADC">
              <w:rPr>
                <w:rFonts w:eastAsia="Times New Roman"/>
                <w:b/>
                <w:bCs/>
                <w:color w:val="000000"/>
                <w:sz w:val="18"/>
                <w:szCs w:val="18"/>
                <w:lang w:eastAsia="en-GB"/>
              </w:rPr>
              <w:t xml:space="preserve">Total </w:t>
            </w:r>
            <w:r>
              <w:rPr>
                <w:rFonts w:eastAsia="Times New Roman"/>
                <w:b/>
                <w:bCs/>
                <w:color w:val="000000"/>
                <w:sz w:val="18"/>
                <w:szCs w:val="18"/>
                <w:lang w:eastAsia="en-GB"/>
              </w:rPr>
              <w:t>hhs</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0E727F" w14:textId="77777777" w:rsidR="002F46CC" w:rsidRPr="00BF3ADC" w:rsidRDefault="002F46CC" w:rsidP="009517F9">
            <w:pPr>
              <w:spacing w:after="0" w:line="240" w:lineRule="auto"/>
              <w:jc w:val="left"/>
              <w:rPr>
                <w:rFonts w:eastAsia="Times New Roman"/>
                <w:b/>
                <w:bCs/>
                <w:i/>
                <w:color w:val="000000"/>
                <w:sz w:val="18"/>
                <w:szCs w:val="18"/>
                <w:lang w:eastAsia="en-GB"/>
              </w:rPr>
            </w:pPr>
            <w:r w:rsidRPr="00BF3ADC">
              <w:rPr>
                <w:rFonts w:eastAsia="Times New Roman"/>
                <w:b/>
                <w:bCs/>
                <w:i/>
                <w:color w:val="000000"/>
                <w:sz w:val="18"/>
                <w:szCs w:val="18"/>
                <w:lang w:eastAsia="en-GB"/>
              </w:rPr>
              <w:t>General govt</w:t>
            </w:r>
          </w:p>
        </w:tc>
        <w:tc>
          <w:tcPr>
            <w:tcW w:w="76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4B3952" w14:textId="77777777" w:rsidR="002F46CC" w:rsidRPr="00BF3ADC" w:rsidRDefault="002F46CC" w:rsidP="009517F9">
            <w:pPr>
              <w:spacing w:after="0" w:line="240" w:lineRule="auto"/>
              <w:jc w:val="left"/>
              <w:rPr>
                <w:rFonts w:eastAsia="Times New Roman"/>
                <w:b/>
                <w:bCs/>
                <w:i/>
                <w:color w:val="000000"/>
                <w:sz w:val="18"/>
                <w:szCs w:val="18"/>
                <w:lang w:eastAsia="en-GB"/>
              </w:rPr>
            </w:pPr>
            <w:r w:rsidRPr="00BF3ADC">
              <w:rPr>
                <w:rFonts w:eastAsia="Times New Roman"/>
                <w:b/>
                <w:bCs/>
                <w:i/>
                <w:color w:val="000000"/>
                <w:sz w:val="18"/>
                <w:szCs w:val="18"/>
                <w:lang w:eastAsia="en-GB"/>
              </w:rPr>
              <w:t>Para</w:t>
            </w:r>
            <w:r>
              <w:rPr>
                <w:rFonts w:eastAsia="Times New Roman"/>
                <w:b/>
                <w:bCs/>
                <w:i/>
                <w:color w:val="000000"/>
                <w:sz w:val="18"/>
                <w:szCs w:val="18"/>
                <w:lang w:eastAsia="en-GB"/>
              </w:rPr>
              <w:t>-</w:t>
            </w:r>
            <w:r w:rsidRPr="00BF3ADC">
              <w:rPr>
                <w:rFonts w:eastAsia="Times New Roman"/>
                <w:b/>
                <w:bCs/>
                <w:i/>
                <w:color w:val="000000"/>
                <w:sz w:val="18"/>
                <w:szCs w:val="18"/>
                <w:lang w:eastAsia="en-GB"/>
              </w:rPr>
              <w:t>statal sector</w:t>
            </w:r>
          </w:p>
        </w:tc>
        <w:tc>
          <w:tcPr>
            <w:tcW w:w="8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E2C7B2" w14:textId="77777777" w:rsidR="002F46CC" w:rsidRPr="00BF3ADC" w:rsidRDefault="002F46CC" w:rsidP="009517F9">
            <w:pPr>
              <w:spacing w:after="0" w:line="240" w:lineRule="auto"/>
              <w:jc w:val="left"/>
              <w:rPr>
                <w:rFonts w:eastAsia="Times New Roman"/>
                <w:b/>
                <w:bCs/>
                <w:color w:val="000000"/>
                <w:sz w:val="18"/>
                <w:szCs w:val="18"/>
                <w:lang w:eastAsia="en-GB"/>
              </w:rPr>
            </w:pPr>
            <w:r w:rsidRPr="00BF3ADC">
              <w:rPr>
                <w:rFonts w:eastAsia="Times New Roman"/>
                <w:b/>
                <w:bCs/>
                <w:color w:val="000000"/>
                <w:sz w:val="18"/>
                <w:szCs w:val="18"/>
                <w:lang w:eastAsia="en-GB"/>
              </w:rPr>
              <w:t>Public sector (total)</w:t>
            </w:r>
          </w:p>
        </w:tc>
        <w:tc>
          <w:tcPr>
            <w:tcW w:w="8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813C764" w14:textId="77777777" w:rsidR="002F46CC" w:rsidRPr="00BF3ADC" w:rsidRDefault="002F46CC" w:rsidP="009517F9">
            <w:pPr>
              <w:spacing w:after="0" w:line="240" w:lineRule="auto"/>
              <w:jc w:val="left"/>
              <w:rPr>
                <w:rFonts w:eastAsia="Times New Roman"/>
                <w:b/>
                <w:bCs/>
                <w:color w:val="000000"/>
                <w:sz w:val="18"/>
                <w:szCs w:val="18"/>
                <w:lang w:eastAsia="en-GB"/>
              </w:rPr>
            </w:pPr>
            <w:r w:rsidRPr="00BF3ADC">
              <w:rPr>
                <w:rFonts w:eastAsia="Times New Roman"/>
                <w:b/>
                <w:bCs/>
                <w:color w:val="000000"/>
                <w:sz w:val="18"/>
                <w:szCs w:val="18"/>
                <w:lang w:eastAsia="en-GB"/>
              </w:rPr>
              <w:t xml:space="preserve">Private sector </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9D504FF" w14:textId="77777777" w:rsidR="002F46CC" w:rsidRPr="00BF3ADC" w:rsidRDefault="002F46CC" w:rsidP="009517F9">
            <w:pPr>
              <w:spacing w:after="0" w:line="240" w:lineRule="auto"/>
              <w:jc w:val="left"/>
              <w:rPr>
                <w:rFonts w:eastAsia="Times New Roman"/>
                <w:b/>
                <w:bCs/>
                <w:i/>
                <w:color w:val="000000"/>
                <w:sz w:val="18"/>
                <w:szCs w:val="18"/>
                <w:lang w:eastAsia="en-GB"/>
              </w:rPr>
            </w:pPr>
            <w:r w:rsidRPr="00BF3ADC">
              <w:rPr>
                <w:rFonts w:eastAsia="Times New Roman"/>
                <w:b/>
                <w:bCs/>
                <w:i/>
                <w:color w:val="000000"/>
                <w:sz w:val="18"/>
                <w:szCs w:val="18"/>
                <w:lang w:eastAsia="en-GB"/>
              </w:rPr>
              <w:t xml:space="preserve">Govt empl. </w:t>
            </w:r>
            <w:r>
              <w:rPr>
                <w:rFonts w:eastAsia="Times New Roman"/>
                <w:b/>
                <w:bCs/>
                <w:i/>
                <w:color w:val="000000"/>
                <w:sz w:val="18"/>
                <w:szCs w:val="18"/>
                <w:lang w:eastAsia="en-GB"/>
              </w:rPr>
              <w:t>%</w:t>
            </w:r>
            <w:r w:rsidRPr="00BF3ADC">
              <w:rPr>
                <w:rFonts w:eastAsia="Times New Roman"/>
                <w:b/>
                <w:bCs/>
                <w:i/>
                <w:color w:val="000000"/>
                <w:sz w:val="18"/>
                <w:szCs w:val="18"/>
                <w:lang w:eastAsia="en-GB"/>
              </w:rPr>
              <w:t xml:space="preserve"> of income group</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14:paraId="1C2D70EC" w14:textId="77777777" w:rsidR="002F46CC" w:rsidRPr="00BF3ADC" w:rsidRDefault="002F46CC" w:rsidP="009517F9">
            <w:pPr>
              <w:spacing w:after="0" w:line="240" w:lineRule="auto"/>
              <w:jc w:val="left"/>
              <w:rPr>
                <w:rFonts w:eastAsia="Times New Roman"/>
                <w:b/>
                <w:bCs/>
                <w:i/>
                <w:color w:val="000000"/>
                <w:sz w:val="18"/>
                <w:szCs w:val="18"/>
                <w:lang w:eastAsia="en-GB"/>
              </w:rPr>
            </w:pPr>
            <w:r w:rsidRPr="00BF3ADC">
              <w:rPr>
                <w:rFonts w:eastAsia="Times New Roman"/>
                <w:b/>
                <w:bCs/>
                <w:i/>
                <w:color w:val="000000"/>
                <w:sz w:val="18"/>
                <w:szCs w:val="18"/>
                <w:lang w:eastAsia="en-GB"/>
              </w:rPr>
              <w:t xml:space="preserve">Parastatal emp. </w:t>
            </w:r>
            <w:r>
              <w:rPr>
                <w:rFonts w:eastAsia="Times New Roman"/>
                <w:b/>
                <w:bCs/>
                <w:i/>
                <w:color w:val="000000"/>
                <w:sz w:val="18"/>
                <w:szCs w:val="18"/>
                <w:lang w:eastAsia="en-GB"/>
              </w:rPr>
              <w:t>%</w:t>
            </w:r>
            <w:r w:rsidRPr="00BF3ADC">
              <w:rPr>
                <w:rFonts w:eastAsia="Times New Roman"/>
                <w:b/>
                <w:bCs/>
                <w:i/>
                <w:color w:val="000000"/>
                <w:sz w:val="18"/>
                <w:szCs w:val="18"/>
                <w:lang w:eastAsia="en-GB"/>
              </w:rPr>
              <w:t xml:space="preserve"> of income group</w:t>
            </w:r>
          </w:p>
        </w:tc>
        <w:tc>
          <w:tcPr>
            <w:tcW w:w="766" w:type="dxa"/>
            <w:tcBorders>
              <w:top w:val="single" w:sz="4" w:space="0" w:color="auto"/>
              <w:left w:val="nil"/>
              <w:bottom w:val="single" w:sz="4" w:space="0" w:color="auto"/>
              <w:right w:val="single" w:sz="4" w:space="0" w:color="auto"/>
            </w:tcBorders>
            <w:shd w:val="clear" w:color="auto" w:fill="auto"/>
            <w:noWrap/>
            <w:vAlign w:val="center"/>
            <w:hideMark/>
          </w:tcPr>
          <w:p w14:paraId="1651CFC0" w14:textId="77777777" w:rsidR="002F46CC" w:rsidRPr="00BF3ADC" w:rsidRDefault="002F46CC" w:rsidP="009517F9">
            <w:pPr>
              <w:spacing w:after="0" w:line="240" w:lineRule="auto"/>
              <w:jc w:val="left"/>
              <w:rPr>
                <w:rFonts w:eastAsia="Times New Roman"/>
                <w:b/>
                <w:bCs/>
                <w:color w:val="000000"/>
                <w:sz w:val="18"/>
                <w:szCs w:val="18"/>
                <w:lang w:eastAsia="en-GB"/>
              </w:rPr>
            </w:pPr>
            <w:r w:rsidRPr="00BF3ADC">
              <w:rPr>
                <w:rFonts w:eastAsia="Times New Roman"/>
                <w:b/>
                <w:bCs/>
                <w:color w:val="000000"/>
                <w:sz w:val="18"/>
                <w:szCs w:val="18"/>
                <w:lang w:eastAsia="en-GB"/>
              </w:rPr>
              <w:t xml:space="preserve">Public sector </w:t>
            </w:r>
            <w:r>
              <w:rPr>
                <w:rFonts w:eastAsia="Times New Roman"/>
                <w:b/>
                <w:bCs/>
                <w:color w:val="000000"/>
                <w:sz w:val="18"/>
                <w:szCs w:val="18"/>
                <w:lang w:eastAsia="en-GB"/>
              </w:rPr>
              <w:t>%</w:t>
            </w:r>
            <w:r w:rsidRPr="00BF3ADC">
              <w:rPr>
                <w:rFonts w:eastAsia="Times New Roman"/>
                <w:b/>
                <w:bCs/>
                <w:color w:val="000000"/>
                <w:sz w:val="18"/>
                <w:szCs w:val="18"/>
                <w:lang w:eastAsia="en-GB"/>
              </w:rPr>
              <w:t xml:space="preserve"> of income group</w:t>
            </w:r>
          </w:p>
        </w:tc>
        <w:tc>
          <w:tcPr>
            <w:tcW w:w="666" w:type="dxa"/>
            <w:tcBorders>
              <w:top w:val="single" w:sz="4" w:space="0" w:color="auto"/>
              <w:left w:val="nil"/>
              <w:bottom w:val="single" w:sz="4" w:space="0" w:color="auto"/>
              <w:right w:val="single" w:sz="4" w:space="0" w:color="auto"/>
            </w:tcBorders>
            <w:shd w:val="clear" w:color="auto" w:fill="auto"/>
            <w:noWrap/>
            <w:vAlign w:val="center"/>
            <w:hideMark/>
          </w:tcPr>
          <w:p w14:paraId="5B9BAD33" w14:textId="77777777" w:rsidR="002F46CC" w:rsidRPr="00BF3ADC" w:rsidRDefault="002F46CC" w:rsidP="009517F9">
            <w:pPr>
              <w:spacing w:after="0" w:line="240" w:lineRule="auto"/>
              <w:jc w:val="left"/>
              <w:rPr>
                <w:rFonts w:eastAsia="Times New Roman"/>
                <w:b/>
                <w:bCs/>
                <w:color w:val="000000"/>
                <w:sz w:val="18"/>
                <w:szCs w:val="18"/>
                <w:lang w:eastAsia="en-GB"/>
              </w:rPr>
            </w:pPr>
            <w:r w:rsidRPr="00BF3ADC">
              <w:rPr>
                <w:rFonts w:eastAsia="Times New Roman"/>
                <w:b/>
                <w:bCs/>
                <w:color w:val="000000"/>
                <w:sz w:val="18"/>
                <w:szCs w:val="18"/>
                <w:lang w:eastAsia="en-GB"/>
              </w:rPr>
              <w:t xml:space="preserve">Private sector </w:t>
            </w:r>
            <w:r>
              <w:rPr>
                <w:rFonts w:eastAsia="Times New Roman"/>
                <w:b/>
                <w:bCs/>
                <w:color w:val="000000"/>
                <w:sz w:val="18"/>
                <w:szCs w:val="18"/>
                <w:lang w:eastAsia="en-GB"/>
              </w:rPr>
              <w:t>%</w:t>
            </w:r>
            <w:r w:rsidRPr="00BF3ADC">
              <w:rPr>
                <w:rFonts w:eastAsia="Times New Roman"/>
                <w:b/>
                <w:bCs/>
                <w:color w:val="000000"/>
                <w:sz w:val="18"/>
                <w:szCs w:val="18"/>
                <w:lang w:eastAsia="en-GB"/>
              </w:rPr>
              <w:t xml:space="preserve"> of income group</w:t>
            </w:r>
          </w:p>
        </w:tc>
      </w:tr>
      <w:tr w:rsidR="002F46CC" w:rsidRPr="00BF3ADC" w14:paraId="4B7488C1" w14:textId="77777777" w:rsidTr="009517F9">
        <w:trPr>
          <w:trHeight w:val="34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C0EF8FD"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0-1499</w:t>
            </w:r>
          </w:p>
        </w:tc>
        <w:tc>
          <w:tcPr>
            <w:tcW w:w="567" w:type="dxa"/>
            <w:tcBorders>
              <w:top w:val="nil"/>
              <w:left w:val="nil"/>
              <w:bottom w:val="single" w:sz="4" w:space="0" w:color="auto"/>
              <w:right w:val="single" w:sz="4" w:space="0" w:color="auto"/>
            </w:tcBorders>
            <w:shd w:val="clear" w:color="auto" w:fill="auto"/>
            <w:noWrap/>
            <w:vAlign w:val="bottom"/>
            <w:hideMark/>
          </w:tcPr>
          <w:p w14:paraId="1572FB86"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78%</w:t>
            </w:r>
          </w:p>
        </w:tc>
        <w:tc>
          <w:tcPr>
            <w:tcW w:w="936" w:type="dxa"/>
            <w:tcBorders>
              <w:top w:val="nil"/>
              <w:left w:val="nil"/>
              <w:bottom w:val="single" w:sz="4" w:space="0" w:color="auto"/>
              <w:right w:val="single" w:sz="4" w:space="0" w:color="auto"/>
            </w:tcBorders>
            <w:shd w:val="clear" w:color="auto" w:fill="auto"/>
            <w:noWrap/>
            <w:vAlign w:val="bottom"/>
            <w:hideMark/>
          </w:tcPr>
          <w:p w14:paraId="7727EFA9" w14:textId="77777777" w:rsidR="002F46CC" w:rsidRPr="00BF3ADC" w:rsidRDefault="002F46CC" w:rsidP="009517F9">
            <w:pPr>
              <w:spacing w:after="0" w:line="240" w:lineRule="auto"/>
              <w:jc w:val="center"/>
              <w:rPr>
                <w:rFonts w:eastAsia="Times New Roman"/>
                <w:color w:val="000000"/>
                <w:sz w:val="18"/>
                <w:szCs w:val="18"/>
                <w:lang w:eastAsia="en-GB"/>
              </w:rPr>
            </w:pPr>
            <w:r w:rsidRPr="00BF3ADC">
              <w:rPr>
                <w:rFonts w:eastAsia="Times New Roman"/>
                <w:color w:val="000000"/>
                <w:sz w:val="18"/>
                <w:szCs w:val="18"/>
                <w:lang w:eastAsia="en-GB"/>
              </w:rPr>
              <w:t xml:space="preserve">2,184,000 </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52221823"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13,404 </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0104C65E"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1,450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2F3ABAD9"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14,854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B1EE13C"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21,224 </w:t>
            </w:r>
          </w:p>
        </w:tc>
        <w:tc>
          <w:tcPr>
            <w:tcW w:w="808" w:type="dxa"/>
            <w:tcBorders>
              <w:top w:val="nil"/>
              <w:left w:val="nil"/>
              <w:bottom w:val="single" w:sz="4" w:space="0" w:color="auto"/>
              <w:right w:val="single" w:sz="4" w:space="0" w:color="auto"/>
            </w:tcBorders>
            <w:shd w:val="clear" w:color="auto" w:fill="auto"/>
            <w:noWrap/>
            <w:vAlign w:val="bottom"/>
            <w:hideMark/>
          </w:tcPr>
          <w:p w14:paraId="6AB3AE4C"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w:t>
            </w:r>
          </w:p>
        </w:tc>
        <w:tc>
          <w:tcPr>
            <w:tcW w:w="977" w:type="dxa"/>
            <w:tcBorders>
              <w:top w:val="nil"/>
              <w:left w:val="nil"/>
              <w:bottom w:val="single" w:sz="4" w:space="0" w:color="auto"/>
              <w:right w:val="single" w:sz="4" w:space="0" w:color="auto"/>
            </w:tcBorders>
            <w:shd w:val="clear" w:color="auto" w:fill="auto"/>
            <w:noWrap/>
            <w:vAlign w:val="bottom"/>
            <w:hideMark/>
          </w:tcPr>
          <w:p w14:paraId="0A3286A2"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0%</w:t>
            </w:r>
          </w:p>
        </w:tc>
        <w:tc>
          <w:tcPr>
            <w:tcW w:w="766" w:type="dxa"/>
            <w:tcBorders>
              <w:top w:val="nil"/>
              <w:left w:val="nil"/>
              <w:bottom w:val="single" w:sz="4" w:space="0" w:color="auto"/>
              <w:right w:val="single" w:sz="4" w:space="0" w:color="auto"/>
            </w:tcBorders>
            <w:shd w:val="clear" w:color="auto" w:fill="auto"/>
            <w:noWrap/>
            <w:vAlign w:val="bottom"/>
            <w:hideMark/>
          </w:tcPr>
          <w:p w14:paraId="4F63B357"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w:t>
            </w:r>
          </w:p>
        </w:tc>
        <w:tc>
          <w:tcPr>
            <w:tcW w:w="666" w:type="dxa"/>
            <w:tcBorders>
              <w:top w:val="nil"/>
              <w:left w:val="nil"/>
              <w:bottom w:val="single" w:sz="4" w:space="0" w:color="auto"/>
              <w:right w:val="single" w:sz="4" w:space="0" w:color="auto"/>
            </w:tcBorders>
            <w:shd w:val="clear" w:color="auto" w:fill="auto"/>
            <w:noWrap/>
            <w:vAlign w:val="bottom"/>
            <w:hideMark/>
          </w:tcPr>
          <w:p w14:paraId="3EE3FD2D"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w:t>
            </w:r>
          </w:p>
        </w:tc>
      </w:tr>
      <w:tr w:rsidR="002F46CC" w:rsidRPr="00BF3ADC" w14:paraId="2535D2FE" w14:textId="77777777" w:rsidTr="009517F9">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50AF330C"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1500-3599</w:t>
            </w:r>
          </w:p>
        </w:tc>
        <w:tc>
          <w:tcPr>
            <w:tcW w:w="567" w:type="dxa"/>
            <w:tcBorders>
              <w:top w:val="nil"/>
              <w:left w:val="nil"/>
              <w:bottom w:val="single" w:sz="4" w:space="0" w:color="auto"/>
              <w:right w:val="single" w:sz="4" w:space="0" w:color="auto"/>
            </w:tcBorders>
            <w:shd w:val="clear" w:color="auto" w:fill="auto"/>
            <w:noWrap/>
            <w:vAlign w:val="bottom"/>
            <w:hideMark/>
          </w:tcPr>
          <w:p w14:paraId="6C463284"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16%</w:t>
            </w:r>
          </w:p>
        </w:tc>
        <w:tc>
          <w:tcPr>
            <w:tcW w:w="936" w:type="dxa"/>
            <w:tcBorders>
              <w:top w:val="nil"/>
              <w:left w:val="nil"/>
              <w:bottom w:val="single" w:sz="4" w:space="0" w:color="auto"/>
              <w:right w:val="single" w:sz="4" w:space="0" w:color="auto"/>
            </w:tcBorders>
            <w:shd w:val="clear" w:color="auto" w:fill="auto"/>
            <w:noWrap/>
            <w:vAlign w:val="bottom"/>
            <w:hideMark/>
          </w:tcPr>
          <w:p w14:paraId="5C0CE604"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448,000 </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75E10F3A"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65,440 </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61213DD"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22,185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0E90DF6D"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87,625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66D81FC7"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59,585 </w:t>
            </w:r>
          </w:p>
        </w:tc>
        <w:tc>
          <w:tcPr>
            <w:tcW w:w="808" w:type="dxa"/>
            <w:tcBorders>
              <w:top w:val="nil"/>
              <w:left w:val="nil"/>
              <w:bottom w:val="single" w:sz="4" w:space="0" w:color="auto"/>
              <w:right w:val="single" w:sz="4" w:space="0" w:color="auto"/>
            </w:tcBorders>
            <w:shd w:val="clear" w:color="auto" w:fill="auto"/>
            <w:noWrap/>
            <w:vAlign w:val="bottom"/>
            <w:hideMark/>
          </w:tcPr>
          <w:p w14:paraId="0C480491"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15%</w:t>
            </w:r>
          </w:p>
        </w:tc>
        <w:tc>
          <w:tcPr>
            <w:tcW w:w="977" w:type="dxa"/>
            <w:tcBorders>
              <w:top w:val="nil"/>
              <w:left w:val="nil"/>
              <w:bottom w:val="single" w:sz="4" w:space="0" w:color="auto"/>
              <w:right w:val="single" w:sz="4" w:space="0" w:color="auto"/>
            </w:tcBorders>
            <w:shd w:val="clear" w:color="auto" w:fill="auto"/>
            <w:noWrap/>
            <w:vAlign w:val="bottom"/>
            <w:hideMark/>
          </w:tcPr>
          <w:p w14:paraId="41E3D809"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5%</w:t>
            </w:r>
          </w:p>
        </w:tc>
        <w:tc>
          <w:tcPr>
            <w:tcW w:w="766" w:type="dxa"/>
            <w:tcBorders>
              <w:top w:val="nil"/>
              <w:left w:val="nil"/>
              <w:bottom w:val="single" w:sz="4" w:space="0" w:color="auto"/>
              <w:right w:val="single" w:sz="4" w:space="0" w:color="auto"/>
            </w:tcBorders>
            <w:shd w:val="clear" w:color="auto" w:fill="auto"/>
            <w:noWrap/>
            <w:vAlign w:val="bottom"/>
            <w:hideMark/>
          </w:tcPr>
          <w:p w14:paraId="5CE3B54C"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20%</w:t>
            </w:r>
          </w:p>
        </w:tc>
        <w:tc>
          <w:tcPr>
            <w:tcW w:w="666" w:type="dxa"/>
            <w:tcBorders>
              <w:top w:val="nil"/>
              <w:left w:val="nil"/>
              <w:bottom w:val="single" w:sz="4" w:space="0" w:color="auto"/>
              <w:right w:val="single" w:sz="4" w:space="0" w:color="auto"/>
            </w:tcBorders>
            <w:shd w:val="clear" w:color="auto" w:fill="auto"/>
            <w:noWrap/>
            <w:vAlign w:val="bottom"/>
            <w:hideMark/>
          </w:tcPr>
          <w:p w14:paraId="26AF1142"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13%</w:t>
            </w:r>
          </w:p>
        </w:tc>
      </w:tr>
      <w:tr w:rsidR="002F46CC" w:rsidRPr="00BF3ADC" w14:paraId="03921E27" w14:textId="77777777" w:rsidTr="009517F9">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CEC0EBA"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3600-5999</w:t>
            </w:r>
          </w:p>
        </w:tc>
        <w:tc>
          <w:tcPr>
            <w:tcW w:w="567" w:type="dxa"/>
            <w:tcBorders>
              <w:top w:val="nil"/>
              <w:left w:val="nil"/>
              <w:bottom w:val="single" w:sz="4" w:space="0" w:color="auto"/>
              <w:right w:val="single" w:sz="4" w:space="0" w:color="auto"/>
            </w:tcBorders>
            <w:shd w:val="clear" w:color="auto" w:fill="auto"/>
            <w:noWrap/>
            <w:vAlign w:val="bottom"/>
            <w:hideMark/>
          </w:tcPr>
          <w:p w14:paraId="26FDAEBE"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4%</w:t>
            </w:r>
          </w:p>
        </w:tc>
        <w:tc>
          <w:tcPr>
            <w:tcW w:w="936" w:type="dxa"/>
            <w:tcBorders>
              <w:top w:val="nil"/>
              <w:left w:val="nil"/>
              <w:bottom w:val="single" w:sz="4" w:space="0" w:color="auto"/>
              <w:right w:val="single" w:sz="4" w:space="0" w:color="auto"/>
            </w:tcBorders>
            <w:shd w:val="clear" w:color="auto" w:fill="auto"/>
            <w:noWrap/>
            <w:vAlign w:val="bottom"/>
            <w:hideMark/>
          </w:tcPr>
          <w:p w14:paraId="6D257933"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112,000 </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51A792FC"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18,245 </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24BEB852"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7,121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43B1F569"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25,366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1D208BE6"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11,628 </w:t>
            </w:r>
          </w:p>
        </w:tc>
        <w:tc>
          <w:tcPr>
            <w:tcW w:w="808" w:type="dxa"/>
            <w:tcBorders>
              <w:top w:val="nil"/>
              <w:left w:val="nil"/>
              <w:bottom w:val="single" w:sz="4" w:space="0" w:color="auto"/>
              <w:right w:val="single" w:sz="4" w:space="0" w:color="auto"/>
            </w:tcBorders>
            <w:shd w:val="clear" w:color="auto" w:fill="auto"/>
            <w:noWrap/>
            <w:vAlign w:val="bottom"/>
            <w:hideMark/>
          </w:tcPr>
          <w:p w14:paraId="04A3A65D"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16%</w:t>
            </w:r>
          </w:p>
        </w:tc>
        <w:tc>
          <w:tcPr>
            <w:tcW w:w="977" w:type="dxa"/>
            <w:tcBorders>
              <w:top w:val="nil"/>
              <w:left w:val="nil"/>
              <w:bottom w:val="single" w:sz="4" w:space="0" w:color="auto"/>
              <w:right w:val="single" w:sz="4" w:space="0" w:color="auto"/>
            </w:tcBorders>
            <w:shd w:val="clear" w:color="auto" w:fill="auto"/>
            <w:noWrap/>
            <w:vAlign w:val="bottom"/>
            <w:hideMark/>
          </w:tcPr>
          <w:p w14:paraId="1531ECEB"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6%</w:t>
            </w:r>
          </w:p>
        </w:tc>
        <w:tc>
          <w:tcPr>
            <w:tcW w:w="766" w:type="dxa"/>
            <w:tcBorders>
              <w:top w:val="nil"/>
              <w:left w:val="nil"/>
              <w:bottom w:val="single" w:sz="4" w:space="0" w:color="auto"/>
              <w:right w:val="single" w:sz="4" w:space="0" w:color="auto"/>
            </w:tcBorders>
            <w:shd w:val="clear" w:color="auto" w:fill="auto"/>
            <w:noWrap/>
            <w:vAlign w:val="bottom"/>
            <w:hideMark/>
          </w:tcPr>
          <w:p w14:paraId="375AB083"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23%</w:t>
            </w:r>
          </w:p>
        </w:tc>
        <w:tc>
          <w:tcPr>
            <w:tcW w:w="666" w:type="dxa"/>
            <w:tcBorders>
              <w:top w:val="nil"/>
              <w:left w:val="nil"/>
              <w:bottom w:val="single" w:sz="4" w:space="0" w:color="auto"/>
              <w:right w:val="single" w:sz="4" w:space="0" w:color="auto"/>
            </w:tcBorders>
            <w:shd w:val="clear" w:color="auto" w:fill="auto"/>
            <w:noWrap/>
            <w:vAlign w:val="bottom"/>
            <w:hideMark/>
          </w:tcPr>
          <w:p w14:paraId="2D3273D3"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10%</w:t>
            </w:r>
          </w:p>
        </w:tc>
      </w:tr>
      <w:tr w:rsidR="002F46CC" w:rsidRPr="00BF3ADC" w14:paraId="02F6B239" w14:textId="77777777" w:rsidTr="009517F9">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9B7000"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6000-11999</w:t>
            </w:r>
          </w:p>
        </w:tc>
        <w:tc>
          <w:tcPr>
            <w:tcW w:w="567" w:type="dxa"/>
            <w:tcBorders>
              <w:top w:val="nil"/>
              <w:left w:val="nil"/>
              <w:bottom w:val="single" w:sz="4" w:space="0" w:color="auto"/>
              <w:right w:val="single" w:sz="4" w:space="0" w:color="auto"/>
            </w:tcBorders>
            <w:shd w:val="clear" w:color="auto" w:fill="auto"/>
            <w:noWrap/>
            <w:vAlign w:val="bottom"/>
            <w:hideMark/>
          </w:tcPr>
          <w:p w14:paraId="41245B75"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w:t>
            </w:r>
          </w:p>
        </w:tc>
        <w:tc>
          <w:tcPr>
            <w:tcW w:w="936" w:type="dxa"/>
            <w:tcBorders>
              <w:top w:val="nil"/>
              <w:left w:val="nil"/>
              <w:bottom w:val="single" w:sz="4" w:space="0" w:color="auto"/>
              <w:right w:val="single" w:sz="4" w:space="0" w:color="auto"/>
            </w:tcBorders>
            <w:shd w:val="clear" w:color="auto" w:fill="auto"/>
            <w:noWrap/>
            <w:vAlign w:val="bottom"/>
            <w:hideMark/>
          </w:tcPr>
          <w:p w14:paraId="2AD57ED5"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41,720 </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5B6F775C"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11,618 </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5E42F749"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3,539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4A1596D1"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15,157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3947ADF6"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8,385 </w:t>
            </w:r>
          </w:p>
        </w:tc>
        <w:tc>
          <w:tcPr>
            <w:tcW w:w="808" w:type="dxa"/>
            <w:tcBorders>
              <w:top w:val="nil"/>
              <w:left w:val="nil"/>
              <w:bottom w:val="single" w:sz="4" w:space="0" w:color="auto"/>
              <w:right w:val="single" w:sz="4" w:space="0" w:color="auto"/>
            </w:tcBorders>
            <w:shd w:val="clear" w:color="auto" w:fill="auto"/>
            <w:noWrap/>
            <w:vAlign w:val="bottom"/>
            <w:hideMark/>
          </w:tcPr>
          <w:p w14:paraId="0DE98EA3"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28%</w:t>
            </w:r>
          </w:p>
        </w:tc>
        <w:tc>
          <w:tcPr>
            <w:tcW w:w="977" w:type="dxa"/>
            <w:tcBorders>
              <w:top w:val="nil"/>
              <w:left w:val="nil"/>
              <w:bottom w:val="single" w:sz="4" w:space="0" w:color="auto"/>
              <w:right w:val="single" w:sz="4" w:space="0" w:color="auto"/>
            </w:tcBorders>
            <w:shd w:val="clear" w:color="auto" w:fill="auto"/>
            <w:noWrap/>
            <w:vAlign w:val="bottom"/>
            <w:hideMark/>
          </w:tcPr>
          <w:p w14:paraId="5411B5A4"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8%</w:t>
            </w:r>
          </w:p>
        </w:tc>
        <w:tc>
          <w:tcPr>
            <w:tcW w:w="766" w:type="dxa"/>
            <w:tcBorders>
              <w:top w:val="nil"/>
              <w:left w:val="nil"/>
              <w:bottom w:val="single" w:sz="4" w:space="0" w:color="auto"/>
              <w:right w:val="single" w:sz="4" w:space="0" w:color="auto"/>
            </w:tcBorders>
            <w:shd w:val="clear" w:color="auto" w:fill="auto"/>
            <w:noWrap/>
            <w:vAlign w:val="bottom"/>
            <w:hideMark/>
          </w:tcPr>
          <w:p w14:paraId="467237C8"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36%</w:t>
            </w:r>
          </w:p>
        </w:tc>
        <w:tc>
          <w:tcPr>
            <w:tcW w:w="666" w:type="dxa"/>
            <w:tcBorders>
              <w:top w:val="nil"/>
              <w:left w:val="nil"/>
              <w:bottom w:val="single" w:sz="4" w:space="0" w:color="auto"/>
              <w:right w:val="single" w:sz="4" w:space="0" w:color="auto"/>
            </w:tcBorders>
            <w:shd w:val="clear" w:color="auto" w:fill="auto"/>
            <w:noWrap/>
            <w:vAlign w:val="bottom"/>
            <w:hideMark/>
          </w:tcPr>
          <w:p w14:paraId="26D2E061"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20%</w:t>
            </w:r>
          </w:p>
        </w:tc>
      </w:tr>
      <w:tr w:rsidR="002F46CC" w:rsidRPr="00BF3ADC" w14:paraId="09B9C5E3" w14:textId="77777777" w:rsidTr="009517F9">
        <w:trPr>
          <w:trHeight w:val="3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D1FE509" w14:textId="77777777" w:rsidR="002F46CC" w:rsidRPr="00BF3ADC" w:rsidRDefault="002F46CC" w:rsidP="009517F9">
            <w:pPr>
              <w:spacing w:after="0" w:line="240" w:lineRule="auto"/>
              <w:rPr>
                <w:rFonts w:eastAsia="Times New Roman"/>
                <w:color w:val="000000"/>
                <w:sz w:val="18"/>
                <w:szCs w:val="18"/>
                <w:lang w:eastAsia="en-GB"/>
              </w:rPr>
            </w:pPr>
            <w:r w:rsidRPr="00BF3ADC">
              <w:rPr>
                <w:rFonts w:eastAsia="Times New Roman"/>
                <w:color w:val="000000"/>
                <w:sz w:val="18"/>
                <w:szCs w:val="18"/>
                <w:lang w:eastAsia="en-GB"/>
              </w:rPr>
              <w:t>&gt;12000</w:t>
            </w:r>
          </w:p>
        </w:tc>
        <w:tc>
          <w:tcPr>
            <w:tcW w:w="567" w:type="dxa"/>
            <w:tcBorders>
              <w:top w:val="nil"/>
              <w:left w:val="nil"/>
              <w:bottom w:val="single" w:sz="4" w:space="0" w:color="auto"/>
              <w:right w:val="single" w:sz="4" w:space="0" w:color="auto"/>
            </w:tcBorders>
            <w:shd w:val="clear" w:color="auto" w:fill="auto"/>
            <w:noWrap/>
            <w:vAlign w:val="bottom"/>
            <w:hideMark/>
          </w:tcPr>
          <w:p w14:paraId="5BA26A2E"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w:t>
            </w:r>
          </w:p>
        </w:tc>
        <w:tc>
          <w:tcPr>
            <w:tcW w:w="936" w:type="dxa"/>
            <w:tcBorders>
              <w:top w:val="nil"/>
              <w:left w:val="nil"/>
              <w:bottom w:val="single" w:sz="4" w:space="0" w:color="auto"/>
              <w:right w:val="single" w:sz="4" w:space="0" w:color="auto"/>
            </w:tcBorders>
            <w:shd w:val="clear" w:color="auto" w:fill="auto"/>
            <w:noWrap/>
            <w:vAlign w:val="bottom"/>
            <w:hideMark/>
          </w:tcPr>
          <w:p w14:paraId="00D04460"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14,560 </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50DBCC4C"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4,082 </w:t>
            </w:r>
          </w:p>
        </w:tc>
        <w:tc>
          <w:tcPr>
            <w:tcW w:w="761" w:type="dxa"/>
            <w:tcBorders>
              <w:top w:val="nil"/>
              <w:left w:val="nil"/>
              <w:bottom w:val="single" w:sz="4" w:space="0" w:color="auto"/>
              <w:right w:val="single" w:sz="4" w:space="0" w:color="auto"/>
            </w:tcBorders>
            <w:shd w:val="clear" w:color="auto" w:fill="D9D9D9" w:themeFill="background1" w:themeFillShade="D9"/>
            <w:noWrap/>
            <w:vAlign w:val="bottom"/>
            <w:hideMark/>
          </w:tcPr>
          <w:p w14:paraId="1B396D02"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2,070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0517AC2A"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 6,152 </w:t>
            </w:r>
          </w:p>
        </w:tc>
        <w:tc>
          <w:tcPr>
            <w:tcW w:w="8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83470D7"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 xml:space="preserve">3,455 </w:t>
            </w:r>
          </w:p>
        </w:tc>
        <w:tc>
          <w:tcPr>
            <w:tcW w:w="808" w:type="dxa"/>
            <w:tcBorders>
              <w:top w:val="nil"/>
              <w:left w:val="nil"/>
              <w:bottom w:val="single" w:sz="4" w:space="0" w:color="auto"/>
              <w:right w:val="single" w:sz="4" w:space="0" w:color="auto"/>
            </w:tcBorders>
            <w:shd w:val="clear" w:color="auto" w:fill="auto"/>
            <w:noWrap/>
            <w:vAlign w:val="bottom"/>
            <w:hideMark/>
          </w:tcPr>
          <w:p w14:paraId="0ED9E10B"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28%</w:t>
            </w:r>
          </w:p>
        </w:tc>
        <w:tc>
          <w:tcPr>
            <w:tcW w:w="977" w:type="dxa"/>
            <w:tcBorders>
              <w:top w:val="nil"/>
              <w:left w:val="nil"/>
              <w:bottom w:val="single" w:sz="4" w:space="0" w:color="auto"/>
              <w:right w:val="single" w:sz="4" w:space="0" w:color="auto"/>
            </w:tcBorders>
            <w:shd w:val="clear" w:color="auto" w:fill="auto"/>
            <w:noWrap/>
            <w:vAlign w:val="bottom"/>
            <w:hideMark/>
          </w:tcPr>
          <w:p w14:paraId="579B1D10"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14%</w:t>
            </w:r>
          </w:p>
        </w:tc>
        <w:tc>
          <w:tcPr>
            <w:tcW w:w="766" w:type="dxa"/>
            <w:tcBorders>
              <w:top w:val="nil"/>
              <w:left w:val="nil"/>
              <w:bottom w:val="single" w:sz="4" w:space="0" w:color="auto"/>
              <w:right w:val="single" w:sz="4" w:space="0" w:color="auto"/>
            </w:tcBorders>
            <w:shd w:val="clear" w:color="auto" w:fill="auto"/>
            <w:noWrap/>
            <w:vAlign w:val="bottom"/>
            <w:hideMark/>
          </w:tcPr>
          <w:p w14:paraId="74B6E63F"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42%</w:t>
            </w:r>
          </w:p>
        </w:tc>
        <w:tc>
          <w:tcPr>
            <w:tcW w:w="666" w:type="dxa"/>
            <w:tcBorders>
              <w:top w:val="nil"/>
              <w:left w:val="nil"/>
              <w:bottom w:val="single" w:sz="4" w:space="0" w:color="auto"/>
              <w:right w:val="single" w:sz="4" w:space="0" w:color="auto"/>
            </w:tcBorders>
            <w:shd w:val="clear" w:color="auto" w:fill="auto"/>
            <w:noWrap/>
            <w:vAlign w:val="bottom"/>
            <w:hideMark/>
          </w:tcPr>
          <w:p w14:paraId="27ABED42" w14:textId="77777777" w:rsidR="002F46CC" w:rsidRPr="00BF3ADC" w:rsidRDefault="002F46CC" w:rsidP="009517F9">
            <w:pPr>
              <w:spacing w:after="0" w:line="240" w:lineRule="auto"/>
              <w:jc w:val="right"/>
              <w:rPr>
                <w:rFonts w:eastAsia="Times New Roman"/>
                <w:color w:val="000000"/>
                <w:sz w:val="18"/>
                <w:szCs w:val="18"/>
                <w:lang w:eastAsia="en-GB"/>
              </w:rPr>
            </w:pPr>
            <w:r w:rsidRPr="00BF3ADC">
              <w:rPr>
                <w:rFonts w:eastAsia="Times New Roman"/>
                <w:color w:val="000000"/>
                <w:sz w:val="18"/>
                <w:szCs w:val="18"/>
                <w:lang w:eastAsia="en-GB"/>
              </w:rPr>
              <w:t>24%</w:t>
            </w:r>
          </w:p>
        </w:tc>
      </w:tr>
      <w:tr w:rsidR="002F46CC" w:rsidRPr="00BF3ADC" w14:paraId="32157D8C" w14:textId="77777777" w:rsidTr="009517F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93ED3" w14:textId="77777777" w:rsidR="002F46CC" w:rsidRPr="00BF3ADC" w:rsidRDefault="002F46CC" w:rsidP="009517F9">
            <w:pPr>
              <w:spacing w:after="0" w:line="240" w:lineRule="auto"/>
              <w:rPr>
                <w:rFonts w:eastAsia="Times New Roman"/>
                <w:b/>
                <w:bCs/>
                <w:color w:val="000000"/>
                <w:sz w:val="18"/>
                <w:szCs w:val="18"/>
                <w:lang w:eastAsia="en-GB"/>
              </w:rPr>
            </w:pPr>
            <w:r w:rsidRPr="00BF3ADC">
              <w:rPr>
                <w:rFonts w:eastAsia="Times New Roman"/>
                <w:b/>
                <w:bCs/>
                <w:color w:val="000000"/>
                <w:sz w:val="18"/>
                <w:szCs w:val="18"/>
                <w:lang w:eastAsia="en-GB"/>
              </w:rPr>
              <w:t>Total</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1C08AF"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w:t>
            </w:r>
          </w:p>
        </w:tc>
        <w:tc>
          <w:tcPr>
            <w:tcW w:w="936" w:type="dxa"/>
            <w:tcBorders>
              <w:top w:val="single" w:sz="4" w:space="0" w:color="auto"/>
              <w:left w:val="nil"/>
              <w:bottom w:val="single" w:sz="4" w:space="0" w:color="auto"/>
              <w:right w:val="single" w:sz="4" w:space="0" w:color="auto"/>
            </w:tcBorders>
            <w:shd w:val="clear" w:color="auto" w:fill="auto"/>
            <w:noWrap/>
            <w:vAlign w:val="bottom"/>
            <w:hideMark/>
          </w:tcPr>
          <w:p w14:paraId="2785E7DC" w14:textId="77777777" w:rsidR="002F46CC" w:rsidRPr="00BF3ADC" w:rsidRDefault="002F46CC" w:rsidP="009517F9">
            <w:pPr>
              <w:spacing w:after="0" w:line="240" w:lineRule="auto"/>
              <w:rPr>
                <w:rFonts w:eastAsia="Times New Roman"/>
                <w:b/>
                <w:bCs/>
                <w:color w:val="000000"/>
                <w:sz w:val="18"/>
                <w:szCs w:val="18"/>
                <w:lang w:eastAsia="en-GB"/>
              </w:rPr>
            </w:pPr>
            <w:r w:rsidRPr="00BF3ADC">
              <w:rPr>
                <w:rFonts w:eastAsia="Times New Roman"/>
                <w:b/>
                <w:bCs/>
                <w:color w:val="000000"/>
                <w:sz w:val="18"/>
                <w:szCs w:val="18"/>
                <w:lang w:eastAsia="en-GB"/>
              </w:rPr>
              <w:t xml:space="preserve">2,800,280 </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71CA4EF"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xml:space="preserve">112,789 </w:t>
            </w:r>
          </w:p>
        </w:tc>
        <w:tc>
          <w:tcPr>
            <w:tcW w:w="76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F03FA4"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xml:space="preserve">36,365 </w:t>
            </w:r>
          </w:p>
        </w:tc>
        <w:tc>
          <w:tcPr>
            <w:tcW w:w="8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BC62FC0"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xml:space="preserve">149,154 </w:t>
            </w:r>
          </w:p>
        </w:tc>
        <w:tc>
          <w:tcPr>
            <w:tcW w:w="801"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D22A2EF"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xml:space="preserve">104,277 </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14:paraId="54D1630F"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14:paraId="7FD2096E"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w:t>
            </w:r>
          </w:p>
        </w:tc>
        <w:tc>
          <w:tcPr>
            <w:tcW w:w="766" w:type="dxa"/>
            <w:tcBorders>
              <w:top w:val="single" w:sz="4" w:space="0" w:color="auto"/>
              <w:left w:val="nil"/>
              <w:bottom w:val="single" w:sz="4" w:space="0" w:color="auto"/>
              <w:right w:val="single" w:sz="4" w:space="0" w:color="auto"/>
            </w:tcBorders>
            <w:shd w:val="clear" w:color="auto" w:fill="auto"/>
            <w:noWrap/>
            <w:vAlign w:val="bottom"/>
            <w:hideMark/>
          </w:tcPr>
          <w:p w14:paraId="37C0B45A"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w:t>
            </w:r>
          </w:p>
        </w:tc>
        <w:tc>
          <w:tcPr>
            <w:tcW w:w="666" w:type="dxa"/>
            <w:tcBorders>
              <w:top w:val="single" w:sz="4" w:space="0" w:color="auto"/>
              <w:left w:val="nil"/>
              <w:bottom w:val="single" w:sz="4" w:space="0" w:color="auto"/>
              <w:right w:val="single" w:sz="4" w:space="0" w:color="auto"/>
            </w:tcBorders>
            <w:shd w:val="clear" w:color="auto" w:fill="auto"/>
            <w:noWrap/>
            <w:vAlign w:val="bottom"/>
            <w:hideMark/>
          </w:tcPr>
          <w:p w14:paraId="76D3B00B" w14:textId="77777777" w:rsidR="002F46CC" w:rsidRPr="00BF3ADC" w:rsidRDefault="002F46CC" w:rsidP="009517F9">
            <w:pPr>
              <w:spacing w:after="0" w:line="240" w:lineRule="auto"/>
              <w:jc w:val="right"/>
              <w:rPr>
                <w:rFonts w:eastAsia="Times New Roman"/>
                <w:b/>
                <w:bCs/>
                <w:color w:val="000000"/>
                <w:sz w:val="18"/>
                <w:szCs w:val="18"/>
                <w:lang w:eastAsia="en-GB"/>
              </w:rPr>
            </w:pPr>
            <w:r w:rsidRPr="00BF3ADC">
              <w:rPr>
                <w:rFonts w:eastAsia="Times New Roman"/>
                <w:b/>
                <w:bCs/>
                <w:color w:val="000000"/>
                <w:sz w:val="18"/>
                <w:szCs w:val="18"/>
                <w:lang w:eastAsia="en-GB"/>
              </w:rPr>
              <w:t> </w:t>
            </w:r>
          </w:p>
        </w:tc>
      </w:tr>
    </w:tbl>
    <w:p w14:paraId="348D3D52" w14:textId="77777777" w:rsidR="00522CDF" w:rsidRDefault="00522CDF" w:rsidP="002F46CC">
      <w:pPr>
        <w:rPr>
          <w:i/>
          <w:sz w:val="24"/>
        </w:rPr>
      </w:pPr>
    </w:p>
    <w:p w14:paraId="7D7E3EE5" w14:textId="7B6A3557" w:rsidR="002F46CC" w:rsidRPr="00522149" w:rsidRDefault="002F46CC" w:rsidP="002F46CC">
      <w:pPr>
        <w:rPr>
          <w:i/>
          <w:sz w:val="24"/>
        </w:rPr>
      </w:pPr>
      <w:r w:rsidRPr="00522149">
        <w:rPr>
          <w:i/>
          <w:sz w:val="24"/>
        </w:rPr>
        <w:t>Tanzania household surveys, 1993, 2000/01 and 20111/2</w:t>
      </w:r>
    </w:p>
    <w:p w14:paraId="6F3FCBA1" w14:textId="77777777" w:rsidR="002F46CC" w:rsidRPr="00522149" w:rsidRDefault="002F46CC" w:rsidP="002F46CC">
      <w:pPr>
        <w:pStyle w:val="Caption"/>
        <w:rPr>
          <w:b w:val="0"/>
          <w:i/>
          <w:color w:val="000000"/>
          <w:sz w:val="22"/>
          <w:szCs w:val="20"/>
        </w:rPr>
      </w:pPr>
      <w:r w:rsidRPr="00522149">
        <w:rPr>
          <w:b w:val="0"/>
          <w:i/>
          <w:sz w:val="22"/>
        </w:rPr>
        <w:t xml:space="preserve">Appendix Table </w:t>
      </w:r>
      <w:r>
        <w:rPr>
          <w:b w:val="0"/>
          <w:i/>
          <w:noProof/>
          <w:sz w:val="22"/>
        </w:rPr>
        <w:t>6</w:t>
      </w:r>
      <w:r w:rsidRPr="00522149">
        <w:rPr>
          <w:b w:val="0"/>
          <w:i/>
          <w:sz w:val="22"/>
        </w:rPr>
        <w:t xml:space="preserve">. </w:t>
      </w:r>
      <w:r w:rsidRPr="00522149">
        <w:rPr>
          <w:b w:val="0"/>
          <w:i/>
          <w:color w:val="000000"/>
          <w:sz w:val="22"/>
          <w:szCs w:val="20"/>
        </w:rPr>
        <w:t>Details of Tanzanian surveys used in analysis</w:t>
      </w:r>
    </w:p>
    <w:tbl>
      <w:tblPr>
        <w:tblStyle w:val="TableGrid"/>
        <w:tblW w:w="0" w:type="auto"/>
        <w:tblLook w:val="04A0" w:firstRow="1" w:lastRow="0" w:firstColumn="1" w:lastColumn="0" w:noHBand="0" w:noVBand="1"/>
      </w:tblPr>
      <w:tblGrid>
        <w:gridCol w:w="2190"/>
        <w:gridCol w:w="2379"/>
        <w:gridCol w:w="2220"/>
        <w:gridCol w:w="2227"/>
      </w:tblGrid>
      <w:tr w:rsidR="002F46CC" w:rsidRPr="00BF3ADC" w14:paraId="6167EA2D" w14:textId="77777777" w:rsidTr="009517F9">
        <w:tc>
          <w:tcPr>
            <w:tcW w:w="2245" w:type="dxa"/>
          </w:tcPr>
          <w:p w14:paraId="7D73C3D0" w14:textId="77777777" w:rsidR="002F46CC" w:rsidRPr="00BF3ADC" w:rsidRDefault="002F46CC" w:rsidP="008A5AC1">
            <w:pPr>
              <w:spacing w:after="0" w:line="240" w:lineRule="auto"/>
              <w:jc w:val="left"/>
              <w:rPr>
                <w:b/>
                <w:color w:val="000000"/>
                <w:szCs w:val="20"/>
              </w:rPr>
            </w:pPr>
          </w:p>
        </w:tc>
        <w:tc>
          <w:tcPr>
            <w:tcW w:w="2435" w:type="dxa"/>
          </w:tcPr>
          <w:p w14:paraId="5D2C0B28" w14:textId="77777777" w:rsidR="002F46CC" w:rsidRPr="00BF3ADC" w:rsidRDefault="002F46CC" w:rsidP="009517F9">
            <w:pPr>
              <w:spacing w:after="0" w:line="240" w:lineRule="auto"/>
              <w:jc w:val="left"/>
              <w:rPr>
                <w:b/>
                <w:color w:val="000000"/>
                <w:szCs w:val="20"/>
              </w:rPr>
            </w:pPr>
            <w:r w:rsidRPr="00BF3ADC">
              <w:rPr>
                <w:b/>
                <w:color w:val="000000"/>
                <w:szCs w:val="20"/>
              </w:rPr>
              <w:t>1993 Human Resource Development Survey</w:t>
            </w:r>
          </w:p>
        </w:tc>
        <w:tc>
          <w:tcPr>
            <w:tcW w:w="2281" w:type="dxa"/>
          </w:tcPr>
          <w:p w14:paraId="7DB4DC76" w14:textId="77777777" w:rsidR="002F46CC" w:rsidRPr="00BF3ADC" w:rsidRDefault="002F46CC" w:rsidP="009517F9">
            <w:pPr>
              <w:spacing w:after="0" w:line="240" w:lineRule="auto"/>
              <w:jc w:val="left"/>
              <w:rPr>
                <w:szCs w:val="20"/>
              </w:rPr>
            </w:pPr>
            <w:r w:rsidRPr="00BF3ADC">
              <w:rPr>
                <w:b/>
                <w:color w:val="000000"/>
                <w:szCs w:val="20"/>
              </w:rPr>
              <w:t xml:space="preserve">2000/01 </w:t>
            </w:r>
            <w:r w:rsidRPr="00BF3ADC">
              <w:rPr>
                <w:b/>
                <w:szCs w:val="20"/>
              </w:rPr>
              <w:t>National Household Budget Survey</w:t>
            </w:r>
          </w:p>
        </w:tc>
        <w:tc>
          <w:tcPr>
            <w:tcW w:w="2281" w:type="dxa"/>
          </w:tcPr>
          <w:p w14:paraId="1E7AA064" w14:textId="77777777" w:rsidR="002F46CC" w:rsidRPr="00BF3ADC" w:rsidRDefault="002F46CC" w:rsidP="009517F9">
            <w:pPr>
              <w:spacing w:after="0" w:line="240" w:lineRule="auto"/>
              <w:jc w:val="left"/>
              <w:rPr>
                <w:b/>
                <w:color w:val="000000"/>
                <w:szCs w:val="20"/>
              </w:rPr>
            </w:pPr>
            <w:r w:rsidRPr="00BF3ADC">
              <w:rPr>
                <w:b/>
                <w:szCs w:val="20"/>
              </w:rPr>
              <w:t>2011/12 National Household Budget Survey</w:t>
            </w:r>
          </w:p>
        </w:tc>
      </w:tr>
      <w:tr w:rsidR="002F46CC" w:rsidRPr="00BF3ADC" w14:paraId="5FB29DC8" w14:textId="77777777" w:rsidTr="009517F9">
        <w:tc>
          <w:tcPr>
            <w:tcW w:w="2245" w:type="dxa"/>
          </w:tcPr>
          <w:p w14:paraId="6A8FB5FC" w14:textId="77777777" w:rsidR="002F46CC" w:rsidRPr="00BF3ADC" w:rsidRDefault="002F46CC" w:rsidP="008A5AC1">
            <w:pPr>
              <w:spacing w:after="0" w:line="240" w:lineRule="auto"/>
              <w:jc w:val="left"/>
              <w:rPr>
                <w:b/>
                <w:color w:val="000000"/>
                <w:szCs w:val="20"/>
              </w:rPr>
            </w:pPr>
            <w:r w:rsidRPr="00BF3ADC">
              <w:rPr>
                <w:b/>
                <w:color w:val="000000"/>
                <w:szCs w:val="20"/>
              </w:rPr>
              <w:t>Coverage</w:t>
            </w:r>
          </w:p>
        </w:tc>
        <w:tc>
          <w:tcPr>
            <w:tcW w:w="2435" w:type="dxa"/>
          </w:tcPr>
          <w:p w14:paraId="26456522" w14:textId="77777777" w:rsidR="002F46CC" w:rsidRPr="00BF3ADC" w:rsidRDefault="002F46CC" w:rsidP="009517F9">
            <w:pPr>
              <w:spacing w:after="0" w:line="240" w:lineRule="auto"/>
              <w:jc w:val="left"/>
              <w:rPr>
                <w:color w:val="000000"/>
                <w:szCs w:val="20"/>
              </w:rPr>
            </w:pPr>
            <w:r w:rsidRPr="00BF3ADC">
              <w:rPr>
                <w:color w:val="000000"/>
                <w:szCs w:val="20"/>
              </w:rPr>
              <w:t>National, including Zanzibar (excl. for this analysis)</w:t>
            </w:r>
          </w:p>
        </w:tc>
        <w:tc>
          <w:tcPr>
            <w:tcW w:w="2281" w:type="dxa"/>
          </w:tcPr>
          <w:p w14:paraId="4F4581FF" w14:textId="77777777" w:rsidR="002F46CC" w:rsidRPr="00BF3ADC" w:rsidRDefault="002F46CC" w:rsidP="009517F9">
            <w:pPr>
              <w:spacing w:after="0" w:line="240" w:lineRule="auto"/>
              <w:jc w:val="left"/>
              <w:rPr>
                <w:color w:val="000000"/>
                <w:szCs w:val="20"/>
              </w:rPr>
            </w:pPr>
            <w:r w:rsidRPr="00BF3ADC">
              <w:rPr>
                <w:color w:val="000000"/>
                <w:szCs w:val="20"/>
              </w:rPr>
              <w:t>Mainland Tanzania</w:t>
            </w:r>
          </w:p>
        </w:tc>
        <w:tc>
          <w:tcPr>
            <w:tcW w:w="2281" w:type="dxa"/>
          </w:tcPr>
          <w:p w14:paraId="3898F9C4" w14:textId="77777777" w:rsidR="002F46CC" w:rsidRPr="00BF3ADC" w:rsidRDefault="002F46CC" w:rsidP="009517F9">
            <w:pPr>
              <w:spacing w:after="0" w:line="240" w:lineRule="auto"/>
              <w:jc w:val="left"/>
              <w:rPr>
                <w:color w:val="000000"/>
                <w:szCs w:val="20"/>
              </w:rPr>
            </w:pPr>
            <w:r w:rsidRPr="00BF3ADC">
              <w:rPr>
                <w:color w:val="000000"/>
                <w:szCs w:val="20"/>
              </w:rPr>
              <w:t>Mainland Tanzania</w:t>
            </w:r>
          </w:p>
        </w:tc>
      </w:tr>
      <w:tr w:rsidR="002F46CC" w:rsidRPr="00BF3ADC" w14:paraId="6565526F" w14:textId="77777777" w:rsidTr="009517F9">
        <w:tc>
          <w:tcPr>
            <w:tcW w:w="2245" w:type="dxa"/>
          </w:tcPr>
          <w:p w14:paraId="625BE9BB" w14:textId="77777777" w:rsidR="002F46CC" w:rsidRPr="00BF3ADC" w:rsidRDefault="002F46CC" w:rsidP="008A5AC1">
            <w:pPr>
              <w:spacing w:after="0" w:line="240" w:lineRule="auto"/>
              <w:jc w:val="left"/>
              <w:rPr>
                <w:b/>
                <w:color w:val="000000"/>
                <w:szCs w:val="20"/>
              </w:rPr>
            </w:pPr>
            <w:r w:rsidRPr="00BF3ADC">
              <w:rPr>
                <w:b/>
                <w:color w:val="000000"/>
                <w:szCs w:val="20"/>
              </w:rPr>
              <w:t>Sample size (households)</w:t>
            </w:r>
          </w:p>
        </w:tc>
        <w:tc>
          <w:tcPr>
            <w:tcW w:w="2435" w:type="dxa"/>
          </w:tcPr>
          <w:p w14:paraId="7B22903C" w14:textId="77777777" w:rsidR="002F46CC" w:rsidRPr="00BF3ADC" w:rsidRDefault="002F46CC" w:rsidP="009517F9">
            <w:pPr>
              <w:spacing w:after="0" w:line="240" w:lineRule="auto"/>
              <w:rPr>
                <w:color w:val="000000"/>
                <w:szCs w:val="20"/>
              </w:rPr>
            </w:pPr>
            <w:r w:rsidRPr="00BF3ADC">
              <w:rPr>
                <w:szCs w:val="20"/>
              </w:rPr>
              <w:t>4,953</w:t>
            </w:r>
          </w:p>
        </w:tc>
        <w:tc>
          <w:tcPr>
            <w:tcW w:w="2281" w:type="dxa"/>
          </w:tcPr>
          <w:p w14:paraId="78043DD0" w14:textId="77777777" w:rsidR="002F46CC" w:rsidRPr="00BF3ADC" w:rsidRDefault="002F46CC" w:rsidP="009517F9">
            <w:pPr>
              <w:spacing w:after="0" w:line="240" w:lineRule="auto"/>
              <w:rPr>
                <w:color w:val="000000"/>
                <w:szCs w:val="20"/>
              </w:rPr>
            </w:pPr>
            <w:r w:rsidRPr="00BF3ADC">
              <w:rPr>
                <w:szCs w:val="20"/>
              </w:rPr>
              <w:t>22,178</w:t>
            </w:r>
          </w:p>
        </w:tc>
        <w:tc>
          <w:tcPr>
            <w:tcW w:w="2281" w:type="dxa"/>
          </w:tcPr>
          <w:p w14:paraId="55C443AE" w14:textId="77777777" w:rsidR="002F46CC" w:rsidRPr="00BF3ADC" w:rsidRDefault="002F46CC" w:rsidP="009517F9">
            <w:pPr>
              <w:spacing w:after="0" w:line="240" w:lineRule="auto"/>
              <w:rPr>
                <w:color w:val="000000"/>
                <w:szCs w:val="20"/>
              </w:rPr>
            </w:pPr>
            <w:r w:rsidRPr="00BF3ADC">
              <w:rPr>
                <w:color w:val="000000"/>
                <w:szCs w:val="20"/>
              </w:rPr>
              <w:t>10,186</w:t>
            </w:r>
          </w:p>
        </w:tc>
      </w:tr>
      <w:tr w:rsidR="002F46CC" w:rsidRPr="00BF3ADC" w14:paraId="62E6F8D6" w14:textId="77777777" w:rsidTr="009517F9">
        <w:tc>
          <w:tcPr>
            <w:tcW w:w="2245" w:type="dxa"/>
          </w:tcPr>
          <w:p w14:paraId="7B185F90" w14:textId="77777777" w:rsidR="002F46CC" w:rsidRPr="00BF3ADC" w:rsidRDefault="002F46CC" w:rsidP="008A5AC1">
            <w:pPr>
              <w:spacing w:after="0" w:line="240" w:lineRule="auto"/>
              <w:jc w:val="left"/>
              <w:rPr>
                <w:b/>
                <w:color w:val="000000"/>
                <w:szCs w:val="20"/>
              </w:rPr>
            </w:pPr>
            <w:r w:rsidRPr="00BF3ADC">
              <w:rPr>
                <w:b/>
                <w:color w:val="000000"/>
                <w:szCs w:val="20"/>
              </w:rPr>
              <w:t>Sampling frame</w:t>
            </w:r>
          </w:p>
        </w:tc>
        <w:tc>
          <w:tcPr>
            <w:tcW w:w="2435" w:type="dxa"/>
          </w:tcPr>
          <w:p w14:paraId="7116FF16" w14:textId="77777777" w:rsidR="002F46CC" w:rsidRPr="00BF3ADC" w:rsidRDefault="002F46CC" w:rsidP="009517F9">
            <w:pPr>
              <w:spacing w:after="0" w:line="240" w:lineRule="auto"/>
              <w:jc w:val="left"/>
              <w:rPr>
                <w:color w:val="000000"/>
                <w:szCs w:val="20"/>
              </w:rPr>
            </w:pPr>
            <w:r w:rsidRPr="00BF3ADC">
              <w:rPr>
                <w:szCs w:val="20"/>
              </w:rPr>
              <w:t>National Master Sample frame</w:t>
            </w:r>
          </w:p>
        </w:tc>
        <w:tc>
          <w:tcPr>
            <w:tcW w:w="2281" w:type="dxa"/>
          </w:tcPr>
          <w:p w14:paraId="1A44DEDD" w14:textId="77777777" w:rsidR="002F46CC" w:rsidRPr="00BF3ADC" w:rsidRDefault="002F46CC" w:rsidP="009517F9">
            <w:pPr>
              <w:spacing w:after="0" w:line="240" w:lineRule="auto"/>
              <w:jc w:val="left"/>
              <w:rPr>
                <w:color w:val="000000"/>
                <w:szCs w:val="20"/>
              </w:rPr>
            </w:pPr>
            <w:r w:rsidRPr="00BF3ADC">
              <w:rPr>
                <w:szCs w:val="20"/>
              </w:rPr>
              <w:t>National Master Sample frame, based on 1988 census</w:t>
            </w:r>
          </w:p>
        </w:tc>
        <w:tc>
          <w:tcPr>
            <w:tcW w:w="2281" w:type="dxa"/>
          </w:tcPr>
          <w:p w14:paraId="5F267F1A" w14:textId="77777777" w:rsidR="002F46CC" w:rsidRPr="00BF3ADC" w:rsidRDefault="002F46CC" w:rsidP="009517F9">
            <w:pPr>
              <w:spacing w:after="0" w:line="240" w:lineRule="auto"/>
              <w:jc w:val="left"/>
              <w:rPr>
                <w:color w:val="000000"/>
                <w:szCs w:val="20"/>
              </w:rPr>
            </w:pPr>
            <w:r w:rsidRPr="00BF3ADC">
              <w:rPr>
                <w:szCs w:val="20"/>
              </w:rPr>
              <w:t>National Master Sample frame, based on 2002 census</w:t>
            </w:r>
          </w:p>
        </w:tc>
      </w:tr>
      <w:tr w:rsidR="002F46CC" w:rsidRPr="00BF3ADC" w14:paraId="7223B96C" w14:textId="77777777" w:rsidTr="009517F9">
        <w:tc>
          <w:tcPr>
            <w:tcW w:w="2245" w:type="dxa"/>
          </w:tcPr>
          <w:p w14:paraId="51E51543" w14:textId="77777777" w:rsidR="002F46CC" w:rsidRPr="00BF3ADC" w:rsidRDefault="002F46CC" w:rsidP="008A5AC1">
            <w:pPr>
              <w:spacing w:after="0" w:line="240" w:lineRule="auto"/>
              <w:jc w:val="left"/>
              <w:rPr>
                <w:b/>
                <w:color w:val="000000"/>
                <w:szCs w:val="20"/>
              </w:rPr>
            </w:pPr>
            <w:r w:rsidRPr="00BF3ADC">
              <w:rPr>
                <w:b/>
                <w:color w:val="000000"/>
                <w:szCs w:val="20"/>
              </w:rPr>
              <w:t>Sampling</w:t>
            </w:r>
          </w:p>
        </w:tc>
        <w:tc>
          <w:tcPr>
            <w:tcW w:w="2435" w:type="dxa"/>
          </w:tcPr>
          <w:p w14:paraId="5C6D9E47" w14:textId="77777777" w:rsidR="002F46CC" w:rsidRPr="00BF3ADC" w:rsidRDefault="002F46CC" w:rsidP="009517F9">
            <w:pPr>
              <w:spacing w:after="0" w:line="240" w:lineRule="auto"/>
              <w:jc w:val="left"/>
              <w:rPr>
                <w:color w:val="000000"/>
                <w:szCs w:val="20"/>
              </w:rPr>
            </w:pPr>
            <w:r w:rsidRPr="00BF3ADC">
              <w:rPr>
                <w:szCs w:val="20"/>
              </w:rPr>
              <w:t>Drew from all of the 222 clusters of the National Master Sample frame, although two had to be excluded due to inaccessibility.</w:t>
            </w:r>
          </w:p>
        </w:tc>
        <w:tc>
          <w:tcPr>
            <w:tcW w:w="2281" w:type="dxa"/>
          </w:tcPr>
          <w:p w14:paraId="745DFC0E" w14:textId="77777777" w:rsidR="002F46CC" w:rsidRPr="00BF3ADC" w:rsidRDefault="002F46CC" w:rsidP="009517F9">
            <w:pPr>
              <w:spacing w:after="0" w:line="240" w:lineRule="auto"/>
              <w:jc w:val="left"/>
              <w:rPr>
                <w:color w:val="000000"/>
                <w:szCs w:val="20"/>
              </w:rPr>
            </w:pPr>
            <w:r w:rsidRPr="00BF3ADC">
              <w:rPr>
                <w:szCs w:val="20"/>
              </w:rPr>
              <w:t>two-stage sampling on the basis of the National Master Sample; 1,161 primary sampling units were selected (621 urban and 540 rural), and within these, 24 households from each PSU</w:t>
            </w:r>
          </w:p>
        </w:tc>
        <w:tc>
          <w:tcPr>
            <w:tcW w:w="2281" w:type="dxa"/>
          </w:tcPr>
          <w:p w14:paraId="549BA55D" w14:textId="77777777" w:rsidR="002F46CC" w:rsidRPr="00BF3ADC" w:rsidRDefault="002F46CC" w:rsidP="009517F9">
            <w:pPr>
              <w:spacing w:after="0" w:line="240" w:lineRule="auto"/>
              <w:jc w:val="left"/>
              <w:rPr>
                <w:color w:val="000000"/>
                <w:szCs w:val="20"/>
              </w:rPr>
            </w:pPr>
            <w:r w:rsidRPr="00BF3ADC">
              <w:rPr>
                <w:szCs w:val="20"/>
              </w:rPr>
              <w:t>Households drawn from 400 clusters (120 from Dar es Salaam, 120 from other urban areas, and 160 from rural areas).</w:t>
            </w:r>
          </w:p>
        </w:tc>
      </w:tr>
      <w:tr w:rsidR="002F46CC" w:rsidRPr="00BF3ADC" w14:paraId="3E71AD08" w14:textId="77777777" w:rsidTr="009517F9">
        <w:tc>
          <w:tcPr>
            <w:tcW w:w="2245" w:type="dxa"/>
          </w:tcPr>
          <w:p w14:paraId="5F8D5FDD" w14:textId="77777777" w:rsidR="002F46CC" w:rsidRPr="00BF3ADC" w:rsidRDefault="002F46CC" w:rsidP="008A5AC1">
            <w:pPr>
              <w:spacing w:after="0" w:line="240" w:lineRule="auto"/>
              <w:jc w:val="left"/>
              <w:rPr>
                <w:b/>
                <w:color w:val="000000"/>
                <w:szCs w:val="20"/>
              </w:rPr>
            </w:pPr>
            <w:r w:rsidRPr="00BF3ADC">
              <w:rPr>
                <w:b/>
                <w:color w:val="000000"/>
                <w:szCs w:val="20"/>
              </w:rPr>
              <w:t xml:space="preserve">Response rate </w:t>
            </w:r>
          </w:p>
        </w:tc>
        <w:tc>
          <w:tcPr>
            <w:tcW w:w="2435" w:type="dxa"/>
          </w:tcPr>
          <w:p w14:paraId="4DA39666" w14:textId="32640D56" w:rsidR="002F46CC" w:rsidRPr="00BF3ADC" w:rsidRDefault="002F46CC" w:rsidP="009517F9">
            <w:pPr>
              <w:spacing w:after="0" w:line="240" w:lineRule="auto"/>
              <w:jc w:val="left"/>
              <w:rPr>
                <w:color w:val="000000"/>
                <w:szCs w:val="20"/>
              </w:rPr>
            </w:pPr>
            <w:r>
              <w:rPr>
                <w:color w:val="000000"/>
                <w:szCs w:val="20"/>
              </w:rPr>
              <w:t>Not known</w:t>
            </w:r>
            <w:r w:rsidR="00AE3A55">
              <w:rPr>
                <w:color w:val="000000"/>
                <w:szCs w:val="20"/>
              </w:rPr>
              <w:t>.</w:t>
            </w:r>
          </w:p>
        </w:tc>
        <w:tc>
          <w:tcPr>
            <w:tcW w:w="2281" w:type="dxa"/>
          </w:tcPr>
          <w:p w14:paraId="17CD9D3A" w14:textId="77777777" w:rsidR="002F46CC" w:rsidRPr="00BF3ADC" w:rsidRDefault="002F46CC" w:rsidP="009517F9">
            <w:pPr>
              <w:spacing w:after="0" w:line="240" w:lineRule="auto"/>
              <w:jc w:val="left"/>
              <w:rPr>
                <w:color w:val="000000"/>
                <w:szCs w:val="20"/>
              </w:rPr>
            </w:pPr>
            <w:r w:rsidRPr="00BF3ADC">
              <w:rPr>
                <w:szCs w:val="20"/>
              </w:rPr>
              <w:t>The replacement rate (where the originally selected households could not be located or contacted) was relatively high, at 12%.</w:t>
            </w:r>
          </w:p>
        </w:tc>
        <w:tc>
          <w:tcPr>
            <w:tcW w:w="2281" w:type="dxa"/>
          </w:tcPr>
          <w:p w14:paraId="46156933" w14:textId="77777777" w:rsidR="002F46CC" w:rsidRPr="00BF3ADC" w:rsidRDefault="002F46CC" w:rsidP="009517F9">
            <w:pPr>
              <w:spacing w:after="0" w:line="240" w:lineRule="auto"/>
              <w:jc w:val="left"/>
              <w:rPr>
                <w:color w:val="000000"/>
                <w:szCs w:val="20"/>
              </w:rPr>
            </w:pPr>
            <w:r w:rsidRPr="00BF3ADC">
              <w:rPr>
                <w:szCs w:val="20"/>
              </w:rPr>
              <w:t>The response rate (for originally selected households) was 94% (out of a planned sample of 10,400), and a further 398 replacement households were added to increase the sample size to 10,186</w:t>
            </w:r>
            <w:r>
              <w:rPr>
                <w:rStyle w:val="FootnoteReference"/>
              </w:rPr>
              <w:fldChar w:fldCharType="begin" w:fldLock="1"/>
            </w:r>
            <w:r>
              <w:instrText>ADDIN CSL_CITATION { "citationItems" : [ { "id" : "ITEM-1", "itemData" : { "author" : [ { "dropping-particle" : "", "family" : "World Bank", "given" : "", "non-dropping-particle" : "", "parse-names" : false, "suffix" : "" } ], "id" : "ITEM-1", "issued" : { "date-parts" : [ [ "1995" ] ] }, "publisher-place" : "Washington D.C.", "title" : "Kenya poverty assessment", "type" : "report" }, "uris" : [ "http://www.mendeley.com/documents/?uuid=284f6778-a7cb-4ce1-8cdd-57ee8a160dbb" ] } ], "mendeley" : { "formattedCitation" : "(World Bank, 1995)", "plainTextFormattedCitation" : "(World Bank, 1995)", "previouslyFormattedCitation" : "World Bank, \u201cKenya Poverty Assessment\u201d (Washington D.C., 1995)." }, "properties" : { "noteIndex" : 0 }, "schema" : "https://github.com/citation-style-language/schema/raw/master/csl-citation.json" }</w:instrText>
            </w:r>
            <w:r>
              <w:rPr>
                <w:rStyle w:val="FootnoteReference"/>
              </w:rPr>
              <w:fldChar w:fldCharType="separate"/>
            </w:r>
            <w:r w:rsidRPr="00E30BEF">
              <w:rPr>
                <w:noProof/>
              </w:rPr>
              <w:t>(World Bank, 1995)</w:t>
            </w:r>
            <w:r>
              <w:rPr>
                <w:rStyle w:val="FootnoteReference"/>
              </w:rPr>
              <w:fldChar w:fldCharType="end"/>
            </w:r>
          </w:p>
        </w:tc>
      </w:tr>
      <w:tr w:rsidR="002F46CC" w:rsidRPr="00BF3ADC" w14:paraId="03F4F1F7" w14:textId="77777777" w:rsidTr="009517F9">
        <w:tc>
          <w:tcPr>
            <w:tcW w:w="2245" w:type="dxa"/>
          </w:tcPr>
          <w:p w14:paraId="2A07EE24" w14:textId="77777777" w:rsidR="002F46CC" w:rsidRPr="00BF3ADC" w:rsidRDefault="002F46CC" w:rsidP="008A5AC1">
            <w:pPr>
              <w:spacing w:after="0" w:line="240" w:lineRule="auto"/>
              <w:jc w:val="left"/>
              <w:rPr>
                <w:b/>
                <w:color w:val="000000"/>
                <w:szCs w:val="20"/>
              </w:rPr>
            </w:pPr>
            <w:r w:rsidRPr="00BF3ADC">
              <w:rPr>
                <w:b/>
                <w:color w:val="000000"/>
                <w:szCs w:val="20"/>
              </w:rPr>
              <w:t>Data collection time period</w:t>
            </w:r>
          </w:p>
        </w:tc>
        <w:tc>
          <w:tcPr>
            <w:tcW w:w="2435" w:type="dxa"/>
          </w:tcPr>
          <w:p w14:paraId="0D479394" w14:textId="77777777" w:rsidR="002F46CC" w:rsidRPr="00BF3ADC" w:rsidRDefault="002F46CC" w:rsidP="009517F9">
            <w:pPr>
              <w:spacing w:after="0" w:line="240" w:lineRule="auto"/>
              <w:jc w:val="left"/>
              <w:rPr>
                <w:color w:val="000000"/>
                <w:szCs w:val="20"/>
              </w:rPr>
            </w:pPr>
            <w:r w:rsidRPr="00BF3ADC">
              <w:rPr>
                <w:szCs w:val="20"/>
              </w:rPr>
              <w:t>Sept-Oct 1993</w:t>
            </w:r>
          </w:p>
        </w:tc>
        <w:tc>
          <w:tcPr>
            <w:tcW w:w="2281" w:type="dxa"/>
          </w:tcPr>
          <w:p w14:paraId="0DF54699" w14:textId="77777777" w:rsidR="002F46CC" w:rsidRPr="00BF3ADC" w:rsidRDefault="002F46CC" w:rsidP="009517F9">
            <w:pPr>
              <w:spacing w:after="0" w:line="240" w:lineRule="auto"/>
              <w:jc w:val="left"/>
              <w:rPr>
                <w:color w:val="000000"/>
                <w:szCs w:val="20"/>
              </w:rPr>
            </w:pPr>
            <w:r w:rsidRPr="00BF3ADC">
              <w:rPr>
                <w:szCs w:val="20"/>
              </w:rPr>
              <w:t>May 2000 – June 2001</w:t>
            </w:r>
          </w:p>
        </w:tc>
        <w:tc>
          <w:tcPr>
            <w:tcW w:w="2281" w:type="dxa"/>
          </w:tcPr>
          <w:p w14:paraId="15A2070B" w14:textId="77777777" w:rsidR="002F46CC" w:rsidRPr="00BF3ADC" w:rsidRDefault="002F46CC" w:rsidP="009517F9">
            <w:pPr>
              <w:spacing w:after="0" w:line="240" w:lineRule="auto"/>
              <w:jc w:val="left"/>
              <w:rPr>
                <w:color w:val="000000"/>
                <w:szCs w:val="20"/>
              </w:rPr>
            </w:pPr>
            <w:r w:rsidRPr="00BF3ADC">
              <w:rPr>
                <w:szCs w:val="20"/>
              </w:rPr>
              <w:t>October 2011 and October 2012</w:t>
            </w:r>
          </w:p>
        </w:tc>
      </w:tr>
      <w:tr w:rsidR="002F46CC" w:rsidRPr="00BF3ADC" w14:paraId="4A01602F" w14:textId="77777777" w:rsidTr="009517F9">
        <w:tc>
          <w:tcPr>
            <w:tcW w:w="2245" w:type="dxa"/>
          </w:tcPr>
          <w:p w14:paraId="66F33059" w14:textId="77777777" w:rsidR="002F46CC" w:rsidRPr="00BF3ADC" w:rsidRDefault="002F46CC" w:rsidP="008A5AC1">
            <w:pPr>
              <w:spacing w:after="0" w:line="240" w:lineRule="auto"/>
              <w:jc w:val="left"/>
              <w:rPr>
                <w:b/>
                <w:color w:val="000000"/>
                <w:szCs w:val="20"/>
              </w:rPr>
            </w:pPr>
            <w:r w:rsidRPr="00BF3ADC">
              <w:rPr>
                <w:b/>
                <w:color w:val="000000"/>
                <w:szCs w:val="20"/>
              </w:rPr>
              <w:t xml:space="preserve">Data collection </w:t>
            </w:r>
          </w:p>
        </w:tc>
        <w:tc>
          <w:tcPr>
            <w:tcW w:w="2435" w:type="dxa"/>
          </w:tcPr>
          <w:p w14:paraId="1A92B933" w14:textId="77777777" w:rsidR="002F46CC" w:rsidRPr="00BF3ADC" w:rsidRDefault="002F46CC" w:rsidP="009517F9">
            <w:pPr>
              <w:spacing w:after="0" w:line="240" w:lineRule="auto"/>
              <w:jc w:val="left"/>
              <w:rPr>
                <w:color w:val="000000"/>
                <w:szCs w:val="20"/>
              </w:rPr>
            </w:pPr>
            <w:r>
              <w:rPr>
                <w:color w:val="000000"/>
                <w:szCs w:val="20"/>
              </w:rPr>
              <w:t>Not known.</w:t>
            </w:r>
          </w:p>
        </w:tc>
        <w:tc>
          <w:tcPr>
            <w:tcW w:w="2281" w:type="dxa"/>
          </w:tcPr>
          <w:p w14:paraId="09D79E77" w14:textId="77777777" w:rsidR="002F46CC" w:rsidRPr="00BF3ADC" w:rsidRDefault="002F46CC" w:rsidP="009517F9">
            <w:pPr>
              <w:spacing w:after="0" w:line="240" w:lineRule="auto"/>
              <w:jc w:val="left"/>
              <w:rPr>
                <w:color w:val="000000"/>
                <w:szCs w:val="20"/>
              </w:rPr>
            </w:pPr>
            <w:r w:rsidRPr="00BF3ADC">
              <w:rPr>
                <w:szCs w:val="20"/>
              </w:rPr>
              <w:t xml:space="preserve">Each household was visited regularly throughout a month, to assemble monthly data on household </w:t>
            </w:r>
            <w:r w:rsidRPr="00BF3ADC">
              <w:rPr>
                <w:szCs w:val="20"/>
              </w:rPr>
              <w:lastRenderedPageBreak/>
              <w:t>expenditures (two households a month in each PSU).</w:t>
            </w:r>
          </w:p>
        </w:tc>
        <w:tc>
          <w:tcPr>
            <w:tcW w:w="2281" w:type="dxa"/>
          </w:tcPr>
          <w:p w14:paraId="2FE6F2E7" w14:textId="77777777" w:rsidR="002F46CC" w:rsidRPr="00BF3ADC" w:rsidRDefault="002F46CC" w:rsidP="009517F9">
            <w:pPr>
              <w:spacing w:after="0" w:line="240" w:lineRule="auto"/>
              <w:jc w:val="left"/>
              <w:rPr>
                <w:color w:val="000000"/>
                <w:szCs w:val="20"/>
              </w:rPr>
            </w:pPr>
            <w:r w:rsidRPr="00BF3ADC">
              <w:rPr>
                <w:szCs w:val="20"/>
              </w:rPr>
              <w:lastRenderedPageBreak/>
              <w:t xml:space="preserve">Expenditure and consumption was tracked over a 28 day period, with each household member </w:t>
            </w:r>
            <w:r w:rsidRPr="00BF3ADC">
              <w:rPr>
                <w:szCs w:val="20"/>
              </w:rPr>
              <w:lastRenderedPageBreak/>
              <w:t>above the age of 5 given a diary to record purchases and consumption.</w:t>
            </w:r>
          </w:p>
        </w:tc>
      </w:tr>
      <w:tr w:rsidR="002F46CC" w:rsidRPr="00BF3ADC" w14:paraId="27E67093" w14:textId="77777777" w:rsidTr="009517F9">
        <w:tc>
          <w:tcPr>
            <w:tcW w:w="2245" w:type="dxa"/>
          </w:tcPr>
          <w:p w14:paraId="31D3C3DE" w14:textId="77777777" w:rsidR="002F46CC" w:rsidRPr="00BF3ADC" w:rsidRDefault="002F46CC" w:rsidP="008A5AC1">
            <w:pPr>
              <w:spacing w:after="0" w:line="240" w:lineRule="auto"/>
              <w:jc w:val="left"/>
              <w:rPr>
                <w:b/>
                <w:color w:val="000000"/>
                <w:szCs w:val="20"/>
              </w:rPr>
            </w:pPr>
            <w:r w:rsidRPr="00BF3ADC">
              <w:rPr>
                <w:b/>
                <w:color w:val="000000"/>
                <w:szCs w:val="20"/>
              </w:rPr>
              <w:lastRenderedPageBreak/>
              <w:t>Produced by</w:t>
            </w:r>
          </w:p>
        </w:tc>
        <w:tc>
          <w:tcPr>
            <w:tcW w:w="2435" w:type="dxa"/>
          </w:tcPr>
          <w:p w14:paraId="240DD87E" w14:textId="77777777" w:rsidR="002F46CC" w:rsidRPr="00BF3ADC" w:rsidRDefault="002F46CC" w:rsidP="009517F9">
            <w:pPr>
              <w:spacing w:after="0" w:line="240" w:lineRule="auto"/>
              <w:jc w:val="left"/>
              <w:rPr>
                <w:color w:val="000000"/>
                <w:szCs w:val="20"/>
              </w:rPr>
            </w:pPr>
            <w:r w:rsidRPr="00BF3ADC">
              <w:rPr>
                <w:szCs w:val="20"/>
              </w:rPr>
              <w:t>University of Dar es Salaam with support from British Overseas Development Administration, the Government of Japan and the World Bank</w:t>
            </w:r>
          </w:p>
        </w:tc>
        <w:tc>
          <w:tcPr>
            <w:tcW w:w="2281" w:type="dxa"/>
          </w:tcPr>
          <w:p w14:paraId="42372022" w14:textId="77777777" w:rsidR="002F46CC" w:rsidRPr="00BF3ADC" w:rsidRDefault="002F46CC" w:rsidP="009517F9">
            <w:pPr>
              <w:spacing w:after="0" w:line="240" w:lineRule="auto"/>
              <w:jc w:val="left"/>
              <w:rPr>
                <w:color w:val="000000"/>
                <w:szCs w:val="20"/>
              </w:rPr>
            </w:pPr>
            <w:r w:rsidRPr="00BF3ADC">
              <w:rPr>
                <w:szCs w:val="20"/>
              </w:rPr>
              <w:t>National Bureau of Statistics</w:t>
            </w:r>
          </w:p>
        </w:tc>
        <w:tc>
          <w:tcPr>
            <w:tcW w:w="2281" w:type="dxa"/>
          </w:tcPr>
          <w:p w14:paraId="57D88155" w14:textId="77777777" w:rsidR="002F46CC" w:rsidRPr="00BF3ADC" w:rsidRDefault="002F46CC" w:rsidP="009517F9">
            <w:pPr>
              <w:spacing w:after="0" w:line="240" w:lineRule="auto"/>
              <w:jc w:val="left"/>
              <w:rPr>
                <w:color w:val="000000"/>
                <w:szCs w:val="20"/>
              </w:rPr>
            </w:pPr>
            <w:r w:rsidRPr="00BF3ADC">
              <w:rPr>
                <w:szCs w:val="20"/>
              </w:rPr>
              <w:t>National Bureau of Statistics</w:t>
            </w:r>
          </w:p>
        </w:tc>
      </w:tr>
    </w:tbl>
    <w:p w14:paraId="4E7970F2" w14:textId="77777777" w:rsidR="002F46CC" w:rsidRPr="00BF3ADC" w:rsidRDefault="002F46CC" w:rsidP="002F46CC">
      <w:pPr>
        <w:spacing w:after="120"/>
        <w:rPr>
          <w:b/>
          <w:color w:val="000000"/>
          <w:szCs w:val="20"/>
        </w:rPr>
      </w:pPr>
    </w:p>
    <w:p w14:paraId="1E3815AE" w14:textId="77777777" w:rsidR="002F46CC" w:rsidRPr="00522149" w:rsidRDefault="002F46CC" w:rsidP="002F46CC">
      <w:pPr>
        <w:rPr>
          <w:i/>
          <w:color w:val="000000"/>
          <w:sz w:val="24"/>
          <w:szCs w:val="20"/>
        </w:rPr>
      </w:pPr>
      <w:r w:rsidRPr="00522149">
        <w:rPr>
          <w:i/>
          <w:color w:val="000000"/>
          <w:sz w:val="24"/>
          <w:szCs w:val="20"/>
        </w:rPr>
        <w:t>Construction of variables</w:t>
      </w:r>
    </w:p>
    <w:p w14:paraId="68A47A6B" w14:textId="77777777" w:rsidR="002F46CC" w:rsidRPr="00BF3ADC" w:rsidRDefault="002F46CC" w:rsidP="002F46CC">
      <w:pPr>
        <w:spacing w:after="0"/>
      </w:pPr>
      <w:r w:rsidRPr="00BF3ADC">
        <w:rPr>
          <w:b/>
        </w:rPr>
        <w:t xml:space="preserve">Public sector-headed households: </w:t>
      </w:r>
      <w:r w:rsidRPr="00BF3ADC">
        <w:t>designated household head reports working in the public sector.</w:t>
      </w:r>
    </w:p>
    <w:p w14:paraId="08F93C48" w14:textId="77777777" w:rsidR="002F46CC" w:rsidRPr="00BF3ADC" w:rsidRDefault="002F46CC" w:rsidP="002F46CC">
      <w:pPr>
        <w:pStyle w:val="ListParagraph"/>
        <w:numPr>
          <w:ilvl w:val="0"/>
          <w:numId w:val="1"/>
        </w:numPr>
        <w:spacing w:line="276" w:lineRule="auto"/>
        <w:jc w:val="left"/>
      </w:pPr>
      <w:r w:rsidRPr="00BF3ADC">
        <w:t>1993 HRDS: Based on economic activity, variable i24, but excluding households that do not report public sector income as a most important or second most important household income.</w:t>
      </w:r>
      <w:r>
        <w:t xml:space="preserve"> This additional exclusion criteria was added because the HRDS appears to be capturing a lot of part-time and casual public sector employees compared to other contemporary sources. However, this added exclusion criteria only accounts for 2-3% of households in the top 10%.</w:t>
      </w:r>
    </w:p>
    <w:p w14:paraId="5C8A4EBA" w14:textId="77777777" w:rsidR="002F46CC" w:rsidRPr="00BF3ADC" w:rsidRDefault="002F46CC" w:rsidP="002F46CC">
      <w:pPr>
        <w:pStyle w:val="ListParagraph"/>
        <w:numPr>
          <w:ilvl w:val="0"/>
          <w:numId w:val="1"/>
        </w:numPr>
        <w:spacing w:line="276" w:lineRule="auto"/>
        <w:jc w:val="left"/>
      </w:pPr>
      <w:r>
        <w:t xml:space="preserve">2000/01 </w:t>
      </w:r>
      <w:r w:rsidRPr="00BF3ADC">
        <w:t>HBS: Based on main activity, variable s2q08a. Those who reported zero employment income were excluded.</w:t>
      </w:r>
    </w:p>
    <w:p w14:paraId="40FB14BB" w14:textId="77777777" w:rsidR="002F46CC" w:rsidRPr="00BF3ADC" w:rsidRDefault="002F46CC" w:rsidP="002F46CC">
      <w:pPr>
        <w:pStyle w:val="ListParagraph"/>
        <w:numPr>
          <w:ilvl w:val="0"/>
          <w:numId w:val="1"/>
        </w:numPr>
        <w:spacing w:line="276" w:lineRule="auto"/>
        <w:jc w:val="left"/>
      </w:pPr>
      <w:r>
        <w:t xml:space="preserve">2011/12 </w:t>
      </w:r>
      <w:r w:rsidRPr="00BF3ADC">
        <w:t>HBS: Based on main economic activity, variable S12Q20. Inconsistent entries were removed (roughly 5% of entries); those that reported a public sector employer but not paid employment as an activity, nor any income from this employer.</w:t>
      </w:r>
    </w:p>
    <w:p w14:paraId="7B5717A2" w14:textId="77777777" w:rsidR="002F46CC" w:rsidRPr="00BF3ADC" w:rsidRDefault="002F46CC" w:rsidP="002F46CC">
      <w:pPr>
        <w:spacing w:line="276" w:lineRule="auto"/>
      </w:pPr>
      <w:r w:rsidRPr="00BF3ADC">
        <w:t xml:space="preserve">A point to note is that the in contrast to the EES the household surveys do not explicitly exclude the military, although they tend to be limited to private households and thus exclude army barracks. </w:t>
      </w:r>
    </w:p>
    <w:p w14:paraId="5732898D" w14:textId="77777777" w:rsidR="002F46CC" w:rsidRPr="00BF3ADC" w:rsidRDefault="002F46CC" w:rsidP="002F46CC">
      <w:pPr>
        <w:spacing w:after="0"/>
      </w:pPr>
      <w:r w:rsidRPr="00BF3ADC">
        <w:rPr>
          <w:b/>
        </w:rPr>
        <w:t xml:space="preserve">Main economic activity of household head: </w:t>
      </w:r>
    </w:p>
    <w:p w14:paraId="48D3CF0C" w14:textId="77777777" w:rsidR="002F46CC" w:rsidRPr="00BF3ADC" w:rsidRDefault="002F46CC" w:rsidP="002F46CC">
      <w:pPr>
        <w:pStyle w:val="ListParagraph"/>
        <w:numPr>
          <w:ilvl w:val="0"/>
          <w:numId w:val="1"/>
        </w:numPr>
        <w:spacing w:line="276" w:lineRule="auto"/>
        <w:jc w:val="left"/>
      </w:pPr>
      <w:r w:rsidRPr="00BF3ADC">
        <w:t>1993 HRDS: Based on economic activity, variable i24. Those who reported public sector employment but did not report income from this source have been recoded on the basis of their main reported source of income.</w:t>
      </w:r>
    </w:p>
    <w:p w14:paraId="00BADDA0" w14:textId="77777777" w:rsidR="002F46CC" w:rsidRPr="00BF3ADC" w:rsidRDefault="002F46CC" w:rsidP="002F46CC">
      <w:pPr>
        <w:pStyle w:val="ListParagraph"/>
        <w:numPr>
          <w:ilvl w:val="0"/>
          <w:numId w:val="1"/>
        </w:numPr>
        <w:spacing w:line="276" w:lineRule="auto"/>
        <w:jc w:val="left"/>
      </w:pPr>
      <w:r>
        <w:t xml:space="preserve">2000/01 </w:t>
      </w:r>
      <w:r w:rsidRPr="00BF3ADC">
        <w:t>HBS: Based on main activity, variable s2q08a.</w:t>
      </w:r>
    </w:p>
    <w:p w14:paraId="1BD4E392" w14:textId="77777777" w:rsidR="002F46CC" w:rsidRPr="00BF3ADC" w:rsidRDefault="002F46CC" w:rsidP="002F46CC">
      <w:pPr>
        <w:pStyle w:val="ListParagraph"/>
        <w:numPr>
          <w:ilvl w:val="0"/>
          <w:numId w:val="1"/>
        </w:numPr>
        <w:spacing w:line="276" w:lineRule="auto"/>
        <w:jc w:val="left"/>
      </w:pPr>
      <w:r>
        <w:t xml:space="preserve">2011/12 </w:t>
      </w:r>
      <w:r w:rsidRPr="00BF3ADC">
        <w:t>HBS: Calculated based on S12Q9, S12Q10A and S12Q20.</w:t>
      </w:r>
    </w:p>
    <w:p w14:paraId="512B2477" w14:textId="77777777" w:rsidR="002F46CC" w:rsidRPr="00BF3ADC" w:rsidRDefault="002F46CC" w:rsidP="002F46CC">
      <w:pPr>
        <w:spacing w:after="0"/>
        <w:rPr>
          <w:b/>
        </w:rPr>
      </w:pPr>
      <w:r w:rsidRPr="00BF3ADC">
        <w:rPr>
          <w:b/>
        </w:rPr>
        <w:t xml:space="preserve">Total household consumption/expenditure: </w:t>
      </w:r>
    </w:p>
    <w:p w14:paraId="7F22D90F" w14:textId="239A00A5" w:rsidR="002F46CC" w:rsidRPr="00BF3ADC" w:rsidRDefault="002F46CC" w:rsidP="002F46CC">
      <w:pPr>
        <w:pStyle w:val="ListParagraph"/>
        <w:numPr>
          <w:ilvl w:val="0"/>
          <w:numId w:val="1"/>
        </w:numPr>
        <w:spacing w:line="276" w:lineRule="auto"/>
        <w:jc w:val="left"/>
      </w:pPr>
      <w:r w:rsidRPr="00BF3ADC">
        <w:t>1993 HRDS: Variable constructed based on data on reported weekly, monthly and annual data on expenditure. Dataset contained no aggregate variables so these were constructed (multiplying weekly exp with 52 and monthly with 12).</w:t>
      </w:r>
    </w:p>
    <w:p w14:paraId="76EE054A" w14:textId="77777777" w:rsidR="002F46CC" w:rsidRPr="00BF3ADC" w:rsidRDefault="002F46CC" w:rsidP="002F46CC">
      <w:pPr>
        <w:pStyle w:val="ListParagraph"/>
        <w:numPr>
          <w:ilvl w:val="0"/>
          <w:numId w:val="1"/>
        </w:numPr>
        <w:spacing w:line="276" w:lineRule="auto"/>
        <w:jc w:val="left"/>
      </w:pPr>
      <w:r>
        <w:t xml:space="preserve">2000/01 </w:t>
      </w:r>
      <w:r w:rsidRPr="00BF3ADC">
        <w:t>HBS: Based on exp_adeq.</w:t>
      </w:r>
    </w:p>
    <w:p w14:paraId="244DD701" w14:textId="653E3151" w:rsidR="002F46CC" w:rsidRDefault="002F46CC" w:rsidP="002F46CC">
      <w:pPr>
        <w:pStyle w:val="ListParagraph"/>
        <w:numPr>
          <w:ilvl w:val="0"/>
          <w:numId w:val="1"/>
        </w:numPr>
        <w:spacing w:line="276" w:lineRule="auto"/>
        <w:jc w:val="left"/>
      </w:pPr>
      <w:r>
        <w:t xml:space="preserve">2011/12 </w:t>
      </w:r>
      <w:r w:rsidRPr="00BF3ADC">
        <w:t xml:space="preserve">HBS: Based on totc. </w:t>
      </w:r>
    </w:p>
    <w:p w14:paraId="593E0339" w14:textId="2089A626" w:rsidR="002F46CC" w:rsidRDefault="00FB129C" w:rsidP="002F46CC">
      <w:pPr>
        <w:spacing w:line="276" w:lineRule="auto"/>
      </w:pPr>
      <w:r>
        <w:t xml:space="preserve">The 1993 survey </w:t>
      </w:r>
      <w:r w:rsidR="003555B1">
        <w:t>results are the least reliable, and rest on a recalculation by the author from each of the weekly, monthly and annual expenditure modules.</w:t>
      </w:r>
      <w:r w:rsidR="00A56FDB">
        <w:t xml:space="preserve"> The consumption module moreover, was based on recall rather than diaries.</w:t>
      </w:r>
      <w:r w:rsidR="003555B1">
        <w:t xml:space="preserve"> </w:t>
      </w:r>
    </w:p>
    <w:p w14:paraId="043F70CB" w14:textId="0ED67B97" w:rsidR="00FB129C" w:rsidRPr="00BF3ADC" w:rsidRDefault="00FB129C" w:rsidP="002F46CC">
      <w:pPr>
        <w:spacing w:line="276" w:lineRule="auto"/>
      </w:pPr>
      <w:r>
        <w:t xml:space="preserve">The 2000/01 and 2011/12 </w:t>
      </w:r>
      <w:r w:rsidR="00A66C1F">
        <w:t xml:space="preserve">household budget surveys are relatively consistent in methodology. </w:t>
      </w:r>
      <w:r>
        <w:t xml:space="preserve">Both required households to keep diaries of consumption </w:t>
      </w:r>
      <w:r w:rsidR="00A66C1F">
        <w:t>for 28 days</w:t>
      </w:r>
      <w:r>
        <w:t xml:space="preserve">, as well as recording bigger purchases </w:t>
      </w:r>
      <w:r>
        <w:lastRenderedPageBreak/>
        <w:t xml:space="preserve">over the past year based on recall. Own-production was valued at local market prices. </w:t>
      </w:r>
      <w:r w:rsidR="00A66C1F">
        <w:t>However, the 2011/12 survey improved the diary format and allowed disaggregation between expenditure and own-consumption. The methodology thus different slightly. Consumption totals are based on food consumption, health and educational expenditure, consumer durables and other non-durables</w:t>
      </w:r>
      <w:r w:rsidR="00DC76F1">
        <w:t>, rent and imputed rent (for owner-occupiers) is included</w:t>
      </w:r>
      <w:r w:rsidR="00A66C1F">
        <w:t>.</w:t>
      </w:r>
      <w:r w:rsidR="00A66C1F">
        <w:rPr>
          <w:rStyle w:val="FootnoteReference"/>
        </w:rPr>
        <w:footnoteReference w:id="13"/>
      </w:r>
      <w:r w:rsidR="00DC76F1">
        <w:t xml:space="preserve"> Spatial and temporal price deflators have not been applied to increase methodological consistency across surveys, but robustness analysis with these deflators suggest it makes little difference to the main results.</w:t>
      </w:r>
      <w:r w:rsidR="00DC76F1">
        <w:rPr>
          <w:rStyle w:val="FootnoteReference"/>
        </w:rPr>
        <w:footnoteReference w:id="14"/>
      </w:r>
    </w:p>
    <w:p w14:paraId="3B0E94F3" w14:textId="77777777" w:rsidR="002F46CC" w:rsidRDefault="002F46CC" w:rsidP="002F46CC">
      <w:pPr>
        <w:spacing w:after="0"/>
        <w:rPr>
          <w:b/>
        </w:rPr>
      </w:pPr>
      <w:r>
        <w:rPr>
          <w:b/>
        </w:rPr>
        <w:t>Asset wealth (index constructed based on following variables)</w:t>
      </w:r>
    </w:p>
    <w:p w14:paraId="3974EFB1" w14:textId="77777777" w:rsidR="002F46CC" w:rsidRPr="00CA3064" w:rsidRDefault="002F46CC" w:rsidP="002F46CC">
      <w:pPr>
        <w:pStyle w:val="ListParagraph"/>
        <w:numPr>
          <w:ilvl w:val="0"/>
          <w:numId w:val="1"/>
        </w:numPr>
        <w:spacing w:line="276" w:lineRule="auto"/>
        <w:jc w:val="left"/>
      </w:pPr>
      <w:r>
        <w:t xml:space="preserve">1993 HRDS: </w:t>
      </w:r>
      <w:r w:rsidRPr="00CA3064">
        <w:t xml:space="preserve">Electricity in home, </w:t>
      </w:r>
      <w:r>
        <w:t xml:space="preserve">piped water, </w:t>
      </w:r>
      <w:r w:rsidRPr="00CA3064">
        <w:t xml:space="preserve">flush toilet, cooking fuel (gas or electricity); </w:t>
      </w:r>
      <w:r w:rsidRPr="004109AB">
        <w:t>flooring (whether tiles, wood or cement), TV, refrigerator, bank account.</w:t>
      </w:r>
    </w:p>
    <w:p w14:paraId="561C22BB" w14:textId="77777777" w:rsidR="002F46CC" w:rsidRPr="003A2F41" w:rsidRDefault="002F46CC" w:rsidP="002F46CC">
      <w:pPr>
        <w:pStyle w:val="ListParagraph"/>
        <w:numPr>
          <w:ilvl w:val="0"/>
          <w:numId w:val="1"/>
        </w:numPr>
        <w:spacing w:line="276" w:lineRule="auto"/>
        <w:jc w:val="left"/>
      </w:pPr>
      <w:r w:rsidRPr="004109AB">
        <w:t xml:space="preserve">2000/01 HBS: </w:t>
      </w:r>
      <w:r w:rsidRPr="00CA3064">
        <w:t xml:space="preserve">Electricity in home, flush toilet, cooking fuel (gas or electricity); </w:t>
      </w:r>
      <w:r w:rsidRPr="004109AB">
        <w:t>flooring (whether tiles, wood or cement), car, TV, refrigerator, bank account.</w:t>
      </w:r>
    </w:p>
    <w:p w14:paraId="106D3A13" w14:textId="77777777" w:rsidR="002F46CC" w:rsidRPr="00853487" w:rsidRDefault="002F46CC" w:rsidP="002F46CC">
      <w:pPr>
        <w:pStyle w:val="ListParagraph"/>
        <w:numPr>
          <w:ilvl w:val="0"/>
          <w:numId w:val="1"/>
        </w:numPr>
        <w:spacing w:after="360" w:line="276" w:lineRule="auto"/>
        <w:jc w:val="left"/>
      </w:pPr>
      <w:r w:rsidRPr="004109AB">
        <w:t xml:space="preserve">2011/12 HBS: </w:t>
      </w:r>
      <w:r w:rsidRPr="00CA3064">
        <w:t xml:space="preserve">Electricity in home, flush toilet, cooking fuel (gas or electricity); </w:t>
      </w:r>
      <w:r w:rsidRPr="004109AB">
        <w:t>flooring (whether tiles, wood or cement), car, TV, refrigerator, air conditioning.</w:t>
      </w:r>
    </w:p>
    <w:p w14:paraId="33099151" w14:textId="77777777" w:rsidR="009517F9" w:rsidRDefault="009517F9"/>
    <w:sectPr w:rsidR="009517F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15A1A" w14:textId="77777777" w:rsidR="008C6C57" w:rsidRDefault="008C6C57" w:rsidP="002F46CC">
      <w:pPr>
        <w:spacing w:after="0" w:line="240" w:lineRule="auto"/>
      </w:pPr>
      <w:r>
        <w:separator/>
      </w:r>
    </w:p>
  </w:endnote>
  <w:endnote w:type="continuationSeparator" w:id="0">
    <w:p w14:paraId="77796686" w14:textId="77777777" w:rsidR="008C6C57" w:rsidRDefault="008C6C57" w:rsidP="002F4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716840"/>
      <w:docPartObj>
        <w:docPartGallery w:val="Page Numbers (Bottom of Page)"/>
        <w:docPartUnique/>
      </w:docPartObj>
    </w:sdtPr>
    <w:sdtEndPr>
      <w:rPr>
        <w:noProof/>
      </w:rPr>
    </w:sdtEndPr>
    <w:sdtContent>
      <w:p w14:paraId="4A29AE9A" w14:textId="1E2B4C7B" w:rsidR="00175612" w:rsidRDefault="001756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61385A" w14:textId="77777777" w:rsidR="008A5AC1" w:rsidRDefault="008A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DF82D" w14:textId="77777777" w:rsidR="008C6C57" w:rsidRDefault="008C6C57" w:rsidP="002F46CC">
      <w:pPr>
        <w:spacing w:after="0" w:line="240" w:lineRule="auto"/>
      </w:pPr>
      <w:r>
        <w:separator/>
      </w:r>
    </w:p>
  </w:footnote>
  <w:footnote w:type="continuationSeparator" w:id="0">
    <w:p w14:paraId="69FB365B" w14:textId="77777777" w:rsidR="008C6C57" w:rsidRDefault="008C6C57" w:rsidP="002F46CC">
      <w:pPr>
        <w:spacing w:after="0" w:line="240" w:lineRule="auto"/>
      </w:pPr>
      <w:r>
        <w:continuationSeparator/>
      </w:r>
    </w:p>
  </w:footnote>
  <w:footnote w:id="1">
    <w:p w14:paraId="36BAC3A8" w14:textId="4F414DFC" w:rsidR="00543C51" w:rsidRDefault="00543C51" w:rsidP="00543C51">
      <w:pPr>
        <w:pStyle w:val="FootnoteText"/>
        <w:jc w:val="left"/>
      </w:pPr>
      <w:r>
        <w:rPr>
          <w:rStyle w:val="FootnoteReference"/>
        </w:rPr>
        <w:footnoteRef/>
      </w:r>
      <w:r>
        <w:t xml:space="preserve"> </w:t>
      </w:r>
      <w:r w:rsidRPr="009876A4">
        <w:t>Kenya.</w:t>
      </w:r>
      <w:r>
        <w:t xml:space="preserve"> Central Bureau of Statistics, </w:t>
      </w:r>
      <w:r w:rsidRPr="00783381">
        <w:rPr>
          <w:i/>
        </w:rPr>
        <w:t>Statistical Abstract</w:t>
      </w:r>
      <w:r>
        <w:rPr>
          <w:i/>
        </w:rPr>
        <w:t xml:space="preserve"> 1974</w:t>
      </w:r>
      <w:r w:rsidRPr="009876A4">
        <w:t xml:space="preserve"> (Nairobi: Central Bureau of Statistics)</w:t>
      </w:r>
      <w:r>
        <w:t xml:space="preserve"> [Available at: </w:t>
      </w:r>
      <w:r w:rsidRPr="00783381">
        <w:t>https://www.knbs.or.ke/</w:t>
      </w:r>
      <w:r>
        <w:t>]</w:t>
      </w:r>
    </w:p>
  </w:footnote>
  <w:footnote w:id="2">
    <w:p w14:paraId="51BB924A" w14:textId="64BCCB99" w:rsidR="00543C51" w:rsidRPr="00543C51" w:rsidRDefault="00543C51" w:rsidP="00543C51">
      <w:pPr>
        <w:spacing w:after="0" w:line="240" w:lineRule="auto"/>
        <w:jc w:val="left"/>
        <w:rPr>
          <w:sz w:val="20"/>
          <w:szCs w:val="20"/>
        </w:rPr>
      </w:pPr>
      <w:r w:rsidRPr="00543C51">
        <w:rPr>
          <w:rStyle w:val="FootnoteReference"/>
          <w:sz w:val="20"/>
          <w:szCs w:val="20"/>
        </w:rPr>
        <w:footnoteRef/>
      </w:r>
      <w:r w:rsidRPr="00543C51">
        <w:rPr>
          <w:sz w:val="20"/>
          <w:szCs w:val="20"/>
        </w:rPr>
        <w:t xml:space="preserve"> Kenya National Bureau of Statistics.  </w:t>
      </w:r>
      <w:r w:rsidRPr="00543C51">
        <w:rPr>
          <w:i/>
          <w:sz w:val="20"/>
          <w:szCs w:val="20"/>
        </w:rPr>
        <w:t>Welfare Monitoring Survey 1994, Second Round,</w:t>
      </w:r>
      <w:r w:rsidRPr="00543C51">
        <w:rPr>
          <w:sz w:val="20"/>
          <w:szCs w:val="20"/>
        </w:rPr>
        <w:t xml:space="preserve"> [Dataset] [ID#  KEN_1994_WMS-II_v01_M]. Nairobi. [Available at: http://statistics.knbs.or.ke/nada/index.php/catalog]</w:t>
      </w:r>
    </w:p>
  </w:footnote>
  <w:footnote w:id="3">
    <w:p w14:paraId="4CC07128" w14:textId="36B54FA2" w:rsidR="00543C51" w:rsidRDefault="00543C51" w:rsidP="00543C51">
      <w:pPr>
        <w:pStyle w:val="FootnoteText"/>
        <w:jc w:val="left"/>
      </w:pPr>
      <w:r w:rsidRPr="00543C51">
        <w:rPr>
          <w:rStyle w:val="FootnoteReference"/>
        </w:rPr>
        <w:footnoteRef/>
      </w:r>
      <w:r w:rsidRPr="00543C51">
        <w:t xml:space="preserve"> Minnesota Population Center, ‘Kenya 2009 Population and Housing Census’, </w:t>
      </w:r>
      <w:r w:rsidRPr="00543C51">
        <w:rPr>
          <w:i/>
        </w:rPr>
        <w:t>Integrated Public Use Micro</w:t>
      </w:r>
      <w:r w:rsidRPr="00522CDF">
        <w:rPr>
          <w:i/>
        </w:rPr>
        <w:t xml:space="preserve">data Series, International: Version 6.3 </w:t>
      </w:r>
      <w:r w:rsidRPr="00522CDF">
        <w:t>[Dataset] (Minneapolis: University of Minnesota, 2015).</w:t>
      </w:r>
      <w:r w:rsidRPr="00522CDF">
        <w:rPr>
          <w:rStyle w:val="Hyperlink"/>
          <w:rFonts w:eastAsia="Times New Roman"/>
          <w:color w:val="auto"/>
          <w:u w:val="none"/>
        </w:rPr>
        <w:t xml:space="preserve"> </w:t>
      </w:r>
      <w:hyperlink r:id="rId1" w:history="1">
        <w:r w:rsidRPr="00522CDF">
          <w:rPr>
            <w:rStyle w:val="Hyperlink"/>
            <w:rFonts w:eastAsia="Times New Roman"/>
            <w:color w:val="auto"/>
            <w:u w:val="none"/>
          </w:rPr>
          <w:t>http://doi.org/10.18128/D020.V6.4</w:t>
        </w:r>
      </w:hyperlink>
    </w:p>
  </w:footnote>
  <w:footnote w:id="4">
    <w:p w14:paraId="283C272A" w14:textId="2C60E9D0" w:rsidR="00543C51" w:rsidRPr="00543C51" w:rsidRDefault="00543C51" w:rsidP="00543C51">
      <w:pPr>
        <w:spacing w:after="0" w:line="240" w:lineRule="auto"/>
        <w:jc w:val="left"/>
        <w:rPr>
          <w:sz w:val="20"/>
          <w:szCs w:val="20"/>
        </w:rPr>
      </w:pPr>
      <w:r>
        <w:rPr>
          <w:rStyle w:val="FootnoteReference"/>
        </w:rPr>
        <w:footnoteRef/>
      </w:r>
      <w:r>
        <w:t xml:space="preserve"> </w:t>
      </w:r>
      <w:r w:rsidRPr="00543C51">
        <w:rPr>
          <w:sz w:val="20"/>
          <w:szCs w:val="20"/>
        </w:rPr>
        <w:t xml:space="preserve">Kenya National Bureau of Statistics.  </w:t>
      </w:r>
      <w:r>
        <w:rPr>
          <w:i/>
          <w:sz w:val="20"/>
          <w:szCs w:val="20"/>
        </w:rPr>
        <w:t>Kenya Integrated Household Budget Survey 2015/16</w:t>
      </w:r>
      <w:r w:rsidRPr="00543C51">
        <w:rPr>
          <w:sz w:val="20"/>
          <w:szCs w:val="20"/>
        </w:rPr>
        <w:t xml:space="preserve"> [Dataset] [ID#  KEN-KNBS-KIHBS-2015-2016-v01] Nairobi. [Available at: http://statistics.knbs.or.ke/nada/index.php/catalog]</w:t>
      </w:r>
    </w:p>
  </w:footnote>
  <w:footnote w:id="5">
    <w:p w14:paraId="11FBDB06" w14:textId="5F30DDBF" w:rsidR="00543C51" w:rsidRDefault="00543C51" w:rsidP="00543C51">
      <w:pPr>
        <w:pStyle w:val="FootnoteText"/>
        <w:jc w:val="left"/>
      </w:pPr>
      <w:r>
        <w:rPr>
          <w:rStyle w:val="FootnoteReference"/>
        </w:rPr>
        <w:footnoteRef/>
      </w:r>
      <w:r>
        <w:t xml:space="preserve"> </w:t>
      </w:r>
      <w:r w:rsidRPr="003F28BA">
        <w:rPr>
          <w:noProof/>
        </w:rPr>
        <w:t xml:space="preserve">Tanzania. Ministry of Labour and Manpower Development., </w:t>
      </w:r>
      <w:r w:rsidRPr="003F28BA">
        <w:rPr>
          <w:i/>
          <w:noProof/>
        </w:rPr>
        <w:t>Annual Manpower Report to the President</w:t>
      </w:r>
      <w:r>
        <w:rPr>
          <w:i/>
          <w:noProof/>
        </w:rPr>
        <w:t xml:space="preserve"> 1982</w:t>
      </w:r>
      <w:r w:rsidRPr="003F28BA">
        <w:rPr>
          <w:i/>
          <w:noProof/>
        </w:rPr>
        <w:t xml:space="preserve"> </w:t>
      </w:r>
      <w:r w:rsidRPr="003F28BA">
        <w:rPr>
          <w:noProof/>
        </w:rPr>
        <w:t>(Dar es Salaam)</w:t>
      </w:r>
    </w:p>
  </w:footnote>
  <w:footnote w:id="6">
    <w:p w14:paraId="5A3CF6B7" w14:textId="34807BE9" w:rsidR="00543C51" w:rsidRDefault="00543C51" w:rsidP="00543C51">
      <w:pPr>
        <w:pStyle w:val="FootnoteText"/>
        <w:jc w:val="left"/>
      </w:pPr>
      <w:r>
        <w:rPr>
          <w:rStyle w:val="FootnoteReference"/>
        </w:rPr>
        <w:footnoteRef/>
      </w:r>
      <w:r>
        <w:t xml:space="preserve"> </w:t>
      </w:r>
      <w:r w:rsidRPr="001F29F0">
        <w:t xml:space="preserve">University of Dar es Salaam, </w:t>
      </w:r>
      <w:r w:rsidRPr="001F29F0">
        <w:rPr>
          <w:i/>
        </w:rPr>
        <w:t>Tanzania Human Resource Development Survey 1993</w:t>
      </w:r>
      <w:r>
        <w:rPr>
          <w:i/>
        </w:rPr>
        <w:t xml:space="preserve"> </w:t>
      </w:r>
      <w:r>
        <w:t>[Dataset]</w:t>
      </w:r>
      <w:r w:rsidRPr="001F29F0">
        <w:t xml:space="preserve"> </w:t>
      </w:r>
      <w:r>
        <w:t xml:space="preserve">[ID# TZA_1993_HRDS_v01_M] </w:t>
      </w:r>
      <w:r w:rsidRPr="001F29F0">
        <w:t>(Dar es Salaam)</w:t>
      </w:r>
      <w:r>
        <w:t xml:space="preserve"> </w:t>
      </w:r>
      <w:r w:rsidRPr="004C7C74">
        <w:t>[Available on: http://nbs.go.tz/catalog/index.php/catalog]</w:t>
      </w:r>
    </w:p>
  </w:footnote>
  <w:footnote w:id="7">
    <w:p w14:paraId="6B49CD54" w14:textId="6D4B4FD1" w:rsidR="00543C51" w:rsidRDefault="00543C51" w:rsidP="00543C51">
      <w:pPr>
        <w:pStyle w:val="FootnoteText"/>
        <w:jc w:val="left"/>
      </w:pPr>
      <w:r>
        <w:rPr>
          <w:rStyle w:val="FootnoteReference"/>
        </w:rPr>
        <w:footnoteRef/>
      </w:r>
      <w:r>
        <w:t xml:space="preserve"> </w:t>
      </w:r>
      <w:r w:rsidRPr="001F29F0">
        <w:t>Tanzania</w:t>
      </w:r>
      <w:r>
        <w:t>.</w:t>
      </w:r>
      <w:r w:rsidRPr="001F29F0">
        <w:t xml:space="preserve"> National Bureau of Statistics, </w:t>
      </w:r>
      <w:r w:rsidRPr="001F29F0">
        <w:rPr>
          <w:i/>
        </w:rPr>
        <w:t>Household Budget Survey 2000/01</w:t>
      </w:r>
      <w:r>
        <w:rPr>
          <w:i/>
        </w:rPr>
        <w:t xml:space="preserve"> </w:t>
      </w:r>
      <w:r w:rsidRPr="009876A4">
        <w:t>[Dataset]</w:t>
      </w:r>
      <w:r>
        <w:rPr>
          <w:i/>
        </w:rPr>
        <w:t xml:space="preserve"> </w:t>
      </w:r>
      <w:r w:rsidRPr="00BF3ADC">
        <w:t>[ID#  TZA-NBS-HBS-2000-v01]</w:t>
      </w:r>
      <w:r>
        <w:t xml:space="preserve"> </w:t>
      </w:r>
      <w:r w:rsidRPr="001F29F0">
        <w:t>(Dar es Salaam).</w:t>
      </w:r>
      <w:r>
        <w:t xml:space="preserve"> </w:t>
      </w:r>
      <w:r w:rsidRPr="004C7C74">
        <w:t>[Available on: http://nbs.go.tz/catalog/index.php/catalog]</w:t>
      </w:r>
    </w:p>
  </w:footnote>
  <w:footnote w:id="8">
    <w:p w14:paraId="65D4B6E0" w14:textId="633649F7" w:rsidR="00543C51" w:rsidRDefault="00543C51" w:rsidP="00543C51">
      <w:pPr>
        <w:pStyle w:val="FootnoteText"/>
        <w:jc w:val="left"/>
      </w:pPr>
      <w:r>
        <w:rPr>
          <w:rStyle w:val="FootnoteReference"/>
        </w:rPr>
        <w:footnoteRef/>
      </w:r>
      <w:r>
        <w:t xml:space="preserve"> </w:t>
      </w:r>
      <w:r w:rsidRPr="001F29F0">
        <w:t xml:space="preserve">Tanzania National Bureau of Statistics, </w:t>
      </w:r>
      <w:r>
        <w:rPr>
          <w:i/>
        </w:rPr>
        <w:t xml:space="preserve">Household Budget Survey 2011/12, Sixth Round </w:t>
      </w:r>
      <w:r>
        <w:t>[Dataset]</w:t>
      </w:r>
      <w:r w:rsidRPr="001F29F0">
        <w:rPr>
          <w:i/>
        </w:rPr>
        <w:t xml:space="preserve"> </w:t>
      </w:r>
      <w:r w:rsidRPr="00BF3ADC">
        <w:t>[ID#  TZA-NBS-HBS-2011-V01</w:t>
      </w:r>
      <w:r>
        <w:t>]</w:t>
      </w:r>
      <w:r w:rsidRPr="001F29F0">
        <w:rPr>
          <w:i/>
        </w:rPr>
        <w:t xml:space="preserve"> </w:t>
      </w:r>
      <w:r w:rsidRPr="001F29F0">
        <w:t>(Dar es Salaam).</w:t>
      </w:r>
      <w:r>
        <w:t xml:space="preserve"> </w:t>
      </w:r>
      <w:r w:rsidRPr="004C7C74">
        <w:t>[Available on: http://nbs.go.tz/catalog/index.php/catalog]</w:t>
      </w:r>
    </w:p>
  </w:footnote>
  <w:footnote w:id="9">
    <w:p w14:paraId="5EAF4FC8" w14:textId="762B70EE" w:rsidR="00245E22" w:rsidRPr="00522CDF" w:rsidRDefault="00245E22" w:rsidP="00522CDF">
      <w:pPr>
        <w:spacing w:after="0" w:line="240" w:lineRule="auto"/>
        <w:rPr>
          <w:b/>
          <w:bCs/>
        </w:rPr>
      </w:pPr>
      <w:r>
        <w:rPr>
          <w:rStyle w:val="FootnoteReference"/>
        </w:rPr>
        <w:footnoteRef/>
      </w:r>
      <w:r w:rsidR="00522CDF">
        <w:t xml:space="preserve"> </w:t>
      </w:r>
      <w:r w:rsidR="00522CDF" w:rsidRPr="00522CDF">
        <w:rPr>
          <w:color w:val="222222"/>
          <w:sz w:val="20"/>
          <w:szCs w:val="18"/>
          <w:shd w:val="clear" w:color="auto" w:fill="FFFFFF"/>
        </w:rPr>
        <w:t>Kenya Central Bureau of Statistics,</w:t>
      </w:r>
      <w:r w:rsidR="00522CDF" w:rsidRPr="00522CDF">
        <w:rPr>
          <w:rStyle w:val="apple-converted-space"/>
          <w:color w:val="222222"/>
          <w:sz w:val="20"/>
          <w:szCs w:val="18"/>
          <w:shd w:val="clear" w:color="auto" w:fill="FFFFFF"/>
        </w:rPr>
        <w:t> </w:t>
      </w:r>
      <w:r w:rsidR="00522CDF" w:rsidRPr="00522CDF">
        <w:rPr>
          <w:i/>
          <w:iCs/>
          <w:color w:val="222222"/>
          <w:sz w:val="20"/>
          <w:szCs w:val="18"/>
          <w:shd w:val="clear" w:color="auto" w:fill="FFFFFF"/>
        </w:rPr>
        <w:t>Integrated Rural Survey 1974/75: Basic Report</w:t>
      </w:r>
      <w:r w:rsidR="00522CDF" w:rsidRPr="00522CDF">
        <w:rPr>
          <w:rStyle w:val="apple-converted-space"/>
          <w:color w:val="222222"/>
          <w:sz w:val="20"/>
          <w:szCs w:val="18"/>
          <w:shd w:val="clear" w:color="auto" w:fill="FFFFFF"/>
        </w:rPr>
        <w:t> </w:t>
      </w:r>
      <w:r w:rsidR="00522CDF" w:rsidRPr="00522CDF">
        <w:rPr>
          <w:color w:val="222222"/>
          <w:sz w:val="20"/>
          <w:szCs w:val="18"/>
          <w:shd w:val="clear" w:color="auto" w:fill="FFFFFF"/>
        </w:rPr>
        <w:t>(Nairobi, 1977)</w:t>
      </w:r>
      <w:r w:rsidR="00522CDF" w:rsidRPr="00522CDF">
        <w:rPr>
          <w:color w:val="222222"/>
          <w:sz w:val="20"/>
          <w:szCs w:val="20"/>
          <w:shd w:val="clear" w:color="auto" w:fill="FFFFFF"/>
        </w:rPr>
        <w:t>; C</w:t>
      </w:r>
      <w:r w:rsidR="00522CDF" w:rsidRPr="00522CDF">
        <w:rPr>
          <w:noProof/>
          <w:sz w:val="20"/>
        </w:rPr>
        <w:t>rawford, E., and E. Thorbecke. “Employment, Income Distribution, Poverty Alleviation and Basic Needs in Kenya.” Geneva: International Labour Organisation, 1978; Smith, L.D. “Kenya: Low Income Smallholder Marketing and Consumption Patterns: Analysis and Improvement Policies and Programmes.” Rome, 1978; Collier, P. and Lal, D. “Poverty and Growth in Kenya.” World Bank Staff Working Papers. Washington D.C., 1980; Livingstone, I. “Rural Development Employment and Incomes in Kenya.” Geneva: International Labour Organisation, 1981.</w:t>
      </w:r>
    </w:p>
  </w:footnote>
  <w:footnote w:id="10">
    <w:p w14:paraId="4959B215" w14:textId="77777777" w:rsidR="008A5AC1" w:rsidRPr="005310BD" w:rsidRDefault="008A5AC1" w:rsidP="002F46CC">
      <w:pPr>
        <w:pStyle w:val="FootnoteText"/>
      </w:pPr>
      <w:r w:rsidRPr="00CB0021">
        <w:rPr>
          <w:rStyle w:val="FootnoteReference"/>
        </w:rPr>
        <w:footnoteRef/>
      </w:r>
      <w:r w:rsidRPr="005310BD">
        <w:t xml:space="preserve"> Results reported in: </w:t>
      </w:r>
      <w:r w:rsidRPr="00E30BEF">
        <w:rPr>
          <w:noProof/>
        </w:rPr>
        <w:t>(Atkinson, 2015)</w:t>
      </w:r>
    </w:p>
  </w:footnote>
  <w:footnote w:id="11">
    <w:p w14:paraId="7C390C0D" w14:textId="3819DF01" w:rsidR="009F7D08" w:rsidRDefault="009F7D08">
      <w:pPr>
        <w:pStyle w:val="FootnoteText"/>
      </w:pPr>
      <w:r>
        <w:rPr>
          <w:rStyle w:val="FootnoteReference"/>
        </w:rPr>
        <w:footnoteRef/>
      </w:r>
      <w:r>
        <w:t xml:space="preserve"> Kenya </w:t>
      </w:r>
      <w:r w:rsidR="00FB129C">
        <w:t xml:space="preserve">National </w:t>
      </w:r>
      <w:r>
        <w:t>Bureau of Statistics</w:t>
      </w:r>
      <w:r w:rsidR="00FB129C">
        <w:t xml:space="preserve"> (2007)</w:t>
      </w:r>
      <w:r>
        <w:t xml:space="preserve"> </w:t>
      </w:r>
      <w:r w:rsidR="00FB129C" w:rsidRPr="00FB129C">
        <w:rPr>
          <w:i/>
        </w:rPr>
        <w:t>Basic r</w:t>
      </w:r>
      <w:r w:rsidRPr="00FB129C">
        <w:rPr>
          <w:i/>
        </w:rPr>
        <w:t>eport on well</w:t>
      </w:r>
      <w:r w:rsidR="00FB129C" w:rsidRPr="00FB129C">
        <w:rPr>
          <w:i/>
        </w:rPr>
        <w:t>-</w:t>
      </w:r>
      <w:r w:rsidRPr="00FB129C">
        <w:rPr>
          <w:i/>
        </w:rPr>
        <w:t>being in Kenya</w:t>
      </w:r>
      <w:r w:rsidR="00FB129C" w:rsidRPr="00FB129C">
        <w:rPr>
          <w:i/>
        </w:rPr>
        <w:t xml:space="preserve"> based on the Kenya Integrated Household Budget Survey 2005/06</w:t>
      </w:r>
      <w:r>
        <w:t>, p.35</w:t>
      </w:r>
      <w:r w:rsidR="00FB129C">
        <w:t>.</w:t>
      </w:r>
    </w:p>
  </w:footnote>
  <w:footnote w:id="12">
    <w:p w14:paraId="1B4606B0" w14:textId="3265AD30" w:rsidR="00522CDF" w:rsidRDefault="00522CDF">
      <w:pPr>
        <w:pStyle w:val="FootnoteText"/>
      </w:pPr>
      <w:r>
        <w:rPr>
          <w:rStyle w:val="FootnoteReference"/>
        </w:rPr>
        <w:footnoteRef/>
      </w:r>
      <w:r>
        <w:t xml:space="preserve"> </w:t>
      </w:r>
      <w:r w:rsidRPr="001F29F0">
        <w:t xml:space="preserve">Tanzania National Bureau of Statistics. </w:t>
      </w:r>
      <w:r w:rsidRPr="001F29F0">
        <w:rPr>
          <w:i/>
        </w:rPr>
        <w:t xml:space="preserve">1969 Household Budget Survey, Volume 1 </w:t>
      </w:r>
      <w:r>
        <w:t>(Dar es Salaam, 1972); Tanzania</w:t>
      </w:r>
      <w:r w:rsidRPr="00524185">
        <w:t xml:space="preserve"> National</w:t>
      </w:r>
      <w:r>
        <w:t xml:space="preserve"> Bureau of Statistics, </w:t>
      </w:r>
      <w:r w:rsidRPr="00524185">
        <w:rPr>
          <w:i/>
        </w:rPr>
        <w:t>Survey of Employment and Earnings</w:t>
      </w:r>
      <w:r>
        <w:t xml:space="preserve"> (</w:t>
      </w:r>
      <w:r w:rsidRPr="00524185">
        <w:t>Dar es Salaam</w:t>
      </w:r>
      <w:r w:rsidRPr="003F28BA">
        <w:t xml:space="preserve">, </w:t>
      </w:r>
      <w:r>
        <w:t>1969</w:t>
      </w:r>
      <w:r w:rsidRPr="00524185">
        <w:t>)</w:t>
      </w:r>
      <w:r>
        <w:t xml:space="preserve">. </w:t>
      </w:r>
    </w:p>
  </w:footnote>
  <w:footnote w:id="13">
    <w:p w14:paraId="225D819A" w14:textId="6E71DDD1" w:rsidR="00A66C1F" w:rsidRDefault="00A66C1F">
      <w:pPr>
        <w:pStyle w:val="FootnoteText"/>
      </w:pPr>
      <w:r>
        <w:rPr>
          <w:rStyle w:val="FootnoteReference"/>
        </w:rPr>
        <w:footnoteRef/>
      </w:r>
      <w:r>
        <w:t xml:space="preserve"> Tanzania National Bureau of Statistics (2002) </w:t>
      </w:r>
      <w:r w:rsidRPr="00A66C1F">
        <w:rPr>
          <w:i/>
        </w:rPr>
        <w:t>Household budget survey 2000/01</w:t>
      </w:r>
      <w:r>
        <w:t xml:space="preserve"> (report), p.67; Tanzania National Bureau of Statistics (2014) </w:t>
      </w:r>
      <w:r w:rsidRPr="00A66C1F">
        <w:rPr>
          <w:i/>
        </w:rPr>
        <w:t xml:space="preserve">Household budget survey main report </w:t>
      </w:r>
      <w:r>
        <w:rPr>
          <w:i/>
        </w:rPr>
        <w:t>2011/12</w:t>
      </w:r>
      <w:r>
        <w:t>, p.84.</w:t>
      </w:r>
    </w:p>
  </w:footnote>
  <w:footnote w:id="14">
    <w:p w14:paraId="50B40875" w14:textId="6B2BEAAA" w:rsidR="00DC76F1" w:rsidRDefault="00DC76F1">
      <w:pPr>
        <w:pStyle w:val="FootnoteText"/>
      </w:pPr>
      <w:r>
        <w:rPr>
          <w:rStyle w:val="FootnoteReference"/>
        </w:rPr>
        <w:footnoteRef/>
      </w:r>
      <w:r>
        <w:t xml:space="preserve"> Applying the fisher index to the 2011/12 consumption </w:t>
      </w:r>
      <w:r w:rsidR="003555B1">
        <w:t>totals and calculating the public sector top 10% share gives the value as without the adjustment (when rounded to nearest percent).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F0944"/>
    <w:multiLevelType w:val="multilevel"/>
    <w:tmpl w:val="B53C55F6"/>
    <w:lvl w:ilvl="0">
      <w:start w:val="1"/>
      <w:numFmt w:val="upperRoman"/>
      <w:pStyle w:val="Heading4"/>
      <w:lvlText w:val="Appendix %1."/>
      <w:lvlJc w:val="left"/>
      <w:pPr>
        <w:ind w:left="720" w:hanging="720"/>
      </w:pPr>
      <w:rPr>
        <w:rFonts w:ascii="Times New Roman" w:hAnsi="Times New Roman" w:cs="Times New Roman" w:hint="default"/>
        <w:sz w:val="36"/>
      </w:rPr>
    </w:lvl>
    <w:lvl w:ilvl="1">
      <w:start w:val="1"/>
      <w:numFmt w:val="upperRoman"/>
      <w:pStyle w:val="Appendix2"/>
      <w:lvlText w:val="%1.%2."/>
      <w:lvlJc w:val="left"/>
      <w:pPr>
        <w:ind w:left="1021" w:hanging="102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5619FE"/>
    <w:multiLevelType w:val="hybridMultilevel"/>
    <w:tmpl w:val="A6E6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046C83"/>
    <w:multiLevelType w:val="hybridMultilevel"/>
    <w:tmpl w:val="368E44C4"/>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CC"/>
    <w:rsid w:val="000153A0"/>
    <w:rsid w:val="000B105F"/>
    <w:rsid w:val="0013292A"/>
    <w:rsid w:val="00175612"/>
    <w:rsid w:val="001C0B00"/>
    <w:rsid w:val="00203D9E"/>
    <w:rsid w:val="00245E22"/>
    <w:rsid w:val="002A048F"/>
    <w:rsid w:val="002F46CC"/>
    <w:rsid w:val="00335743"/>
    <w:rsid w:val="003555B1"/>
    <w:rsid w:val="003842EC"/>
    <w:rsid w:val="004129AD"/>
    <w:rsid w:val="004D367E"/>
    <w:rsid w:val="00522CDF"/>
    <w:rsid w:val="00527B11"/>
    <w:rsid w:val="00543C51"/>
    <w:rsid w:val="00581C1A"/>
    <w:rsid w:val="008529C1"/>
    <w:rsid w:val="0088542A"/>
    <w:rsid w:val="008A5AC1"/>
    <w:rsid w:val="008C6C57"/>
    <w:rsid w:val="009517F9"/>
    <w:rsid w:val="009F7D08"/>
    <w:rsid w:val="00A56FDB"/>
    <w:rsid w:val="00A66C1F"/>
    <w:rsid w:val="00A73EF4"/>
    <w:rsid w:val="00AE3A55"/>
    <w:rsid w:val="00AF6B3D"/>
    <w:rsid w:val="00B070F1"/>
    <w:rsid w:val="00C74563"/>
    <w:rsid w:val="00C80364"/>
    <w:rsid w:val="00CB0021"/>
    <w:rsid w:val="00D727F4"/>
    <w:rsid w:val="00DC76F1"/>
    <w:rsid w:val="00E2056A"/>
    <w:rsid w:val="00E308EE"/>
    <w:rsid w:val="00E369DF"/>
    <w:rsid w:val="00E743E5"/>
    <w:rsid w:val="00E759B1"/>
    <w:rsid w:val="00EB4DEB"/>
    <w:rsid w:val="00EC47EB"/>
    <w:rsid w:val="00EE3C6A"/>
    <w:rsid w:val="00F23961"/>
    <w:rsid w:val="00F60EBB"/>
    <w:rsid w:val="00F60FFE"/>
    <w:rsid w:val="00FB12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C136"/>
  <w15:chartTrackingRefBased/>
  <w15:docId w15:val="{2EEDA2CB-3DBF-4517-B5B1-023DDEE0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43C51"/>
    <w:pPr>
      <w:spacing w:after="200" w:line="360" w:lineRule="auto"/>
      <w:jc w:val="both"/>
    </w:pPr>
    <w:rPr>
      <w:rFonts w:ascii="Times New Roman" w:hAnsi="Times New Roman" w:cs="Times New Roman"/>
    </w:rPr>
  </w:style>
  <w:style w:type="paragraph" w:styleId="Heading3">
    <w:name w:val="heading 3"/>
    <w:basedOn w:val="Normal"/>
    <w:next w:val="Normal"/>
    <w:link w:val="Heading3Char"/>
    <w:uiPriority w:val="9"/>
    <w:unhideWhenUsed/>
    <w:qFormat/>
    <w:rsid w:val="002F46CC"/>
    <w:pPr>
      <w:outlineLvl w:val="2"/>
    </w:pPr>
    <w:rPr>
      <w:b/>
      <w:i/>
      <w:sz w:val="24"/>
    </w:rPr>
  </w:style>
  <w:style w:type="paragraph" w:styleId="Heading4">
    <w:name w:val="heading 4"/>
    <w:basedOn w:val="Normal"/>
    <w:next w:val="Normal"/>
    <w:link w:val="Heading4Char"/>
    <w:uiPriority w:val="9"/>
    <w:unhideWhenUsed/>
    <w:qFormat/>
    <w:rsid w:val="002F46CC"/>
    <w:pPr>
      <w:keepNext/>
      <w:keepLines/>
      <w:numPr>
        <w:numId w:val="3"/>
      </w:numPr>
      <w:spacing w:before="40" w:after="0"/>
      <w:outlineLvl w:val="3"/>
    </w:pPr>
    <w:rPr>
      <w:rFonts w:eastAsiaTheme="majorEastAsia" w:cstheme="majorBidi"/>
      <w:b/>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46CC"/>
    <w:rPr>
      <w:rFonts w:ascii="Times New Roman" w:hAnsi="Times New Roman" w:cs="Times New Roman"/>
      <w:b/>
      <w:i/>
      <w:sz w:val="24"/>
    </w:rPr>
  </w:style>
  <w:style w:type="character" w:customStyle="1" w:styleId="Heading4Char">
    <w:name w:val="Heading 4 Char"/>
    <w:basedOn w:val="DefaultParagraphFont"/>
    <w:link w:val="Heading4"/>
    <w:uiPriority w:val="9"/>
    <w:rsid w:val="002F46CC"/>
    <w:rPr>
      <w:rFonts w:ascii="Times New Roman" w:eastAsiaTheme="majorEastAsia" w:hAnsi="Times New Roman" w:cstheme="majorBidi"/>
      <w:b/>
      <w:i/>
      <w:iCs/>
      <w:sz w:val="36"/>
    </w:rPr>
  </w:style>
  <w:style w:type="paragraph" w:styleId="ListParagraph">
    <w:name w:val="List Paragraph"/>
    <w:basedOn w:val="Normal"/>
    <w:link w:val="ListParagraphChar"/>
    <w:uiPriority w:val="34"/>
    <w:qFormat/>
    <w:rsid w:val="002F46CC"/>
    <w:pPr>
      <w:ind w:left="720"/>
      <w:contextualSpacing/>
    </w:pPr>
  </w:style>
  <w:style w:type="character" w:customStyle="1" w:styleId="ListParagraphChar">
    <w:name w:val="List Paragraph Char"/>
    <w:basedOn w:val="DefaultParagraphFont"/>
    <w:link w:val="ListParagraph"/>
    <w:uiPriority w:val="34"/>
    <w:rsid w:val="002F46CC"/>
    <w:rPr>
      <w:rFonts w:ascii="Times New Roman" w:hAnsi="Times New Roman" w:cs="Times New Roman"/>
    </w:rPr>
  </w:style>
  <w:style w:type="paragraph" w:styleId="FootnoteText">
    <w:name w:val="footnote text"/>
    <w:basedOn w:val="Normal"/>
    <w:link w:val="FootnoteTextChar"/>
    <w:uiPriority w:val="99"/>
    <w:unhideWhenUsed/>
    <w:qFormat/>
    <w:rsid w:val="002F46CC"/>
    <w:pPr>
      <w:spacing w:after="0" w:line="240" w:lineRule="auto"/>
    </w:pPr>
    <w:rPr>
      <w:sz w:val="20"/>
      <w:szCs w:val="20"/>
    </w:rPr>
  </w:style>
  <w:style w:type="character" w:customStyle="1" w:styleId="FootnoteTextChar">
    <w:name w:val="Footnote Text Char"/>
    <w:basedOn w:val="DefaultParagraphFont"/>
    <w:link w:val="FootnoteText"/>
    <w:uiPriority w:val="99"/>
    <w:rsid w:val="002F46CC"/>
    <w:rPr>
      <w:rFonts w:ascii="Times New Roman" w:hAnsi="Times New Roman" w:cs="Times New Roman"/>
      <w:sz w:val="20"/>
      <w:szCs w:val="20"/>
    </w:rPr>
  </w:style>
  <w:style w:type="character" w:styleId="FootnoteReference">
    <w:name w:val="footnote reference"/>
    <w:basedOn w:val="DefaultParagraphFont"/>
    <w:uiPriority w:val="99"/>
    <w:unhideWhenUsed/>
    <w:qFormat/>
    <w:rsid w:val="002F46CC"/>
    <w:rPr>
      <w:vertAlign w:val="superscript"/>
    </w:rPr>
  </w:style>
  <w:style w:type="paragraph" w:styleId="Caption">
    <w:name w:val="caption"/>
    <w:basedOn w:val="Normal"/>
    <w:next w:val="Normal"/>
    <w:link w:val="CaptionChar"/>
    <w:uiPriority w:val="35"/>
    <w:unhideWhenUsed/>
    <w:qFormat/>
    <w:rsid w:val="002F46CC"/>
    <w:pPr>
      <w:spacing w:line="240" w:lineRule="auto"/>
    </w:pPr>
    <w:rPr>
      <w:b/>
      <w:iCs/>
      <w:sz w:val="20"/>
      <w:szCs w:val="18"/>
    </w:rPr>
  </w:style>
  <w:style w:type="table" w:styleId="TableGrid">
    <w:name w:val="Table Grid"/>
    <w:basedOn w:val="TableNormal"/>
    <w:uiPriority w:val="59"/>
    <w:rsid w:val="002F46CC"/>
    <w:pPr>
      <w:spacing w:after="0" w:line="240" w:lineRule="auto"/>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2">
    <w:name w:val="Appendix_2"/>
    <w:basedOn w:val="Heading4"/>
    <w:link w:val="Appendix2Char"/>
    <w:qFormat/>
    <w:rsid w:val="002F46CC"/>
    <w:pPr>
      <w:numPr>
        <w:ilvl w:val="1"/>
      </w:numPr>
      <w:spacing w:after="200"/>
    </w:pPr>
    <w:rPr>
      <w:sz w:val="24"/>
    </w:rPr>
  </w:style>
  <w:style w:type="character" w:customStyle="1" w:styleId="Appendix2Char">
    <w:name w:val="Appendix_2 Char"/>
    <w:basedOn w:val="DefaultParagraphFont"/>
    <w:link w:val="Appendix2"/>
    <w:rsid w:val="002F46CC"/>
    <w:rPr>
      <w:rFonts w:ascii="Times New Roman" w:eastAsiaTheme="majorEastAsia" w:hAnsi="Times New Roman" w:cstheme="majorBidi"/>
      <w:b/>
      <w:i/>
      <w:iCs/>
      <w:sz w:val="24"/>
    </w:rPr>
  </w:style>
  <w:style w:type="character" w:customStyle="1" w:styleId="CaptionChar">
    <w:name w:val="Caption Char"/>
    <w:basedOn w:val="DefaultParagraphFont"/>
    <w:link w:val="Caption"/>
    <w:uiPriority w:val="35"/>
    <w:rsid w:val="002F46CC"/>
    <w:rPr>
      <w:rFonts w:ascii="Times New Roman" w:hAnsi="Times New Roman" w:cs="Times New Roman"/>
      <w:b/>
      <w:iCs/>
      <w:sz w:val="20"/>
      <w:szCs w:val="18"/>
    </w:rPr>
  </w:style>
  <w:style w:type="paragraph" w:styleId="Header">
    <w:name w:val="header"/>
    <w:basedOn w:val="Normal"/>
    <w:link w:val="HeaderChar"/>
    <w:uiPriority w:val="99"/>
    <w:unhideWhenUsed/>
    <w:rsid w:val="00EE3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3C6A"/>
    <w:rPr>
      <w:rFonts w:ascii="Times New Roman" w:hAnsi="Times New Roman" w:cs="Times New Roman"/>
    </w:rPr>
  </w:style>
  <w:style w:type="paragraph" w:styleId="Footer">
    <w:name w:val="footer"/>
    <w:basedOn w:val="Normal"/>
    <w:link w:val="FooterChar"/>
    <w:uiPriority w:val="99"/>
    <w:unhideWhenUsed/>
    <w:rsid w:val="00EE3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C6A"/>
    <w:rPr>
      <w:rFonts w:ascii="Times New Roman" w:hAnsi="Times New Roman" w:cs="Times New Roman"/>
    </w:rPr>
  </w:style>
  <w:style w:type="character" w:styleId="EndnoteReference">
    <w:name w:val="endnote reference"/>
    <w:basedOn w:val="DefaultParagraphFont"/>
    <w:uiPriority w:val="99"/>
    <w:semiHidden/>
    <w:unhideWhenUsed/>
    <w:rsid w:val="00CB0021"/>
    <w:rPr>
      <w:vertAlign w:val="superscript"/>
    </w:rPr>
  </w:style>
  <w:style w:type="character" w:styleId="Hyperlink">
    <w:name w:val="Hyperlink"/>
    <w:uiPriority w:val="99"/>
    <w:unhideWhenUsed/>
    <w:rsid w:val="00543C51"/>
    <w:rPr>
      <w:color w:val="0000FF"/>
      <w:u w:val="single"/>
    </w:rPr>
  </w:style>
  <w:style w:type="character" w:customStyle="1" w:styleId="apple-converted-space">
    <w:name w:val="apple-converted-space"/>
    <w:basedOn w:val="DefaultParagraphFont"/>
    <w:rsid w:val="00522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oi.org/10.18128/D020.V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66887-0CF0-40AE-80A7-D468595B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11</Pages>
  <Words>3958</Words>
  <Characters>22561</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Simson,RR  (pgr)</dc:creator>
  <cp:keywords/>
  <dc:description/>
  <cp:lastModifiedBy>simson.rebecca@gmail.com</cp:lastModifiedBy>
  <cp:revision>14</cp:revision>
  <dcterms:created xsi:type="dcterms:W3CDTF">2018-07-24T15:51:00Z</dcterms:created>
  <dcterms:modified xsi:type="dcterms:W3CDTF">2020-03-08T20:35:00Z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http://www.zotero.org/styles/harvard-kings-college-london</vt:lpwstr>
  </property>
  <property fmtid="{D5CDD505-2E9C-101B-9397-08002B2CF9AE}" pid="11" name="Mendeley Recent Style Name 4_1">
    <vt:lpwstr>Harvard - King's College London</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