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50" w:rsidRPr="00FC7B24" w:rsidRDefault="00974C50" w:rsidP="00974C50">
      <w:pPr>
        <w:spacing w:after="0" w:line="240" w:lineRule="auto"/>
        <w:rPr>
          <w:rFonts w:asciiTheme="minorHAnsi" w:hAnsiTheme="minorHAnsi"/>
          <w:noProof/>
          <w:lang w:val="en-GB"/>
        </w:rPr>
      </w:pPr>
      <w:r w:rsidRPr="00FC7B24">
        <w:rPr>
          <w:rFonts w:asciiTheme="minorHAnsi" w:hAnsiTheme="minorHAnsi" w:cs="Arial"/>
          <w:b/>
          <w:lang w:val="en-GB"/>
        </w:rPr>
        <w:t xml:space="preserve">Table 1. </w:t>
      </w:r>
      <w:r w:rsidRPr="00FC7B24">
        <w:rPr>
          <w:rFonts w:asciiTheme="minorHAnsi" w:hAnsiTheme="minorHAnsi" w:cs="Arial"/>
          <w:lang w:val="en-GB"/>
        </w:rPr>
        <w:t>Baseline characteristics of the total population before and after adjusting for propensity score (PS).</w:t>
      </w:r>
    </w:p>
    <w:p w:rsidR="00974C50" w:rsidRPr="00FC7B24" w:rsidRDefault="00974C50" w:rsidP="00974C50">
      <w:pPr>
        <w:spacing w:after="0" w:line="240" w:lineRule="auto"/>
        <w:outlineLvl w:val="0"/>
        <w:rPr>
          <w:rFonts w:asciiTheme="minorHAnsi" w:hAnsiTheme="minorHAnsi" w:cs="Arial"/>
          <w:lang w:val="en-GB"/>
        </w:rPr>
      </w:pPr>
    </w:p>
    <w:tbl>
      <w:tblPr>
        <w:tblW w:w="3905" w:type="pct"/>
        <w:tblInd w:w="-318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2817"/>
        <w:gridCol w:w="158"/>
        <w:gridCol w:w="132"/>
        <w:gridCol w:w="817"/>
        <w:gridCol w:w="1099"/>
        <w:gridCol w:w="756"/>
        <w:gridCol w:w="1031"/>
      </w:tblGrid>
      <w:tr w:rsidR="00974C50" w:rsidRPr="00FC7B24" w:rsidTr="00C17EDF">
        <w:tc>
          <w:tcPr>
            <w:tcW w:w="2068" w:type="pct"/>
          </w:tcPr>
          <w:p w:rsidR="00974C50" w:rsidRPr="00FC7B24" w:rsidRDefault="00974C50" w:rsidP="00C17EDF">
            <w:pPr>
              <w:spacing w:after="0" w:line="48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2932" w:type="pct"/>
            <w:gridSpan w:val="6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 xml:space="preserve">                                         Before        After </w:t>
            </w:r>
          </w:p>
        </w:tc>
      </w:tr>
      <w:tr w:rsidR="00974C50" w:rsidRPr="00FC7B24" w:rsidTr="00C17EDF">
        <w:trPr>
          <w:trHeight w:val="245"/>
        </w:trPr>
        <w:tc>
          <w:tcPr>
            <w:tcW w:w="2068" w:type="pct"/>
          </w:tcPr>
          <w:p w:rsidR="00974C50" w:rsidRPr="00FC7B24" w:rsidRDefault="00974C50" w:rsidP="00C17EDF">
            <w:pPr>
              <w:spacing w:after="0" w:line="480" w:lineRule="auto"/>
              <w:rPr>
                <w:rFonts w:asciiTheme="minorHAnsi" w:hAnsiTheme="minorHAnsi" w:cs="Arial"/>
                <w:b/>
                <w:lang w:val="en-GB"/>
              </w:rPr>
            </w:pPr>
            <w:r w:rsidRPr="00FC7B24">
              <w:rPr>
                <w:rFonts w:asciiTheme="minorHAnsi" w:hAnsiTheme="minorHAnsi" w:cs="Arial"/>
                <w:b/>
                <w:lang w:val="en-GB"/>
              </w:rPr>
              <w:t>Variables</w:t>
            </w:r>
          </w:p>
        </w:tc>
        <w:tc>
          <w:tcPr>
            <w:tcW w:w="813" w:type="pct"/>
            <w:gridSpan w:val="3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Statin non- users</w:t>
            </w:r>
          </w:p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(n=7,282)</w:t>
            </w:r>
          </w:p>
        </w:tc>
        <w:tc>
          <w:tcPr>
            <w:tcW w:w="807" w:type="pct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Statin new-users</w:t>
            </w:r>
          </w:p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(n=736)</w:t>
            </w:r>
          </w:p>
        </w:tc>
        <w:tc>
          <w:tcPr>
            <w:tcW w:w="555" w:type="pct"/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t>SDiff</w:t>
            </w:r>
            <w:proofErr w:type="spellEnd"/>
            <w:r w:rsidRPr="00FC7B24">
              <w:rPr>
                <w:rFonts w:asciiTheme="minorHAnsi" w:hAnsiTheme="minorHAnsi" w:cs="Arial"/>
                <w:lang w:val="en-GB"/>
              </w:rPr>
              <w:t>*</w:t>
            </w:r>
          </w:p>
        </w:tc>
        <w:tc>
          <w:tcPr>
            <w:tcW w:w="756" w:type="pct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t>SDiff</w:t>
            </w:r>
            <w:proofErr w:type="spellEnd"/>
            <w:r w:rsidRPr="00FC7B24">
              <w:rPr>
                <w:rFonts w:asciiTheme="minorHAnsi" w:hAnsiTheme="minorHAnsi" w:cs="Arial"/>
                <w:lang w:val="en-GB"/>
              </w:rPr>
              <w:t>*</w:t>
            </w:r>
          </w:p>
        </w:tc>
      </w:tr>
      <w:tr w:rsidR="00974C50" w:rsidRPr="00FC7B24" w:rsidTr="00C17EDF">
        <w:tc>
          <w:tcPr>
            <w:tcW w:w="2068" w:type="pct"/>
          </w:tcPr>
          <w:p w:rsidR="00974C50" w:rsidRPr="00FC7B24" w:rsidRDefault="00974C50" w:rsidP="00C17EDF">
            <w:pPr>
              <w:spacing w:after="0" w:line="48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813" w:type="pct"/>
            <w:gridSpan w:val="3"/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807" w:type="pct"/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555" w:type="pct"/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56" w:type="pct"/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974C50" w:rsidRPr="00FC7B24" w:rsidTr="00C17EDF">
        <w:tc>
          <w:tcPr>
            <w:tcW w:w="2068" w:type="pct"/>
            <w:tcBorders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Age, mean (SD) years</w:t>
            </w:r>
          </w:p>
        </w:tc>
        <w:tc>
          <w:tcPr>
            <w:tcW w:w="813" w:type="pct"/>
            <w:gridSpan w:val="3"/>
            <w:tcBorders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58.76 (11.72)</w:t>
            </w:r>
          </w:p>
        </w:tc>
        <w:tc>
          <w:tcPr>
            <w:tcW w:w="807" w:type="pct"/>
            <w:tcBorders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61.93 (9.97)</w:t>
            </w:r>
          </w:p>
        </w:tc>
        <w:tc>
          <w:tcPr>
            <w:tcW w:w="555" w:type="pct"/>
            <w:tcBorders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-0.29</w:t>
            </w:r>
          </w:p>
        </w:tc>
        <w:tc>
          <w:tcPr>
            <w:tcW w:w="756" w:type="pct"/>
            <w:tcBorders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0.12</w:t>
            </w:r>
          </w:p>
        </w:tc>
      </w:tr>
      <w:tr w:rsidR="00974C50" w:rsidRPr="00FC7B24" w:rsidTr="00C17EDF">
        <w:tc>
          <w:tcPr>
            <w:tcW w:w="2281" w:type="pct"/>
            <w:gridSpan w:val="3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Sex (% women)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8.12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10.05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0.07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0.24</w:t>
            </w:r>
          </w:p>
        </w:tc>
      </w:tr>
      <w:tr w:rsidR="00974C50" w:rsidRPr="00FC7B24" w:rsidTr="00C17EDF">
        <w:tc>
          <w:tcPr>
            <w:tcW w:w="2184" w:type="pct"/>
            <w:gridSpan w:val="2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High-risk alcohol intake (%)</w:t>
            </w:r>
            <w:r w:rsidR="00964977">
              <w:rPr>
                <w:rFonts w:asciiTheme="minorHAnsi" w:hAnsiTheme="minorHAnsi" w:cs="Arial"/>
                <w:lang w:val="en-GB"/>
              </w:rPr>
              <w:t>**</w:t>
            </w:r>
            <w:r w:rsidRPr="00FC7B24">
              <w:rPr>
                <w:rFonts w:asciiTheme="minorHAnsi" w:hAnsiTheme="minorHAnsi" w:cs="Arial"/>
                <w:lang w:val="en-GB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9.74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10.78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-0.03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0.07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Smokers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30.73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31.66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-0.02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0.20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Diabetes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10.67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29.76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-0.49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0.04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Hypertension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47.01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69.57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-0.47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0.13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Dyslipidaemia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26.15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72.28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-1.04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0.09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Obesity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48.81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55.46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-0.13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0.05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Chronic kidney disease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3.76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6.52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-0.13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0.03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Blood pressure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142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Systolic, mean (SD), mm Hg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135.54 (16.36)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138.26 (16.27)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-0.17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0.03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142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Diastolic, mean (SD), mm Hg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80.35 (10.22)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80.78 (10.49)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-0.04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0.08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 xml:space="preserve">Glucose, mean (SD), </w:t>
            </w: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t>mmol</w:t>
            </w:r>
            <w:proofErr w:type="spellEnd"/>
            <w:r w:rsidRPr="00FC7B24">
              <w:rPr>
                <w:rFonts w:asciiTheme="minorHAnsi" w:hAnsiTheme="minorHAnsi" w:cs="Arial"/>
                <w:lang w:val="en-GB"/>
              </w:rPr>
              <w:t>/L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5.64 (1.33)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6.32 (1.94)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-0.41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0.06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 xml:space="preserve">Total cholesterol, mean (SD), </w:t>
            </w: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lastRenderedPageBreak/>
              <w:t>mmol</w:t>
            </w:r>
            <w:proofErr w:type="spellEnd"/>
            <w:r w:rsidRPr="00FC7B24">
              <w:rPr>
                <w:rFonts w:asciiTheme="minorHAnsi" w:hAnsiTheme="minorHAnsi" w:cs="Arial"/>
                <w:lang w:val="en-GB"/>
              </w:rPr>
              <w:t>/L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lastRenderedPageBreak/>
              <w:t xml:space="preserve">5.35 </w:t>
            </w:r>
            <w:r w:rsidRPr="00FC7B24">
              <w:rPr>
                <w:rFonts w:asciiTheme="minorHAnsi" w:hAnsiTheme="minorHAnsi" w:cs="Arial"/>
                <w:color w:val="000000"/>
                <w:lang w:val="en-GB"/>
              </w:rPr>
              <w:lastRenderedPageBreak/>
              <w:t>(0.93)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lastRenderedPageBreak/>
              <w:t xml:space="preserve">6.43 </w:t>
            </w:r>
            <w:r w:rsidRPr="00FC7B24">
              <w:rPr>
                <w:rFonts w:asciiTheme="minorHAnsi" w:hAnsiTheme="minorHAnsi" w:cs="Arial"/>
                <w:color w:val="000000"/>
                <w:lang w:val="en-GB"/>
              </w:rPr>
              <w:lastRenderedPageBreak/>
              <w:t>(1.15)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lastRenderedPageBreak/>
              <w:t>-1.03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0.38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lastRenderedPageBreak/>
              <w:t xml:space="preserve">LDL cholesterol, mean (SD), </w:t>
            </w: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t>mmol</w:t>
            </w:r>
            <w:proofErr w:type="spellEnd"/>
            <w:r w:rsidRPr="00FC7B24">
              <w:rPr>
                <w:rFonts w:asciiTheme="minorHAnsi" w:hAnsiTheme="minorHAnsi" w:cs="Arial"/>
                <w:lang w:val="en-GB"/>
              </w:rPr>
              <w:t>/L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bCs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bCs/>
                <w:color w:val="000000"/>
                <w:lang w:val="en-GB"/>
              </w:rPr>
              <w:t>3.28 (0.83)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4.14 (1.01)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-0.93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0.37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 xml:space="preserve">HDL cholesterol, mean (SD), </w:t>
            </w: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t>mmol</w:t>
            </w:r>
            <w:proofErr w:type="spellEnd"/>
            <w:r w:rsidRPr="00FC7B24">
              <w:rPr>
                <w:rFonts w:asciiTheme="minorHAnsi" w:hAnsiTheme="minorHAnsi" w:cs="Arial"/>
                <w:lang w:val="en-GB"/>
              </w:rPr>
              <w:t>/L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1.29 (0.33)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1.29 (0.32)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0.01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0.05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 xml:space="preserve">Serum triglycerides, </w:t>
            </w: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t>mmol</w:t>
            </w:r>
            <w:proofErr w:type="spellEnd"/>
            <w:r w:rsidRPr="00FC7B24">
              <w:rPr>
                <w:rFonts w:asciiTheme="minorHAnsi" w:hAnsiTheme="minorHAnsi" w:cs="Arial"/>
                <w:lang w:val="en-GB"/>
              </w:rPr>
              <w:t>/L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1.76 (1.05)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2.24 (1.40)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-0.39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0.05</w:t>
            </w:r>
          </w:p>
        </w:tc>
      </w:tr>
      <w:tr w:rsidR="00974C50" w:rsidRPr="00FC7B24" w:rsidTr="00C17EDF">
        <w:trPr>
          <w:trHeight w:val="288"/>
        </w:trPr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Medication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974C50" w:rsidRPr="00FC7B24" w:rsidTr="00C17EDF">
        <w:trPr>
          <w:trHeight w:val="288"/>
        </w:trPr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180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Antidiabetics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5.16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18.89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-0.43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0.04</w:t>
            </w:r>
          </w:p>
        </w:tc>
      </w:tr>
      <w:tr w:rsidR="00974C50" w:rsidRPr="00FC7B24" w:rsidTr="00C17EDF">
        <w:trPr>
          <w:trHeight w:val="288"/>
        </w:trPr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180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Aspirin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3.65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14.54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-0.39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0.08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Diuretic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10.79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21.20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-0.29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0.02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ß-blocker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7.81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12.91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-0.17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0.06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ACE inhibitor/ARB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27.03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49.59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-0.48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0.05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Calcium channel blocker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7.46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12.36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-0.16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0.17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rPr>
                <w:rFonts w:asciiTheme="minorHAnsi" w:hAnsiTheme="minorHAnsi" w:cs="Arial"/>
                <w:b/>
                <w:bCs/>
                <w:lang w:val="en-GB"/>
              </w:rPr>
            </w:pP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t>Psycholeptics</w:t>
            </w:r>
            <w:proofErr w:type="spellEnd"/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11.38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17.39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-0.17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0.07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rPr>
                <w:rFonts w:asciiTheme="minorHAnsi" w:hAnsiTheme="minorHAnsi" w:cs="Arial"/>
                <w:b/>
                <w:bCs/>
                <w:lang w:val="en-GB"/>
              </w:rPr>
            </w:pPr>
            <w:proofErr w:type="spellStart"/>
            <w:r w:rsidRPr="00FC7B24">
              <w:rPr>
                <w:rFonts w:asciiTheme="minorHAnsi" w:hAnsiTheme="minorHAnsi" w:cs="Arial"/>
                <w:lang w:val="en-GB"/>
              </w:rPr>
              <w:t>Psychoanaleptics</w:t>
            </w:r>
            <w:proofErr w:type="spellEnd"/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5.69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8.56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-0.11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0.14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Anti-inflammatory drugs</w:t>
            </w:r>
          </w:p>
          <w:p w:rsidR="00974C50" w:rsidRPr="00FC7B24" w:rsidRDefault="00974C50" w:rsidP="00C17EDF">
            <w:pPr>
              <w:spacing w:after="0" w:line="480" w:lineRule="auto"/>
              <w:ind w:left="217"/>
              <w:rPr>
                <w:rFonts w:asciiTheme="minorHAnsi" w:hAnsiTheme="minorHAnsi" w:cs="Arial"/>
                <w:b/>
                <w:bCs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Gout drugs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25.68</w:t>
            </w:r>
          </w:p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59.10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38.32</w:t>
            </w:r>
          </w:p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67.53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-0.27</w:t>
            </w:r>
          </w:p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-0.18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0.01</w:t>
            </w:r>
          </w:p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0.08</w:t>
            </w:r>
          </w:p>
        </w:tc>
      </w:tr>
      <w:tr w:rsidR="00974C50" w:rsidRPr="00234198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Statin by LDL-reduction capacity No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Low (&lt;30%)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4.08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Moderate (30-40%)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81.25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High (&gt;40%)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14.67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-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10-year CHD risk, mean (SD)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3.97 (2.52)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5.20 (2.97)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-0.44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0.02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Comorbidities (%)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lastRenderedPageBreak/>
              <w:t>Atrial fibrillation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1.22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1.49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-0.02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0.02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COPD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7.84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7.07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0.03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0.02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Benign neoplasms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7.73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7.61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0.00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0.07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Hypothyroidism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1.69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1.77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-0.01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0.14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ind w:left="217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Hyperthyroidism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0.36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0.27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0.02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0.11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  <w:bottom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Number of visits, mean (SD)</w:t>
            </w:r>
          </w:p>
        </w:tc>
        <w:tc>
          <w:tcPr>
            <w:tcW w:w="813" w:type="pct"/>
            <w:gridSpan w:val="3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4.12 (4.88)</w:t>
            </w:r>
          </w:p>
        </w:tc>
        <w:tc>
          <w:tcPr>
            <w:tcW w:w="807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5.70 (5.02)</w:t>
            </w:r>
          </w:p>
        </w:tc>
        <w:tc>
          <w:tcPr>
            <w:tcW w:w="555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-0.32</w:t>
            </w:r>
          </w:p>
        </w:tc>
        <w:tc>
          <w:tcPr>
            <w:tcW w:w="756" w:type="pct"/>
            <w:tcBorders>
              <w:top w:val="nil"/>
              <w:bottom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color w:val="000000"/>
                <w:lang w:val="en-GB"/>
              </w:rPr>
            </w:pPr>
            <w:r w:rsidRPr="00FC7B24">
              <w:rPr>
                <w:rFonts w:asciiTheme="minorHAnsi" w:hAnsiTheme="minorHAnsi" w:cs="Arial"/>
                <w:color w:val="000000"/>
                <w:lang w:val="en-GB"/>
              </w:rPr>
              <w:t>0.08</w:t>
            </w:r>
          </w:p>
        </w:tc>
      </w:tr>
      <w:tr w:rsidR="00974C50" w:rsidRPr="00FC7B24" w:rsidTr="00C17EDF">
        <w:tc>
          <w:tcPr>
            <w:tcW w:w="2068" w:type="pct"/>
            <w:tcBorders>
              <w:top w:val="nil"/>
            </w:tcBorders>
            <w:vAlign w:val="center"/>
          </w:tcPr>
          <w:p w:rsidR="00974C50" w:rsidRPr="00FC7B24" w:rsidRDefault="00974C50" w:rsidP="00C17EDF">
            <w:pPr>
              <w:spacing w:after="0" w:line="480" w:lineRule="auto"/>
              <w:jc w:val="center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MEDEA index, mean (SD)</w:t>
            </w:r>
          </w:p>
        </w:tc>
        <w:tc>
          <w:tcPr>
            <w:tcW w:w="813" w:type="pct"/>
            <w:gridSpan w:val="3"/>
            <w:tcBorders>
              <w:top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0.75 (0.89)</w:t>
            </w:r>
          </w:p>
        </w:tc>
        <w:tc>
          <w:tcPr>
            <w:tcW w:w="807" w:type="pct"/>
            <w:tcBorders>
              <w:top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0.74 (0.86)</w:t>
            </w:r>
          </w:p>
        </w:tc>
        <w:tc>
          <w:tcPr>
            <w:tcW w:w="555" w:type="pct"/>
            <w:tcBorders>
              <w:top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0.01</w:t>
            </w:r>
          </w:p>
        </w:tc>
        <w:tc>
          <w:tcPr>
            <w:tcW w:w="756" w:type="pct"/>
            <w:tcBorders>
              <w:top w:val="nil"/>
            </w:tcBorders>
          </w:tcPr>
          <w:p w:rsidR="00974C50" w:rsidRPr="00FC7B24" w:rsidRDefault="00974C50" w:rsidP="00C17EDF">
            <w:pPr>
              <w:spacing w:after="0" w:line="480" w:lineRule="auto"/>
              <w:jc w:val="right"/>
              <w:rPr>
                <w:rFonts w:asciiTheme="minorHAnsi" w:hAnsiTheme="minorHAnsi" w:cs="Arial"/>
                <w:lang w:val="en-GB"/>
              </w:rPr>
            </w:pPr>
            <w:r w:rsidRPr="00FC7B24">
              <w:rPr>
                <w:rFonts w:asciiTheme="minorHAnsi" w:hAnsiTheme="minorHAnsi" w:cs="Arial"/>
                <w:lang w:val="en-GB"/>
              </w:rPr>
              <w:t>0.09</w:t>
            </w:r>
          </w:p>
        </w:tc>
      </w:tr>
    </w:tbl>
    <w:p w:rsidR="00974C50" w:rsidRDefault="00974C50" w:rsidP="00974C50">
      <w:pPr>
        <w:spacing w:line="240" w:lineRule="auto"/>
        <w:jc w:val="both"/>
        <w:rPr>
          <w:rFonts w:asciiTheme="minorHAnsi" w:hAnsiTheme="minorHAnsi" w:cs="Arial"/>
          <w:sz w:val="18"/>
          <w:szCs w:val="18"/>
          <w:lang w:val="en-GB"/>
        </w:rPr>
      </w:pPr>
      <w:r w:rsidRPr="00FC7B24">
        <w:rPr>
          <w:rFonts w:asciiTheme="minorHAnsi" w:hAnsiTheme="minorHAnsi" w:cs="Arial"/>
          <w:sz w:val="18"/>
          <w:szCs w:val="18"/>
          <w:lang w:val="en-GB"/>
        </w:rPr>
        <w:t>*</w:t>
      </w:r>
      <w:proofErr w:type="spellStart"/>
      <w:r w:rsidRPr="00FC7B24">
        <w:rPr>
          <w:rFonts w:asciiTheme="minorHAnsi" w:hAnsiTheme="minorHAnsi" w:cs="Arial"/>
          <w:sz w:val="18"/>
          <w:szCs w:val="18"/>
          <w:lang w:val="en-GB"/>
        </w:rPr>
        <w:t>SDiff</w:t>
      </w:r>
      <w:proofErr w:type="spellEnd"/>
      <w:r w:rsidRPr="00FC7B24">
        <w:rPr>
          <w:rFonts w:asciiTheme="minorHAnsi" w:hAnsiTheme="minorHAnsi" w:cs="Arial"/>
          <w:sz w:val="18"/>
          <w:szCs w:val="18"/>
          <w:lang w:val="en-GB"/>
        </w:rPr>
        <w:t xml:space="preserve">, standardised differences; LDL, low-density lipoprotein; HDL, high-density lipoprotein; ACE, </w:t>
      </w:r>
      <w:r w:rsidRPr="00FC7B24">
        <w:rPr>
          <w:rStyle w:val="hps"/>
          <w:rFonts w:asciiTheme="minorHAnsi" w:hAnsiTheme="minorHAnsi"/>
          <w:sz w:val="18"/>
          <w:szCs w:val="18"/>
          <w:lang w:val="en-GB"/>
        </w:rPr>
        <w:t>angiotensin-converting enzyme;</w:t>
      </w:r>
      <w:r w:rsidRPr="00FC7B24">
        <w:rPr>
          <w:rFonts w:asciiTheme="minorHAnsi" w:hAnsiTheme="minorHAnsi" w:cs="Arial"/>
          <w:sz w:val="18"/>
          <w:szCs w:val="18"/>
          <w:lang w:val="en-GB"/>
        </w:rPr>
        <w:t xml:space="preserve"> ARB, </w:t>
      </w:r>
      <w:r w:rsidRPr="00FC7B24">
        <w:rPr>
          <w:rFonts w:asciiTheme="minorHAnsi" w:hAnsiTheme="minorHAnsi"/>
          <w:sz w:val="18"/>
          <w:szCs w:val="18"/>
          <w:lang w:val="en-GB"/>
        </w:rPr>
        <w:t>angiotensin II receptor (AT-II) blockers</w:t>
      </w:r>
      <w:r w:rsidRPr="00FC7B24">
        <w:rPr>
          <w:rFonts w:asciiTheme="minorHAnsi" w:hAnsiTheme="minorHAnsi" w:cs="Arial"/>
          <w:sz w:val="18"/>
          <w:szCs w:val="18"/>
          <w:lang w:val="en-GB"/>
        </w:rPr>
        <w:t>; CHD, coronary heart disease; COPD, chronic obstructive pulmonary disease</w:t>
      </w:r>
    </w:p>
    <w:p w:rsidR="00964977" w:rsidRPr="00FC7B24" w:rsidRDefault="00964977" w:rsidP="00974C50">
      <w:pPr>
        <w:spacing w:line="240" w:lineRule="auto"/>
        <w:jc w:val="both"/>
        <w:rPr>
          <w:rFonts w:asciiTheme="minorHAnsi" w:hAnsiTheme="minorHAnsi" w:cs="Arial"/>
          <w:sz w:val="18"/>
          <w:szCs w:val="18"/>
          <w:lang w:val="en-GB"/>
        </w:rPr>
      </w:pPr>
      <w:r>
        <w:rPr>
          <w:rFonts w:asciiTheme="minorHAnsi" w:hAnsiTheme="minorHAnsi" w:cs="Arial"/>
          <w:sz w:val="18"/>
          <w:szCs w:val="18"/>
          <w:lang w:val="en-GB"/>
        </w:rPr>
        <w:t>**High-risk alcohol intake: &gt;28 UBE units for men and &gt;17 UBE units for women. 1 UBE unit</w:t>
      </w:r>
      <w:r w:rsidR="005F71D4">
        <w:rPr>
          <w:rFonts w:asciiTheme="minorHAnsi" w:hAnsiTheme="minorHAnsi" w:cs="Arial"/>
          <w:sz w:val="18"/>
          <w:szCs w:val="18"/>
          <w:lang w:val="en-GB"/>
        </w:rPr>
        <w:t xml:space="preserve"> </w:t>
      </w:r>
      <w:r>
        <w:rPr>
          <w:rFonts w:asciiTheme="minorHAnsi" w:hAnsiTheme="minorHAnsi" w:cs="Arial"/>
          <w:sz w:val="18"/>
          <w:szCs w:val="18"/>
          <w:lang w:val="en-GB"/>
        </w:rPr>
        <w:t xml:space="preserve">= 10 </w:t>
      </w:r>
      <w:r w:rsidR="005F71D4">
        <w:rPr>
          <w:rFonts w:asciiTheme="minorHAnsi" w:hAnsiTheme="minorHAnsi" w:cs="Arial"/>
          <w:sz w:val="18"/>
          <w:szCs w:val="18"/>
          <w:lang w:val="en-GB"/>
        </w:rPr>
        <w:t>g</w:t>
      </w:r>
      <w:r>
        <w:rPr>
          <w:rFonts w:asciiTheme="minorHAnsi" w:hAnsiTheme="minorHAnsi" w:cs="Arial"/>
          <w:sz w:val="18"/>
          <w:szCs w:val="18"/>
          <w:lang w:val="en-GB"/>
        </w:rPr>
        <w:t xml:space="preserve"> alcohol</w:t>
      </w:r>
    </w:p>
    <w:p w:rsidR="00907F0F" w:rsidRPr="00974C50" w:rsidRDefault="00974C50" w:rsidP="00974C50">
      <w:pPr>
        <w:rPr>
          <w:lang w:val="en-US"/>
        </w:rPr>
      </w:pPr>
      <w:r>
        <w:rPr>
          <w:rFonts w:asciiTheme="minorHAnsi" w:hAnsiTheme="minorHAnsi" w:cs="Arial"/>
          <w:color w:val="000000"/>
          <w:lang w:val="en-GB"/>
        </w:rPr>
        <w:br w:type="page"/>
      </w:r>
      <w:bookmarkStart w:id="0" w:name="_GoBack"/>
      <w:bookmarkEnd w:id="0"/>
    </w:p>
    <w:sectPr w:rsidR="00907F0F" w:rsidRPr="00974C50" w:rsidSect="001A2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trackRevisions/>
  <w:defaultTabStop w:val="708"/>
  <w:hyphenationZone w:val="425"/>
  <w:characterSpacingControl w:val="doNotCompress"/>
  <w:compat/>
  <w:rsids>
    <w:rsidRoot w:val="00974C50"/>
    <w:rsid w:val="000C43DC"/>
    <w:rsid w:val="001A2F06"/>
    <w:rsid w:val="00234198"/>
    <w:rsid w:val="005F71D4"/>
    <w:rsid w:val="00907F0F"/>
    <w:rsid w:val="00964977"/>
    <w:rsid w:val="00974C50"/>
    <w:rsid w:val="00E4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5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974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5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974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Garcia Gil</dc:creator>
  <cp:lastModifiedBy>46653666Y</cp:lastModifiedBy>
  <cp:revision>5</cp:revision>
  <dcterms:created xsi:type="dcterms:W3CDTF">2019-04-24T07:55:00Z</dcterms:created>
  <dcterms:modified xsi:type="dcterms:W3CDTF">2019-05-03T12:33:00Z</dcterms:modified>
</cp:coreProperties>
</file>