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7830" w:rsidRPr="00D606A2" w:rsidRDefault="00E86917" w:rsidP="009F2778">
      <w:pPr>
        <w:jc w:val="center"/>
        <w:rPr>
          <w:b/>
          <w:sz w:val="32"/>
          <w:szCs w:val="32"/>
        </w:rPr>
      </w:pPr>
      <w:r w:rsidRPr="00D606A2">
        <w:rPr>
          <w:b/>
          <w:sz w:val="32"/>
          <w:szCs w:val="32"/>
        </w:rPr>
        <w:t>Evidence of</w:t>
      </w:r>
      <w:r w:rsidR="00CA7830" w:rsidRPr="00D606A2">
        <w:rPr>
          <w:b/>
          <w:sz w:val="32"/>
          <w:szCs w:val="32"/>
        </w:rPr>
        <w:t xml:space="preserve"> </w:t>
      </w:r>
      <w:r w:rsidR="00686DD4" w:rsidRPr="00D606A2">
        <w:rPr>
          <w:b/>
          <w:sz w:val="32"/>
          <w:szCs w:val="32"/>
        </w:rPr>
        <w:t>g</w:t>
      </w:r>
      <w:r w:rsidRPr="00D606A2">
        <w:rPr>
          <w:b/>
          <w:sz w:val="32"/>
          <w:szCs w:val="32"/>
        </w:rPr>
        <w:t>reen</w:t>
      </w:r>
      <w:r w:rsidR="00686DD4" w:rsidRPr="00D606A2">
        <w:rPr>
          <w:b/>
          <w:sz w:val="32"/>
          <w:szCs w:val="32"/>
        </w:rPr>
        <w:t xml:space="preserve"> l</w:t>
      </w:r>
      <w:r w:rsidR="00CA7830" w:rsidRPr="00D606A2">
        <w:rPr>
          <w:b/>
          <w:sz w:val="32"/>
          <w:szCs w:val="32"/>
        </w:rPr>
        <w:t>eases</w:t>
      </w:r>
      <w:r w:rsidR="00284CD9" w:rsidRPr="00D606A2">
        <w:rPr>
          <w:b/>
          <w:sz w:val="32"/>
          <w:szCs w:val="32"/>
        </w:rPr>
        <w:t xml:space="preserve"> in England and Wales</w:t>
      </w:r>
    </w:p>
    <w:p w:rsidR="00D606A2" w:rsidRPr="00D606A2" w:rsidRDefault="00D606A2" w:rsidP="00D606A2">
      <w:pPr>
        <w:rPr>
          <w:sz w:val="24"/>
          <w:szCs w:val="24"/>
        </w:rPr>
      </w:pPr>
      <w:r w:rsidRPr="00D606A2">
        <w:rPr>
          <w:sz w:val="24"/>
          <w:szCs w:val="24"/>
        </w:rPr>
        <w:t>Susan Bright (Faculty of Law, University of Oxford) and Hannah Dixie (Harvard Law School)</w:t>
      </w:r>
    </w:p>
    <w:p w:rsidR="002770C7" w:rsidRDefault="005A47AB">
      <w:pPr>
        <w:rPr>
          <w:b/>
        </w:rPr>
      </w:pPr>
      <w:r>
        <w:rPr>
          <w:b/>
        </w:rPr>
        <w:t>1. Introduction</w:t>
      </w:r>
      <w:bookmarkStart w:id="0" w:name="_GoBack"/>
      <w:bookmarkEnd w:id="0"/>
    </w:p>
    <w:p w:rsidR="00252787" w:rsidRDefault="00E86917">
      <w:r w:rsidRPr="00E86917">
        <w:t xml:space="preserve">This </w:t>
      </w:r>
      <w:r w:rsidR="00AC58CE">
        <w:t xml:space="preserve">paper reports on a research project examining how much ‘green’ there is in </w:t>
      </w:r>
      <w:r w:rsidR="005E1913">
        <w:t xml:space="preserve">a sample of office and retail </w:t>
      </w:r>
      <w:r w:rsidR="00AC58CE">
        <w:t xml:space="preserve">leases </w:t>
      </w:r>
      <w:r w:rsidR="005E1913">
        <w:t>with</w:t>
      </w:r>
      <w:r w:rsidR="004A1CD4">
        <w:t xml:space="preserve"> registered</w:t>
      </w:r>
      <w:r w:rsidR="002866C4">
        <w:t xml:space="preserve"> leasehold</w:t>
      </w:r>
      <w:r w:rsidR="004A1CD4">
        <w:t xml:space="preserve"> title</w:t>
      </w:r>
      <w:r w:rsidR="004B6664" w:rsidRPr="004B6664">
        <w:t xml:space="preserve"> </w:t>
      </w:r>
      <w:r w:rsidR="004B6664">
        <w:t>in England and Wales</w:t>
      </w:r>
      <w:r w:rsidR="004A1CD4">
        <w:t>.</w:t>
      </w:r>
      <w:r w:rsidR="00AC58CE">
        <w:t xml:space="preserve"> </w:t>
      </w:r>
      <w:r w:rsidR="00DF1FAC">
        <w:t>The meaning of ‘green’ is considered more fully later in this paper but</w:t>
      </w:r>
      <w:r w:rsidR="00252787">
        <w:t xml:space="preserve"> for now </w:t>
      </w:r>
      <w:r w:rsidR="00DF1FAC">
        <w:t xml:space="preserve">a green lease might broadly be considered as one which purposively supports and facilitates the adoption of leasehold practices that </w:t>
      </w:r>
      <w:r w:rsidR="00CD0043">
        <w:t xml:space="preserve">enable the improvement of </w:t>
      </w:r>
      <w:r w:rsidR="00DF1FAC">
        <w:t>the environmental performance of buildings and their use.</w:t>
      </w:r>
      <w:r w:rsidR="00252787">
        <w:t xml:space="preserve"> </w:t>
      </w:r>
      <w:r w:rsidR="00FC0A62">
        <w:t xml:space="preserve">The aim of the research was to find out if signed leases (as contrasted with precedent leases) </w:t>
      </w:r>
      <w:r w:rsidR="00FC0A62" w:rsidRPr="00F6089A">
        <w:rPr>
          <w:i/>
        </w:rPr>
        <w:t>ever</w:t>
      </w:r>
      <w:r w:rsidR="00FC0A62">
        <w:t xml:space="preserve"> contain green provisions; and, if so, what form these clauses take. </w:t>
      </w:r>
    </w:p>
    <w:p w:rsidR="00FC0A62" w:rsidRDefault="002D1045">
      <w:r>
        <w:t xml:space="preserve">This research is inevitably backward looking as </w:t>
      </w:r>
      <w:r w:rsidR="00042160">
        <w:t>registered leases reflect deals negotiated in the past– the leases in our sample were signe</w:t>
      </w:r>
      <w:r>
        <w:t>d during the period 2008-2013</w:t>
      </w:r>
      <w:r w:rsidR="00042160">
        <w:t>.</w:t>
      </w:r>
      <w:r w:rsidR="00FC0A62">
        <w:t xml:space="preserve"> Our sample was small and, as explained in the section on methodology below, the sample chosen is not representative. </w:t>
      </w:r>
      <w:r w:rsidR="00CE70DB" w:rsidRPr="00DD47B8">
        <w:t>Table</w:t>
      </w:r>
      <w:r w:rsidR="00D27DBD">
        <w:t xml:space="preserve"> </w:t>
      </w:r>
      <w:r w:rsidR="00BE5D62">
        <w:t>2</w:t>
      </w:r>
      <w:r w:rsidR="00D27DBD">
        <w:t xml:space="preserve"> </w:t>
      </w:r>
      <w:r w:rsidR="00CE70DB">
        <w:t>below provides a summary of key aspects of each lease examined, and the material is presented anonymously with each title referred to by</w:t>
      </w:r>
      <w:r w:rsidR="003C1548">
        <w:t xml:space="preserve"> an alphabetic descriptor</w:t>
      </w:r>
      <w:r w:rsidR="00CE70DB">
        <w:t xml:space="preserve">. </w:t>
      </w:r>
      <w:r w:rsidR="00FC0A62">
        <w:t>The expectation was that we would find little green in the sample leases.</w:t>
      </w:r>
      <w:r w:rsidR="00042160">
        <w:t xml:space="preserve"> </w:t>
      </w:r>
      <w:r w:rsidR="00CC45C1">
        <w:t>It is</w:t>
      </w:r>
      <w:r w:rsidR="00AC58CE">
        <w:t xml:space="preserve"> surprising</w:t>
      </w:r>
      <w:r w:rsidR="00CC45C1">
        <w:t>, therefore,</w:t>
      </w:r>
      <w:r w:rsidR="00AC58CE">
        <w:t xml:space="preserve"> to find </w:t>
      </w:r>
      <w:r w:rsidR="002866C4">
        <w:t xml:space="preserve">that </w:t>
      </w:r>
      <w:r w:rsidR="004B6664">
        <w:t>two-thirds of</w:t>
      </w:r>
      <w:r w:rsidR="00CC45C1">
        <w:t xml:space="preserve"> the leases examined in this project </w:t>
      </w:r>
      <w:r w:rsidR="00E3064C">
        <w:t xml:space="preserve">contain </w:t>
      </w:r>
      <w:r w:rsidR="00AC58CE">
        <w:t xml:space="preserve">‘green’ </w:t>
      </w:r>
      <w:r w:rsidR="00232EA3">
        <w:t>provisions</w:t>
      </w:r>
      <w:r w:rsidR="00CC45C1">
        <w:t>,</w:t>
      </w:r>
      <w:r w:rsidR="00E3064C">
        <w:t xml:space="preserve"> and that this is not confined to office leases.</w:t>
      </w:r>
      <w:r w:rsidR="00AC58CE">
        <w:t xml:space="preserve"> </w:t>
      </w:r>
      <w:r w:rsidR="00D27DBD">
        <w:t>Although</w:t>
      </w:r>
      <w:r w:rsidR="00FC0A62">
        <w:t xml:space="preserve"> some of these leases had only passing r</w:t>
      </w:r>
      <w:r w:rsidR="00D27DBD">
        <w:t xml:space="preserve">eference to green concepts, </w:t>
      </w:r>
      <w:r w:rsidR="00FC0A62">
        <w:t xml:space="preserve">several reflected a significant </w:t>
      </w:r>
      <w:r w:rsidR="00232EA3">
        <w:t>joint commitment by the landlord and tenant to manage and use the space in a sustainable way.</w:t>
      </w:r>
      <w:r w:rsidR="00D27DBD">
        <w:t xml:space="preserve"> As we explain below, we focussed research on green buildings, expecting these to be the most likely to display green leases. The flip-side of our findings is worth comment</w:t>
      </w:r>
      <w:r w:rsidR="0021505B">
        <w:t xml:space="preserve">ing on: even in this context - </w:t>
      </w:r>
      <w:r w:rsidR="00D27DBD">
        <w:t>buildings designed for</w:t>
      </w:r>
      <w:r w:rsidR="0021505B">
        <w:t xml:space="preserve"> high environmental performance -</w:t>
      </w:r>
      <w:r w:rsidR="00D27DBD">
        <w:t xml:space="preserve"> one-third of leases granted had no provisions aimed at supporting practices leading to better environmental performa</w:t>
      </w:r>
      <w:r w:rsidR="000645CD">
        <w:t>nce. Given that these were long-</w:t>
      </w:r>
      <w:r w:rsidR="00D27DBD">
        <w:t xml:space="preserve">term leases – of between 9 and 25 years </w:t>
      </w:r>
      <w:r w:rsidR="000645CD">
        <w:t>–</w:t>
      </w:r>
      <w:r w:rsidR="00D27DBD">
        <w:t xml:space="preserve"> </w:t>
      </w:r>
      <w:r w:rsidR="000645CD">
        <w:t>this means that the parties are effectively locked into legal arrangements in which it may be difficult to make environmental upgrades in future years.</w:t>
      </w:r>
    </w:p>
    <w:p w:rsidR="00DF1FAC" w:rsidRPr="00C613E5" w:rsidRDefault="005A47AB" w:rsidP="00DF1FAC">
      <w:pPr>
        <w:rPr>
          <w:b/>
        </w:rPr>
      </w:pPr>
      <w:r>
        <w:rPr>
          <w:b/>
        </w:rPr>
        <w:t xml:space="preserve">2. </w:t>
      </w:r>
      <w:r w:rsidR="00DF1FAC">
        <w:rPr>
          <w:b/>
        </w:rPr>
        <w:t>The</w:t>
      </w:r>
      <w:r w:rsidR="00DF1FAC" w:rsidRPr="00C613E5">
        <w:rPr>
          <w:b/>
        </w:rPr>
        <w:t xml:space="preserve"> </w:t>
      </w:r>
      <w:r w:rsidR="00DF1FAC">
        <w:rPr>
          <w:b/>
        </w:rPr>
        <w:t>adoption of green leases</w:t>
      </w:r>
    </w:p>
    <w:p w:rsidR="00C02CCB" w:rsidRDefault="00DF1FAC" w:rsidP="000645CD">
      <w:pPr>
        <w:pStyle w:val="NormalWeb"/>
        <w:spacing w:line="276" w:lineRule="auto"/>
        <w:rPr>
          <w:rFonts w:ascii="Calibri" w:hAnsi="Calibri"/>
          <w:sz w:val="22"/>
          <w:szCs w:val="22"/>
        </w:rPr>
      </w:pPr>
      <w:r w:rsidRPr="000645CD">
        <w:rPr>
          <w:rFonts w:ascii="Calibri" w:hAnsi="Calibri"/>
          <w:sz w:val="22"/>
          <w:szCs w:val="22"/>
        </w:rPr>
        <w:t xml:space="preserve">Although the idea and language of green leases </w:t>
      </w:r>
      <w:r w:rsidR="00107056" w:rsidRPr="000645CD">
        <w:rPr>
          <w:rFonts w:ascii="Calibri" w:hAnsi="Calibri"/>
          <w:sz w:val="22"/>
          <w:szCs w:val="22"/>
        </w:rPr>
        <w:t>was</w:t>
      </w:r>
      <w:r w:rsidRPr="000645CD">
        <w:rPr>
          <w:rFonts w:ascii="Calibri" w:hAnsi="Calibri"/>
          <w:sz w:val="22"/>
          <w:szCs w:val="22"/>
        </w:rPr>
        <w:t xml:space="preserve"> largely unheard of in England before 2007, there are now a number of toolkits available, giving tips and precedent wording for inclusion in leases</w:t>
      </w:r>
      <w:r w:rsidR="00DD47B8">
        <w:rPr>
          <w:rFonts w:ascii="Calibri" w:hAnsi="Calibri"/>
          <w:sz w:val="22"/>
          <w:szCs w:val="22"/>
        </w:rPr>
        <w:t xml:space="preserve">, such as the Green Lease Toolkit issued by London’s Better Building Partnership </w:t>
      </w:r>
      <w:r w:rsidR="009819B4">
        <w:rPr>
          <w:rFonts w:ascii="Calibri" w:hAnsi="Calibri"/>
          <w:sz w:val="22"/>
          <w:szCs w:val="22"/>
        </w:rPr>
        <w:t>(BBP)</w:t>
      </w:r>
      <w:r w:rsidR="00DD47B8">
        <w:rPr>
          <w:rFonts w:ascii="Calibri" w:hAnsi="Calibri"/>
          <w:sz w:val="22"/>
          <w:szCs w:val="22"/>
        </w:rPr>
        <w:t>.</w:t>
      </w:r>
      <w:r w:rsidR="00DD47B8">
        <w:rPr>
          <w:rStyle w:val="FootnoteReference"/>
          <w:rFonts w:ascii="Calibri" w:hAnsi="Calibri"/>
          <w:sz w:val="22"/>
          <w:szCs w:val="22"/>
        </w:rPr>
        <w:footnoteReference w:id="1"/>
      </w:r>
      <w:r w:rsidR="00DD47B8">
        <w:rPr>
          <w:rFonts w:ascii="Calibri" w:hAnsi="Calibri"/>
          <w:sz w:val="22"/>
          <w:szCs w:val="22"/>
        </w:rPr>
        <w:t xml:space="preserve"> </w:t>
      </w:r>
      <w:r w:rsidR="005B25D2" w:rsidRPr="000645CD">
        <w:rPr>
          <w:rFonts w:ascii="Calibri" w:hAnsi="Calibri"/>
          <w:sz w:val="22"/>
          <w:szCs w:val="22"/>
        </w:rPr>
        <w:t xml:space="preserve">A number of the major landlords have announced the adoption of green leases </w:t>
      </w:r>
      <w:r w:rsidR="000645CD">
        <w:rPr>
          <w:rFonts w:ascii="Calibri" w:hAnsi="Calibri"/>
          <w:sz w:val="22"/>
          <w:szCs w:val="22"/>
        </w:rPr>
        <w:t xml:space="preserve">as standard </w:t>
      </w:r>
      <w:r w:rsidR="005651E6">
        <w:rPr>
          <w:rFonts w:ascii="Calibri" w:hAnsi="Calibri"/>
          <w:sz w:val="22"/>
          <w:szCs w:val="22"/>
        </w:rPr>
        <w:t xml:space="preserve">(for example, </w:t>
      </w:r>
      <w:r w:rsidR="005651E6">
        <w:rPr>
          <w:rFonts w:ascii="Calibri" w:hAnsi="Calibri"/>
          <w:sz w:val="22"/>
          <w:szCs w:val="22"/>
        </w:rPr>
        <w:lastRenderedPageBreak/>
        <w:t>Hammerson</w:t>
      </w:r>
      <w:r w:rsidR="005B25D2" w:rsidRPr="000645CD">
        <w:rPr>
          <w:rFonts w:ascii="Calibri" w:hAnsi="Calibri"/>
          <w:sz w:val="22"/>
          <w:szCs w:val="22"/>
        </w:rPr>
        <w:t>, Legal</w:t>
      </w:r>
      <w:r w:rsidR="007A532E">
        <w:rPr>
          <w:rFonts w:ascii="Calibri" w:hAnsi="Calibri"/>
          <w:sz w:val="22"/>
          <w:szCs w:val="22"/>
        </w:rPr>
        <w:t xml:space="preserve"> </w:t>
      </w:r>
      <w:r w:rsidR="005B25D2" w:rsidRPr="000645CD">
        <w:rPr>
          <w:rFonts w:ascii="Calibri" w:hAnsi="Calibri"/>
          <w:sz w:val="22"/>
          <w:szCs w:val="22"/>
        </w:rPr>
        <w:t>&amp; General)</w:t>
      </w:r>
      <w:r w:rsidR="007A532E">
        <w:rPr>
          <w:rFonts w:ascii="Calibri" w:hAnsi="Calibri"/>
          <w:sz w:val="22"/>
          <w:szCs w:val="22"/>
        </w:rPr>
        <w:t>,</w:t>
      </w:r>
      <w:r w:rsidR="007A532E">
        <w:rPr>
          <w:rStyle w:val="FootnoteReference"/>
          <w:rFonts w:ascii="Calibri" w:hAnsi="Calibri"/>
          <w:sz w:val="22"/>
          <w:szCs w:val="22"/>
        </w:rPr>
        <w:footnoteReference w:id="2"/>
      </w:r>
      <w:r w:rsidR="005B25D2" w:rsidRPr="000645CD">
        <w:rPr>
          <w:rFonts w:ascii="Calibri" w:hAnsi="Calibri"/>
          <w:sz w:val="22"/>
          <w:szCs w:val="22"/>
        </w:rPr>
        <w:t xml:space="preserve"> and Marks &amp; Spencer announced in spring 2013 that it was introducing green clauses in new leases and for existing leases through MoUs.</w:t>
      </w:r>
      <w:r w:rsidR="007A532E">
        <w:rPr>
          <w:rStyle w:val="FootnoteReference"/>
          <w:rFonts w:ascii="Calibri" w:hAnsi="Calibri"/>
          <w:sz w:val="22"/>
          <w:szCs w:val="22"/>
        </w:rPr>
        <w:footnoteReference w:id="3"/>
      </w:r>
      <w:r w:rsidR="005B25D2" w:rsidRPr="000645CD">
        <w:rPr>
          <w:rFonts w:ascii="Calibri" w:hAnsi="Calibri"/>
          <w:sz w:val="22"/>
          <w:szCs w:val="22"/>
        </w:rPr>
        <w:t xml:space="preserve">  </w:t>
      </w:r>
    </w:p>
    <w:p w:rsidR="00DF1FAC" w:rsidRDefault="00DF1FAC" w:rsidP="000645CD">
      <w:pPr>
        <w:pStyle w:val="NormalWeb"/>
        <w:spacing w:line="276" w:lineRule="auto"/>
        <w:rPr>
          <w:rFonts w:ascii="Calibri" w:hAnsi="Calibri"/>
          <w:sz w:val="22"/>
          <w:szCs w:val="22"/>
        </w:rPr>
      </w:pPr>
      <w:r w:rsidRPr="000645CD">
        <w:rPr>
          <w:rFonts w:ascii="Calibri" w:hAnsi="Calibri"/>
          <w:sz w:val="22"/>
          <w:szCs w:val="22"/>
        </w:rPr>
        <w:t xml:space="preserve">Nonetheless, </w:t>
      </w:r>
      <w:r w:rsidR="005B25D2" w:rsidRPr="000645CD">
        <w:rPr>
          <w:rFonts w:ascii="Calibri" w:hAnsi="Calibri"/>
          <w:sz w:val="22"/>
          <w:szCs w:val="22"/>
        </w:rPr>
        <w:t>little is known about how widespread the use of green leases is in the commercial property market, or how many green clauses survive the negotiation process. M</w:t>
      </w:r>
      <w:r w:rsidRPr="000645CD">
        <w:rPr>
          <w:rFonts w:ascii="Calibri" w:hAnsi="Calibri"/>
          <w:sz w:val="22"/>
          <w:szCs w:val="22"/>
        </w:rPr>
        <w:t>ost anecdotal evidence suggests there is strong market resistance to green leases, and that uptake is especially low in the retail sector</w:t>
      </w:r>
      <w:r w:rsidR="00DD47B8">
        <w:rPr>
          <w:rFonts w:ascii="Calibri" w:hAnsi="Calibri"/>
          <w:sz w:val="22"/>
          <w:szCs w:val="22"/>
        </w:rPr>
        <w:t>.</w:t>
      </w:r>
      <w:r w:rsidR="00DD47B8">
        <w:rPr>
          <w:rStyle w:val="FootnoteReference"/>
          <w:rFonts w:ascii="Calibri" w:hAnsi="Calibri"/>
          <w:sz w:val="22"/>
          <w:szCs w:val="22"/>
        </w:rPr>
        <w:footnoteReference w:id="4"/>
      </w:r>
      <w:r w:rsidRPr="000645CD">
        <w:rPr>
          <w:rFonts w:ascii="Calibri" w:hAnsi="Calibri"/>
          <w:sz w:val="22"/>
          <w:szCs w:val="22"/>
        </w:rPr>
        <w:t xml:space="preserve"> A common perception is that if there is a commitment to pursue environmental goals it is preferred to support this by use of a non-legally binding Memorandum of Understanding (MoU) or by reference to a Tenant Handbook. </w:t>
      </w:r>
      <w:r w:rsidR="00252787" w:rsidRPr="000645CD">
        <w:rPr>
          <w:rFonts w:ascii="Calibri" w:hAnsi="Calibri"/>
          <w:sz w:val="22"/>
          <w:szCs w:val="22"/>
        </w:rPr>
        <w:t xml:space="preserve">One advantage of an MoU is that is can be used alongside leases </w:t>
      </w:r>
      <w:r w:rsidR="00CD0043">
        <w:rPr>
          <w:rFonts w:ascii="Calibri" w:hAnsi="Calibri"/>
          <w:sz w:val="22"/>
          <w:szCs w:val="22"/>
        </w:rPr>
        <w:t xml:space="preserve">that were </w:t>
      </w:r>
      <w:r w:rsidR="00252787" w:rsidRPr="000645CD">
        <w:rPr>
          <w:rFonts w:ascii="Calibri" w:hAnsi="Calibri"/>
          <w:sz w:val="22"/>
          <w:szCs w:val="22"/>
        </w:rPr>
        <w:t xml:space="preserve">entered into prior to </w:t>
      </w:r>
      <w:r w:rsidR="003E46ED" w:rsidRPr="000645CD">
        <w:rPr>
          <w:rFonts w:ascii="Calibri" w:hAnsi="Calibri"/>
          <w:sz w:val="22"/>
          <w:szCs w:val="22"/>
        </w:rPr>
        <w:t xml:space="preserve">the development of the green lease concept, and both Handbooks and MoUs provide easier opportunities for adjustment of policies over time. </w:t>
      </w:r>
      <w:r w:rsidRPr="000645CD">
        <w:rPr>
          <w:rFonts w:ascii="Calibri" w:hAnsi="Calibri"/>
          <w:sz w:val="22"/>
          <w:szCs w:val="22"/>
        </w:rPr>
        <w:t xml:space="preserve">When green </w:t>
      </w:r>
      <w:r w:rsidR="003E46ED" w:rsidRPr="000645CD">
        <w:rPr>
          <w:rFonts w:ascii="Calibri" w:hAnsi="Calibri"/>
          <w:sz w:val="22"/>
          <w:szCs w:val="22"/>
        </w:rPr>
        <w:t xml:space="preserve">leases </w:t>
      </w:r>
      <w:r w:rsidRPr="000645CD">
        <w:rPr>
          <w:rFonts w:ascii="Calibri" w:hAnsi="Calibri"/>
          <w:sz w:val="22"/>
          <w:szCs w:val="22"/>
        </w:rPr>
        <w:t xml:space="preserve">are announced, there is seldom much detail available </w:t>
      </w:r>
      <w:r w:rsidR="00BE5D62">
        <w:rPr>
          <w:rFonts w:ascii="Calibri" w:hAnsi="Calibri"/>
          <w:sz w:val="22"/>
          <w:szCs w:val="22"/>
        </w:rPr>
        <w:t xml:space="preserve">to non-parties </w:t>
      </w:r>
      <w:r w:rsidRPr="000645CD">
        <w:rPr>
          <w:rFonts w:ascii="Calibri" w:hAnsi="Calibri"/>
          <w:sz w:val="22"/>
          <w:szCs w:val="22"/>
        </w:rPr>
        <w:t>about what this means, and the precise content of agreed leases is often perceived as commercially confidential. The sensitivity of lease documents is such that some</w:t>
      </w:r>
      <w:r w:rsidR="000645CD">
        <w:rPr>
          <w:rFonts w:ascii="Calibri" w:hAnsi="Calibri"/>
          <w:sz w:val="22"/>
          <w:szCs w:val="22"/>
        </w:rPr>
        <w:t xml:space="preserve"> leases, </w:t>
      </w:r>
      <w:r w:rsidR="006A677E" w:rsidRPr="000645CD">
        <w:rPr>
          <w:rFonts w:ascii="Calibri" w:hAnsi="Calibri"/>
          <w:sz w:val="22"/>
          <w:szCs w:val="22"/>
        </w:rPr>
        <w:t>for example</w:t>
      </w:r>
      <w:r w:rsidRPr="000645CD">
        <w:rPr>
          <w:rFonts w:ascii="Calibri" w:hAnsi="Calibri"/>
          <w:sz w:val="22"/>
          <w:szCs w:val="22"/>
        </w:rPr>
        <w:t xml:space="preserve"> Lease D in our sample</w:t>
      </w:r>
      <w:r w:rsidR="006A677E" w:rsidRPr="000645CD">
        <w:rPr>
          <w:rFonts w:ascii="Calibri" w:hAnsi="Calibri"/>
          <w:sz w:val="22"/>
          <w:szCs w:val="22"/>
        </w:rPr>
        <w:t>,</w:t>
      </w:r>
      <w:r w:rsidRPr="000645CD">
        <w:rPr>
          <w:rFonts w:ascii="Calibri" w:hAnsi="Calibri"/>
          <w:sz w:val="22"/>
          <w:szCs w:val="22"/>
        </w:rPr>
        <w:t xml:space="preserve"> contain a provision requiring that the parties treat the lease as confidential to the parties, their professional advisers and bankers. </w:t>
      </w:r>
    </w:p>
    <w:p w:rsidR="00692FEB" w:rsidRPr="00C02CCB" w:rsidRDefault="00C02CCB" w:rsidP="00692FEB">
      <w:pPr>
        <w:pStyle w:val="NormalWeb"/>
        <w:spacing w:line="276" w:lineRule="auto"/>
        <w:rPr>
          <w:rFonts w:ascii="Calibri" w:hAnsi="Calibri" w:cs="Times"/>
          <w:sz w:val="22"/>
          <w:szCs w:val="22"/>
          <w:lang w:val="en-US"/>
        </w:rPr>
      </w:pPr>
      <w:r>
        <w:rPr>
          <w:rFonts w:ascii="Calibri" w:hAnsi="Calibri"/>
          <w:sz w:val="22"/>
          <w:szCs w:val="22"/>
        </w:rPr>
        <w:t>Nor is much known about t</w:t>
      </w:r>
      <w:r w:rsidR="00692FEB" w:rsidRPr="00692FEB">
        <w:rPr>
          <w:rFonts w:ascii="Calibri" w:hAnsi="Calibri"/>
          <w:sz w:val="22"/>
          <w:szCs w:val="22"/>
        </w:rPr>
        <w:t xml:space="preserve">he picture internationally. </w:t>
      </w:r>
      <w:r w:rsidR="00692FEB">
        <w:rPr>
          <w:rFonts w:ascii="Calibri" w:hAnsi="Calibri"/>
          <w:sz w:val="22"/>
          <w:szCs w:val="22"/>
        </w:rPr>
        <w:t xml:space="preserve">The </w:t>
      </w:r>
      <w:r w:rsidR="00692FEB" w:rsidRPr="00692FEB">
        <w:rPr>
          <w:rFonts w:ascii="Calibri" w:hAnsi="Calibri"/>
          <w:sz w:val="22"/>
          <w:szCs w:val="22"/>
        </w:rPr>
        <w:t>Federal Gove</w:t>
      </w:r>
      <w:r w:rsidR="00692FEB">
        <w:rPr>
          <w:rFonts w:ascii="Calibri" w:hAnsi="Calibri"/>
          <w:sz w:val="22"/>
          <w:szCs w:val="22"/>
        </w:rPr>
        <w:t xml:space="preserve">rnment in Australia </w:t>
      </w:r>
      <w:r w:rsidR="00692FEB">
        <w:rPr>
          <w:rFonts w:ascii="Calibri" w:hAnsi="Calibri" w:cs="Times"/>
          <w:sz w:val="22"/>
          <w:szCs w:val="22"/>
          <w:lang w:val="en-US"/>
        </w:rPr>
        <w:t>encourages</w:t>
      </w:r>
      <w:r w:rsidR="00692FEB" w:rsidRPr="00692FEB">
        <w:rPr>
          <w:rFonts w:ascii="Calibri" w:hAnsi="Calibri" w:cs="Times"/>
          <w:sz w:val="22"/>
          <w:szCs w:val="22"/>
          <w:lang w:val="en-US"/>
        </w:rPr>
        <w:t xml:space="preserve"> Green Lease Schedules to be used in all commercial leases of Federal Government-owned property and for leases entered into by the Federal Government as a tenant of privately owned commercial property.</w:t>
      </w:r>
      <w:r w:rsidR="008058E6">
        <w:rPr>
          <w:rStyle w:val="FootnoteReference"/>
          <w:rFonts w:ascii="Calibri" w:hAnsi="Calibri" w:cs="Times"/>
          <w:sz w:val="22"/>
          <w:szCs w:val="22"/>
          <w:lang w:val="en-US"/>
        </w:rPr>
        <w:footnoteReference w:id="5"/>
      </w:r>
      <w:r w:rsidR="00692FEB" w:rsidRPr="00692FEB">
        <w:rPr>
          <w:rFonts w:ascii="Calibri" w:hAnsi="Calibri"/>
          <w:sz w:val="22"/>
          <w:szCs w:val="22"/>
        </w:rPr>
        <w:t xml:space="preserve"> Notwithstanding the lead taken </w:t>
      </w:r>
      <w:r w:rsidR="00BE5D62">
        <w:rPr>
          <w:rFonts w:ascii="Calibri" w:hAnsi="Calibri"/>
          <w:sz w:val="22"/>
          <w:szCs w:val="22"/>
        </w:rPr>
        <w:t xml:space="preserve">by the Australian Government </w:t>
      </w:r>
      <w:r w:rsidR="00692FEB">
        <w:rPr>
          <w:rFonts w:ascii="Calibri" w:hAnsi="Calibri"/>
          <w:sz w:val="22"/>
          <w:szCs w:val="22"/>
        </w:rPr>
        <w:t xml:space="preserve">it does not appear yet that </w:t>
      </w:r>
      <w:r w:rsidR="00692FEB" w:rsidRPr="00692FEB">
        <w:rPr>
          <w:rFonts w:ascii="Calibri" w:hAnsi="Calibri" w:cs="Times"/>
          <w:sz w:val="22"/>
          <w:szCs w:val="22"/>
          <w:lang w:val="en-US"/>
        </w:rPr>
        <w:t xml:space="preserve">Green Lease Schedules </w:t>
      </w:r>
      <w:r w:rsidR="00692FEB">
        <w:rPr>
          <w:rFonts w:ascii="Calibri" w:hAnsi="Calibri" w:cs="Times"/>
          <w:sz w:val="22"/>
          <w:szCs w:val="22"/>
          <w:lang w:val="en-US"/>
        </w:rPr>
        <w:t>are</w:t>
      </w:r>
      <w:r w:rsidR="00692FEB" w:rsidRPr="00692FEB">
        <w:rPr>
          <w:rFonts w:ascii="Calibri" w:hAnsi="Calibri" w:cs="Times"/>
          <w:sz w:val="22"/>
          <w:szCs w:val="22"/>
          <w:lang w:val="en-US"/>
        </w:rPr>
        <w:t xml:space="preserve"> common place </w:t>
      </w:r>
      <w:r w:rsidR="00692FEB">
        <w:rPr>
          <w:rFonts w:ascii="Calibri" w:hAnsi="Calibri" w:cs="Times"/>
          <w:sz w:val="22"/>
          <w:szCs w:val="22"/>
          <w:lang w:val="en-US"/>
        </w:rPr>
        <w:t>or have had any significant impact in</w:t>
      </w:r>
      <w:r w:rsidR="00692FEB" w:rsidRPr="00692FEB">
        <w:rPr>
          <w:rFonts w:ascii="Calibri" w:hAnsi="Calibri" w:cs="Times"/>
          <w:sz w:val="22"/>
          <w:szCs w:val="22"/>
          <w:lang w:val="en-US"/>
        </w:rPr>
        <w:t xml:space="preserve"> the private sector.</w:t>
      </w:r>
      <w:r w:rsidR="00F159FA">
        <w:rPr>
          <w:rStyle w:val="FootnoteReference"/>
          <w:rFonts w:ascii="Calibri" w:hAnsi="Calibri" w:cs="Times"/>
          <w:sz w:val="22"/>
          <w:szCs w:val="22"/>
          <w:lang w:val="en-US"/>
        </w:rPr>
        <w:footnoteReference w:id="6"/>
      </w:r>
      <w:r w:rsidR="00692FEB" w:rsidRPr="00692FEB">
        <w:rPr>
          <w:rFonts w:ascii="Calibri" w:hAnsi="Calibri" w:cs="Times"/>
          <w:sz w:val="22"/>
          <w:szCs w:val="22"/>
          <w:lang w:val="en-US"/>
        </w:rPr>
        <w:t xml:space="preserve"> </w:t>
      </w:r>
      <w:r>
        <w:rPr>
          <w:rFonts w:ascii="Calibri" w:hAnsi="Calibri" w:cs="Times"/>
          <w:sz w:val="22"/>
          <w:szCs w:val="22"/>
          <w:lang w:val="en-US"/>
        </w:rPr>
        <w:t xml:space="preserve">Globally, there is scant </w:t>
      </w:r>
      <w:r w:rsidRPr="00C02CCB">
        <w:rPr>
          <w:rFonts w:ascii="Calibri" w:hAnsi="Calibri" w:cs="Times"/>
          <w:sz w:val="22"/>
          <w:szCs w:val="22"/>
          <w:lang w:val="en-US"/>
        </w:rPr>
        <w:t>evidence about the content of agreed leases</w:t>
      </w:r>
      <w:r w:rsidR="00F159FA">
        <w:rPr>
          <w:rFonts w:ascii="Calibri" w:hAnsi="Calibri" w:cs="Times"/>
          <w:sz w:val="22"/>
          <w:szCs w:val="22"/>
          <w:lang w:val="en-US"/>
        </w:rPr>
        <w:t>.</w:t>
      </w:r>
      <w:r w:rsidR="00F159FA">
        <w:rPr>
          <w:rStyle w:val="FootnoteReference"/>
          <w:rFonts w:ascii="Calibri" w:hAnsi="Calibri" w:cs="Times"/>
          <w:sz w:val="22"/>
          <w:szCs w:val="22"/>
          <w:lang w:val="en-US"/>
        </w:rPr>
        <w:footnoteReference w:id="7"/>
      </w:r>
      <w:r>
        <w:rPr>
          <w:rFonts w:ascii="Calibri" w:hAnsi="Calibri" w:cs="Times"/>
          <w:sz w:val="22"/>
          <w:szCs w:val="22"/>
          <w:lang w:val="en-US"/>
        </w:rPr>
        <w:t xml:space="preserve"> </w:t>
      </w:r>
    </w:p>
    <w:p w:rsidR="00DF1FAC" w:rsidRDefault="00DF1FAC" w:rsidP="000645CD">
      <w:r w:rsidRPr="000645CD">
        <w:t xml:space="preserve">This research </w:t>
      </w:r>
      <w:r w:rsidR="000645CD">
        <w:t xml:space="preserve">project </w:t>
      </w:r>
      <w:r w:rsidRPr="000645CD">
        <w:t>shows that green leases are</w:t>
      </w:r>
      <w:r w:rsidR="006A677E" w:rsidRPr="000645CD">
        <w:t xml:space="preserve"> being entered</w:t>
      </w:r>
      <w:r w:rsidR="00C02CCB">
        <w:t xml:space="preserve"> into in England and Wales</w:t>
      </w:r>
      <w:r w:rsidRPr="000645CD">
        <w:t>. Th</w:t>
      </w:r>
      <w:r w:rsidR="000645CD">
        <w:t xml:space="preserve">e </w:t>
      </w:r>
      <w:r w:rsidRPr="000645CD">
        <w:t xml:space="preserve">project does not provide information </w:t>
      </w:r>
      <w:r w:rsidR="00BE5D62">
        <w:t xml:space="preserve">on </w:t>
      </w:r>
      <w:r w:rsidRPr="000645CD">
        <w:t>how frequently green leases are used, and neither does it look at the adoption or content of MoUs (these are not public documents). It is, however, the first project to provide empirically based evidence</w:t>
      </w:r>
      <w:r>
        <w:t xml:space="preserve"> about the content of early green leases in England</w:t>
      </w:r>
      <w:r w:rsidR="00C02CCB">
        <w:t xml:space="preserve"> and Wales</w:t>
      </w:r>
      <w:r>
        <w:t xml:space="preserve">. </w:t>
      </w:r>
    </w:p>
    <w:p w:rsidR="00DD47B8" w:rsidRPr="00DD47B8" w:rsidRDefault="005A47AB">
      <w:pPr>
        <w:rPr>
          <w:b/>
        </w:rPr>
      </w:pPr>
      <w:r>
        <w:rPr>
          <w:b/>
        </w:rPr>
        <w:t xml:space="preserve">3. </w:t>
      </w:r>
      <w:r w:rsidR="00DF1FAC">
        <w:rPr>
          <w:b/>
        </w:rPr>
        <w:t>Methodology</w:t>
      </w:r>
    </w:p>
    <w:p w:rsidR="004B1280" w:rsidRPr="004B1280" w:rsidRDefault="004B1280" w:rsidP="00CE1558">
      <w:r>
        <w:lastRenderedPageBreak/>
        <w:t xml:space="preserve">The aim of our research was to examine </w:t>
      </w:r>
      <w:r w:rsidR="00231EDF">
        <w:t xml:space="preserve">the wording of leases that have been entered into post 2007 in order to see if these leases contained any green provisions, and, if so, to find out what kind of terms were being agreed to. </w:t>
      </w:r>
    </w:p>
    <w:p w:rsidR="00CE1558" w:rsidRPr="005A47AB" w:rsidRDefault="005A47AB" w:rsidP="00CE1558">
      <w:pPr>
        <w:rPr>
          <w:i/>
        </w:rPr>
      </w:pPr>
      <w:r>
        <w:rPr>
          <w:i/>
        </w:rPr>
        <w:t xml:space="preserve">3.1 </w:t>
      </w:r>
      <w:r w:rsidR="004B1280" w:rsidRPr="005A47AB">
        <w:rPr>
          <w:i/>
        </w:rPr>
        <w:t>Select</w:t>
      </w:r>
      <w:r w:rsidR="00CE1558" w:rsidRPr="005A47AB">
        <w:rPr>
          <w:i/>
        </w:rPr>
        <w:t>ing leasehold titles</w:t>
      </w:r>
    </w:p>
    <w:p w:rsidR="00850215" w:rsidRPr="00B62A26" w:rsidRDefault="00CE1558" w:rsidP="00B62A26">
      <w:r>
        <w:t>Given difficulties in approaching parties direct</w:t>
      </w:r>
      <w:r w:rsidR="00BE5D62">
        <w:t>ly</w:t>
      </w:r>
      <w:r>
        <w:t xml:space="preserve"> for copies of agreed leases, and concerns over confidentiality of leases, we relied on leases recorded on the public Land Register. The sample is not representative. It was intentionally small (we examined 28 leases), in large part because of budget limitations but also because the research was intended to test the methods used. </w:t>
      </w:r>
      <w:r w:rsidR="000645CD">
        <w:t xml:space="preserve">The sample </w:t>
      </w:r>
      <w:r w:rsidR="009B62C7">
        <w:t>excludes short</w:t>
      </w:r>
      <w:r w:rsidR="000645CD">
        <w:t xml:space="preserve"> leases </w:t>
      </w:r>
      <w:r w:rsidR="009B62C7">
        <w:t xml:space="preserve">as registration under the Land Registration Act 2002 is only compulsory for </w:t>
      </w:r>
      <w:r>
        <w:t>l</w:t>
      </w:r>
      <w:r w:rsidR="00C02CCB">
        <w:t xml:space="preserve">eases of more than seven years; </w:t>
      </w:r>
      <w:r>
        <w:t>as average lease length is now less than seven years this means that only a subset of the market has been examined</w:t>
      </w:r>
      <w:r w:rsidR="009819B4">
        <w:t>.</w:t>
      </w:r>
      <w:r w:rsidR="009819B4">
        <w:rPr>
          <w:rStyle w:val="FootnoteReference"/>
        </w:rPr>
        <w:footnoteReference w:id="8"/>
      </w:r>
      <w:r w:rsidR="009819B4">
        <w:t xml:space="preserve"> </w:t>
      </w:r>
      <w:r>
        <w:t>Documents that take effect outside the lease, such as handbooks and MoUs are not available on the register and so we have no information about green arrangements</w:t>
      </w:r>
      <w:r w:rsidR="009B62C7">
        <w:t xml:space="preserve"> entered into outside of the lease</w:t>
      </w:r>
      <w:r>
        <w:t xml:space="preserve">. Further, because the expectation was that little, if any, ‘green’ was likely to be found, titles were </w:t>
      </w:r>
      <w:r w:rsidR="009B62C7">
        <w:t xml:space="preserve">selected predominantly from </w:t>
      </w:r>
      <w:r w:rsidR="00B62A26">
        <w:t xml:space="preserve">leases of quality green buildings as our assumption was that these are the most likely properties to incorporate green principles into leasing practices. </w:t>
      </w:r>
    </w:p>
    <w:p w:rsidR="00E41574" w:rsidRPr="00AD054C" w:rsidRDefault="00CE1558" w:rsidP="00E41574">
      <w:r>
        <w:t>In selecting properties we sought to use leases from a variety of locations and offering a mix of different landlords and tenants</w:t>
      </w:r>
      <w:r w:rsidR="00BE5D62">
        <w:t xml:space="preserve">. We </w:t>
      </w:r>
      <w:r>
        <w:t>therefore used a number of different approaches to identify the leasehold titles that we wish</w:t>
      </w:r>
      <w:r w:rsidR="00BE5D62">
        <w:t>ed</w:t>
      </w:r>
      <w:r>
        <w:t xml:space="preserve"> to obtain copies of. </w:t>
      </w:r>
      <w:r w:rsidR="00E41574">
        <w:t xml:space="preserve"> Table </w:t>
      </w:r>
      <w:r w:rsidR="00FE5378">
        <w:t>2</w:t>
      </w:r>
      <w:r w:rsidR="00E41574">
        <w:t xml:space="preserve"> </w:t>
      </w:r>
      <w:r w:rsidR="00FE5378">
        <w:t xml:space="preserve">(below) </w:t>
      </w:r>
      <w:r w:rsidR="00E41574">
        <w:t xml:space="preserve">shows that whilst the majority </w:t>
      </w:r>
      <w:r w:rsidR="00BE5D62">
        <w:t xml:space="preserve">of </w:t>
      </w:r>
      <w:r w:rsidR="00E41574">
        <w:t>our sample leases</w:t>
      </w:r>
      <w:r w:rsidR="009B62C7">
        <w:t xml:space="preserve"> are</w:t>
      </w:r>
      <w:r w:rsidR="00E41574">
        <w:t xml:space="preserve"> in London, there is a regional spread. The regional descriptors are based on the </w:t>
      </w:r>
      <w:r w:rsidR="00E41574">
        <w:rPr>
          <w:rFonts w:eastAsia="Times New Roman"/>
        </w:rPr>
        <w:t>Government Offices for the Regions that were established across England in 1994</w:t>
      </w:r>
      <w:r w:rsidR="00E41574">
        <w:t>.</w:t>
      </w:r>
      <w:r w:rsidR="00BE5D62">
        <w:rPr>
          <w:rStyle w:val="FootnoteReference"/>
        </w:rPr>
        <w:footnoteReference w:id="9"/>
      </w:r>
      <w:r w:rsidR="00E41574">
        <w:t xml:space="preserve"> </w:t>
      </w:r>
    </w:p>
    <w:p w:rsidR="00CE1558" w:rsidRDefault="00CE1558" w:rsidP="00CE1558">
      <w:r>
        <w:t>One method was to identify</w:t>
      </w:r>
      <w:r w:rsidR="00B62A26">
        <w:t xml:space="preserve"> green buildings by reference to </w:t>
      </w:r>
      <w:r>
        <w:t xml:space="preserve">BREEAM rated properties and properties referred to in the </w:t>
      </w:r>
      <w:r w:rsidR="009819B4">
        <w:t>BBP</w:t>
      </w:r>
      <w:r>
        <w:t xml:space="preserve"> Best Practice Case Studies</w:t>
      </w:r>
      <w:r w:rsidR="009819B4">
        <w:t>.</w:t>
      </w:r>
      <w:r w:rsidR="009819B4">
        <w:rPr>
          <w:rStyle w:val="FootnoteReference"/>
        </w:rPr>
        <w:footnoteReference w:id="10"/>
      </w:r>
      <w:r w:rsidR="009819B4">
        <w:t xml:space="preserve"> </w:t>
      </w:r>
      <w:r w:rsidR="00B62A26" w:rsidRPr="00B62A26">
        <w:t xml:space="preserve">BREEAM </w:t>
      </w:r>
      <w:r w:rsidR="00B62A26">
        <w:t xml:space="preserve">(the </w:t>
      </w:r>
      <w:r w:rsidR="00B62A26" w:rsidRPr="00B62A26">
        <w:rPr>
          <w:rFonts w:cs="Times"/>
          <w:lang w:val="en-US"/>
        </w:rPr>
        <w:t>Building Research Establishment Environmental Assessment Method</w:t>
      </w:r>
      <w:r w:rsidR="00B62A26">
        <w:rPr>
          <w:rFonts w:cs="Times"/>
          <w:lang w:val="en-US"/>
        </w:rPr>
        <w:t>)</w:t>
      </w:r>
      <w:r w:rsidR="00B62A26" w:rsidRPr="00B62A26">
        <w:t xml:space="preserve"> is a UK based rating system that was launched in 1990. </w:t>
      </w:r>
      <w:r w:rsidR="00B62A26">
        <w:t xml:space="preserve"> BREEAM rated properties</w:t>
      </w:r>
      <w:r>
        <w:t xml:space="preserve"> were found by internet searches using the BREEAM and BBP websites, together with general media and press searches, with a focus on recently constructed properties. </w:t>
      </w:r>
      <w:r w:rsidR="00FE2917">
        <w:t xml:space="preserve">Most of our </w:t>
      </w:r>
      <w:proofErr w:type="gramStart"/>
      <w:r w:rsidR="00FE2917">
        <w:t>sample are</w:t>
      </w:r>
      <w:proofErr w:type="gramEnd"/>
      <w:r w:rsidR="00FE2917">
        <w:t xml:space="preserve"> leases of BREEAM </w:t>
      </w:r>
      <w:r w:rsidR="00B62A26" w:rsidRPr="00B62A26">
        <w:t>rated new and refurbished buildings (almost two-</w:t>
      </w:r>
      <w:r w:rsidR="00B62A26">
        <w:t>thirds of our sample have an ‘excellent’ rating)</w:t>
      </w:r>
      <w:r w:rsidR="00FE2917">
        <w:t>.</w:t>
      </w:r>
      <w:r w:rsidR="00B62A26">
        <w:t xml:space="preserve"> </w:t>
      </w:r>
      <w:r>
        <w:t xml:space="preserve">We also selected some titles by starting with the identity of the parties, choosing those with stated policies of negotiating ‘green’ leases, or professing to have ‘green’ credentials, and looking </w:t>
      </w:r>
      <w:r w:rsidR="00CD0043">
        <w:t xml:space="preserve">at </w:t>
      </w:r>
      <w:r>
        <w:t>developments</w:t>
      </w:r>
      <w:r w:rsidR="00BE5D62">
        <w:t xml:space="preserve"> they have recently been involved with</w:t>
      </w:r>
      <w:r>
        <w:t xml:space="preserve">. In the event, it proved surprisingly difficult to source information directly from landlords’ and tenants’ websites and press releases as to their use of ‘green’ leases. </w:t>
      </w:r>
    </w:p>
    <w:p w:rsidR="00CE1558" w:rsidRDefault="00CE1558" w:rsidP="00CE1558">
      <w:r>
        <w:t>The Land Registry’s public search facility was then used to discover the leasehold titles for our selected properties.  Obtaining leases from the Land Registry was by no means straightforward, notwithstanding it being a public record. The public interface of the Land Registry allows properties to be searched by address and postcode only (not by date, or by party). Further, for most properties chosen our search returned numerous leasehold titles, as the properties were usually multi-</w:t>
      </w:r>
      <w:r>
        <w:lastRenderedPageBreak/>
        <w:t>occupied.</w:t>
      </w:r>
      <w:r w:rsidR="00BE5D62">
        <w:rPr>
          <w:rStyle w:val="FootnoteReference"/>
        </w:rPr>
        <w:footnoteReference w:id="11"/>
      </w:r>
      <w:r>
        <w:t xml:space="preserve"> Given that the earliest claimed use of a ‘green’ lease in the UK was in 2007, our search needed to be confined to leases registered in 2008 or later so as to avoid producing (and having to pay for) irrelevant titles. We therefore had to rely on the assistance of a personal contact at the Land Registry to supply us with much of the information we required, and to whom we are extremely grateful. </w:t>
      </w:r>
      <w:r w:rsidR="009B62C7">
        <w:t>In addition, a major</w:t>
      </w:r>
      <w:r>
        <w:t xml:space="preserve"> retailer who we had identified </w:t>
      </w:r>
      <w:r w:rsidR="007E1B06">
        <w:t>as being committed to green leasing practices</w:t>
      </w:r>
      <w:r>
        <w:t xml:space="preserve"> provided us with seven recent leasehold agreements; these are included in our sample as they are publically registered leases, but as </w:t>
      </w:r>
      <w:r w:rsidR="00231EDF">
        <w:t>they were supplied direct to us</w:t>
      </w:r>
      <w:r>
        <w:t xml:space="preserve"> we avoided Land Registry costs.</w:t>
      </w:r>
    </w:p>
    <w:p w:rsidR="00DF1FAC" w:rsidRPr="00DF1FAC" w:rsidRDefault="00CE1558">
      <w:r>
        <w:t>In total we acquired 28 leasehold titles. Two of these had to be excluded from our analysis: Lease E was not for office or retail use (and we wished to contain our analysis to office and retail leases), and Lease N was incomplete as the Land Registry h</w:t>
      </w:r>
      <w:r w:rsidR="009B62C7">
        <w:t>old</w:t>
      </w:r>
      <w:r>
        <w:t xml:space="preserve">s an incomplete copy (although Lease N evidently contains several green provisions).  Just to add to the complexity of the research methods: the official copies of leasehold titles are supplied by the Land Registry in hard copy only which necessitated further time and expense getting these copies scanned so that we could analyse them. </w:t>
      </w:r>
    </w:p>
    <w:p w:rsidR="00232EA3" w:rsidRPr="005A47AB" w:rsidRDefault="005A47AB">
      <w:pPr>
        <w:rPr>
          <w:i/>
        </w:rPr>
      </w:pPr>
      <w:r>
        <w:rPr>
          <w:i/>
        </w:rPr>
        <w:t xml:space="preserve">3.2 </w:t>
      </w:r>
      <w:r w:rsidR="004B1280" w:rsidRPr="005A47AB">
        <w:rPr>
          <w:i/>
        </w:rPr>
        <w:t>Identifying ‘green’ leases</w:t>
      </w:r>
    </w:p>
    <w:p w:rsidR="004B1280" w:rsidRDefault="00232EA3" w:rsidP="004B1280">
      <w:r>
        <w:t>A</w:t>
      </w:r>
      <w:r w:rsidR="00FC0A62">
        <w:t>n important question is wh</w:t>
      </w:r>
      <w:r>
        <w:t xml:space="preserve">at constitutes a ‘green’ clause. </w:t>
      </w:r>
      <w:r w:rsidR="004B1280">
        <w:t xml:space="preserve">Prior to receiving the leases, we compiled a ‘green’ checklist (using a variety of online </w:t>
      </w:r>
      <w:r w:rsidR="009B62C7">
        <w:t>sources, in particular the BBP green</w:t>
      </w:r>
      <w:r w:rsidR="004B1280">
        <w:t xml:space="preserve"> lease toolkit</w:t>
      </w:r>
      <w:r w:rsidR="00CD0043">
        <w:t xml:space="preserve"> (2009)</w:t>
      </w:r>
      <w:r w:rsidR="004B1280">
        <w:t xml:space="preserve">), envisaging that we would use it to record clauses </w:t>
      </w:r>
      <w:r w:rsidR="006E2D45">
        <w:t>found in</w:t>
      </w:r>
      <w:r w:rsidR="004B1280">
        <w:t xml:space="preserve"> </w:t>
      </w:r>
      <w:r w:rsidR="006E2D45">
        <w:t>our sample</w:t>
      </w:r>
      <w:r w:rsidR="004B1280">
        <w:t>. However, it soon became apparent on reading the leases that this</w:t>
      </w:r>
      <w:r w:rsidR="00231EDF">
        <w:t xml:space="preserve"> checklist was not suitable. </w:t>
      </w:r>
      <w:r w:rsidR="004B1280">
        <w:t xml:space="preserve">The ‘green’ clauses did not fit neatly into boilerplate </w:t>
      </w:r>
      <w:r w:rsidR="00E41574">
        <w:t>categories. Instead we have grouped</w:t>
      </w:r>
      <w:r w:rsidR="004B1280">
        <w:t xml:space="preserve"> clauses into </w:t>
      </w:r>
      <w:r w:rsidR="00E41574">
        <w:t xml:space="preserve">the </w:t>
      </w:r>
      <w:r w:rsidR="004B1280">
        <w:t>broader categories</w:t>
      </w:r>
      <w:r w:rsidR="00E41574">
        <w:t xml:space="preserve"> shown in Table </w:t>
      </w:r>
      <w:r w:rsidR="00CD0043">
        <w:t>1</w:t>
      </w:r>
      <w:r w:rsidR="00E41574">
        <w:t xml:space="preserve"> below that accommodates the </w:t>
      </w:r>
      <w:r w:rsidR="004B1280">
        <w:t xml:space="preserve">variation </w:t>
      </w:r>
      <w:r w:rsidR="00E41574">
        <w:t>in wording found in our sample leases.</w:t>
      </w:r>
    </w:p>
    <w:p w:rsidR="004F2395" w:rsidRDefault="003E3AC8" w:rsidP="004F2395">
      <w:r w:rsidRPr="001766F4">
        <w:t xml:space="preserve">For the purposes of this research, </w:t>
      </w:r>
      <w:r w:rsidR="00232EA3">
        <w:t>we have defined a green clause a</w:t>
      </w:r>
      <w:r w:rsidRPr="001766F4">
        <w:t xml:space="preserve">s one which </w:t>
      </w:r>
      <w:r w:rsidRPr="001766F4">
        <w:rPr>
          <w:rFonts w:cs="Calibri"/>
          <w:iCs/>
          <w:lang w:val="en-US"/>
        </w:rPr>
        <w:t xml:space="preserve">"is designed to facilitate the property being used in a </w:t>
      </w:r>
      <w:r w:rsidR="00A116B7">
        <w:rPr>
          <w:rFonts w:cs="Calibri"/>
          <w:iCs/>
          <w:lang w:val="en-US"/>
        </w:rPr>
        <w:t xml:space="preserve">resource efficient manner and </w:t>
      </w:r>
      <w:r w:rsidRPr="001766F4">
        <w:rPr>
          <w:rFonts w:cs="Calibri"/>
          <w:iCs/>
          <w:lang w:val="en-US"/>
        </w:rPr>
        <w:t>which takes account of energy efficiency and other sustainability goals and measures"</w:t>
      </w:r>
      <w:r w:rsidRPr="001766F4">
        <w:rPr>
          <w:rFonts w:cs="Calibri"/>
          <w:lang w:val="en-US"/>
        </w:rPr>
        <w:t>. It is not</w:t>
      </w:r>
      <w:r w:rsidR="006A4C45" w:rsidRPr="001766F4">
        <w:rPr>
          <w:rFonts w:cs="Calibri"/>
          <w:lang w:val="en-US"/>
        </w:rPr>
        <w:t>, therefore,</w:t>
      </w:r>
      <w:r w:rsidRPr="001766F4">
        <w:rPr>
          <w:rFonts w:cs="Calibri"/>
          <w:lang w:val="en-US"/>
        </w:rPr>
        <w:t xml:space="preserve"> </w:t>
      </w:r>
      <w:r w:rsidR="006A4C45" w:rsidRPr="001766F4">
        <w:rPr>
          <w:rFonts w:cs="Calibri"/>
          <w:lang w:val="en-US"/>
        </w:rPr>
        <w:t>confined to</w:t>
      </w:r>
      <w:r w:rsidRPr="001766F4">
        <w:rPr>
          <w:rFonts w:cs="Calibri"/>
          <w:lang w:val="en-US"/>
        </w:rPr>
        <w:t xml:space="preserve"> </w:t>
      </w:r>
      <w:r w:rsidR="006A4C45" w:rsidRPr="001766F4">
        <w:rPr>
          <w:rFonts w:cs="Calibri"/>
          <w:lang w:val="en-US"/>
        </w:rPr>
        <w:t xml:space="preserve">clauses relating to </w:t>
      </w:r>
      <w:r w:rsidRPr="001766F4">
        <w:rPr>
          <w:rFonts w:cs="Calibri"/>
          <w:lang w:val="en-US"/>
        </w:rPr>
        <w:t>energy use</w:t>
      </w:r>
      <w:r w:rsidR="006A37D5" w:rsidRPr="001766F4">
        <w:rPr>
          <w:rFonts w:cs="Calibri"/>
          <w:lang w:val="en-US"/>
        </w:rPr>
        <w:t xml:space="preserve"> but incorporates a variety of measures designed to improve the environmental performance of the building, </w:t>
      </w:r>
      <w:r w:rsidR="00657333">
        <w:rPr>
          <w:rFonts w:cs="Calibri"/>
          <w:lang w:val="en-US"/>
        </w:rPr>
        <w:t xml:space="preserve">such as sustainable waste management and </w:t>
      </w:r>
      <w:r w:rsidR="00232EA3">
        <w:rPr>
          <w:rFonts w:cs="Calibri"/>
          <w:lang w:val="en-US"/>
        </w:rPr>
        <w:t>the use of materials from sustainable sources</w:t>
      </w:r>
      <w:r w:rsidR="006A37D5" w:rsidRPr="001766F4">
        <w:rPr>
          <w:rFonts w:cs="Calibri"/>
          <w:lang w:val="en-US"/>
        </w:rPr>
        <w:t xml:space="preserve">. </w:t>
      </w:r>
    </w:p>
    <w:p w:rsidR="00A116B7" w:rsidRDefault="00232EA3" w:rsidP="008E60F6">
      <w:pPr>
        <w:kinsoku w:val="0"/>
        <w:overflowPunct w:val="0"/>
        <w:spacing w:before="240"/>
        <w:textAlignment w:val="baseline"/>
        <w:rPr>
          <w:rFonts w:cs="Verdana"/>
          <w:spacing w:val="4"/>
        </w:rPr>
      </w:pPr>
      <w:r>
        <w:rPr>
          <w:rFonts w:cs="Verdana"/>
          <w:spacing w:val="4"/>
        </w:rPr>
        <w:t>Even with this working definition, d</w:t>
      </w:r>
      <w:r w:rsidR="00657333">
        <w:rPr>
          <w:rFonts w:cs="Verdana"/>
          <w:spacing w:val="4"/>
        </w:rPr>
        <w:t xml:space="preserve">eciding which clauses to </w:t>
      </w:r>
      <w:r>
        <w:rPr>
          <w:rFonts w:cs="Verdana"/>
          <w:spacing w:val="4"/>
        </w:rPr>
        <w:t>consider</w:t>
      </w:r>
      <w:r w:rsidR="00BE5D62">
        <w:rPr>
          <w:rFonts w:cs="Verdana"/>
          <w:spacing w:val="4"/>
        </w:rPr>
        <w:t xml:space="preserve"> green for this project wa</w:t>
      </w:r>
      <w:r w:rsidR="00657333">
        <w:rPr>
          <w:rFonts w:cs="Verdana"/>
          <w:spacing w:val="4"/>
        </w:rPr>
        <w:t xml:space="preserve">s not straightforward. </w:t>
      </w:r>
      <w:r>
        <w:rPr>
          <w:rFonts w:cs="Verdana"/>
          <w:spacing w:val="4"/>
        </w:rPr>
        <w:t xml:space="preserve">We have </w:t>
      </w:r>
      <w:r w:rsidR="00AD054C">
        <w:rPr>
          <w:rFonts w:cs="Verdana"/>
          <w:spacing w:val="4"/>
        </w:rPr>
        <w:t>distinguish</w:t>
      </w:r>
      <w:r>
        <w:rPr>
          <w:rFonts w:cs="Verdana"/>
          <w:spacing w:val="4"/>
        </w:rPr>
        <w:t>ed</w:t>
      </w:r>
      <w:r w:rsidR="00AD054C">
        <w:rPr>
          <w:rFonts w:cs="Verdana"/>
          <w:spacing w:val="4"/>
        </w:rPr>
        <w:t xml:space="preserve"> between</w:t>
      </w:r>
      <w:r>
        <w:rPr>
          <w:rFonts w:cs="Verdana"/>
          <w:spacing w:val="4"/>
        </w:rPr>
        <w:t>: (i)</w:t>
      </w:r>
      <w:r w:rsidR="00AD054C">
        <w:rPr>
          <w:rFonts w:cs="Verdana"/>
          <w:spacing w:val="4"/>
        </w:rPr>
        <w:t xml:space="preserve"> clauses that are </w:t>
      </w:r>
      <w:r w:rsidR="00AD054C" w:rsidRPr="0055747E">
        <w:rPr>
          <w:rFonts w:cs="Verdana"/>
          <w:i/>
          <w:spacing w:val="4"/>
        </w:rPr>
        <w:t xml:space="preserve">designed </w:t>
      </w:r>
      <w:r w:rsidR="00AD054C">
        <w:rPr>
          <w:rFonts w:cs="Verdana"/>
          <w:spacing w:val="4"/>
        </w:rPr>
        <w:t xml:space="preserve">to influence the conduct of the parties so as to </w:t>
      </w:r>
      <w:r w:rsidR="0055747E">
        <w:rPr>
          <w:rFonts w:cs="Verdana"/>
          <w:spacing w:val="4"/>
        </w:rPr>
        <w:t xml:space="preserve">either </w:t>
      </w:r>
      <w:r w:rsidR="00AD054C">
        <w:rPr>
          <w:rFonts w:cs="Verdana"/>
          <w:spacing w:val="4"/>
        </w:rPr>
        <w:t>have a positive impact</w:t>
      </w:r>
      <w:r w:rsidR="0055747E">
        <w:rPr>
          <w:rFonts w:cs="Verdana"/>
          <w:spacing w:val="4"/>
        </w:rPr>
        <w:t>,</w:t>
      </w:r>
      <w:r w:rsidR="00AD054C">
        <w:rPr>
          <w:rFonts w:cs="Verdana"/>
          <w:spacing w:val="4"/>
        </w:rPr>
        <w:t xml:space="preserve"> </w:t>
      </w:r>
      <w:r w:rsidR="0055747E">
        <w:rPr>
          <w:rFonts w:cs="Verdana"/>
          <w:spacing w:val="4"/>
        </w:rPr>
        <w:t>or avoid an adverse impact</w:t>
      </w:r>
      <w:r>
        <w:rPr>
          <w:rFonts w:cs="Verdana"/>
          <w:spacing w:val="4"/>
        </w:rPr>
        <w:t xml:space="preserve">, </w:t>
      </w:r>
      <w:r w:rsidR="00AD054C">
        <w:rPr>
          <w:rFonts w:cs="Verdana"/>
          <w:spacing w:val="4"/>
        </w:rPr>
        <w:t>upon environm</w:t>
      </w:r>
      <w:r w:rsidR="008E60F6">
        <w:rPr>
          <w:rFonts w:cs="Verdana"/>
          <w:spacing w:val="4"/>
        </w:rPr>
        <w:t xml:space="preserve">ental performance </w:t>
      </w:r>
      <w:r>
        <w:rPr>
          <w:rFonts w:cs="Verdana"/>
          <w:spacing w:val="4"/>
        </w:rPr>
        <w:t xml:space="preserve">(green); and (ii) </w:t>
      </w:r>
      <w:r w:rsidR="00AD054C">
        <w:rPr>
          <w:rFonts w:cs="Verdana"/>
          <w:spacing w:val="4"/>
        </w:rPr>
        <w:t xml:space="preserve">clauses that may </w:t>
      </w:r>
      <w:r w:rsidR="0055747E" w:rsidRPr="0055747E">
        <w:rPr>
          <w:rFonts w:cs="Verdana"/>
          <w:i/>
          <w:spacing w:val="4"/>
        </w:rPr>
        <w:t xml:space="preserve">incidentally </w:t>
      </w:r>
      <w:r w:rsidR="00AD054C">
        <w:rPr>
          <w:rFonts w:cs="Verdana"/>
          <w:spacing w:val="4"/>
        </w:rPr>
        <w:t>impact in some way upon environmental responsibilities or good estate management</w:t>
      </w:r>
      <w:r>
        <w:rPr>
          <w:rFonts w:cs="Verdana"/>
          <w:spacing w:val="4"/>
        </w:rPr>
        <w:t xml:space="preserve"> (not green)</w:t>
      </w:r>
      <w:r w:rsidR="00AD054C">
        <w:rPr>
          <w:rFonts w:cs="Verdana"/>
          <w:spacing w:val="4"/>
        </w:rPr>
        <w:t xml:space="preserve">. </w:t>
      </w:r>
      <w:r w:rsidR="008E60F6">
        <w:rPr>
          <w:rFonts w:cs="Verdana"/>
          <w:spacing w:val="4"/>
        </w:rPr>
        <w:t xml:space="preserve"> The distinction is best illustrated by referring to some of the clauses </w:t>
      </w:r>
      <w:r w:rsidR="009B62C7">
        <w:rPr>
          <w:rFonts w:cs="Verdana"/>
          <w:spacing w:val="4"/>
        </w:rPr>
        <w:t>that have not been included as green</w:t>
      </w:r>
      <w:r w:rsidR="008E60F6">
        <w:rPr>
          <w:rFonts w:cs="Verdana"/>
          <w:spacing w:val="4"/>
        </w:rPr>
        <w:t xml:space="preserve"> clauses in our research. First, </w:t>
      </w:r>
      <w:r w:rsidR="00AF5F63">
        <w:rPr>
          <w:rFonts w:cs="Verdana"/>
          <w:spacing w:val="4"/>
        </w:rPr>
        <w:t>some</w:t>
      </w:r>
      <w:r w:rsidR="008E60F6">
        <w:rPr>
          <w:rFonts w:cs="Verdana"/>
          <w:spacing w:val="4"/>
        </w:rPr>
        <w:t xml:space="preserve"> clauses are designed to prevent environmental harms or to protect one or other party from environmental liability. </w:t>
      </w:r>
      <w:r w:rsidR="008E60F6" w:rsidRPr="001766F4">
        <w:rPr>
          <w:rFonts w:cs="Verdana"/>
          <w:spacing w:val="4"/>
        </w:rPr>
        <w:t xml:space="preserve">Lease C (an office lease), for example, includes an obligation on the tenant not to ‘cause or permit any environmental damage’, defined as including damage to human health or the environment which would also be a breach of a statutory or regulatory obligation. This is classified as a ‘No-Green’ lease for our </w:t>
      </w:r>
      <w:r w:rsidR="008E60F6" w:rsidRPr="001766F4">
        <w:rPr>
          <w:rFonts w:cs="Verdana"/>
          <w:spacing w:val="4"/>
        </w:rPr>
        <w:lastRenderedPageBreak/>
        <w:t>purposes</w:t>
      </w:r>
      <w:r w:rsidR="008E60F6">
        <w:rPr>
          <w:rFonts w:cs="Verdana"/>
          <w:spacing w:val="4"/>
        </w:rPr>
        <w:t xml:space="preserve">. </w:t>
      </w:r>
      <w:r w:rsidR="008E60F6" w:rsidRPr="001766F4">
        <w:rPr>
          <w:rFonts w:cs="Verdana"/>
          <w:spacing w:val="4"/>
        </w:rPr>
        <w:t xml:space="preserve">Likewise, there are various common lease clauses that may well enable the landlord to impose environmentally focussed obligations on the tenant but which are not designed with this primary end in mind. So, for example, Lease A contains a provision that requires the tenant to comply with reasonable regulations made ‘in the interests of good estate management … having as their object the … management and general amenity of the Building’. </w:t>
      </w:r>
      <w:r w:rsidR="00BE5D62">
        <w:rPr>
          <w:rFonts w:cs="Verdana"/>
          <w:spacing w:val="4"/>
        </w:rPr>
        <w:t xml:space="preserve">We would not count this as a green clause. </w:t>
      </w:r>
      <w:r w:rsidR="008E60F6">
        <w:rPr>
          <w:rFonts w:cs="Verdana"/>
          <w:spacing w:val="4"/>
        </w:rPr>
        <w:t>Thirdly, nearly all leases specify that the tenant must comply with legislation; again, this will include any manda</w:t>
      </w:r>
      <w:r w:rsidR="00AF5F63">
        <w:rPr>
          <w:rFonts w:cs="Verdana"/>
          <w:spacing w:val="4"/>
        </w:rPr>
        <w:t>tory environmental requirements but we do not include this as a green clause.</w:t>
      </w:r>
      <w:r w:rsidR="008E60F6">
        <w:rPr>
          <w:rFonts w:cs="Verdana"/>
          <w:spacing w:val="4"/>
        </w:rPr>
        <w:t xml:space="preserve"> </w:t>
      </w:r>
    </w:p>
    <w:p w:rsidR="008E60F6" w:rsidRDefault="00BE5D62" w:rsidP="008E60F6">
      <w:pPr>
        <w:kinsoku w:val="0"/>
        <w:overflowPunct w:val="0"/>
        <w:spacing w:before="240"/>
        <w:textAlignment w:val="baseline"/>
        <w:rPr>
          <w:rFonts w:cs="Verdana"/>
          <w:spacing w:val="4"/>
        </w:rPr>
      </w:pPr>
      <w:r>
        <w:rPr>
          <w:rFonts w:cs="Verdana"/>
          <w:spacing w:val="4"/>
        </w:rPr>
        <w:t>We</w:t>
      </w:r>
      <w:r w:rsidR="00A116B7">
        <w:rPr>
          <w:rFonts w:cs="Verdana"/>
          <w:spacing w:val="4"/>
        </w:rPr>
        <w:t xml:space="preserve"> have </w:t>
      </w:r>
      <w:r>
        <w:rPr>
          <w:rFonts w:cs="Verdana"/>
          <w:spacing w:val="4"/>
        </w:rPr>
        <w:t>also adopted</w:t>
      </w:r>
      <w:r w:rsidR="00A116B7">
        <w:rPr>
          <w:rFonts w:cs="Verdana"/>
          <w:spacing w:val="4"/>
        </w:rPr>
        <w:t xml:space="preserve"> a category called ‘green reference’:  this identifies clauses </w:t>
      </w:r>
      <w:r w:rsidR="00A116B7">
        <w:rPr>
          <w:rFonts w:cs="Calibri"/>
          <w:iCs/>
          <w:lang w:val="en-US"/>
        </w:rPr>
        <w:t>which take</w:t>
      </w:r>
      <w:r w:rsidR="00A116B7" w:rsidRPr="001766F4">
        <w:rPr>
          <w:rFonts w:cs="Calibri"/>
          <w:iCs/>
          <w:lang w:val="en-US"/>
        </w:rPr>
        <w:t xml:space="preserve"> account of energy efficiency </w:t>
      </w:r>
      <w:r w:rsidR="00E41574" w:rsidRPr="001766F4">
        <w:rPr>
          <w:rFonts w:cs="Calibri"/>
          <w:iCs/>
          <w:lang w:val="en-US"/>
        </w:rPr>
        <w:t xml:space="preserve">measures </w:t>
      </w:r>
      <w:r w:rsidR="00A116B7" w:rsidRPr="001766F4">
        <w:rPr>
          <w:rFonts w:cs="Calibri"/>
          <w:iCs/>
          <w:lang w:val="en-US"/>
        </w:rPr>
        <w:t xml:space="preserve">and other sustainability goals </w:t>
      </w:r>
      <w:r w:rsidR="00A116B7">
        <w:rPr>
          <w:rFonts w:cs="Calibri"/>
          <w:iCs/>
          <w:lang w:val="en-US"/>
        </w:rPr>
        <w:t xml:space="preserve">but do not directly influence environmental performance. </w:t>
      </w:r>
      <w:r w:rsidR="006A474E">
        <w:rPr>
          <w:rFonts w:cs="Verdana"/>
          <w:spacing w:val="4"/>
        </w:rPr>
        <w:t xml:space="preserve">Drawing the line between green and green reference has been especially hard, and we have had to make a judgement call. </w:t>
      </w:r>
      <w:r w:rsidR="00A116B7">
        <w:rPr>
          <w:rFonts w:cs="Verdana"/>
          <w:spacing w:val="4"/>
        </w:rPr>
        <w:t>An</w:t>
      </w:r>
      <w:r w:rsidR="008E60F6">
        <w:rPr>
          <w:rFonts w:cs="Verdana"/>
          <w:spacing w:val="4"/>
        </w:rPr>
        <w:t xml:space="preserve"> example</w:t>
      </w:r>
      <w:r w:rsidR="00121176">
        <w:rPr>
          <w:rFonts w:cs="Verdana"/>
          <w:spacing w:val="4"/>
        </w:rPr>
        <w:t xml:space="preserve"> </w:t>
      </w:r>
      <w:r w:rsidR="00A116B7">
        <w:rPr>
          <w:rFonts w:cs="Verdana"/>
          <w:spacing w:val="4"/>
        </w:rPr>
        <w:t xml:space="preserve">is a clause that </w:t>
      </w:r>
      <w:r w:rsidR="008E60F6">
        <w:rPr>
          <w:rFonts w:cs="Verdana"/>
          <w:spacing w:val="4"/>
        </w:rPr>
        <w:t>refer</w:t>
      </w:r>
      <w:r w:rsidR="00A116B7">
        <w:rPr>
          <w:rFonts w:cs="Verdana"/>
          <w:spacing w:val="4"/>
        </w:rPr>
        <w:t>s</w:t>
      </w:r>
      <w:r w:rsidR="008E60F6">
        <w:rPr>
          <w:rFonts w:cs="Verdana"/>
          <w:spacing w:val="4"/>
        </w:rPr>
        <w:t xml:space="preserve"> to Energy Performance Certificates (EPC)</w:t>
      </w:r>
      <w:r w:rsidR="00121176">
        <w:rPr>
          <w:rFonts w:cs="Verdana"/>
          <w:spacing w:val="4"/>
        </w:rPr>
        <w:t>. An EPC is required by national laws whenever a building is built, sold or rented, and it provides information about the building’s energy performance</w:t>
      </w:r>
      <w:r w:rsidR="008E60F6">
        <w:rPr>
          <w:rFonts w:cs="Verdana"/>
          <w:spacing w:val="4"/>
        </w:rPr>
        <w:t xml:space="preserve"> </w:t>
      </w:r>
      <w:r w:rsidR="00121176">
        <w:rPr>
          <w:rFonts w:cs="Verdana"/>
          <w:spacing w:val="4"/>
        </w:rPr>
        <w:t>as well as a</w:t>
      </w:r>
      <w:r w:rsidR="00121176">
        <w:rPr>
          <w:rFonts w:eastAsia="Times New Roman"/>
        </w:rPr>
        <w:t xml:space="preserve"> recommendation report which contains suggestions for the improvement of the energy performance of the building. </w:t>
      </w:r>
      <w:r w:rsidR="00121176">
        <w:rPr>
          <w:rFonts w:cs="Verdana"/>
          <w:spacing w:val="4"/>
        </w:rPr>
        <w:t xml:space="preserve"> Several sample leases had a clause </w:t>
      </w:r>
      <w:r w:rsidR="008E60F6">
        <w:rPr>
          <w:rFonts w:cs="Verdana"/>
          <w:spacing w:val="4"/>
        </w:rPr>
        <w:t>requi</w:t>
      </w:r>
      <w:r w:rsidR="00121176">
        <w:rPr>
          <w:rFonts w:cs="Verdana"/>
          <w:spacing w:val="4"/>
        </w:rPr>
        <w:t>ring</w:t>
      </w:r>
      <w:r w:rsidR="008E60F6">
        <w:rPr>
          <w:rFonts w:cs="Verdana"/>
          <w:spacing w:val="4"/>
        </w:rPr>
        <w:t xml:space="preserve"> the tenant to obtain a new EPC if work done by the tenant invalidates a valid EPC. </w:t>
      </w:r>
      <w:r w:rsidR="00A116B7">
        <w:rPr>
          <w:rFonts w:cs="Verdana"/>
          <w:spacing w:val="4"/>
        </w:rPr>
        <w:t>We label the</w:t>
      </w:r>
      <w:r w:rsidR="00AF5F63">
        <w:rPr>
          <w:rFonts w:cs="Verdana"/>
          <w:spacing w:val="4"/>
        </w:rPr>
        <w:t xml:space="preserve">se kinds of clauses as </w:t>
      </w:r>
      <w:r w:rsidR="00A116B7">
        <w:rPr>
          <w:rFonts w:cs="Verdana"/>
          <w:spacing w:val="4"/>
        </w:rPr>
        <w:t>‘green reference’ rather than ‘green’ as they are not primarily designed</w:t>
      </w:r>
      <w:r w:rsidR="008E60F6">
        <w:rPr>
          <w:rFonts w:cs="Verdana"/>
          <w:spacing w:val="4"/>
        </w:rPr>
        <w:t xml:space="preserve"> to improve environmental performance</w:t>
      </w:r>
      <w:r w:rsidR="008E60F6" w:rsidRPr="001766F4">
        <w:rPr>
          <w:rFonts w:cs="Verdana"/>
          <w:spacing w:val="4"/>
        </w:rPr>
        <w:t xml:space="preserve">, </w:t>
      </w:r>
      <w:r w:rsidR="00A116B7">
        <w:rPr>
          <w:rFonts w:cs="Verdana"/>
          <w:spacing w:val="4"/>
        </w:rPr>
        <w:t xml:space="preserve">even though </w:t>
      </w:r>
      <w:r w:rsidR="008E60F6" w:rsidRPr="001766F4">
        <w:rPr>
          <w:rFonts w:cs="Verdana"/>
          <w:spacing w:val="4"/>
        </w:rPr>
        <w:t xml:space="preserve">they may well support the pursuit of green goals. </w:t>
      </w:r>
      <w:r w:rsidR="00A116B7">
        <w:rPr>
          <w:rFonts w:cs="Verdana"/>
          <w:spacing w:val="4"/>
        </w:rPr>
        <w:t xml:space="preserve">Provisions for the recovery of CRC costs </w:t>
      </w:r>
      <w:r w:rsidR="006A474E">
        <w:rPr>
          <w:rFonts w:cs="Verdana"/>
          <w:spacing w:val="4"/>
        </w:rPr>
        <w:t xml:space="preserve">(costs payable by participants in the </w:t>
      </w:r>
      <w:r w:rsidR="00121176">
        <w:rPr>
          <w:rFonts w:cs="Verdana"/>
          <w:spacing w:val="4"/>
        </w:rPr>
        <w:t xml:space="preserve">UK’s scheme for the purchase of carbon allowances, the </w:t>
      </w:r>
      <w:r w:rsidR="006A474E">
        <w:t>CRC Energy Efficiency Scheme</w:t>
      </w:r>
      <w:r w:rsidR="006A474E">
        <w:rPr>
          <w:rFonts w:cs="Verdana"/>
          <w:spacing w:val="4"/>
        </w:rPr>
        <w:t xml:space="preserve">) </w:t>
      </w:r>
      <w:r w:rsidR="00A116B7">
        <w:rPr>
          <w:rFonts w:cs="Verdana"/>
          <w:spacing w:val="4"/>
        </w:rPr>
        <w:t>are</w:t>
      </w:r>
      <w:r w:rsidR="00E41574">
        <w:rPr>
          <w:rFonts w:cs="Verdana"/>
          <w:spacing w:val="4"/>
        </w:rPr>
        <w:t xml:space="preserve"> also</w:t>
      </w:r>
      <w:r w:rsidR="00A116B7">
        <w:rPr>
          <w:rFonts w:cs="Verdana"/>
          <w:spacing w:val="4"/>
        </w:rPr>
        <w:t xml:space="preserve"> c</w:t>
      </w:r>
      <w:r w:rsidR="00A04ADD">
        <w:rPr>
          <w:rFonts w:cs="Verdana"/>
          <w:spacing w:val="4"/>
        </w:rPr>
        <w:t>onsidered as ‘green reference’</w:t>
      </w:r>
      <w:r w:rsidR="00121176">
        <w:rPr>
          <w:rFonts w:cs="Verdana"/>
          <w:spacing w:val="4"/>
        </w:rPr>
        <w:t>. A</w:t>
      </w:r>
      <w:r w:rsidR="00AF5F63">
        <w:rPr>
          <w:rFonts w:cs="Verdana"/>
          <w:spacing w:val="4"/>
        </w:rPr>
        <w:t xml:space="preserve">lthough one of the policy aims </w:t>
      </w:r>
      <w:r w:rsidR="006A474E">
        <w:rPr>
          <w:rFonts w:cs="Verdana"/>
          <w:spacing w:val="4"/>
        </w:rPr>
        <w:t xml:space="preserve">of the CRC scheme was to </w:t>
      </w:r>
      <w:r w:rsidR="006A474E">
        <w:t>drive</w:t>
      </w:r>
      <w:r w:rsidR="00AF5F63" w:rsidRPr="008D699B">
        <w:t xml:space="preserve"> uptake of cost-effective end use energy efficiency measures </w:t>
      </w:r>
      <w:r w:rsidR="006A474E">
        <w:t>there is no consensus on whether this policy goal is best achieved by the landlord or the tenant bearing the costs of the CRC, and so it is inappropriate to categorise CRC costs recovery as supporting the pursuit of improved environmental performance</w:t>
      </w:r>
      <w:r w:rsidR="00ED0321">
        <w:t>.</w:t>
      </w:r>
      <w:r w:rsidR="009819B4">
        <w:rPr>
          <w:rStyle w:val="FootnoteReference"/>
        </w:rPr>
        <w:footnoteReference w:id="12"/>
      </w:r>
      <w:r w:rsidR="00ED0321">
        <w:t xml:space="preserve"> </w:t>
      </w:r>
    </w:p>
    <w:p w:rsidR="00E41574" w:rsidRDefault="00E41574" w:rsidP="008E60F6">
      <w:pPr>
        <w:kinsoku w:val="0"/>
        <w:overflowPunct w:val="0"/>
        <w:spacing w:before="240"/>
        <w:textAlignment w:val="baseline"/>
        <w:rPr>
          <w:rFonts w:cs="Verdana"/>
          <w:spacing w:val="4"/>
        </w:rPr>
      </w:pPr>
      <w:r>
        <w:rPr>
          <w:rFonts w:cs="Verdana"/>
          <w:spacing w:val="4"/>
        </w:rPr>
        <w:t>The following table shows the categories of green provisions that we have used.</w:t>
      </w:r>
    </w:p>
    <w:p w:rsidR="00E43C19" w:rsidRPr="004E02D8" w:rsidRDefault="00E43C19" w:rsidP="008E60F6">
      <w:pPr>
        <w:kinsoku w:val="0"/>
        <w:overflowPunct w:val="0"/>
        <w:spacing w:before="240"/>
        <w:textAlignment w:val="baseline"/>
        <w:rPr>
          <w:rFonts w:cs="Verdana"/>
          <w:spacing w:val="4"/>
          <w:sz w:val="28"/>
          <w:szCs w:val="28"/>
        </w:rPr>
      </w:pPr>
      <w:r w:rsidRPr="004E02D8">
        <w:rPr>
          <w:rFonts w:cs="Verdana"/>
          <w:spacing w:val="4"/>
          <w:sz w:val="28"/>
          <w:szCs w:val="28"/>
        </w:rPr>
        <w:t>TABLE 1: Classifying Green Clauses</w:t>
      </w:r>
    </w:p>
    <w:tbl>
      <w:tblPr>
        <w:tblStyle w:val="TableGrid"/>
        <w:tblW w:w="0" w:type="auto"/>
        <w:tblLook w:val="04A0" w:firstRow="1" w:lastRow="0" w:firstColumn="1" w:lastColumn="0" w:noHBand="0" w:noVBand="1"/>
      </w:tblPr>
      <w:tblGrid>
        <w:gridCol w:w="3369"/>
        <w:gridCol w:w="5147"/>
      </w:tblGrid>
      <w:tr w:rsidR="00046348" w:rsidRPr="00040CCD" w:rsidTr="00FD6D42">
        <w:tc>
          <w:tcPr>
            <w:tcW w:w="8516" w:type="dxa"/>
            <w:gridSpan w:val="2"/>
            <w:shd w:val="clear" w:color="auto" w:fill="00FF00"/>
          </w:tcPr>
          <w:p w:rsidR="00046348" w:rsidRDefault="00046348" w:rsidP="00FD6D42">
            <w:pPr>
              <w:jc w:val="center"/>
            </w:pPr>
            <w:r w:rsidRPr="00E8588A">
              <w:rPr>
                <w:rFonts w:ascii="Calibri" w:hAnsi="Calibri"/>
                <w:i/>
                <w:sz w:val="26"/>
              </w:rPr>
              <w:t>GREEN CLAUSES</w:t>
            </w:r>
          </w:p>
        </w:tc>
      </w:tr>
      <w:tr w:rsidR="00046348" w:rsidRPr="00040CCD" w:rsidTr="00FD6D42">
        <w:tc>
          <w:tcPr>
            <w:tcW w:w="3369" w:type="dxa"/>
          </w:tcPr>
          <w:p w:rsidR="00046348" w:rsidRPr="00D65985" w:rsidRDefault="00046348" w:rsidP="00FD6D42">
            <w:pPr>
              <w:rPr>
                <w:rFonts w:ascii="Calibri" w:hAnsi="Calibri"/>
                <w:b/>
              </w:rPr>
            </w:pPr>
            <w:r>
              <w:rPr>
                <w:rFonts w:ascii="Calibri" w:hAnsi="Calibri"/>
                <w:b/>
              </w:rPr>
              <w:t>Sustainability s</w:t>
            </w:r>
            <w:r w:rsidRPr="00D65985">
              <w:rPr>
                <w:rFonts w:ascii="Calibri" w:hAnsi="Calibri"/>
                <w:b/>
              </w:rPr>
              <w:t>tatement</w:t>
            </w:r>
          </w:p>
        </w:tc>
        <w:tc>
          <w:tcPr>
            <w:tcW w:w="5147" w:type="dxa"/>
          </w:tcPr>
          <w:p w:rsidR="00046348" w:rsidRPr="00040CCD" w:rsidRDefault="00046348" w:rsidP="00FD6D42">
            <w:pPr>
              <w:widowControl w:val="0"/>
              <w:autoSpaceDE w:val="0"/>
              <w:autoSpaceDN w:val="0"/>
              <w:adjustRightInd w:val="0"/>
              <w:spacing w:after="240"/>
              <w:rPr>
                <w:rFonts w:ascii="Calibri" w:hAnsi="Calibri" w:cs="Times"/>
              </w:rPr>
            </w:pPr>
            <w:r w:rsidRPr="00040CCD">
              <w:rPr>
                <w:rFonts w:ascii="Calibri" w:hAnsi="Calibri" w:cs="Tahoma"/>
              </w:rPr>
              <w:t>Landlord and tenant state desire to improve and be accountable for the energy efficiency of the Property wherever possible (</w:t>
            </w:r>
            <w:proofErr w:type="spellStart"/>
            <w:r w:rsidRPr="00040CCD">
              <w:rPr>
                <w:rFonts w:ascii="Calibri" w:hAnsi="Calibri" w:cs="Tahoma"/>
              </w:rPr>
              <w:t>cf</w:t>
            </w:r>
            <w:proofErr w:type="spellEnd"/>
            <w:r w:rsidRPr="00040CCD">
              <w:rPr>
                <w:rFonts w:ascii="Calibri" w:hAnsi="Calibri" w:cs="Tahoma"/>
              </w:rPr>
              <w:t xml:space="preserve"> </w:t>
            </w:r>
            <w:proofErr w:type="spellStart"/>
            <w:r w:rsidRPr="00040CCD">
              <w:rPr>
                <w:rFonts w:ascii="Calibri" w:hAnsi="Calibri" w:cs="Tahoma"/>
              </w:rPr>
              <w:t>Hammerson’s</w:t>
            </w:r>
            <w:proofErr w:type="spellEnd"/>
            <w:r w:rsidRPr="00040CCD">
              <w:rPr>
                <w:rFonts w:ascii="Calibri" w:hAnsi="Calibri" w:cs="Tahoma"/>
              </w:rPr>
              <w:t xml:space="preserve"> </w:t>
            </w:r>
            <w:r>
              <w:rPr>
                <w:rFonts w:ascii="Calibri" w:hAnsi="Calibri" w:cs="Tahoma"/>
              </w:rPr>
              <w:t>clause</w:t>
            </w:r>
            <w:r w:rsidRPr="00040CCD">
              <w:rPr>
                <w:rFonts w:ascii="Calibri" w:hAnsi="Calibri" w:cs="Tahoma"/>
              </w:rPr>
              <w:t>).</w:t>
            </w:r>
          </w:p>
          <w:p w:rsidR="00046348" w:rsidRPr="00040CCD" w:rsidRDefault="00046348" w:rsidP="00FD6D42">
            <w:pPr>
              <w:rPr>
                <w:rFonts w:ascii="Calibri" w:hAnsi="Calibri"/>
              </w:rPr>
            </w:pPr>
          </w:p>
        </w:tc>
      </w:tr>
      <w:tr w:rsidR="00046348" w:rsidRPr="00040CCD" w:rsidTr="00FD6D42">
        <w:tc>
          <w:tcPr>
            <w:tcW w:w="3369" w:type="dxa"/>
          </w:tcPr>
          <w:p w:rsidR="00046348" w:rsidRPr="00D65985" w:rsidRDefault="00046348" w:rsidP="00FD6D42">
            <w:pPr>
              <w:rPr>
                <w:rFonts w:ascii="Calibri" w:hAnsi="Calibri"/>
                <w:b/>
              </w:rPr>
            </w:pPr>
            <w:r w:rsidRPr="00D65985">
              <w:rPr>
                <w:rFonts w:ascii="Calibri" w:hAnsi="Calibri"/>
                <w:b/>
              </w:rPr>
              <w:t>Environmental plan</w:t>
            </w:r>
          </w:p>
        </w:tc>
        <w:tc>
          <w:tcPr>
            <w:tcW w:w="5147" w:type="dxa"/>
          </w:tcPr>
          <w:p w:rsidR="00046348" w:rsidRPr="00040CCD" w:rsidRDefault="00046348" w:rsidP="00FD6D42">
            <w:pPr>
              <w:widowControl w:val="0"/>
              <w:autoSpaceDE w:val="0"/>
              <w:autoSpaceDN w:val="0"/>
              <w:adjustRightInd w:val="0"/>
              <w:spacing w:after="240"/>
              <w:rPr>
                <w:rFonts w:ascii="Calibri" w:hAnsi="Calibri" w:cs="Tahoma"/>
              </w:rPr>
            </w:pPr>
            <w:r w:rsidRPr="00040CCD">
              <w:rPr>
                <w:rFonts w:ascii="Calibri" w:hAnsi="Calibri" w:cs="Tahoma"/>
              </w:rPr>
              <w:t xml:space="preserve">Parties to agree or use reasonable </w:t>
            </w:r>
            <w:proofErr w:type="spellStart"/>
            <w:r w:rsidRPr="00040CCD">
              <w:rPr>
                <w:rFonts w:ascii="Calibri" w:hAnsi="Calibri" w:cs="Tahoma"/>
              </w:rPr>
              <w:t>endeavours</w:t>
            </w:r>
            <w:proofErr w:type="spellEnd"/>
            <w:r w:rsidRPr="00040CCD">
              <w:rPr>
                <w:rFonts w:ascii="Calibri" w:hAnsi="Calibri" w:cs="Tahoma"/>
              </w:rPr>
              <w:t xml:space="preserve"> to </w:t>
            </w:r>
            <w:r w:rsidRPr="00955444">
              <w:rPr>
                <w:rFonts w:ascii="Calibri" w:hAnsi="Calibri" w:cs="Tahoma"/>
              </w:rPr>
              <w:t xml:space="preserve">agree </w:t>
            </w:r>
            <w:r w:rsidRPr="00040CCD">
              <w:rPr>
                <w:rFonts w:ascii="Calibri" w:hAnsi="Calibri" w:cs="Tahoma"/>
              </w:rPr>
              <w:t xml:space="preserve">some form of environmental management plan/Memorandum of Understanding/Sustainability Plan. Usually includes policies designed to reduce </w:t>
            </w:r>
            <w:r w:rsidRPr="00040CCD">
              <w:rPr>
                <w:rFonts w:ascii="Calibri" w:hAnsi="Calibri" w:cs="Tahoma"/>
              </w:rPr>
              <w:lastRenderedPageBreak/>
              <w:t xml:space="preserve">emissions, energy use, and waste. Usually a ‘good faith’ statement without legal obligation, but sometimes legally binding. Sometimes </w:t>
            </w:r>
            <w:r w:rsidRPr="00040CCD">
              <w:rPr>
                <w:rFonts w:ascii="Calibri" w:hAnsi="Calibri" w:cs="Tahoma"/>
                <w:i/>
              </w:rPr>
              <w:t>one</w:t>
            </w:r>
            <w:r w:rsidRPr="00040CCD">
              <w:rPr>
                <w:rFonts w:ascii="Calibri" w:hAnsi="Calibri" w:cs="Tahoma"/>
              </w:rPr>
              <w:t xml:space="preserve"> party (landlord or tenant) has to put plan in place.</w:t>
            </w:r>
          </w:p>
        </w:tc>
      </w:tr>
      <w:tr w:rsidR="00046348" w:rsidRPr="00040CCD" w:rsidTr="00FD6D42">
        <w:tc>
          <w:tcPr>
            <w:tcW w:w="3369" w:type="dxa"/>
          </w:tcPr>
          <w:p w:rsidR="00046348" w:rsidRPr="00D65985" w:rsidRDefault="00046348" w:rsidP="00FD6D42">
            <w:pPr>
              <w:rPr>
                <w:rFonts w:ascii="Calibri" w:hAnsi="Calibri"/>
                <w:b/>
              </w:rPr>
            </w:pPr>
            <w:r w:rsidRPr="00D65985">
              <w:rPr>
                <w:rFonts w:ascii="Calibri" w:hAnsi="Calibri"/>
                <w:b/>
              </w:rPr>
              <w:lastRenderedPageBreak/>
              <w:t>To comply with environmental plan</w:t>
            </w:r>
          </w:p>
        </w:tc>
        <w:tc>
          <w:tcPr>
            <w:tcW w:w="5147" w:type="dxa"/>
          </w:tcPr>
          <w:p w:rsidR="00046348" w:rsidRPr="00040CCD" w:rsidRDefault="00046348" w:rsidP="00FD6D42">
            <w:pPr>
              <w:widowControl w:val="0"/>
              <w:autoSpaceDE w:val="0"/>
              <w:autoSpaceDN w:val="0"/>
              <w:adjustRightInd w:val="0"/>
              <w:spacing w:after="240"/>
              <w:rPr>
                <w:rFonts w:ascii="Calibri" w:hAnsi="Calibri" w:cs="Tahoma"/>
              </w:rPr>
            </w:pPr>
            <w:r w:rsidRPr="00040CCD">
              <w:rPr>
                <w:rFonts w:ascii="Calibri" w:hAnsi="Calibri" w:cs="Tahoma"/>
              </w:rPr>
              <w:t xml:space="preserve">Obligation to </w:t>
            </w:r>
            <w:r w:rsidRPr="00040CCD">
              <w:rPr>
                <w:rFonts w:ascii="Calibri" w:hAnsi="Calibri" w:cs="Tahoma"/>
                <w:i/>
              </w:rPr>
              <w:t>comply</w:t>
            </w:r>
            <w:r w:rsidRPr="00040CCD">
              <w:rPr>
                <w:rFonts w:ascii="Calibri" w:hAnsi="Calibri" w:cs="Tahoma"/>
              </w:rPr>
              <w:t xml:space="preserve"> with environmental plan (may be tempered by qualification </w:t>
            </w:r>
            <w:proofErr w:type="spellStart"/>
            <w:r w:rsidRPr="00040CCD">
              <w:rPr>
                <w:rFonts w:ascii="Calibri" w:hAnsi="Calibri" w:cs="Tahoma"/>
              </w:rPr>
              <w:t>eg</w:t>
            </w:r>
            <w:proofErr w:type="spellEnd"/>
            <w:r w:rsidRPr="00040CCD">
              <w:rPr>
                <w:rFonts w:ascii="Calibri" w:hAnsi="Calibri" w:cs="Tahoma"/>
              </w:rPr>
              <w:t xml:space="preserve"> Lease S:  ‘to the extent that it is economic and practically feasible’)</w:t>
            </w:r>
          </w:p>
        </w:tc>
      </w:tr>
      <w:tr w:rsidR="00046348" w:rsidRPr="00040CCD" w:rsidTr="00FD6D42">
        <w:tc>
          <w:tcPr>
            <w:tcW w:w="3369" w:type="dxa"/>
          </w:tcPr>
          <w:p w:rsidR="00046348" w:rsidRPr="00D65985" w:rsidRDefault="00046348" w:rsidP="00FD6D42">
            <w:pPr>
              <w:rPr>
                <w:rFonts w:ascii="Calibri" w:hAnsi="Calibri"/>
                <w:b/>
              </w:rPr>
            </w:pPr>
            <w:r w:rsidRPr="00D65985">
              <w:rPr>
                <w:rFonts w:ascii="Calibri" w:hAnsi="Calibri"/>
                <w:b/>
              </w:rPr>
              <w:t>Alterations and Repairs</w:t>
            </w:r>
          </w:p>
        </w:tc>
        <w:tc>
          <w:tcPr>
            <w:tcW w:w="5147" w:type="dxa"/>
          </w:tcPr>
          <w:p w:rsidR="00046348" w:rsidRPr="00040CCD" w:rsidRDefault="00046348" w:rsidP="00FD6D42">
            <w:pPr>
              <w:rPr>
                <w:rFonts w:ascii="Calibri" w:hAnsi="Calibri"/>
              </w:rPr>
            </w:pPr>
            <w:r w:rsidRPr="00040CCD">
              <w:rPr>
                <w:rFonts w:ascii="Calibri" w:hAnsi="Calibri"/>
              </w:rPr>
              <w:t>Alterations and/or repairs clause makes reference to environmental impact of works. May take negative form (</w:t>
            </w:r>
            <w:proofErr w:type="spellStart"/>
            <w:r w:rsidRPr="00040CCD">
              <w:rPr>
                <w:rFonts w:ascii="Calibri" w:hAnsi="Calibri"/>
              </w:rPr>
              <w:t>eg</w:t>
            </w:r>
            <w:proofErr w:type="spellEnd"/>
            <w:r w:rsidRPr="00040CCD">
              <w:rPr>
                <w:rFonts w:ascii="Calibri" w:hAnsi="Calibri"/>
              </w:rPr>
              <w:t>. not to make alterations/repairs that have an adverse impact on energy performance) or positive form (</w:t>
            </w:r>
            <w:proofErr w:type="spellStart"/>
            <w:r w:rsidRPr="00040CCD">
              <w:rPr>
                <w:rFonts w:ascii="Calibri" w:hAnsi="Calibri"/>
              </w:rPr>
              <w:t>eg</w:t>
            </w:r>
            <w:proofErr w:type="spellEnd"/>
            <w:r w:rsidRPr="00040CCD">
              <w:rPr>
                <w:rFonts w:ascii="Calibri" w:hAnsi="Calibri"/>
              </w:rPr>
              <w:t>, to use sustainable materials, to have regard to environmental impact)</w:t>
            </w:r>
          </w:p>
        </w:tc>
      </w:tr>
      <w:tr w:rsidR="00046348" w:rsidRPr="00040CCD" w:rsidTr="00FD6D42">
        <w:tc>
          <w:tcPr>
            <w:tcW w:w="3369" w:type="dxa"/>
          </w:tcPr>
          <w:p w:rsidR="00046348" w:rsidRPr="00D65985" w:rsidRDefault="00046348" w:rsidP="00FD6D42">
            <w:pPr>
              <w:rPr>
                <w:rFonts w:ascii="Calibri" w:hAnsi="Calibri"/>
                <w:b/>
              </w:rPr>
            </w:pPr>
            <w:r w:rsidRPr="00D65985">
              <w:rPr>
                <w:rFonts w:ascii="Calibri" w:hAnsi="Calibri"/>
                <w:b/>
              </w:rPr>
              <w:t>Data-sharing</w:t>
            </w:r>
          </w:p>
        </w:tc>
        <w:tc>
          <w:tcPr>
            <w:tcW w:w="5147" w:type="dxa"/>
          </w:tcPr>
          <w:p w:rsidR="00046348" w:rsidRPr="00040CCD" w:rsidRDefault="00046348" w:rsidP="00FD6D42">
            <w:pPr>
              <w:rPr>
                <w:rFonts w:ascii="Calibri" w:hAnsi="Calibri"/>
              </w:rPr>
            </w:pPr>
            <w:r w:rsidRPr="00040CCD">
              <w:rPr>
                <w:rFonts w:ascii="Calibri" w:hAnsi="Calibri"/>
              </w:rPr>
              <w:t xml:space="preserve">Clause requires one or (usually) both parties to share data on resource use, including energy usage. Often express statement that information to be treated as confidential. </w:t>
            </w:r>
            <w:r w:rsidRPr="00040CCD">
              <w:rPr>
                <w:rFonts w:ascii="Calibri" w:hAnsi="Calibri" w:cs="Tahoma"/>
              </w:rPr>
              <w:t>Sometimes expressed to be legally binding, more commonly it is a ‘good faith’ statement without legal obligation.</w:t>
            </w:r>
          </w:p>
        </w:tc>
      </w:tr>
      <w:tr w:rsidR="00046348" w:rsidRPr="00040CCD" w:rsidTr="00FD6D42">
        <w:tc>
          <w:tcPr>
            <w:tcW w:w="3369" w:type="dxa"/>
          </w:tcPr>
          <w:p w:rsidR="00046348" w:rsidRPr="00D65985" w:rsidRDefault="00046348" w:rsidP="00FD6D42">
            <w:pPr>
              <w:rPr>
                <w:rFonts w:ascii="Calibri" w:hAnsi="Calibri"/>
                <w:b/>
              </w:rPr>
            </w:pPr>
            <w:r w:rsidRPr="00D65985">
              <w:rPr>
                <w:rFonts w:ascii="Calibri" w:hAnsi="Calibri"/>
                <w:b/>
              </w:rPr>
              <w:t>Services</w:t>
            </w:r>
          </w:p>
        </w:tc>
        <w:tc>
          <w:tcPr>
            <w:tcW w:w="5147" w:type="dxa"/>
          </w:tcPr>
          <w:p w:rsidR="00046348" w:rsidRPr="00040CCD" w:rsidRDefault="00046348" w:rsidP="00FD6D42">
            <w:pPr>
              <w:widowControl w:val="0"/>
              <w:tabs>
                <w:tab w:val="left" w:pos="220"/>
                <w:tab w:val="left" w:pos="720"/>
              </w:tabs>
              <w:autoSpaceDE w:val="0"/>
              <w:autoSpaceDN w:val="0"/>
              <w:adjustRightInd w:val="0"/>
              <w:spacing w:after="240"/>
              <w:rPr>
                <w:rFonts w:ascii="Calibri" w:hAnsi="Calibri" w:cs="Times"/>
              </w:rPr>
            </w:pPr>
            <w:r w:rsidRPr="00040CCD">
              <w:rPr>
                <w:rFonts w:ascii="Calibri" w:hAnsi="Calibri"/>
              </w:rPr>
              <w:t>Landlord is able to carry out services in environmentally sensitive manner</w:t>
            </w:r>
            <w:r>
              <w:rPr>
                <w:rFonts w:ascii="Calibri" w:hAnsi="Calibri"/>
              </w:rPr>
              <w:t xml:space="preserve"> </w:t>
            </w:r>
            <w:proofErr w:type="spellStart"/>
            <w:r>
              <w:rPr>
                <w:rFonts w:ascii="Calibri" w:hAnsi="Calibri"/>
              </w:rPr>
              <w:t>cf</w:t>
            </w:r>
            <w:proofErr w:type="spellEnd"/>
            <w:r>
              <w:rPr>
                <w:rFonts w:ascii="Calibri" w:hAnsi="Calibri"/>
              </w:rPr>
              <w:t xml:space="preserve"> the </w:t>
            </w:r>
            <w:proofErr w:type="spellStart"/>
            <w:r>
              <w:rPr>
                <w:rFonts w:ascii="Calibri" w:hAnsi="Calibri"/>
              </w:rPr>
              <w:t>Hammerson’s</w:t>
            </w:r>
            <w:proofErr w:type="spellEnd"/>
            <w:r>
              <w:rPr>
                <w:rFonts w:ascii="Calibri" w:hAnsi="Calibri"/>
              </w:rPr>
              <w:t xml:space="preserve"> clause</w:t>
            </w:r>
            <w:r w:rsidRPr="00040CCD">
              <w:rPr>
                <w:rFonts w:ascii="Calibri" w:hAnsi="Calibri"/>
              </w:rPr>
              <w:t>.</w:t>
            </w:r>
          </w:p>
        </w:tc>
      </w:tr>
      <w:tr w:rsidR="00046348" w:rsidRPr="00040CCD" w:rsidTr="00FD6D42">
        <w:tc>
          <w:tcPr>
            <w:tcW w:w="3369" w:type="dxa"/>
          </w:tcPr>
          <w:p w:rsidR="00046348" w:rsidRPr="00D65985" w:rsidRDefault="00046348" w:rsidP="00FD6D42">
            <w:pPr>
              <w:rPr>
                <w:rFonts w:ascii="Calibri" w:hAnsi="Calibri"/>
                <w:b/>
              </w:rPr>
            </w:pPr>
            <w:r w:rsidRPr="00D65985">
              <w:rPr>
                <w:rFonts w:ascii="Calibri" w:hAnsi="Calibri"/>
                <w:b/>
              </w:rPr>
              <w:t>Environmental Improvements</w:t>
            </w:r>
          </w:p>
        </w:tc>
        <w:tc>
          <w:tcPr>
            <w:tcW w:w="5147" w:type="dxa"/>
          </w:tcPr>
          <w:p w:rsidR="00046348" w:rsidRPr="00040CCD" w:rsidRDefault="00046348" w:rsidP="00FD6D42">
            <w:pPr>
              <w:rPr>
                <w:rFonts w:ascii="Calibri" w:hAnsi="Calibri"/>
              </w:rPr>
            </w:pPr>
            <w:r w:rsidRPr="00040CCD">
              <w:rPr>
                <w:rFonts w:ascii="Calibri" w:hAnsi="Calibri"/>
              </w:rPr>
              <w:t xml:space="preserve">Lease provides for party (usually the landlord, sometimes the tenant) to make improvements/carry out works/implement initiatives aimed at improving resource efficiency. </w:t>
            </w:r>
          </w:p>
        </w:tc>
      </w:tr>
      <w:tr w:rsidR="00046348" w:rsidRPr="00040CCD" w:rsidTr="00FD6D42">
        <w:tc>
          <w:tcPr>
            <w:tcW w:w="3369" w:type="dxa"/>
          </w:tcPr>
          <w:p w:rsidR="00046348" w:rsidRPr="00D65985" w:rsidRDefault="00046348" w:rsidP="00FD6D42">
            <w:pPr>
              <w:rPr>
                <w:rFonts w:ascii="Calibri" w:hAnsi="Calibri"/>
                <w:b/>
              </w:rPr>
            </w:pPr>
            <w:r w:rsidRPr="00D65985">
              <w:rPr>
                <w:rFonts w:ascii="Calibri" w:hAnsi="Calibri"/>
                <w:b/>
              </w:rPr>
              <w:t>Not to damage Environmental Performance</w:t>
            </w:r>
          </w:p>
        </w:tc>
        <w:tc>
          <w:tcPr>
            <w:tcW w:w="5147" w:type="dxa"/>
          </w:tcPr>
          <w:p w:rsidR="00046348" w:rsidRPr="00040CCD" w:rsidRDefault="00046348" w:rsidP="00FD6D42">
            <w:pPr>
              <w:rPr>
                <w:rFonts w:ascii="Calibri" w:hAnsi="Calibri"/>
              </w:rPr>
            </w:pPr>
            <w:r w:rsidRPr="00040CCD">
              <w:rPr>
                <w:rFonts w:ascii="Calibri" w:hAnsi="Calibri"/>
              </w:rPr>
              <w:t>Clause contains obligation not to do anything that harms environmental performance. May take a variety of forms, commonly not to adversely affect the Environmental Performance Certificate</w:t>
            </w:r>
            <w:r>
              <w:rPr>
                <w:rFonts w:ascii="Calibri" w:hAnsi="Calibri"/>
              </w:rPr>
              <w:t xml:space="preserve"> rating</w:t>
            </w:r>
            <w:r w:rsidRPr="00040CCD">
              <w:rPr>
                <w:rFonts w:ascii="Calibri" w:hAnsi="Calibri"/>
              </w:rPr>
              <w:t>.</w:t>
            </w:r>
          </w:p>
        </w:tc>
      </w:tr>
      <w:tr w:rsidR="00046348" w:rsidRPr="00040CCD" w:rsidTr="00FD6D42">
        <w:tc>
          <w:tcPr>
            <w:tcW w:w="3369" w:type="dxa"/>
          </w:tcPr>
          <w:p w:rsidR="00046348" w:rsidRPr="00D65985" w:rsidRDefault="00046348" w:rsidP="00FD6D42">
            <w:pPr>
              <w:rPr>
                <w:rFonts w:ascii="Calibri" w:hAnsi="Calibri"/>
                <w:b/>
              </w:rPr>
            </w:pPr>
            <w:r w:rsidRPr="00D65985">
              <w:rPr>
                <w:rFonts w:ascii="Calibri" w:hAnsi="Calibri"/>
                <w:b/>
              </w:rPr>
              <w:t>Yielding Up</w:t>
            </w:r>
          </w:p>
        </w:tc>
        <w:tc>
          <w:tcPr>
            <w:tcW w:w="5147" w:type="dxa"/>
          </w:tcPr>
          <w:p w:rsidR="00046348" w:rsidRPr="00040CCD" w:rsidRDefault="00046348" w:rsidP="00FD6D42">
            <w:pPr>
              <w:rPr>
                <w:rFonts w:ascii="Calibri" w:hAnsi="Calibri"/>
              </w:rPr>
            </w:pPr>
            <w:r>
              <w:rPr>
                <w:rFonts w:ascii="Calibri" w:hAnsi="Calibri"/>
              </w:rPr>
              <w:t xml:space="preserve">Reinstatement </w:t>
            </w:r>
            <w:r w:rsidRPr="00040CCD">
              <w:rPr>
                <w:rFonts w:ascii="Calibri" w:hAnsi="Calibri"/>
              </w:rPr>
              <w:t xml:space="preserve">not required at end of lease if this would have negative environmental impact, </w:t>
            </w:r>
            <w:r>
              <w:rPr>
                <w:rFonts w:ascii="Calibri" w:hAnsi="Calibri"/>
              </w:rPr>
              <w:t xml:space="preserve">possibly subject to landlord’s ability to require reinstatement </w:t>
            </w:r>
            <w:r w:rsidRPr="00040CCD">
              <w:rPr>
                <w:rFonts w:ascii="Calibri" w:hAnsi="Calibri"/>
              </w:rPr>
              <w:t>if reasonable</w:t>
            </w:r>
            <w:r>
              <w:rPr>
                <w:rFonts w:ascii="Calibri" w:hAnsi="Calibri"/>
              </w:rPr>
              <w:t xml:space="preserve"> having regard to future intended use</w:t>
            </w:r>
            <w:r w:rsidRPr="00040CCD">
              <w:rPr>
                <w:rFonts w:ascii="Calibri" w:hAnsi="Calibri"/>
              </w:rPr>
              <w:t xml:space="preserve">. </w:t>
            </w:r>
          </w:p>
        </w:tc>
      </w:tr>
      <w:tr w:rsidR="00046348" w:rsidRPr="00040CCD" w:rsidTr="00FD6D42">
        <w:tc>
          <w:tcPr>
            <w:tcW w:w="3369" w:type="dxa"/>
          </w:tcPr>
          <w:p w:rsidR="00046348" w:rsidRPr="00D65985" w:rsidRDefault="00046348" w:rsidP="00FD6D42">
            <w:pPr>
              <w:rPr>
                <w:rFonts w:ascii="Calibri" w:hAnsi="Calibri"/>
                <w:b/>
              </w:rPr>
            </w:pPr>
            <w:r w:rsidRPr="00D65985">
              <w:rPr>
                <w:rFonts w:ascii="Calibri" w:hAnsi="Calibri"/>
                <w:b/>
              </w:rPr>
              <w:t>Green planning permission</w:t>
            </w:r>
          </w:p>
        </w:tc>
        <w:tc>
          <w:tcPr>
            <w:tcW w:w="5147" w:type="dxa"/>
          </w:tcPr>
          <w:p w:rsidR="00046348" w:rsidRPr="00040CCD" w:rsidRDefault="00046348" w:rsidP="00FD6D42">
            <w:pPr>
              <w:rPr>
                <w:rFonts w:ascii="Calibri" w:hAnsi="Calibri"/>
              </w:rPr>
            </w:pPr>
            <w:r w:rsidRPr="00040CCD">
              <w:rPr>
                <w:rFonts w:ascii="Calibri" w:hAnsi="Calibri"/>
              </w:rPr>
              <w:t>Obligation to comply with environmental goals incorporated into planning permission, such as travel plans, service management plans.</w:t>
            </w:r>
          </w:p>
        </w:tc>
      </w:tr>
    </w:tbl>
    <w:p w:rsidR="00046348" w:rsidRDefault="00046348" w:rsidP="00046348"/>
    <w:p w:rsidR="00046348" w:rsidRPr="00040CCD" w:rsidRDefault="00046348" w:rsidP="00046348"/>
    <w:tbl>
      <w:tblPr>
        <w:tblStyle w:val="TableGrid"/>
        <w:tblW w:w="0" w:type="auto"/>
        <w:tblLook w:val="04A0" w:firstRow="1" w:lastRow="0" w:firstColumn="1" w:lastColumn="0" w:noHBand="0" w:noVBand="1"/>
      </w:tblPr>
      <w:tblGrid>
        <w:gridCol w:w="4258"/>
        <w:gridCol w:w="4258"/>
      </w:tblGrid>
      <w:tr w:rsidR="00046348" w:rsidRPr="00040CCD" w:rsidTr="00FD6D42">
        <w:tc>
          <w:tcPr>
            <w:tcW w:w="8516" w:type="dxa"/>
            <w:gridSpan w:val="2"/>
            <w:shd w:val="clear" w:color="auto" w:fill="CCFFCC"/>
          </w:tcPr>
          <w:p w:rsidR="00046348" w:rsidRPr="009B55D7" w:rsidRDefault="00046348" w:rsidP="00FD6D42">
            <w:pPr>
              <w:jc w:val="center"/>
              <w:rPr>
                <w:rFonts w:ascii="Calibri" w:hAnsi="Calibri"/>
                <w:i/>
                <w:sz w:val="26"/>
              </w:rPr>
            </w:pPr>
            <w:r w:rsidRPr="009B55D7">
              <w:rPr>
                <w:rFonts w:ascii="Calibri" w:hAnsi="Calibri"/>
                <w:i/>
                <w:sz w:val="26"/>
              </w:rPr>
              <w:t>GREEN REFERENCE CLAUSES</w:t>
            </w:r>
          </w:p>
        </w:tc>
      </w:tr>
      <w:tr w:rsidR="00046348" w:rsidRPr="00040CCD" w:rsidTr="00FD6D42">
        <w:tc>
          <w:tcPr>
            <w:tcW w:w="4258" w:type="dxa"/>
          </w:tcPr>
          <w:p w:rsidR="00046348" w:rsidRPr="00D65985" w:rsidRDefault="00046348" w:rsidP="00FD6D42">
            <w:pPr>
              <w:rPr>
                <w:rFonts w:ascii="Calibri" w:hAnsi="Calibri"/>
                <w:b/>
              </w:rPr>
            </w:pPr>
            <w:r w:rsidRPr="00D65985">
              <w:rPr>
                <w:rFonts w:ascii="Calibri" w:hAnsi="Calibri"/>
                <w:b/>
              </w:rPr>
              <w:t>Carbon Reduction Costs</w:t>
            </w:r>
          </w:p>
        </w:tc>
        <w:tc>
          <w:tcPr>
            <w:tcW w:w="4258" w:type="dxa"/>
          </w:tcPr>
          <w:p w:rsidR="00046348" w:rsidRPr="00040CCD" w:rsidRDefault="00046348" w:rsidP="00FD6D42">
            <w:pPr>
              <w:rPr>
                <w:rFonts w:ascii="Calibri" w:hAnsi="Calibri"/>
              </w:rPr>
            </w:pPr>
            <w:r w:rsidRPr="00040CCD">
              <w:rPr>
                <w:rFonts w:ascii="Calibri" w:hAnsi="Calibri"/>
              </w:rPr>
              <w:t>Clause makes reference to recovery of CRC costs. May enable landlord to recover costs from tenant, or expressly state that tenant is not liable to pay landlord’s CRC costs. Costs variously defined: sometimes extensive recover</w:t>
            </w:r>
            <w:r>
              <w:rPr>
                <w:rFonts w:ascii="Calibri" w:hAnsi="Calibri"/>
              </w:rPr>
              <w:t>y</w:t>
            </w:r>
            <w:r w:rsidRPr="00040CCD">
              <w:rPr>
                <w:rFonts w:ascii="Calibri" w:hAnsi="Calibri"/>
              </w:rPr>
              <w:t xml:space="preserve"> allowed </w:t>
            </w:r>
            <w:proofErr w:type="gramStart"/>
            <w:r w:rsidRPr="00040CCD">
              <w:rPr>
                <w:rFonts w:ascii="Calibri" w:hAnsi="Calibri"/>
              </w:rPr>
              <w:t>to include</w:t>
            </w:r>
            <w:proofErr w:type="gramEnd"/>
            <w:r w:rsidRPr="00040CCD">
              <w:rPr>
                <w:rFonts w:ascii="Calibri" w:hAnsi="Calibri"/>
              </w:rPr>
              <w:t xml:space="preserve"> landlord’s costs in registering and administering as CRC participant.</w:t>
            </w:r>
          </w:p>
        </w:tc>
      </w:tr>
      <w:tr w:rsidR="00046348" w:rsidRPr="00040CCD" w:rsidTr="00FD6D42">
        <w:tc>
          <w:tcPr>
            <w:tcW w:w="4258" w:type="dxa"/>
          </w:tcPr>
          <w:p w:rsidR="00046348" w:rsidRPr="00D65985" w:rsidRDefault="00046348" w:rsidP="00FD6D42">
            <w:pPr>
              <w:rPr>
                <w:rFonts w:ascii="Calibri" w:hAnsi="Calibri"/>
                <w:b/>
              </w:rPr>
            </w:pPr>
            <w:r w:rsidRPr="00D65985">
              <w:rPr>
                <w:rFonts w:ascii="Calibri" w:hAnsi="Calibri"/>
                <w:b/>
              </w:rPr>
              <w:t>Energy Performance Certificate</w:t>
            </w:r>
          </w:p>
        </w:tc>
        <w:tc>
          <w:tcPr>
            <w:tcW w:w="4258" w:type="dxa"/>
          </w:tcPr>
          <w:p w:rsidR="00046348" w:rsidRPr="00040CCD" w:rsidRDefault="00046348" w:rsidP="00FD6D42">
            <w:pPr>
              <w:rPr>
                <w:rFonts w:ascii="Calibri" w:hAnsi="Calibri"/>
              </w:rPr>
            </w:pPr>
            <w:r w:rsidRPr="00040CCD">
              <w:rPr>
                <w:rFonts w:ascii="Calibri" w:hAnsi="Calibri"/>
              </w:rPr>
              <w:t xml:space="preserve">Clause may require access, </w:t>
            </w:r>
            <w:proofErr w:type="spellStart"/>
            <w:r w:rsidRPr="00040CCD">
              <w:rPr>
                <w:rFonts w:ascii="Calibri" w:hAnsi="Calibri"/>
              </w:rPr>
              <w:t>etc</w:t>
            </w:r>
            <w:proofErr w:type="spellEnd"/>
            <w:r w:rsidRPr="00040CCD">
              <w:rPr>
                <w:rFonts w:ascii="Calibri" w:hAnsi="Calibri"/>
              </w:rPr>
              <w:t xml:space="preserve"> to enable preparation of EPC, or require one party to obtain/provide copy of EPC. </w:t>
            </w:r>
          </w:p>
          <w:p w:rsidR="00046348" w:rsidRPr="00040CCD" w:rsidRDefault="00046348" w:rsidP="00FD6D42">
            <w:pPr>
              <w:rPr>
                <w:rFonts w:ascii="Calibri" w:hAnsi="Calibri"/>
              </w:rPr>
            </w:pPr>
            <w:r w:rsidRPr="00040CCD">
              <w:rPr>
                <w:rFonts w:ascii="Calibri" w:hAnsi="Calibri"/>
              </w:rPr>
              <w:t>NB: clauses that prohibit conduct that damages EPC are considered as ‘green clauses’.</w:t>
            </w:r>
          </w:p>
        </w:tc>
      </w:tr>
    </w:tbl>
    <w:p w:rsidR="00046348" w:rsidRPr="00040CCD" w:rsidRDefault="00046348" w:rsidP="00046348"/>
    <w:p w:rsidR="007B2126" w:rsidRDefault="007B2126" w:rsidP="008E60F6">
      <w:pPr>
        <w:kinsoku w:val="0"/>
        <w:overflowPunct w:val="0"/>
        <w:spacing w:before="240"/>
        <w:textAlignment w:val="baseline"/>
        <w:rPr>
          <w:rFonts w:cs="Verdana"/>
          <w:spacing w:val="4"/>
        </w:rPr>
      </w:pPr>
      <w:r>
        <w:rPr>
          <w:rFonts w:cs="Verdana"/>
          <w:spacing w:val="4"/>
        </w:rPr>
        <w:t xml:space="preserve">This table refers </w:t>
      </w:r>
      <w:r w:rsidR="00C8187C">
        <w:rPr>
          <w:rFonts w:cs="Verdana"/>
          <w:spacing w:val="4"/>
        </w:rPr>
        <w:t xml:space="preserve">to </w:t>
      </w:r>
      <w:r w:rsidR="00B436FA">
        <w:rPr>
          <w:rFonts w:cs="Verdana"/>
          <w:spacing w:val="4"/>
        </w:rPr>
        <w:t>a clause used by</w:t>
      </w:r>
      <w:r>
        <w:rPr>
          <w:rFonts w:cs="Verdana"/>
          <w:spacing w:val="4"/>
        </w:rPr>
        <w:t xml:space="preserve"> the property company Hammerson, which was a very early adopter of green leases. Their website refers to the adoption of a ‘light green’ clause in its standard UK lease </w:t>
      </w:r>
      <w:r w:rsidR="00C8187C">
        <w:rPr>
          <w:rFonts w:cs="Verdana"/>
          <w:spacing w:val="4"/>
        </w:rPr>
        <w:t xml:space="preserve">in 2007 </w:t>
      </w:r>
      <w:r>
        <w:rPr>
          <w:rFonts w:cs="Verdana"/>
          <w:spacing w:val="4"/>
        </w:rPr>
        <w:t xml:space="preserve">and states that by </w:t>
      </w:r>
      <w:r>
        <w:rPr>
          <w:rFonts w:eastAsia="Times New Roman"/>
        </w:rPr>
        <w:t>2010, 1,250 green leases has been signed across Hammerson’s portfolio</w:t>
      </w:r>
      <w:r w:rsidR="00054551">
        <w:rPr>
          <w:rFonts w:eastAsia="Times New Roman"/>
        </w:rPr>
        <w:t>.</w:t>
      </w:r>
      <w:r w:rsidR="00054551">
        <w:rPr>
          <w:rStyle w:val="FootnoteReference"/>
          <w:rFonts w:eastAsia="Times New Roman"/>
        </w:rPr>
        <w:footnoteReference w:id="13"/>
      </w:r>
      <w:r>
        <w:rPr>
          <w:rFonts w:cs="Verdana"/>
          <w:spacing w:val="4"/>
        </w:rPr>
        <w:t xml:space="preserve"> The wording of Hammerson’s sustainability clause is also accessible from their website, and is quoted here in full:</w:t>
      </w:r>
    </w:p>
    <w:p w:rsidR="007B2126" w:rsidRPr="0016445B" w:rsidRDefault="007B2126" w:rsidP="007B2126">
      <w:pPr>
        <w:widowControl w:val="0"/>
        <w:autoSpaceDE w:val="0"/>
        <w:autoSpaceDN w:val="0"/>
        <w:adjustRightInd w:val="0"/>
        <w:spacing w:after="240" w:line="240" w:lineRule="auto"/>
        <w:ind w:left="720"/>
        <w:rPr>
          <w:rFonts w:ascii="Cambria" w:hAnsi="Cambria" w:cs="Times"/>
          <w:sz w:val="20"/>
          <w:szCs w:val="20"/>
          <w:lang w:val="en-US"/>
        </w:rPr>
      </w:pPr>
      <w:r w:rsidRPr="0016445B">
        <w:rPr>
          <w:rFonts w:ascii="Cambria" w:hAnsi="Cambria" w:cs="Tahoma"/>
          <w:sz w:val="20"/>
          <w:szCs w:val="20"/>
          <w:lang w:val="en-US"/>
        </w:rPr>
        <w:t>The Landlord [and] Tenant [and Surety] desire to improve and be accountable for the energy efficiency of the Premises and the Centre wherever possible. As part of this commitment to improve energy efficiency the Landlord [and] Tenant [and Surety] wish to promote the reduction of emissions from the Centre, the reduction and/or recycling of waste from the Premises and the Centre and ensure the environmental sustainability of the Centre resources by implementing the measures contained or referred to in this clause. The parties shall:</w:t>
      </w:r>
    </w:p>
    <w:p w:rsidR="007B2126" w:rsidRPr="0016445B" w:rsidRDefault="007B2126" w:rsidP="007B2126">
      <w:pPr>
        <w:widowControl w:val="0"/>
        <w:tabs>
          <w:tab w:val="left" w:pos="220"/>
          <w:tab w:val="left" w:pos="720"/>
        </w:tabs>
        <w:autoSpaceDE w:val="0"/>
        <w:autoSpaceDN w:val="0"/>
        <w:adjustRightInd w:val="0"/>
        <w:spacing w:after="240" w:line="240" w:lineRule="auto"/>
        <w:ind w:left="720"/>
        <w:rPr>
          <w:rFonts w:ascii="Cambria" w:hAnsi="Cambria" w:cs="Times"/>
          <w:sz w:val="20"/>
          <w:szCs w:val="20"/>
          <w:lang w:val="en-US"/>
        </w:rPr>
      </w:pPr>
      <w:r w:rsidRPr="0016445B">
        <w:rPr>
          <w:rFonts w:ascii="Cambria" w:hAnsi="Cambria" w:cs="Tahoma"/>
          <w:sz w:val="20"/>
          <w:szCs w:val="20"/>
          <w:lang w:val="en-US"/>
        </w:rPr>
        <w:tab/>
        <w:t xml:space="preserve">- co-operate and use all reasonable endeavours to agree (and thereafter comply with) an energy management plan to aid the sustainability of resource use at the Centre; </w:t>
      </w:r>
    </w:p>
    <w:p w:rsidR="007B2126" w:rsidRPr="0016445B" w:rsidRDefault="00DC1B82" w:rsidP="007B2126">
      <w:pPr>
        <w:widowControl w:val="0"/>
        <w:tabs>
          <w:tab w:val="left" w:pos="220"/>
          <w:tab w:val="left" w:pos="720"/>
        </w:tabs>
        <w:autoSpaceDE w:val="0"/>
        <w:autoSpaceDN w:val="0"/>
        <w:adjustRightInd w:val="0"/>
        <w:spacing w:after="240" w:line="240" w:lineRule="auto"/>
        <w:ind w:left="720"/>
        <w:rPr>
          <w:rFonts w:ascii="Cambria" w:hAnsi="Cambria" w:cs="Times"/>
          <w:sz w:val="20"/>
          <w:szCs w:val="20"/>
          <w:lang w:val="en-US"/>
        </w:rPr>
      </w:pPr>
      <w:r w:rsidRPr="0016445B">
        <w:rPr>
          <w:rFonts w:ascii="Cambria" w:hAnsi="Cambria" w:cs="Tahoma"/>
          <w:sz w:val="20"/>
          <w:szCs w:val="20"/>
          <w:lang w:val="en-US"/>
        </w:rPr>
        <w:tab/>
        <w:t xml:space="preserve">- </w:t>
      </w:r>
      <w:r w:rsidR="007B2126" w:rsidRPr="0016445B">
        <w:rPr>
          <w:rFonts w:ascii="Cambria" w:hAnsi="Cambria" w:cs="Tahoma"/>
          <w:sz w:val="20"/>
          <w:szCs w:val="20"/>
          <w:lang w:val="en-US"/>
        </w:rPr>
        <w:t xml:space="preserve">co-operate and use all reasonable endeavours to agree and operate initiatives to reduce, reuse and/or recycle waste from the Premises and the Centre </w:t>
      </w:r>
    </w:p>
    <w:p w:rsidR="007B2126" w:rsidRPr="0016445B" w:rsidRDefault="00DC1B82" w:rsidP="00DC1B82">
      <w:pPr>
        <w:widowControl w:val="0"/>
        <w:tabs>
          <w:tab w:val="left" w:pos="220"/>
          <w:tab w:val="left" w:pos="720"/>
        </w:tabs>
        <w:autoSpaceDE w:val="0"/>
        <w:autoSpaceDN w:val="0"/>
        <w:adjustRightInd w:val="0"/>
        <w:spacing w:after="240" w:line="240" w:lineRule="auto"/>
        <w:ind w:left="720"/>
        <w:rPr>
          <w:rFonts w:ascii="Cambria" w:hAnsi="Cambria" w:cs="Times"/>
          <w:sz w:val="20"/>
          <w:szCs w:val="20"/>
          <w:lang w:val="en-US"/>
        </w:rPr>
      </w:pPr>
      <w:r w:rsidRPr="0016445B">
        <w:rPr>
          <w:rFonts w:ascii="Cambria" w:hAnsi="Cambria" w:cs="Tahoma"/>
          <w:sz w:val="20"/>
          <w:szCs w:val="20"/>
          <w:lang w:val="en-US"/>
        </w:rPr>
        <w:tab/>
        <w:t xml:space="preserve">- </w:t>
      </w:r>
      <w:r w:rsidR="007B2126" w:rsidRPr="0016445B">
        <w:rPr>
          <w:rFonts w:ascii="Cambria" w:hAnsi="Cambria" w:cs="Tahoma"/>
          <w:sz w:val="20"/>
          <w:szCs w:val="20"/>
          <w:lang w:val="en-US"/>
        </w:rPr>
        <w:t>maintain and share (subject to clause 1</w:t>
      </w:r>
      <w:r w:rsidRPr="0016445B">
        <w:rPr>
          <w:rFonts w:ascii="Cambria" w:hAnsi="Cambria" w:cs="Tahoma"/>
          <w:sz w:val="20"/>
          <w:szCs w:val="20"/>
          <w:lang w:val="en-US"/>
        </w:rPr>
        <w:t>[a confidentiality clause]</w:t>
      </w:r>
      <w:r w:rsidR="007B2126" w:rsidRPr="0016445B">
        <w:rPr>
          <w:rFonts w:ascii="Cambria" w:hAnsi="Cambria" w:cs="Tahoma"/>
          <w:sz w:val="20"/>
          <w:szCs w:val="20"/>
          <w:lang w:val="en-US"/>
        </w:rPr>
        <w:t xml:space="preserve">) all energy data and other information reasonably required to monitor the energy and resource consumption at the Premises and the Centre; </w:t>
      </w:r>
    </w:p>
    <w:p w:rsidR="00DC1B82" w:rsidRPr="0016445B" w:rsidRDefault="00DC1B82" w:rsidP="00DC1B82">
      <w:pPr>
        <w:widowControl w:val="0"/>
        <w:tabs>
          <w:tab w:val="left" w:pos="220"/>
          <w:tab w:val="left" w:pos="720"/>
        </w:tabs>
        <w:autoSpaceDE w:val="0"/>
        <w:autoSpaceDN w:val="0"/>
        <w:adjustRightInd w:val="0"/>
        <w:spacing w:after="240" w:line="240" w:lineRule="auto"/>
        <w:ind w:left="720"/>
        <w:rPr>
          <w:rFonts w:ascii="Cambria" w:hAnsi="Cambria" w:cs="Times"/>
          <w:sz w:val="20"/>
          <w:szCs w:val="20"/>
          <w:lang w:val="en-US"/>
        </w:rPr>
      </w:pPr>
      <w:r w:rsidRPr="0016445B">
        <w:rPr>
          <w:rFonts w:ascii="Cambria" w:hAnsi="Cambria" w:cs="Tahoma"/>
          <w:sz w:val="20"/>
          <w:szCs w:val="20"/>
          <w:lang w:val="en-US"/>
        </w:rPr>
        <w:tab/>
        <w:t xml:space="preserve">- </w:t>
      </w:r>
      <w:r w:rsidR="007B2126" w:rsidRPr="0016445B">
        <w:rPr>
          <w:rFonts w:ascii="Cambria" w:hAnsi="Cambria" w:cs="Tahoma"/>
          <w:sz w:val="20"/>
          <w:szCs w:val="20"/>
          <w:lang w:val="en-US"/>
        </w:rPr>
        <w:t xml:space="preserve">use reasonable endeavours to ensure that the Services are performed and the Premises and Centre used in accordance with the energy management plan (if any) and in such a way as to and to agree </w:t>
      </w:r>
      <w:r w:rsidRPr="0016445B">
        <w:rPr>
          <w:rFonts w:ascii="Cambria" w:hAnsi="Cambria" w:cs="Tahoma"/>
          <w:sz w:val="20"/>
          <w:szCs w:val="20"/>
          <w:lang w:val="en-US"/>
        </w:rPr>
        <w:t>[</w:t>
      </w:r>
      <w:r w:rsidRPr="00BE5D62">
        <w:rPr>
          <w:rFonts w:ascii="Cambria" w:hAnsi="Cambria" w:cs="Tahoma"/>
          <w:i/>
          <w:sz w:val="20"/>
          <w:szCs w:val="20"/>
          <w:lang w:val="en-US"/>
        </w:rPr>
        <w:t>sic</w:t>
      </w:r>
      <w:r w:rsidRPr="0016445B">
        <w:rPr>
          <w:rFonts w:ascii="Cambria" w:hAnsi="Cambria" w:cs="Tahoma"/>
          <w:sz w:val="20"/>
          <w:szCs w:val="20"/>
          <w:lang w:val="en-US"/>
        </w:rPr>
        <w:t xml:space="preserve">] </w:t>
      </w:r>
      <w:r w:rsidR="007B2126" w:rsidRPr="0016445B">
        <w:rPr>
          <w:rFonts w:ascii="Cambria" w:hAnsi="Cambria" w:cs="Tahoma"/>
          <w:sz w:val="20"/>
          <w:szCs w:val="20"/>
          <w:lang w:val="en-US"/>
        </w:rPr>
        <w:t xml:space="preserve"> improvements to the Services which would reasonably improve energy efficiency; </w:t>
      </w:r>
    </w:p>
    <w:p w:rsidR="007B2126" w:rsidRPr="0016445B" w:rsidRDefault="007B2126" w:rsidP="00DC1B82">
      <w:pPr>
        <w:widowControl w:val="0"/>
        <w:tabs>
          <w:tab w:val="left" w:pos="220"/>
          <w:tab w:val="left" w:pos="720"/>
        </w:tabs>
        <w:autoSpaceDE w:val="0"/>
        <w:autoSpaceDN w:val="0"/>
        <w:adjustRightInd w:val="0"/>
        <w:spacing w:after="240" w:line="240" w:lineRule="auto"/>
        <w:ind w:left="720"/>
        <w:rPr>
          <w:rFonts w:ascii="Cambria" w:hAnsi="Cambria" w:cs="Times"/>
          <w:sz w:val="20"/>
          <w:szCs w:val="20"/>
          <w:lang w:val="en-US"/>
        </w:rPr>
      </w:pPr>
      <w:proofErr w:type="gramStart"/>
      <w:r w:rsidRPr="0016445B">
        <w:rPr>
          <w:rFonts w:ascii="Cambria" w:hAnsi="Cambria" w:cs="Tahoma"/>
          <w:sz w:val="20"/>
          <w:szCs w:val="20"/>
          <w:lang w:val="en-US"/>
        </w:rPr>
        <w:lastRenderedPageBreak/>
        <w:t>and</w:t>
      </w:r>
      <w:proofErr w:type="gramEnd"/>
      <w:r w:rsidRPr="0016445B">
        <w:rPr>
          <w:rFonts w:ascii="Cambria" w:hAnsi="Cambria" w:cs="Tahoma"/>
          <w:sz w:val="20"/>
          <w:szCs w:val="20"/>
          <w:lang w:val="en-US"/>
        </w:rPr>
        <w:t xml:space="preserve"> the provisions of this Lease shall be considered accordingly. </w:t>
      </w:r>
    </w:p>
    <w:p w:rsidR="004579B8" w:rsidRDefault="00DC1B82" w:rsidP="00140A80">
      <w:pPr>
        <w:widowControl w:val="0"/>
        <w:autoSpaceDE w:val="0"/>
        <w:autoSpaceDN w:val="0"/>
        <w:adjustRightInd w:val="0"/>
        <w:spacing w:after="240"/>
        <w:rPr>
          <w:bCs/>
        </w:rPr>
      </w:pPr>
      <w:r w:rsidRPr="00235F78">
        <w:rPr>
          <w:rFonts w:cs="Times"/>
          <w:lang w:val="en-US"/>
        </w:rPr>
        <w:t xml:space="preserve">Several of our sample leases contain clauses similar to this. On our chart, it is </w:t>
      </w:r>
      <w:r w:rsidR="00235F78" w:rsidRPr="00235F78">
        <w:rPr>
          <w:rFonts w:cs="Times"/>
          <w:lang w:val="en-US"/>
        </w:rPr>
        <w:t xml:space="preserve">reflected in four headings: </w:t>
      </w:r>
      <w:r w:rsidRPr="00235F78">
        <w:rPr>
          <w:rFonts w:cs="Times"/>
          <w:lang w:val="en-US"/>
        </w:rPr>
        <w:t xml:space="preserve"> ‘sustainability statement’, ‘environmental plan’, ‘data-sharing’, and ‘services’. As a matter of contract law there are interesting questions as to the </w:t>
      </w:r>
      <w:r w:rsidR="00235F78" w:rsidRPr="00235F78">
        <w:rPr>
          <w:rFonts w:cs="Times"/>
          <w:lang w:val="en-US"/>
        </w:rPr>
        <w:t>enforceability of terms referring to ‘reasonable endeavours’ and ‘co-operation’</w:t>
      </w:r>
      <w:r w:rsidR="00B436FA">
        <w:rPr>
          <w:rFonts w:cs="Times"/>
          <w:lang w:val="en-US"/>
        </w:rPr>
        <w:t>,</w:t>
      </w:r>
      <w:r w:rsidR="00235F78" w:rsidRPr="00235F78">
        <w:rPr>
          <w:rFonts w:cs="Times"/>
          <w:lang w:val="en-US"/>
        </w:rPr>
        <w:t xml:space="preserve"> and also the </w:t>
      </w:r>
      <w:r w:rsidRPr="00235F78">
        <w:rPr>
          <w:rFonts w:cs="Times"/>
          <w:lang w:val="en-US"/>
        </w:rPr>
        <w:t>extent to which th</w:t>
      </w:r>
      <w:r w:rsidR="00235F78" w:rsidRPr="00235F78">
        <w:rPr>
          <w:rFonts w:cs="Times"/>
          <w:lang w:val="en-US"/>
        </w:rPr>
        <w:t xml:space="preserve">e ‘environmental commitment’ </w:t>
      </w:r>
      <w:r w:rsidR="005651E6">
        <w:rPr>
          <w:rFonts w:cs="Times"/>
          <w:lang w:val="en-US"/>
        </w:rPr>
        <w:t>that the sustainability clause</w:t>
      </w:r>
      <w:r w:rsidR="00235F78" w:rsidRPr="00235F78">
        <w:rPr>
          <w:rFonts w:cs="Times"/>
          <w:lang w:val="en-US"/>
        </w:rPr>
        <w:t xml:space="preserve"> displays</w:t>
      </w:r>
      <w:r w:rsidRPr="00235F78">
        <w:rPr>
          <w:rFonts w:cs="Times"/>
          <w:lang w:val="en-US"/>
        </w:rPr>
        <w:t xml:space="preserve"> might influence the way in which terms are interpreted</w:t>
      </w:r>
      <w:r w:rsidR="00235F78" w:rsidRPr="00235F78">
        <w:rPr>
          <w:rFonts w:cs="Times"/>
          <w:lang w:val="en-US"/>
        </w:rPr>
        <w:t xml:space="preserve">. </w:t>
      </w:r>
      <w:r w:rsidR="005651E6">
        <w:rPr>
          <w:rFonts w:cs="Times"/>
          <w:lang w:val="en-US"/>
        </w:rPr>
        <w:t>The note accom</w:t>
      </w:r>
      <w:r w:rsidR="00054551">
        <w:rPr>
          <w:rFonts w:cs="Times"/>
          <w:lang w:val="en-US"/>
        </w:rPr>
        <w:t>panying the Hammerson’s clause</w:t>
      </w:r>
      <w:r w:rsidR="004579B8">
        <w:rPr>
          <w:rStyle w:val="FootnoteReference"/>
          <w:rFonts w:cs="Times"/>
          <w:lang w:val="en-US"/>
        </w:rPr>
        <w:footnoteReference w:id="14"/>
      </w:r>
      <w:r w:rsidR="00054551">
        <w:rPr>
          <w:rFonts w:cs="Times"/>
          <w:lang w:val="en-US"/>
        </w:rPr>
        <w:t xml:space="preserve"> </w:t>
      </w:r>
      <w:r w:rsidR="005651E6">
        <w:rPr>
          <w:rFonts w:cs="Tahoma"/>
        </w:rPr>
        <w:t>refers to the final line of the clause</w:t>
      </w:r>
      <w:r w:rsidR="00054551">
        <w:rPr>
          <w:rFonts w:cs="Tahoma"/>
        </w:rPr>
        <w:t xml:space="preserve"> as an ‘interpretation’ </w:t>
      </w:r>
      <w:r w:rsidR="005651E6" w:rsidRPr="00040CCD">
        <w:rPr>
          <w:rFonts w:cs="Tahoma"/>
        </w:rPr>
        <w:t>c</w:t>
      </w:r>
      <w:r w:rsidR="00054551">
        <w:rPr>
          <w:rFonts w:cs="Tahoma"/>
        </w:rPr>
        <w:t xml:space="preserve">lause which can </w:t>
      </w:r>
      <w:proofErr w:type="gramStart"/>
      <w:r w:rsidR="00054551">
        <w:rPr>
          <w:rFonts w:cs="Tahoma"/>
        </w:rPr>
        <w:t>be  ‘</w:t>
      </w:r>
      <w:r w:rsidR="005651E6" w:rsidRPr="00040CCD">
        <w:rPr>
          <w:rFonts w:cs="Tahoma"/>
        </w:rPr>
        <w:t>used</w:t>
      </w:r>
      <w:proofErr w:type="gramEnd"/>
      <w:r w:rsidR="005651E6" w:rsidRPr="00040CCD">
        <w:rPr>
          <w:rFonts w:cs="Tahoma"/>
        </w:rPr>
        <w:t xml:space="preserve"> to drive sustainable initiatives through the service charge (i.e. to hopefully justi</w:t>
      </w:r>
      <w:r w:rsidR="00054551">
        <w:rPr>
          <w:rFonts w:cs="Tahoma"/>
        </w:rPr>
        <w:t>fy any slight increase in cost)’</w:t>
      </w:r>
      <w:r w:rsidR="005651E6" w:rsidRPr="00040CCD">
        <w:rPr>
          <w:rFonts w:cs="Tahoma"/>
        </w:rPr>
        <w:t>.</w:t>
      </w:r>
      <w:r w:rsidR="005651E6">
        <w:rPr>
          <w:rFonts w:cs="Times"/>
          <w:lang w:val="en-US"/>
        </w:rPr>
        <w:t xml:space="preserve"> </w:t>
      </w:r>
      <w:r w:rsidR="00235F78" w:rsidRPr="00235F78">
        <w:rPr>
          <w:rFonts w:cs="Times"/>
          <w:lang w:val="en-US"/>
        </w:rPr>
        <w:t>In recent years t</w:t>
      </w:r>
      <w:r w:rsidRPr="00235F78">
        <w:rPr>
          <w:rFonts w:cs="Times"/>
          <w:lang w:val="en-US"/>
        </w:rPr>
        <w:t xml:space="preserve">here has been a move </w:t>
      </w:r>
      <w:r w:rsidR="00957621">
        <w:rPr>
          <w:rFonts w:cs="Times"/>
          <w:lang w:val="en-US"/>
        </w:rPr>
        <w:t xml:space="preserve">in English contract law </w:t>
      </w:r>
      <w:r w:rsidRPr="00235F78">
        <w:rPr>
          <w:rFonts w:cs="Times"/>
          <w:lang w:val="en-US"/>
        </w:rPr>
        <w:t xml:space="preserve">towards allowing the background context to influence the manner in which </w:t>
      </w:r>
      <w:r w:rsidR="005651E6">
        <w:rPr>
          <w:rFonts w:cs="Times"/>
          <w:lang w:val="en-US"/>
        </w:rPr>
        <w:t xml:space="preserve">contract </w:t>
      </w:r>
      <w:r w:rsidRPr="00235F78">
        <w:rPr>
          <w:rFonts w:cs="Times"/>
          <w:lang w:val="en-US"/>
        </w:rPr>
        <w:t xml:space="preserve">terms are construed, particularly following Lord Hoffman’s principles set out in the case of </w:t>
      </w:r>
      <w:r w:rsidR="00235F78" w:rsidRPr="00235F78">
        <w:rPr>
          <w:i/>
        </w:rPr>
        <w:t>Investors Compensation Scheme Ltd v West Bromwich Building Society</w:t>
      </w:r>
      <w:r w:rsidR="00235F78" w:rsidRPr="00235F78">
        <w:t>,</w:t>
      </w:r>
      <w:r w:rsidR="00054551">
        <w:rPr>
          <w:rStyle w:val="FootnoteReference"/>
        </w:rPr>
        <w:footnoteReference w:id="15"/>
      </w:r>
      <w:r w:rsidR="00235F78" w:rsidRPr="00235F78">
        <w:t xml:space="preserve"> as further explained in </w:t>
      </w:r>
      <w:r w:rsidR="00235F78" w:rsidRPr="00235F78">
        <w:rPr>
          <w:i/>
        </w:rPr>
        <w:t>BCCI v Ali</w:t>
      </w:r>
      <w:r w:rsidR="00235F78" w:rsidRPr="00235F78">
        <w:t>.</w:t>
      </w:r>
      <w:r w:rsidR="00054551">
        <w:rPr>
          <w:rStyle w:val="FootnoteReference"/>
        </w:rPr>
        <w:footnoteReference w:id="16"/>
      </w:r>
      <w:r w:rsidR="00235F78" w:rsidRPr="00235F78">
        <w:t xml:space="preserve"> </w:t>
      </w:r>
      <w:r w:rsidR="00235F78">
        <w:rPr>
          <w:bCs/>
        </w:rPr>
        <w:t xml:space="preserve">What is clear is that Hammerson’s advisers intended the final line of their sustainability clause to influence the way in which the terms of the lease would be interpreted.  </w:t>
      </w:r>
    </w:p>
    <w:p w:rsidR="004579B8" w:rsidRDefault="00B436FA" w:rsidP="00140A80">
      <w:pPr>
        <w:widowControl w:val="0"/>
        <w:autoSpaceDE w:val="0"/>
        <w:autoSpaceDN w:val="0"/>
        <w:adjustRightInd w:val="0"/>
        <w:spacing w:after="240"/>
        <w:rPr>
          <w:bCs/>
        </w:rPr>
      </w:pPr>
      <w:r>
        <w:rPr>
          <w:bCs/>
        </w:rPr>
        <w:t xml:space="preserve">The </w:t>
      </w:r>
      <w:r w:rsidR="005651E6">
        <w:rPr>
          <w:bCs/>
        </w:rPr>
        <w:t xml:space="preserve">sustainability </w:t>
      </w:r>
      <w:r>
        <w:rPr>
          <w:bCs/>
        </w:rPr>
        <w:t xml:space="preserve">clause is also significant in that it represents a shift from the traditional adversarial relationship between landlords and tenants towards a more collaborative model. </w:t>
      </w:r>
      <w:r w:rsidR="004579B8">
        <w:t xml:space="preserve">In a (surprising) </w:t>
      </w:r>
      <w:r w:rsidR="004579B8" w:rsidRPr="00235F78">
        <w:t xml:space="preserve">High Court case, </w:t>
      </w:r>
      <w:r w:rsidR="004579B8" w:rsidRPr="00235F78">
        <w:rPr>
          <w:i/>
          <w:spacing w:val="-3"/>
        </w:rPr>
        <w:t>Yam Seng Pte Limited v International Trade Corporation Limited</w:t>
      </w:r>
      <w:r w:rsidR="004579B8" w:rsidRPr="00235F78">
        <w:rPr>
          <w:b/>
          <w:spacing w:val="-3"/>
        </w:rPr>
        <w:t xml:space="preserve"> </w:t>
      </w:r>
      <w:r w:rsidR="004579B8">
        <w:rPr>
          <w:bCs/>
        </w:rPr>
        <w:t>a term was implied imposing a duty of good faith and fair dealing in a commercial relationship;</w:t>
      </w:r>
      <w:r w:rsidR="004579B8">
        <w:rPr>
          <w:rStyle w:val="FootnoteReference"/>
          <w:bCs/>
        </w:rPr>
        <w:footnoteReference w:id="17"/>
      </w:r>
      <w:r w:rsidR="004579B8">
        <w:rPr>
          <w:bCs/>
        </w:rPr>
        <w:t xml:space="preserve"> a sign that the law is evolving to accommodate co-operative contract ideals more readily. This makes it more likely the ‘flavour’ of a sustainability statement will influence the way in which the legal rights and responsibilities of the leasehold parties are construed.</w:t>
      </w:r>
    </w:p>
    <w:p w:rsidR="005651E6" w:rsidRPr="00140A80" w:rsidRDefault="00B436FA" w:rsidP="00140A80">
      <w:pPr>
        <w:widowControl w:val="0"/>
        <w:autoSpaceDE w:val="0"/>
        <w:autoSpaceDN w:val="0"/>
        <w:adjustRightInd w:val="0"/>
        <w:spacing w:after="240"/>
        <w:rPr>
          <w:rFonts w:cs="Times"/>
          <w:lang w:val="en-US"/>
        </w:rPr>
      </w:pPr>
      <w:r>
        <w:rPr>
          <w:bCs/>
        </w:rPr>
        <w:t>What would be of interest is to know what impact signing sustainability clauses has in practice; but to discover this would involve a much larger scale research project working with industry partners.</w:t>
      </w:r>
    </w:p>
    <w:p w:rsidR="007E1B06" w:rsidRPr="007E1B06" w:rsidRDefault="005A47AB" w:rsidP="008E60F6">
      <w:pPr>
        <w:kinsoku w:val="0"/>
        <w:overflowPunct w:val="0"/>
        <w:spacing w:before="240"/>
        <w:textAlignment w:val="baseline"/>
        <w:rPr>
          <w:rFonts w:cs="Verdana"/>
          <w:b/>
          <w:spacing w:val="4"/>
        </w:rPr>
      </w:pPr>
      <w:r>
        <w:rPr>
          <w:rFonts w:cs="Verdana"/>
          <w:b/>
          <w:spacing w:val="4"/>
        </w:rPr>
        <w:t xml:space="preserve">4. </w:t>
      </w:r>
      <w:r w:rsidR="007E1B06">
        <w:rPr>
          <w:rFonts w:cs="Verdana"/>
          <w:b/>
          <w:spacing w:val="4"/>
        </w:rPr>
        <w:t>Findings</w:t>
      </w:r>
    </w:p>
    <w:p w:rsidR="007E1B06" w:rsidRPr="005A47AB" w:rsidRDefault="005A47AB" w:rsidP="00657333">
      <w:pPr>
        <w:rPr>
          <w:i/>
        </w:rPr>
      </w:pPr>
      <w:r>
        <w:rPr>
          <w:i/>
        </w:rPr>
        <w:t xml:space="preserve">4.1 </w:t>
      </w:r>
      <w:r w:rsidR="007E1B06" w:rsidRPr="005A47AB">
        <w:rPr>
          <w:i/>
        </w:rPr>
        <w:t>The Number of Green Leases</w:t>
      </w:r>
    </w:p>
    <w:p w:rsidR="00991A89" w:rsidRDefault="003C1548" w:rsidP="00657333">
      <w:r>
        <w:t xml:space="preserve">Adopting this method of categorisation, </w:t>
      </w:r>
      <w:r w:rsidR="00657333">
        <w:t xml:space="preserve">Table </w:t>
      </w:r>
      <w:r w:rsidR="004579B8">
        <w:t>2</w:t>
      </w:r>
      <w:r>
        <w:t xml:space="preserve"> below shows which of </w:t>
      </w:r>
      <w:r w:rsidR="00657333">
        <w:t xml:space="preserve">the leases </w:t>
      </w:r>
      <w:r>
        <w:t>contain</w:t>
      </w:r>
      <w:r w:rsidR="00657333">
        <w:t xml:space="preserve"> green clauses</w:t>
      </w:r>
      <w:r w:rsidR="00A04ADD">
        <w:t>, green reference clauses</w:t>
      </w:r>
      <w:r w:rsidR="00657333">
        <w:t xml:space="preserve"> or ‘no-green’.  </w:t>
      </w:r>
      <w:r w:rsidR="009A546E">
        <w:t xml:space="preserve">This shows </w:t>
      </w:r>
      <w:r w:rsidR="001B16AE">
        <w:t xml:space="preserve">that </w:t>
      </w:r>
      <w:r w:rsidR="009A546E">
        <w:t xml:space="preserve">of the 26 leases we analysed, 18 contain some green provision. If we exclude the ‘green reference’ clauses and look only at those that </w:t>
      </w:r>
      <w:r w:rsidR="00140A80">
        <w:t>more explicitly</w:t>
      </w:r>
      <w:r w:rsidR="009A546E">
        <w:t xml:space="preserve"> support environmentally sensitive practices (or avoid harmful practices) </w:t>
      </w:r>
      <w:r w:rsidR="001B16AE">
        <w:t xml:space="preserve">there is still </w:t>
      </w:r>
      <w:r w:rsidR="009A546E">
        <w:t xml:space="preserve">a majority (15) </w:t>
      </w:r>
      <w:r w:rsidR="001B16AE">
        <w:t xml:space="preserve">that are green leases. </w:t>
      </w:r>
    </w:p>
    <w:p w:rsidR="00CA4ADE" w:rsidRDefault="00CA4ADE" w:rsidP="00657333"/>
    <w:p w:rsidR="00CA4ADE" w:rsidRDefault="00CA4ADE" w:rsidP="00657333"/>
    <w:p w:rsidR="00CA4ADE" w:rsidRDefault="00CA4ADE" w:rsidP="00657333"/>
    <w:p w:rsidR="00CA4ADE" w:rsidRDefault="00CA4ADE" w:rsidP="00657333">
      <w:pPr>
        <w:sectPr w:rsidR="00CA4ADE" w:rsidSect="00907A69">
          <w:pgSz w:w="11906" w:h="16838"/>
          <w:pgMar w:top="1440" w:right="1440" w:bottom="1440" w:left="1440" w:header="708" w:footer="708" w:gutter="0"/>
          <w:cols w:space="708"/>
          <w:docGrid w:linePitch="360"/>
        </w:sectPr>
      </w:pPr>
    </w:p>
    <w:tbl>
      <w:tblPr>
        <w:tblStyle w:val="TableGrid"/>
        <w:tblpPr w:leftFromText="180" w:rightFromText="180" w:vertAnchor="page" w:horzAnchor="page" w:tblpX="870" w:tblpY="2398"/>
        <w:tblW w:w="13434" w:type="dxa"/>
        <w:tblLayout w:type="fixed"/>
        <w:tblLook w:val="04A0" w:firstRow="1" w:lastRow="0" w:firstColumn="1" w:lastColumn="0" w:noHBand="0" w:noVBand="1"/>
      </w:tblPr>
      <w:tblGrid>
        <w:gridCol w:w="534"/>
        <w:gridCol w:w="1984"/>
        <w:gridCol w:w="1418"/>
        <w:gridCol w:w="1134"/>
        <w:gridCol w:w="1275"/>
        <w:gridCol w:w="1560"/>
        <w:gridCol w:w="1275"/>
        <w:gridCol w:w="1702"/>
        <w:gridCol w:w="1276"/>
        <w:gridCol w:w="1276"/>
      </w:tblGrid>
      <w:tr w:rsidR="00841C55" w:rsidTr="00841C55">
        <w:trPr>
          <w:trHeight w:val="704"/>
        </w:trPr>
        <w:tc>
          <w:tcPr>
            <w:tcW w:w="534" w:type="dxa"/>
            <w:tcBorders>
              <w:bottom w:val="single" w:sz="4" w:space="0" w:color="auto"/>
            </w:tcBorders>
            <w:shd w:val="clear" w:color="auto" w:fill="D9D9D9" w:themeFill="background1" w:themeFillShade="D9"/>
          </w:tcPr>
          <w:p w:rsidR="00841C55" w:rsidRDefault="00841C55" w:rsidP="00841C55">
            <w:pPr>
              <w:jc w:val="center"/>
              <w:rPr>
                <w:b/>
              </w:rPr>
            </w:pPr>
          </w:p>
        </w:tc>
        <w:tc>
          <w:tcPr>
            <w:tcW w:w="1984" w:type="dxa"/>
            <w:tcBorders>
              <w:bottom w:val="single" w:sz="4" w:space="0" w:color="auto"/>
            </w:tcBorders>
            <w:shd w:val="clear" w:color="auto" w:fill="D9D9D9" w:themeFill="background1" w:themeFillShade="D9"/>
          </w:tcPr>
          <w:p w:rsidR="00841C55" w:rsidRDefault="00841C55" w:rsidP="00841C55">
            <w:pPr>
              <w:jc w:val="center"/>
              <w:rPr>
                <w:b/>
              </w:rPr>
            </w:pPr>
            <w:r>
              <w:rPr>
                <w:noProof/>
                <w:lang w:eastAsia="en-GB"/>
              </w:rPr>
              <mc:AlternateContent>
                <mc:Choice Requires="wps">
                  <w:drawing>
                    <wp:anchor distT="0" distB="0" distL="114300" distR="114300" simplePos="0" relativeHeight="251659264" behindDoc="0" locked="0" layoutInCell="1" allowOverlap="1" wp14:anchorId="05B377D5" wp14:editId="5108CE51">
                      <wp:simplePos x="0" y="0"/>
                      <wp:positionH relativeFrom="column">
                        <wp:posOffset>91440</wp:posOffset>
                      </wp:positionH>
                      <wp:positionV relativeFrom="paragraph">
                        <wp:posOffset>-780415</wp:posOffset>
                      </wp:positionV>
                      <wp:extent cx="2374265"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rsidR="00841C55" w:rsidRPr="00841C55" w:rsidRDefault="00841C55">
                                  <w:pPr>
                                    <w:rPr>
                                      <w:sz w:val="28"/>
                                      <w:szCs w:val="28"/>
                                    </w:rPr>
                                  </w:pPr>
                                  <w:r>
                                    <w:rPr>
                                      <w:sz w:val="28"/>
                                      <w:szCs w:val="28"/>
                                    </w:rPr>
                                    <w:t>TABLE</w:t>
                                  </w:r>
                                  <w:r w:rsidRPr="00841C55">
                                    <w:rPr>
                                      <w:sz w:val="28"/>
                                      <w:szCs w:val="28"/>
                                    </w:rPr>
                                    <w:t xml:space="preserve"> 2: Sample Leases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2pt;margin-top:-61.45pt;width:186.95pt;height:110.55pt;z-index:2516592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" stroked="f">
                      <v:textbox style="mso-fit-shape-to-text:t">
                        <w:txbxContent>
                          <w:p w:rsidR="00841C55" w:rsidRPr="00841C55" w:rsidRDefault="00841C55">
                            <w:pPr>
                              <w:rPr>
                                <w:sz w:val="28"/>
                                <w:szCs w:val="28"/>
                              </w:rPr>
                            </w:pPr>
                            <w:r>
                              <w:rPr>
                                <w:sz w:val="28"/>
                                <w:szCs w:val="28"/>
                              </w:rPr>
                              <w:t>TABLE</w:t>
                            </w:r>
                            <w:r w:rsidRPr="00841C55">
                              <w:rPr>
                                <w:sz w:val="28"/>
                                <w:szCs w:val="28"/>
                              </w:rPr>
                              <w:t xml:space="preserve"> 2: Sample Leases</w:t>
                            </w:r>
                          </w:p>
                        </w:txbxContent>
                      </v:textbox>
                    </v:shape>
                  </w:pict>
                </mc:Fallback>
              </mc:AlternateContent>
            </w:r>
            <w:r w:rsidRPr="00596450">
              <w:rPr>
                <w:b/>
              </w:rPr>
              <w:t>Date</w:t>
            </w:r>
            <w:r>
              <w:rPr>
                <w:b/>
              </w:rPr>
              <w:t xml:space="preserve"> of Lease</w:t>
            </w:r>
          </w:p>
          <w:p w:rsidR="00841C55" w:rsidRDefault="00841C55" w:rsidP="00841C55">
            <w:pPr>
              <w:jc w:val="center"/>
              <w:rPr>
                <w:b/>
              </w:rPr>
            </w:pPr>
            <w:r>
              <w:rPr>
                <w:b/>
              </w:rPr>
              <w:t>(by month/year)</w:t>
            </w:r>
          </w:p>
        </w:tc>
        <w:tc>
          <w:tcPr>
            <w:tcW w:w="1418" w:type="dxa"/>
            <w:tcBorders>
              <w:bottom w:val="single" w:sz="4" w:space="0" w:color="auto"/>
            </w:tcBorders>
            <w:shd w:val="clear" w:color="auto" w:fill="D9D9D9" w:themeFill="background1" w:themeFillShade="D9"/>
          </w:tcPr>
          <w:p w:rsidR="00841C55" w:rsidRPr="00596450" w:rsidRDefault="00841C55" w:rsidP="00841C55">
            <w:pPr>
              <w:jc w:val="center"/>
              <w:rPr>
                <w:b/>
              </w:rPr>
            </w:pPr>
            <w:r>
              <w:rPr>
                <w:b/>
              </w:rPr>
              <w:t>Region</w:t>
            </w:r>
          </w:p>
        </w:tc>
        <w:tc>
          <w:tcPr>
            <w:tcW w:w="1134" w:type="dxa"/>
            <w:tcBorders>
              <w:bottom w:val="single" w:sz="4" w:space="0" w:color="auto"/>
            </w:tcBorders>
            <w:shd w:val="clear" w:color="auto" w:fill="D9D9D9" w:themeFill="background1" w:themeFillShade="D9"/>
          </w:tcPr>
          <w:p w:rsidR="00841C55" w:rsidRPr="00596450" w:rsidRDefault="00841C55" w:rsidP="00841C55">
            <w:pPr>
              <w:jc w:val="center"/>
              <w:rPr>
                <w:b/>
              </w:rPr>
            </w:pPr>
            <w:r>
              <w:rPr>
                <w:b/>
              </w:rPr>
              <w:t>Use</w:t>
            </w:r>
          </w:p>
        </w:tc>
        <w:tc>
          <w:tcPr>
            <w:tcW w:w="1275" w:type="dxa"/>
            <w:tcBorders>
              <w:bottom w:val="single" w:sz="4" w:space="0" w:color="auto"/>
            </w:tcBorders>
            <w:shd w:val="clear" w:color="auto" w:fill="D9D9D9" w:themeFill="background1" w:themeFillShade="D9"/>
          </w:tcPr>
          <w:p w:rsidR="00841C55" w:rsidRPr="00596450" w:rsidRDefault="00841C55" w:rsidP="00841C55">
            <w:pPr>
              <w:jc w:val="center"/>
              <w:rPr>
                <w:b/>
              </w:rPr>
            </w:pPr>
            <w:r>
              <w:rPr>
                <w:b/>
              </w:rPr>
              <w:t xml:space="preserve">New Build or </w:t>
            </w:r>
            <w:proofErr w:type="spellStart"/>
            <w:r>
              <w:rPr>
                <w:b/>
              </w:rPr>
              <w:t>Refurb</w:t>
            </w:r>
            <w:proofErr w:type="spellEnd"/>
            <w:r>
              <w:rPr>
                <w:b/>
              </w:rPr>
              <w:t>?</w:t>
            </w:r>
          </w:p>
        </w:tc>
        <w:tc>
          <w:tcPr>
            <w:tcW w:w="1560" w:type="dxa"/>
            <w:tcBorders>
              <w:bottom w:val="single" w:sz="4" w:space="0" w:color="auto"/>
            </w:tcBorders>
            <w:shd w:val="clear" w:color="auto" w:fill="D9D9D9" w:themeFill="background1" w:themeFillShade="D9"/>
          </w:tcPr>
          <w:p w:rsidR="00841C55" w:rsidRPr="00596450" w:rsidRDefault="00841C55" w:rsidP="00841C55">
            <w:pPr>
              <w:jc w:val="center"/>
              <w:rPr>
                <w:b/>
              </w:rPr>
            </w:pPr>
            <w:r>
              <w:rPr>
                <w:b/>
              </w:rPr>
              <w:t>BREEAM Rating</w:t>
            </w:r>
          </w:p>
        </w:tc>
        <w:tc>
          <w:tcPr>
            <w:tcW w:w="1275" w:type="dxa"/>
            <w:tcBorders>
              <w:bottom w:val="single" w:sz="4" w:space="0" w:color="auto"/>
            </w:tcBorders>
            <w:shd w:val="clear" w:color="auto" w:fill="D9D9D9" w:themeFill="background1" w:themeFillShade="D9"/>
          </w:tcPr>
          <w:p w:rsidR="00841C55" w:rsidRDefault="00841C55" w:rsidP="00841C55">
            <w:pPr>
              <w:jc w:val="center"/>
              <w:rPr>
                <w:b/>
              </w:rPr>
            </w:pPr>
            <w:r>
              <w:rPr>
                <w:b/>
              </w:rPr>
              <w:t>Whole or part?</w:t>
            </w:r>
          </w:p>
        </w:tc>
        <w:tc>
          <w:tcPr>
            <w:tcW w:w="1702" w:type="dxa"/>
            <w:tcBorders>
              <w:bottom w:val="single" w:sz="4" w:space="0" w:color="auto"/>
            </w:tcBorders>
            <w:shd w:val="clear" w:color="auto" w:fill="D9D9D9" w:themeFill="background1" w:themeFillShade="D9"/>
          </w:tcPr>
          <w:p w:rsidR="00841C55" w:rsidRDefault="00841C55" w:rsidP="00841C55">
            <w:pPr>
              <w:jc w:val="center"/>
              <w:rPr>
                <w:b/>
              </w:rPr>
            </w:pPr>
            <w:r>
              <w:rPr>
                <w:b/>
              </w:rPr>
              <w:t>Length of lease, and tenant option to break (years)</w:t>
            </w:r>
          </w:p>
        </w:tc>
        <w:tc>
          <w:tcPr>
            <w:tcW w:w="1276" w:type="dxa"/>
            <w:tcBorders>
              <w:bottom w:val="single" w:sz="4" w:space="0" w:color="auto"/>
            </w:tcBorders>
            <w:shd w:val="clear" w:color="auto" w:fill="D9D9D9" w:themeFill="background1" w:themeFillShade="D9"/>
          </w:tcPr>
          <w:p w:rsidR="00841C55" w:rsidRDefault="00841C55" w:rsidP="00841C55">
            <w:pPr>
              <w:jc w:val="center"/>
              <w:rPr>
                <w:b/>
              </w:rPr>
            </w:pPr>
            <w:r>
              <w:rPr>
                <w:b/>
              </w:rPr>
              <w:t>Green Clause</w:t>
            </w:r>
          </w:p>
        </w:tc>
        <w:tc>
          <w:tcPr>
            <w:tcW w:w="1276" w:type="dxa"/>
            <w:tcBorders>
              <w:bottom w:val="single" w:sz="4" w:space="0" w:color="auto"/>
            </w:tcBorders>
            <w:shd w:val="clear" w:color="auto" w:fill="D9D9D9" w:themeFill="background1" w:themeFillShade="D9"/>
          </w:tcPr>
          <w:p w:rsidR="00841C55" w:rsidRDefault="00841C55" w:rsidP="00841C55">
            <w:pPr>
              <w:jc w:val="center"/>
              <w:rPr>
                <w:b/>
              </w:rPr>
            </w:pPr>
            <w:r>
              <w:rPr>
                <w:b/>
              </w:rPr>
              <w:t>Green Reference Clause</w:t>
            </w:r>
          </w:p>
        </w:tc>
      </w:tr>
      <w:tr w:rsidR="00841C55" w:rsidTr="00841C55">
        <w:trPr>
          <w:trHeight w:val="310"/>
        </w:trPr>
        <w:tc>
          <w:tcPr>
            <w:tcW w:w="534" w:type="dxa"/>
            <w:shd w:val="clear" w:color="auto" w:fill="CCFFCC"/>
          </w:tcPr>
          <w:p w:rsidR="00841C55" w:rsidRPr="00FE6F42" w:rsidRDefault="00841C55" w:rsidP="00841C55">
            <w:pPr>
              <w:jc w:val="center"/>
              <w:rPr>
                <w:b/>
                <w:i/>
              </w:rPr>
            </w:pPr>
            <w:r>
              <w:rPr>
                <w:b/>
                <w:i/>
              </w:rPr>
              <w:t>A</w:t>
            </w:r>
          </w:p>
        </w:tc>
        <w:tc>
          <w:tcPr>
            <w:tcW w:w="1984" w:type="dxa"/>
            <w:shd w:val="clear" w:color="auto" w:fill="CCFFCC"/>
          </w:tcPr>
          <w:p w:rsidR="00841C55" w:rsidRDefault="00841C55" w:rsidP="00841C55">
            <w:pPr>
              <w:jc w:val="center"/>
              <w:rPr>
                <w:b/>
                <w:i/>
              </w:rPr>
            </w:pPr>
            <w:r>
              <w:t>October 2009</w:t>
            </w:r>
          </w:p>
        </w:tc>
        <w:tc>
          <w:tcPr>
            <w:tcW w:w="1418" w:type="dxa"/>
            <w:shd w:val="clear" w:color="auto" w:fill="CCFFCC"/>
          </w:tcPr>
          <w:p w:rsidR="00841C55" w:rsidRPr="00FE6F42" w:rsidRDefault="00841C55" w:rsidP="00841C55">
            <w:pPr>
              <w:rPr>
                <w:b/>
                <w:i/>
              </w:rPr>
            </w:pPr>
            <w:r>
              <w:rPr>
                <w:b/>
                <w:i/>
              </w:rPr>
              <w:t>London</w:t>
            </w:r>
          </w:p>
          <w:p w:rsidR="00841C55" w:rsidRPr="00FE6F42" w:rsidRDefault="00841C55" w:rsidP="00841C55">
            <w:pPr>
              <w:rPr>
                <w:b/>
                <w:i/>
              </w:rPr>
            </w:pPr>
          </w:p>
        </w:tc>
        <w:tc>
          <w:tcPr>
            <w:tcW w:w="1134" w:type="dxa"/>
            <w:shd w:val="clear" w:color="auto" w:fill="CCFFCC"/>
          </w:tcPr>
          <w:p w:rsidR="00841C55" w:rsidRPr="007A2F19" w:rsidRDefault="00841C55" w:rsidP="00841C55">
            <w:pPr>
              <w:jc w:val="center"/>
            </w:pPr>
            <w:r>
              <w:t>Office</w:t>
            </w:r>
          </w:p>
        </w:tc>
        <w:tc>
          <w:tcPr>
            <w:tcW w:w="1275" w:type="dxa"/>
            <w:shd w:val="clear" w:color="auto" w:fill="CCFFCC"/>
          </w:tcPr>
          <w:p w:rsidR="00841C55" w:rsidRPr="007A2F19" w:rsidRDefault="00841C55" w:rsidP="00841C55">
            <w:pPr>
              <w:jc w:val="center"/>
            </w:pPr>
            <w:r>
              <w:t>New</w:t>
            </w:r>
          </w:p>
        </w:tc>
        <w:tc>
          <w:tcPr>
            <w:tcW w:w="1560" w:type="dxa"/>
            <w:shd w:val="clear" w:color="auto" w:fill="CCFFCC"/>
          </w:tcPr>
          <w:p w:rsidR="00841C55" w:rsidRPr="007A2F19" w:rsidRDefault="00841C55" w:rsidP="00841C55">
            <w:pPr>
              <w:jc w:val="center"/>
            </w:pPr>
            <w:r>
              <w:t>Excellent</w:t>
            </w:r>
          </w:p>
        </w:tc>
        <w:tc>
          <w:tcPr>
            <w:tcW w:w="1275" w:type="dxa"/>
            <w:shd w:val="clear" w:color="auto" w:fill="CCFFCC"/>
          </w:tcPr>
          <w:p w:rsidR="00841C55" w:rsidRDefault="00841C55" w:rsidP="00841C55">
            <w:pPr>
              <w:jc w:val="center"/>
            </w:pPr>
            <w:r>
              <w:t>Part</w:t>
            </w:r>
          </w:p>
        </w:tc>
        <w:tc>
          <w:tcPr>
            <w:tcW w:w="1702" w:type="dxa"/>
            <w:shd w:val="clear" w:color="auto" w:fill="CCFFCC"/>
          </w:tcPr>
          <w:p w:rsidR="00841C55" w:rsidRDefault="00841C55" w:rsidP="00841C55">
            <w:pPr>
              <w:jc w:val="center"/>
            </w:pPr>
            <w:r>
              <w:t xml:space="preserve">10, break at 5 </w:t>
            </w:r>
          </w:p>
        </w:tc>
        <w:tc>
          <w:tcPr>
            <w:tcW w:w="1276" w:type="dxa"/>
            <w:shd w:val="clear" w:color="auto" w:fill="CCFFCC"/>
          </w:tcPr>
          <w:p w:rsidR="00841C55" w:rsidRDefault="00841C55" w:rsidP="00841C55">
            <w:pPr>
              <w:jc w:val="center"/>
            </w:pPr>
            <w:r>
              <w:t>Y</w:t>
            </w:r>
          </w:p>
        </w:tc>
        <w:tc>
          <w:tcPr>
            <w:tcW w:w="1276" w:type="dxa"/>
            <w:shd w:val="clear" w:color="auto" w:fill="CCFFCC"/>
          </w:tcPr>
          <w:p w:rsidR="00841C55" w:rsidRDefault="00841C55" w:rsidP="00841C55">
            <w:pPr>
              <w:jc w:val="center"/>
            </w:pPr>
            <w:r>
              <w:t>N</w:t>
            </w:r>
          </w:p>
        </w:tc>
      </w:tr>
      <w:tr w:rsidR="00841C55" w:rsidTr="00841C55">
        <w:tc>
          <w:tcPr>
            <w:tcW w:w="534" w:type="dxa"/>
            <w:shd w:val="clear" w:color="auto" w:fill="auto"/>
          </w:tcPr>
          <w:p w:rsidR="00841C55" w:rsidRPr="00FE6F42" w:rsidRDefault="00841C55" w:rsidP="00841C55">
            <w:pPr>
              <w:jc w:val="center"/>
              <w:rPr>
                <w:b/>
                <w:i/>
              </w:rPr>
            </w:pPr>
            <w:r>
              <w:rPr>
                <w:b/>
                <w:i/>
              </w:rPr>
              <w:t>B</w:t>
            </w:r>
          </w:p>
        </w:tc>
        <w:tc>
          <w:tcPr>
            <w:tcW w:w="1984" w:type="dxa"/>
          </w:tcPr>
          <w:p w:rsidR="00841C55" w:rsidRPr="00FE6F42" w:rsidRDefault="00841C55" w:rsidP="00841C55">
            <w:pPr>
              <w:jc w:val="center"/>
              <w:rPr>
                <w:b/>
                <w:i/>
              </w:rPr>
            </w:pPr>
            <w:r>
              <w:t>December 2011</w:t>
            </w:r>
          </w:p>
        </w:tc>
        <w:tc>
          <w:tcPr>
            <w:tcW w:w="1418" w:type="dxa"/>
            <w:shd w:val="clear" w:color="auto" w:fill="auto"/>
          </w:tcPr>
          <w:p w:rsidR="00841C55" w:rsidRPr="00FE6F42" w:rsidRDefault="00841C55" w:rsidP="00841C55">
            <w:pPr>
              <w:rPr>
                <w:b/>
                <w:i/>
              </w:rPr>
            </w:pPr>
            <w:r>
              <w:rPr>
                <w:b/>
                <w:i/>
              </w:rPr>
              <w:t>South West</w:t>
            </w:r>
          </w:p>
        </w:tc>
        <w:tc>
          <w:tcPr>
            <w:tcW w:w="1134" w:type="dxa"/>
            <w:shd w:val="clear" w:color="auto" w:fill="auto"/>
          </w:tcPr>
          <w:p w:rsidR="00841C55" w:rsidRPr="007A2F19" w:rsidRDefault="00841C55" w:rsidP="00841C55">
            <w:pPr>
              <w:jc w:val="center"/>
            </w:pPr>
            <w:r>
              <w:t>Office</w:t>
            </w:r>
          </w:p>
        </w:tc>
        <w:tc>
          <w:tcPr>
            <w:tcW w:w="1275" w:type="dxa"/>
            <w:shd w:val="clear" w:color="auto" w:fill="auto"/>
          </w:tcPr>
          <w:p w:rsidR="00841C55" w:rsidRPr="007A2F19" w:rsidRDefault="00841C55" w:rsidP="00841C55">
            <w:pPr>
              <w:jc w:val="center"/>
            </w:pPr>
            <w:r>
              <w:t>New</w:t>
            </w:r>
          </w:p>
        </w:tc>
        <w:tc>
          <w:tcPr>
            <w:tcW w:w="1560" w:type="dxa"/>
            <w:shd w:val="clear" w:color="auto" w:fill="auto"/>
          </w:tcPr>
          <w:p w:rsidR="00841C55" w:rsidRPr="007A2F19" w:rsidRDefault="00841C55" w:rsidP="00841C55">
            <w:pPr>
              <w:jc w:val="center"/>
            </w:pPr>
            <w:r>
              <w:t>Excellent</w:t>
            </w:r>
          </w:p>
        </w:tc>
        <w:tc>
          <w:tcPr>
            <w:tcW w:w="1275" w:type="dxa"/>
          </w:tcPr>
          <w:p w:rsidR="00841C55" w:rsidRDefault="00841C55" w:rsidP="00841C55">
            <w:pPr>
              <w:jc w:val="center"/>
            </w:pPr>
            <w:r>
              <w:t>Part</w:t>
            </w:r>
          </w:p>
        </w:tc>
        <w:tc>
          <w:tcPr>
            <w:tcW w:w="1702" w:type="dxa"/>
          </w:tcPr>
          <w:p w:rsidR="00841C55" w:rsidRDefault="00841C55" w:rsidP="00841C55">
            <w:pPr>
              <w:jc w:val="center"/>
            </w:pPr>
            <w:r>
              <w:t>10, break at 5</w:t>
            </w:r>
          </w:p>
        </w:tc>
        <w:tc>
          <w:tcPr>
            <w:tcW w:w="1276" w:type="dxa"/>
          </w:tcPr>
          <w:p w:rsidR="00841C55" w:rsidRDefault="00841C55" w:rsidP="00841C55">
            <w:pPr>
              <w:jc w:val="center"/>
            </w:pPr>
            <w:r>
              <w:t>N</w:t>
            </w:r>
          </w:p>
        </w:tc>
        <w:tc>
          <w:tcPr>
            <w:tcW w:w="1276" w:type="dxa"/>
          </w:tcPr>
          <w:p w:rsidR="00841C55" w:rsidRDefault="00841C55" w:rsidP="00841C55">
            <w:pPr>
              <w:jc w:val="center"/>
            </w:pPr>
            <w:r>
              <w:t>N</w:t>
            </w:r>
          </w:p>
        </w:tc>
      </w:tr>
      <w:tr w:rsidR="00841C55" w:rsidTr="00841C55">
        <w:tc>
          <w:tcPr>
            <w:tcW w:w="534" w:type="dxa"/>
            <w:tcBorders>
              <w:bottom w:val="single" w:sz="4" w:space="0" w:color="auto"/>
            </w:tcBorders>
            <w:shd w:val="clear" w:color="auto" w:fill="auto"/>
          </w:tcPr>
          <w:p w:rsidR="00841C55" w:rsidRPr="00FE6F42" w:rsidRDefault="00841C55" w:rsidP="00841C55">
            <w:pPr>
              <w:jc w:val="center"/>
              <w:rPr>
                <w:b/>
                <w:i/>
              </w:rPr>
            </w:pPr>
            <w:r>
              <w:rPr>
                <w:b/>
                <w:i/>
              </w:rPr>
              <w:t>C</w:t>
            </w:r>
          </w:p>
        </w:tc>
        <w:tc>
          <w:tcPr>
            <w:tcW w:w="1984" w:type="dxa"/>
            <w:tcBorders>
              <w:bottom w:val="single" w:sz="4" w:space="0" w:color="auto"/>
            </w:tcBorders>
          </w:tcPr>
          <w:p w:rsidR="00841C55" w:rsidRPr="00FE6F42" w:rsidRDefault="00841C55" w:rsidP="00841C55">
            <w:pPr>
              <w:jc w:val="center"/>
              <w:rPr>
                <w:b/>
                <w:i/>
              </w:rPr>
            </w:pPr>
            <w:r>
              <w:t>May 2008</w:t>
            </w:r>
          </w:p>
        </w:tc>
        <w:tc>
          <w:tcPr>
            <w:tcW w:w="1418" w:type="dxa"/>
            <w:tcBorders>
              <w:bottom w:val="single" w:sz="4" w:space="0" w:color="auto"/>
            </w:tcBorders>
            <w:shd w:val="clear" w:color="auto" w:fill="auto"/>
          </w:tcPr>
          <w:p w:rsidR="00841C55" w:rsidRPr="00FE6F42" w:rsidRDefault="00841C55" w:rsidP="00841C55">
            <w:pPr>
              <w:rPr>
                <w:b/>
                <w:i/>
              </w:rPr>
            </w:pPr>
            <w:r>
              <w:rPr>
                <w:b/>
                <w:i/>
              </w:rPr>
              <w:t>South West</w:t>
            </w:r>
          </w:p>
        </w:tc>
        <w:tc>
          <w:tcPr>
            <w:tcW w:w="1134" w:type="dxa"/>
            <w:tcBorders>
              <w:bottom w:val="single" w:sz="4" w:space="0" w:color="auto"/>
            </w:tcBorders>
            <w:shd w:val="clear" w:color="auto" w:fill="auto"/>
          </w:tcPr>
          <w:p w:rsidR="00841C55" w:rsidRPr="007A2F19" w:rsidRDefault="00841C55" w:rsidP="00841C55">
            <w:pPr>
              <w:jc w:val="center"/>
            </w:pPr>
            <w:r>
              <w:t>Office</w:t>
            </w:r>
          </w:p>
        </w:tc>
        <w:tc>
          <w:tcPr>
            <w:tcW w:w="1275" w:type="dxa"/>
            <w:tcBorders>
              <w:bottom w:val="single" w:sz="4" w:space="0" w:color="auto"/>
            </w:tcBorders>
            <w:shd w:val="clear" w:color="auto" w:fill="auto"/>
          </w:tcPr>
          <w:p w:rsidR="00841C55" w:rsidRDefault="00841C55" w:rsidP="00841C55">
            <w:pPr>
              <w:jc w:val="center"/>
            </w:pPr>
            <w:r>
              <w:t>New</w:t>
            </w:r>
          </w:p>
        </w:tc>
        <w:tc>
          <w:tcPr>
            <w:tcW w:w="1560" w:type="dxa"/>
            <w:tcBorders>
              <w:bottom w:val="single" w:sz="4" w:space="0" w:color="auto"/>
            </w:tcBorders>
            <w:shd w:val="clear" w:color="auto" w:fill="auto"/>
          </w:tcPr>
          <w:p w:rsidR="00841C55" w:rsidRPr="007A2F19" w:rsidRDefault="00841C55" w:rsidP="00841C55">
            <w:pPr>
              <w:jc w:val="center"/>
            </w:pPr>
            <w:r>
              <w:t>Very Good</w:t>
            </w:r>
          </w:p>
        </w:tc>
        <w:tc>
          <w:tcPr>
            <w:tcW w:w="1275" w:type="dxa"/>
            <w:tcBorders>
              <w:bottom w:val="single" w:sz="4" w:space="0" w:color="auto"/>
            </w:tcBorders>
          </w:tcPr>
          <w:p w:rsidR="00841C55" w:rsidRDefault="00841C55" w:rsidP="00841C55">
            <w:pPr>
              <w:jc w:val="center"/>
            </w:pPr>
            <w:r>
              <w:t xml:space="preserve">Part </w:t>
            </w:r>
          </w:p>
        </w:tc>
        <w:tc>
          <w:tcPr>
            <w:tcW w:w="1702" w:type="dxa"/>
            <w:tcBorders>
              <w:bottom w:val="single" w:sz="4" w:space="0" w:color="auto"/>
            </w:tcBorders>
          </w:tcPr>
          <w:p w:rsidR="00841C55" w:rsidRDefault="00841C55" w:rsidP="00841C55">
            <w:pPr>
              <w:jc w:val="center"/>
            </w:pPr>
            <w:r>
              <w:t>9, break at 5</w:t>
            </w:r>
          </w:p>
        </w:tc>
        <w:tc>
          <w:tcPr>
            <w:tcW w:w="1276" w:type="dxa"/>
            <w:tcBorders>
              <w:bottom w:val="single" w:sz="4" w:space="0" w:color="auto"/>
            </w:tcBorders>
          </w:tcPr>
          <w:p w:rsidR="00841C55" w:rsidRDefault="00841C55" w:rsidP="00841C55">
            <w:pPr>
              <w:jc w:val="center"/>
            </w:pPr>
            <w:r>
              <w:t>N</w:t>
            </w:r>
          </w:p>
        </w:tc>
        <w:tc>
          <w:tcPr>
            <w:tcW w:w="1276" w:type="dxa"/>
            <w:tcBorders>
              <w:bottom w:val="single" w:sz="4" w:space="0" w:color="auto"/>
            </w:tcBorders>
          </w:tcPr>
          <w:p w:rsidR="00841C55" w:rsidRDefault="00841C55" w:rsidP="00841C55">
            <w:pPr>
              <w:jc w:val="center"/>
            </w:pPr>
            <w:r>
              <w:t>N</w:t>
            </w:r>
          </w:p>
        </w:tc>
      </w:tr>
      <w:tr w:rsidR="00841C55" w:rsidTr="00841C55">
        <w:tc>
          <w:tcPr>
            <w:tcW w:w="534" w:type="dxa"/>
            <w:tcBorders>
              <w:bottom w:val="single" w:sz="4" w:space="0" w:color="auto"/>
            </w:tcBorders>
            <w:shd w:val="clear" w:color="auto" w:fill="CCFFCC"/>
          </w:tcPr>
          <w:p w:rsidR="00841C55" w:rsidRPr="00FE6F42" w:rsidRDefault="00841C55" w:rsidP="00841C55">
            <w:pPr>
              <w:jc w:val="center"/>
              <w:rPr>
                <w:b/>
                <w:i/>
              </w:rPr>
            </w:pPr>
            <w:r>
              <w:rPr>
                <w:b/>
                <w:i/>
              </w:rPr>
              <w:t>D</w:t>
            </w:r>
          </w:p>
        </w:tc>
        <w:tc>
          <w:tcPr>
            <w:tcW w:w="1984" w:type="dxa"/>
            <w:tcBorders>
              <w:bottom w:val="single" w:sz="4" w:space="0" w:color="auto"/>
            </w:tcBorders>
            <w:shd w:val="clear" w:color="auto" w:fill="CCFFCC"/>
          </w:tcPr>
          <w:p w:rsidR="00841C55" w:rsidRPr="00FE6F42" w:rsidRDefault="00841C55" w:rsidP="00841C55">
            <w:pPr>
              <w:jc w:val="center"/>
              <w:rPr>
                <w:b/>
                <w:i/>
              </w:rPr>
            </w:pPr>
            <w:r>
              <w:t>June 2010</w:t>
            </w:r>
          </w:p>
        </w:tc>
        <w:tc>
          <w:tcPr>
            <w:tcW w:w="1418" w:type="dxa"/>
            <w:tcBorders>
              <w:bottom w:val="single" w:sz="4" w:space="0" w:color="auto"/>
            </w:tcBorders>
            <w:shd w:val="clear" w:color="auto" w:fill="CCFFCC"/>
          </w:tcPr>
          <w:p w:rsidR="00841C55" w:rsidRPr="00FE6F42" w:rsidRDefault="00841C55" w:rsidP="00841C55">
            <w:pPr>
              <w:rPr>
                <w:b/>
                <w:i/>
              </w:rPr>
            </w:pPr>
            <w:r>
              <w:rPr>
                <w:b/>
                <w:i/>
              </w:rPr>
              <w:t>London</w:t>
            </w:r>
          </w:p>
          <w:p w:rsidR="00841C55" w:rsidRPr="00FE6F42" w:rsidRDefault="00841C55" w:rsidP="00841C55">
            <w:pPr>
              <w:rPr>
                <w:b/>
                <w:i/>
              </w:rPr>
            </w:pPr>
          </w:p>
        </w:tc>
        <w:tc>
          <w:tcPr>
            <w:tcW w:w="1134" w:type="dxa"/>
            <w:tcBorders>
              <w:bottom w:val="single" w:sz="4" w:space="0" w:color="auto"/>
            </w:tcBorders>
            <w:shd w:val="clear" w:color="auto" w:fill="CCFFCC"/>
          </w:tcPr>
          <w:p w:rsidR="00841C55" w:rsidRDefault="00841C55" w:rsidP="00841C55">
            <w:pPr>
              <w:jc w:val="center"/>
            </w:pPr>
            <w:r>
              <w:t>Office</w:t>
            </w:r>
          </w:p>
        </w:tc>
        <w:tc>
          <w:tcPr>
            <w:tcW w:w="1275" w:type="dxa"/>
            <w:tcBorders>
              <w:bottom w:val="single" w:sz="4" w:space="0" w:color="auto"/>
            </w:tcBorders>
            <w:shd w:val="clear" w:color="auto" w:fill="CCFFCC"/>
          </w:tcPr>
          <w:p w:rsidR="00841C55" w:rsidRDefault="00841C55" w:rsidP="00841C55">
            <w:pPr>
              <w:jc w:val="center"/>
            </w:pPr>
            <w:r>
              <w:t>New</w:t>
            </w:r>
          </w:p>
        </w:tc>
        <w:tc>
          <w:tcPr>
            <w:tcW w:w="1560" w:type="dxa"/>
            <w:tcBorders>
              <w:bottom w:val="single" w:sz="4" w:space="0" w:color="auto"/>
            </w:tcBorders>
            <w:shd w:val="clear" w:color="auto" w:fill="CCFFCC"/>
          </w:tcPr>
          <w:p w:rsidR="00841C55" w:rsidRDefault="00841C55" w:rsidP="00841C55">
            <w:pPr>
              <w:jc w:val="center"/>
            </w:pPr>
            <w:r>
              <w:t>Excellent</w:t>
            </w:r>
          </w:p>
        </w:tc>
        <w:tc>
          <w:tcPr>
            <w:tcW w:w="1275" w:type="dxa"/>
            <w:tcBorders>
              <w:bottom w:val="single" w:sz="4" w:space="0" w:color="auto"/>
            </w:tcBorders>
            <w:shd w:val="clear" w:color="auto" w:fill="CCFFCC"/>
          </w:tcPr>
          <w:p w:rsidR="00841C55" w:rsidRDefault="00841C55" w:rsidP="00841C55">
            <w:pPr>
              <w:jc w:val="center"/>
            </w:pPr>
            <w:r>
              <w:t xml:space="preserve">Part </w:t>
            </w:r>
          </w:p>
        </w:tc>
        <w:tc>
          <w:tcPr>
            <w:tcW w:w="1702" w:type="dxa"/>
            <w:tcBorders>
              <w:bottom w:val="single" w:sz="4" w:space="0" w:color="auto"/>
            </w:tcBorders>
            <w:shd w:val="clear" w:color="auto" w:fill="CCFFCC"/>
          </w:tcPr>
          <w:p w:rsidR="00841C55" w:rsidRDefault="00841C55" w:rsidP="00841C55">
            <w:pPr>
              <w:jc w:val="center"/>
            </w:pPr>
            <w:r>
              <w:t>15, break at 10</w:t>
            </w:r>
          </w:p>
        </w:tc>
        <w:tc>
          <w:tcPr>
            <w:tcW w:w="1276" w:type="dxa"/>
            <w:tcBorders>
              <w:bottom w:val="single" w:sz="4" w:space="0" w:color="auto"/>
            </w:tcBorders>
            <w:shd w:val="clear" w:color="auto" w:fill="CCFFCC"/>
          </w:tcPr>
          <w:p w:rsidR="00841C55" w:rsidRDefault="00841C55" w:rsidP="00841C55">
            <w:pPr>
              <w:jc w:val="center"/>
            </w:pPr>
            <w:r>
              <w:t>Y</w:t>
            </w:r>
          </w:p>
        </w:tc>
        <w:tc>
          <w:tcPr>
            <w:tcW w:w="1276" w:type="dxa"/>
            <w:tcBorders>
              <w:bottom w:val="single" w:sz="4" w:space="0" w:color="auto"/>
            </w:tcBorders>
            <w:shd w:val="clear" w:color="auto" w:fill="CCFFCC"/>
          </w:tcPr>
          <w:p w:rsidR="00841C55" w:rsidRDefault="00841C55" w:rsidP="00841C55">
            <w:pPr>
              <w:jc w:val="center"/>
            </w:pPr>
            <w:r>
              <w:t>N</w:t>
            </w:r>
          </w:p>
        </w:tc>
      </w:tr>
      <w:tr w:rsidR="00841C55" w:rsidTr="00841C55">
        <w:tc>
          <w:tcPr>
            <w:tcW w:w="534" w:type="dxa"/>
            <w:shd w:val="clear" w:color="auto" w:fill="auto"/>
          </w:tcPr>
          <w:p w:rsidR="00841C55" w:rsidRPr="00FE6F42" w:rsidRDefault="00841C55" w:rsidP="00841C55">
            <w:pPr>
              <w:jc w:val="center"/>
              <w:rPr>
                <w:b/>
                <w:i/>
              </w:rPr>
            </w:pPr>
            <w:r>
              <w:rPr>
                <w:b/>
                <w:i/>
              </w:rPr>
              <w:t>E</w:t>
            </w:r>
          </w:p>
        </w:tc>
        <w:tc>
          <w:tcPr>
            <w:tcW w:w="1984" w:type="dxa"/>
            <w:shd w:val="clear" w:color="auto" w:fill="auto"/>
          </w:tcPr>
          <w:p w:rsidR="00841C55" w:rsidRDefault="00841C55" w:rsidP="00841C55">
            <w:pPr>
              <w:jc w:val="center"/>
              <w:rPr>
                <w:b/>
                <w:i/>
              </w:rPr>
            </w:pPr>
            <w:r>
              <w:t>October 2010</w:t>
            </w:r>
          </w:p>
        </w:tc>
        <w:tc>
          <w:tcPr>
            <w:tcW w:w="1418" w:type="dxa"/>
            <w:shd w:val="clear" w:color="auto" w:fill="auto"/>
          </w:tcPr>
          <w:p w:rsidR="00841C55" w:rsidRDefault="00841C55" w:rsidP="00841C55">
            <w:pPr>
              <w:rPr>
                <w:b/>
                <w:i/>
              </w:rPr>
            </w:pPr>
            <w:r>
              <w:rPr>
                <w:b/>
                <w:i/>
              </w:rPr>
              <w:t>London</w:t>
            </w:r>
          </w:p>
          <w:p w:rsidR="00841C55" w:rsidRPr="00FE6F42" w:rsidRDefault="00841C55" w:rsidP="00841C55">
            <w:pPr>
              <w:rPr>
                <w:b/>
                <w:i/>
              </w:rPr>
            </w:pPr>
          </w:p>
        </w:tc>
        <w:tc>
          <w:tcPr>
            <w:tcW w:w="1134" w:type="dxa"/>
            <w:shd w:val="clear" w:color="auto" w:fill="auto"/>
          </w:tcPr>
          <w:p w:rsidR="00841C55" w:rsidRDefault="00841C55" w:rsidP="00841C55">
            <w:pPr>
              <w:jc w:val="center"/>
            </w:pPr>
            <w:r>
              <w:t>Hostel</w:t>
            </w:r>
          </w:p>
        </w:tc>
        <w:tc>
          <w:tcPr>
            <w:tcW w:w="1275" w:type="dxa"/>
            <w:shd w:val="clear" w:color="auto" w:fill="auto"/>
          </w:tcPr>
          <w:p w:rsidR="00841C55" w:rsidRDefault="00841C55" w:rsidP="00841C55">
            <w:pPr>
              <w:jc w:val="center"/>
            </w:pPr>
            <w:proofErr w:type="spellStart"/>
            <w:r>
              <w:t>Refurb</w:t>
            </w:r>
            <w:proofErr w:type="spellEnd"/>
          </w:p>
        </w:tc>
        <w:tc>
          <w:tcPr>
            <w:tcW w:w="1560" w:type="dxa"/>
            <w:shd w:val="clear" w:color="auto" w:fill="auto"/>
          </w:tcPr>
          <w:p w:rsidR="00841C55" w:rsidRDefault="00841C55" w:rsidP="00841C55">
            <w:pPr>
              <w:jc w:val="center"/>
            </w:pPr>
            <w:r>
              <w:t>Excellent</w:t>
            </w:r>
          </w:p>
        </w:tc>
        <w:tc>
          <w:tcPr>
            <w:tcW w:w="1275" w:type="dxa"/>
            <w:shd w:val="clear" w:color="auto" w:fill="auto"/>
          </w:tcPr>
          <w:p w:rsidR="00841C55" w:rsidRDefault="00841C55" w:rsidP="00841C55">
            <w:pPr>
              <w:jc w:val="center"/>
            </w:pPr>
            <w:r>
              <w:t xml:space="preserve">Whole </w:t>
            </w:r>
          </w:p>
        </w:tc>
        <w:tc>
          <w:tcPr>
            <w:tcW w:w="1702" w:type="dxa"/>
          </w:tcPr>
          <w:p w:rsidR="00841C55" w:rsidRPr="00A94F9F" w:rsidRDefault="00841C55" w:rsidP="00841C55">
            <w:pPr>
              <w:jc w:val="center"/>
            </w:pPr>
            <w:r>
              <w:t xml:space="preserve">25 </w:t>
            </w:r>
          </w:p>
        </w:tc>
        <w:tc>
          <w:tcPr>
            <w:tcW w:w="2552" w:type="dxa"/>
            <w:gridSpan w:val="2"/>
            <w:shd w:val="clear" w:color="auto" w:fill="auto"/>
          </w:tcPr>
          <w:p w:rsidR="00841C55" w:rsidRPr="00A94F9F" w:rsidRDefault="00841C55" w:rsidP="00841C55">
            <w:pPr>
              <w:jc w:val="center"/>
            </w:pPr>
            <w:r w:rsidRPr="00A94F9F">
              <w:t>Excluded: Not Office or Retail Use</w:t>
            </w:r>
          </w:p>
        </w:tc>
      </w:tr>
      <w:tr w:rsidR="00841C55" w:rsidTr="00841C55">
        <w:tc>
          <w:tcPr>
            <w:tcW w:w="534" w:type="dxa"/>
            <w:shd w:val="clear" w:color="auto" w:fill="auto"/>
          </w:tcPr>
          <w:p w:rsidR="00841C55" w:rsidRPr="00FE6F42" w:rsidRDefault="00841C55" w:rsidP="00841C55">
            <w:pPr>
              <w:jc w:val="center"/>
              <w:rPr>
                <w:b/>
                <w:i/>
              </w:rPr>
            </w:pPr>
            <w:r>
              <w:rPr>
                <w:b/>
                <w:i/>
              </w:rPr>
              <w:t>F</w:t>
            </w:r>
          </w:p>
        </w:tc>
        <w:tc>
          <w:tcPr>
            <w:tcW w:w="1984" w:type="dxa"/>
          </w:tcPr>
          <w:p w:rsidR="00841C55" w:rsidRDefault="00841C55" w:rsidP="00841C55">
            <w:pPr>
              <w:jc w:val="center"/>
              <w:rPr>
                <w:b/>
                <w:i/>
              </w:rPr>
            </w:pPr>
            <w:r>
              <w:t>December 2010</w:t>
            </w:r>
          </w:p>
        </w:tc>
        <w:tc>
          <w:tcPr>
            <w:tcW w:w="1418" w:type="dxa"/>
            <w:shd w:val="clear" w:color="auto" w:fill="auto"/>
          </w:tcPr>
          <w:p w:rsidR="00841C55" w:rsidRPr="00FE6F42" w:rsidRDefault="00841C55" w:rsidP="00841C55">
            <w:pPr>
              <w:rPr>
                <w:b/>
                <w:i/>
              </w:rPr>
            </w:pPr>
            <w:r>
              <w:rPr>
                <w:b/>
                <w:i/>
              </w:rPr>
              <w:t>South West</w:t>
            </w:r>
          </w:p>
        </w:tc>
        <w:tc>
          <w:tcPr>
            <w:tcW w:w="1134" w:type="dxa"/>
            <w:shd w:val="clear" w:color="auto" w:fill="auto"/>
          </w:tcPr>
          <w:p w:rsidR="00841C55" w:rsidRDefault="00841C55" w:rsidP="00841C55">
            <w:pPr>
              <w:jc w:val="center"/>
            </w:pPr>
            <w:r>
              <w:t>Retail</w:t>
            </w:r>
          </w:p>
        </w:tc>
        <w:tc>
          <w:tcPr>
            <w:tcW w:w="1275" w:type="dxa"/>
            <w:shd w:val="clear" w:color="auto" w:fill="auto"/>
          </w:tcPr>
          <w:p w:rsidR="00841C55" w:rsidRDefault="00841C55" w:rsidP="00841C55">
            <w:pPr>
              <w:jc w:val="center"/>
            </w:pPr>
            <w:proofErr w:type="spellStart"/>
            <w:r>
              <w:t>Refurb</w:t>
            </w:r>
            <w:proofErr w:type="spellEnd"/>
          </w:p>
        </w:tc>
        <w:tc>
          <w:tcPr>
            <w:tcW w:w="1560" w:type="dxa"/>
            <w:shd w:val="clear" w:color="auto" w:fill="auto"/>
          </w:tcPr>
          <w:p w:rsidR="00841C55" w:rsidRDefault="00841C55" w:rsidP="00841C55">
            <w:pPr>
              <w:jc w:val="center"/>
            </w:pPr>
            <w:r>
              <w:t>Excellent</w:t>
            </w:r>
          </w:p>
        </w:tc>
        <w:tc>
          <w:tcPr>
            <w:tcW w:w="1275" w:type="dxa"/>
            <w:shd w:val="clear" w:color="auto" w:fill="auto"/>
          </w:tcPr>
          <w:p w:rsidR="00841C55" w:rsidRDefault="00841C55" w:rsidP="00841C55">
            <w:pPr>
              <w:jc w:val="center"/>
            </w:pPr>
            <w:r>
              <w:t>Part</w:t>
            </w:r>
          </w:p>
        </w:tc>
        <w:tc>
          <w:tcPr>
            <w:tcW w:w="1702" w:type="dxa"/>
          </w:tcPr>
          <w:p w:rsidR="00841C55" w:rsidRDefault="00841C55" w:rsidP="00841C55">
            <w:pPr>
              <w:jc w:val="center"/>
            </w:pPr>
            <w:r>
              <w:t>15</w:t>
            </w:r>
          </w:p>
        </w:tc>
        <w:tc>
          <w:tcPr>
            <w:tcW w:w="1276" w:type="dxa"/>
          </w:tcPr>
          <w:p w:rsidR="00841C55" w:rsidRDefault="00841C55" w:rsidP="00841C55">
            <w:pPr>
              <w:jc w:val="center"/>
            </w:pPr>
            <w:r>
              <w:t>N</w:t>
            </w:r>
          </w:p>
        </w:tc>
        <w:tc>
          <w:tcPr>
            <w:tcW w:w="1276" w:type="dxa"/>
          </w:tcPr>
          <w:p w:rsidR="00841C55" w:rsidRDefault="00841C55" w:rsidP="00841C55">
            <w:pPr>
              <w:jc w:val="center"/>
            </w:pPr>
            <w:r>
              <w:t>N</w:t>
            </w:r>
          </w:p>
        </w:tc>
      </w:tr>
      <w:tr w:rsidR="00841C55" w:rsidTr="00841C55">
        <w:tc>
          <w:tcPr>
            <w:tcW w:w="534" w:type="dxa"/>
            <w:shd w:val="clear" w:color="auto" w:fill="auto"/>
          </w:tcPr>
          <w:p w:rsidR="00841C55" w:rsidRPr="00FE6F42" w:rsidRDefault="00841C55" w:rsidP="00841C55">
            <w:pPr>
              <w:jc w:val="center"/>
              <w:rPr>
                <w:b/>
                <w:i/>
              </w:rPr>
            </w:pPr>
            <w:r>
              <w:rPr>
                <w:b/>
                <w:i/>
              </w:rPr>
              <w:t>G</w:t>
            </w:r>
          </w:p>
        </w:tc>
        <w:tc>
          <w:tcPr>
            <w:tcW w:w="1984" w:type="dxa"/>
          </w:tcPr>
          <w:p w:rsidR="00841C55" w:rsidRDefault="00841C55" w:rsidP="00841C55">
            <w:pPr>
              <w:jc w:val="center"/>
              <w:rPr>
                <w:b/>
                <w:i/>
              </w:rPr>
            </w:pPr>
            <w:r>
              <w:t>May 2012</w:t>
            </w:r>
          </w:p>
        </w:tc>
        <w:tc>
          <w:tcPr>
            <w:tcW w:w="1418" w:type="dxa"/>
            <w:shd w:val="clear" w:color="auto" w:fill="auto"/>
          </w:tcPr>
          <w:p w:rsidR="00841C55" w:rsidRPr="00FE6F42" w:rsidRDefault="00841C55" w:rsidP="00841C55">
            <w:pPr>
              <w:rPr>
                <w:b/>
                <w:i/>
              </w:rPr>
            </w:pPr>
            <w:r>
              <w:rPr>
                <w:b/>
                <w:i/>
              </w:rPr>
              <w:t>West Midlands</w:t>
            </w:r>
          </w:p>
        </w:tc>
        <w:tc>
          <w:tcPr>
            <w:tcW w:w="1134" w:type="dxa"/>
            <w:shd w:val="clear" w:color="auto" w:fill="auto"/>
          </w:tcPr>
          <w:p w:rsidR="00841C55" w:rsidRPr="00042DAE" w:rsidRDefault="00841C55" w:rsidP="00841C55">
            <w:pPr>
              <w:jc w:val="center"/>
            </w:pPr>
            <w:r>
              <w:t xml:space="preserve">Office </w:t>
            </w:r>
          </w:p>
        </w:tc>
        <w:tc>
          <w:tcPr>
            <w:tcW w:w="1275" w:type="dxa"/>
            <w:shd w:val="clear" w:color="auto" w:fill="auto"/>
          </w:tcPr>
          <w:p w:rsidR="00841C55" w:rsidRPr="00042DAE" w:rsidRDefault="00841C55" w:rsidP="00841C55">
            <w:pPr>
              <w:jc w:val="center"/>
            </w:pPr>
            <w:r>
              <w:t xml:space="preserve">New </w:t>
            </w:r>
          </w:p>
        </w:tc>
        <w:tc>
          <w:tcPr>
            <w:tcW w:w="1560" w:type="dxa"/>
            <w:shd w:val="clear" w:color="auto" w:fill="auto"/>
          </w:tcPr>
          <w:p w:rsidR="00841C55" w:rsidRPr="00042DAE" w:rsidRDefault="00841C55" w:rsidP="00841C55">
            <w:pPr>
              <w:jc w:val="center"/>
            </w:pPr>
            <w:r>
              <w:t>Excellent</w:t>
            </w:r>
          </w:p>
        </w:tc>
        <w:tc>
          <w:tcPr>
            <w:tcW w:w="1275" w:type="dxa"/>
            <w:shd w:val="clear" w:color="auto" w:fill="auto"/>
          </w:tcPr>
          <w:p w:rsidR="00841C55" w:rsidRDefault="00841C55" w:rsidP="00841C55">
            <w:pPr>
              <w:jc w:val="center"/>
            </w:pPr>
            <w:r>
              <w:t xml:space="preserve">Part </w:t>
            </w:r>
          </w:p>
        </w:tc>
        <w:tc>
          <w:tcPr>
            <w:tcW w:w="1702" w:type="dxa"/>
          </w:tcPr>
          <w:p w:rsidR="00841C55" w:rsidRDefault="00841C55" w:rsidP="00841C55">
            <w:pPr>
              <w:jc w:val="center"/>
            </w:pPr>
            <w:r>
              <w:t>21, break at 10</w:t>
            </w:r>
          </w:p>
        </w:tc>
        <w:tc>
          <w:tcPr>
            <w:tcW w:w="1276" w:type="dxa"/>
          </w:tcPr>
          <w:p w:rsidR="00841C55" w:rsidRDefault="00841C55" w:rsidP="00841C55">
            <w:pPr>
              <w:jc w:val="center"/>
            </w:pPr>
            <w:r>
              <w:t>N</w:t>
            </w:r>
          </w:p>
        </w:tc>
        <w:tc>
          <w:tcPr>
            <w:tcW w:w="1276" w:type="dxa"/>
          </w:tcPr>
          <w:p w:rsidR="00841C55" w:rsidRDefault="00841C55" w:rsidP="00841C55">
            <w:pPr>
              <w:jc w:val="center"/>
            </w:pPr>
            <w:r>
              <w:t>N</w:t>
            </w:r>
          </w:p>
        </w:tc>
      </w:tr>
      <w:tr w:rsidR="00841C55" w:rsidTr="00841C55">
        <w:trPr>
          <w:trHeight w:val="377"/>
        </w:trPr>
        <w:tc>
          <w:tcPr>
            <w:tcW w:w="534" w:type="dxa"/>
            <w:tcBorders>
              <w:bottom w:val="single" w:sz="4" w:space="0" w:color="auto"/>
            </w:tcBorders>
            <w:shd w:val="clear" w:color="auto" w:fill="auto"/>
          </w:tcPr>
          <w:p w:rsidR="00841C55" w:rsidRPr="00FE6F42" w:rsidRDefault="00841C55" w:rsidP="00841C55">
            <w:pPr>
              <w:jc w:val="center"/>
              <w:rPr>
                <w:b/>
                <w:i/>
              </w:rPr>
            </w:pPr>
            <w:r>
              <w:rPr>
                <w:b/>
                <w:i/>
              </w:rPr>
              <w:t>H</w:t>
            </w:r>
          </w:p>
        </w:tc>
        <w:tc>
          <w:tcPr>
            <w:tcW w:w="1984" w:type="dxa"/>
            <w:tcBorders>
              <w:bottom w:val="single" w:sz="4" w:space="0" w:color="auto"/>
            </w:tcBorders>
          </w:tcPr>
          <w:p w:rsidR="00841C55" w:rsidRPr="0001118B" w:rsidRDefault="00841C55" w:rsidP="00841C55">
            <w:pPr>
              <w:jc w:val="center"/>
              <w:rPr>
                <w:b/>
                <w:i/>
              </w:rPr>
            </w:pPr>
            <w:r>
              <w:t>February 2010</w:t>
            </w:r>
          </w:p>
        </w:tc>
        <w:tc>
          <w:tcPr>
            <w:tcW w:w="1418" w:type="dxa"/>
            <w:tcBorders>
              <w:bottom w:val="single" w:sz="4" w:space="0" w:color="auto"/>
            </w:tcBorders>
            <w:shd w:val="clear" w:color="auto" w:fill="auto"/>
          </w:tcPr>
          <w:p w:rsidR="00841C55" w:rsidRPr="00FE6F42" w:rsidRDefault="00841C55" w:rsidP="00841C55">
            <w:pPr>
              <w:rPr>
                <w:b/>
                <w:i/>
              </w:rPr>
            </w:pPr>
            <w:r>
              <w:rPr>
                <w:b/>
                <w:i/>
              </w:rPr>
              <w:t>North West</w:t>
            </w:r>
          </w:p>
        </w:tc>
        <w:tc>
          <w:tcPr>
            <w:tcW w:w="1134" w:type="dxa"/>
            <w:tcBorders>
              <w:bottom w:val="single" w:sz="4" w:space="0" w:color="auto"/>
            </w:tcBorders>
            <w:shd w:val="clear" w:color="auto" w:fill="auto"/>
          </w:tcPr>
          <w:p w:rsidR="00841C55" w:rsidRDefault="00841C55" w:rsidP="00841C55">
            <w:pPr>
              <w:jc w:val="center"/>
            </w:pPr>
            <w:r>
              <w:t>Office</w:t>
            </w:r>
          </w:p>
        </w:tc>
        <w:tc>
          <w:tcPr>
            <w:tcW w:w="1275" w:type="dxa"/>
            <w:tcBorders>
              <w:bottom w:val="single" w:sz="4" w:space="0" w:color="auto"/>
            </w:tcBorders>
            <w:shd w:val="clear" w:color="auto" w:fill="auto"/>
          </w:tcPr>
          <w:p w:rsidR="00841C55" w:rsidRDefault="00841C55" w:rsidP="00841C55">
            <w:pPr>
              <w:jc w:val="center"/>
            </w:pPr>
            <w:r w:rsidRPr="0001118B">
              <w:t xml:space="preserve">New </w:t>
            </w:r>
          </w:p>
        </w:tc>
        <w:tc>
          <w:tcPr>
            <w:tcW w:w="1560" w:type="dxa"/>
            <w:tcBorders>
              <w:bottom w:val="single" w:sz="4" w:space="0" w:color="auto"/>
            </w:tcBorders>
            <w:shd w:val="clear" w:color="auto" w:fill="auto"/>
          </w:tcPr>
          <w:p w:rsidR="00841C55" w:rsidRDefault="00841C55" w:rsidP="00841C55">
            <w:pPr>
              <w:jc w:val="center"/>
            </w:pPr>
            <w:r w:rsidRPr="0001118B">
              <w:t>Excellent</w:t>
            </w:r>
          </w:p>
        </w:tc>
        <w:tc>
          <w:tcPr>
            <w:tcW w:w="1275" w:type="dxa"/>
            <w:tcBorders>
              <w:bottom w:val="single" w:sz="4" w:space="0" w:color="auto"/>
            </w:tcBorders>
          </w:tcPr>
          <w:p w:rsidR="00841C55" w:rsidRDefault="00841C55" w:rsidP="00841C55">
            <w:pPr>
              <w:jc w:val="center"/>
            </w:pPr>
            <w:r>
              <w:t>Part</w:t>
            </w:r>
          </w:p>
        </w:tc>
        <w:tc>
          <w:tcPr>
            <w:tcW w:w="1702" w:type="dxa"/>
            <w:tcBorders>
              <w:bottom w:val="single" w:sz="4" w:space="0" w:color="auto"/>
            </w:tcBorders>
          </w:tcPr>
          <w:p w:rsidR="00841C55" w:rsidRDefault="00841C55" w:rsidP="00841C55">
            <w:pPr>
              <w:jc w:val="center"/>
            </w:pPr>
            <w:r>
              <w:t>15, break at 10</w:t>
            </w:r>
          </w:p>
        </w:tc>
        <w:tc>
          <w:tcPr>
            <w:tcW w:w="1276" w:type="dxa"/>
            <w:tcBorders>
              <w:bottom w:val="single" w:sz="4" w:space="0" w:color="auto"/>
            </w:tcBorders>
          </w:tcPr>
          <w:p w:rsidR="00841C55" w:rsidRDefault="00841C55" w:rsidP="00841C55">
            <w:pPr>
              <w:jc w:val="center"/>
            </w:pPr>
            <w:r>
              <w:t>N</w:t>
            </w:r>
          </w:p>
        </w:tc>
        <w:tc>
          <w:tcPr>
            <w:tcW w:w="1276" w:type="dxa"/>
            <w:tcBorders>
              <w:bottom w:val="single" w:sz="4" w:space="0" w:color="auto"/>
            </w:tcBorders>
          </w:tcPr>
          <w:p w:rsidR="00841C55" w:rsidRDefault="00841C55" w:rsidP="00841C55">
            <w:pPr>
              <w:jc w:val="center"/>
            </w:pPr>
            <w:r>
              <w:t>N</w:t>
            </w:r>
          </w:p>
        </w:tc>
      </w:tr>
      <w:tr w:rsidR="00841C55" w:rsidTr="00841C55">
        <w:trPr>
          <w:trHeight w:val="411"/>
        </w:trPr>
        <w:tc>
          <w:tcPr>
            <w:tcW w:w="534" w:type="dxa"/>
            <w:shd w:val="clear" w:color="auto" w:fill="CCFFCC"/>
          </w:tcPr>
          <w:p w:rsidR="00841C55" w:rsidRPr="0001118B" w:rsidRDefault="00841C55" w:rsidP="00841C55">
            <w:pPr>
              <w:jc w:val="center"/>
              <w:rPr>
                <w:b/>
                <w:i/>
              </w:rPr>
            </w:pPr>
            <w:r>
              <w:rPr>
                <w:b/>
                <w:i/>
              </w:rPr>
              <w:t>I**</w:t>
            </w:r>
          </w:p>
        </w:tc>
        <w:tc>
          <w:tcPr>
            <w:tcW w:w="1984" w:type="dxa"/>
            <w:shd w:val="clear" w:color="auto" w:fill="CCFFCC"/>
          </w:tcPr>
          <w:p w:rsidR="00841C55" w:rsidRDefault="00841C55" w:rsidP="00841C55">
            <w:pPr>
              <w:jc w:val="center"/>
              <w:rPr>
                <w:b/>
                <w:i/>
              </w:rPr>
            </w:pPr>
            <w:r>
              <w:t>October 2012</w:t>
            </w:r>
          </w:p>
        </w:tc>
        <w:tc>
          <w:tcPr>
            <w:tcW w:w="1418" w:type="dxa"/>
            <w:shd w:val="clear" w:color="auto" w:fill="CCFFCC"/>
          </w:tcPr>
          <w:p w:rsidR="00841C55" w:rsidRDefault="00841C55" w:rsidP="00841C55">
            <w:pPr>
              <w:rPr>
                <w:b/>
                <w:i/>
              </w:rPr>
            </w:pPr>
            <w:r>
              <w:rPr>
                <w:b/>
                <w:i/>
              </w:rPr>
              <w:t>London</w:t>
            </w:r>
          </w:p>
          <w:p w:rsidR="00841C55" w:rsidRPr="0001118B" w:rsidRDefault="00841C55" w:rsidP="00841C55">
            <w:pPr>
              <w:rPr>
                <w:b/>
                <w:i/>
              </w:rPr>
            </w:pPr>
          </w:p>
        </w:tc>
        <w:tc>
          <w:tcPr>
            <w:tcW w:w="1134" w:type="dxa"/>
            <w:shd w:val="clear" w:color="auto" w:fill="CCFFCC"/>
          </w:tcPr>
          <w:p w:rsidR="00841C55" w:rsidRPr="0001118B" w:rsidRDefault="00841C55" w:rsidP="00841C55">
            <w:pPr>
              <w:jc w:val="center"/>
            </w:pPr>
            <w:r>
              <w:t>Office</w:t>
            </w:r>
          </w:p>
        </w:tc>
        <w:tc>
          <w:tcPr>
            <w:tcW w:w="1275" w:type="dxa"/>
            <w:shd w:val="clear" w:color="auto" w:fill="CCFFCC"/>
          </w:tcPr>
          <w:p w:rsidR="00841C55" w:rsidRPr="0001118B" w:rsidRDefault="00841C55" w:rsidP="00841C55">
            <w:pPr>
              <w:jc w:val="center"/>
            </w:pPr>
            <w:r>
              <w:t xml:space="preserve">New </w:t>
            </w:r>
          </w:p>
        </w:tc>
        <w:tc>
          <w:tcPr>
            <w:tcW w:w="1560" w:type="dxa"/>
            <w:shd w:val="clear" w:color="auto" w:fill="CCFFCC"/>
          </w:tcPr>
          <w:p w:rsidR="00841C55" w:rsidRPr="0001118B" w:rsidRDefault="00841C55" w:rsidP="00841C55">
            <w:pPr>
              <w:jc w:val="center"/>
            </w:pPr>
            <w:r>
              <w:t>Excellent</w:t>
            </w:r>
          </w:p>
        </w:tc>
        <w:tc>
          <w:tcPr>
            <w:tcW w:w="1275" w:type="dxa"/>
            <w:shd w:val="clear" w:color="auto" w:fill="CCFFCC"/>
          </w:tcPr>
          <w:p w:rsidR="00841C55" w:rsidRPr="0001118B" w:rsidRDefault="00841C55" w:rsidP="00841C55">
            <w:pPr>
              <w:jc w:val="center"/>
            </w:pPr>
            <w:r>
              <w:t>Part</w:t>
            </w:r>
          </w:p>
        </w:tc>
        <w:tc>
          <w:tcPr>
            <w:tcW w:w="1702" w:type="dxa"/>
            <w:shd w:val="clear" w:color="auto" w:fill="CCFFCC"/>
          </w:tcPr>
          <w:p w:rsidR="00841C55" w:rsidRDefault="00841C55" w:rsidP="00841C55">
            <w:pPr>
              <w:jc w:val="center"/>
            </w:pPr>
            <w:r>
              <w:t>10, break at 5</w:t>
            </w:r>
          </w:p>
        </w:tc>
        <w:tc>
          <w:tcPr>
            <w:tcW w:w="1276" w:type="dxa"/>
            <w:shd w:val="clear" w:color="auto" w:fill="CCFFCC"/>
          </w:tcPr>
          <w:p w:rsidR="00841C55" w:rsidRDefault="00841C55" w:rsidP="00841C55">
            <w:pPr>
              <w:jc w:val="center"/>
            </w:pPr>
            <w:r>
              <w:t>Y</w:t>
            </w:r>
          </w:p>
        </w:tc>
        <w:tc>
          <w:tcPr>
            <w:tcW w:w="1276" w:type="dxa"/>
            <w:shd w:val="clear" w:color="auto" w:fill="CCFFCC"/>
          </w:tcPr>
          <w:p w:rsidR="00841C55" w:rsidRDefault="00841C55" w:rsidP="00841C55">
            <w:pPr>
              <w:jc w:val="center"/>
            </w:pPr>
            <w:r>
              <w:t>Y</w:t>
            </w:r>
          </w:p>
        </w:tc>
      </w:tr>
      <w:tr w:rsidR="00841C55" w:rsidTr="00841C55">
        <w:tc>
          <w:tcPr>
            <w:tcW w:w="534" w:type="dxa"/>
            <w:shd w:val="clear" w:color="auto" w:fill="CCFFCC"/>
          </w:tcPr>
          <w:p w:rsidR="00841C55" w:rsidRPr="00FE6F42" w:rsidRDefault="00841C55" w:rsidP="00841C55">
            <w:pPr>
              <w:jc w:val="center"/>
              <w:rPr>
                <w:b/>
                <w:i/>
              </w:rPr>
            </w:pPr>
            <w:r>
              <w:rPr>
                <w:b/>
                <w:i/>
              </w:rPr>
              <w:lastRenderedPageBreak/>
              <w:t>J</w:t>
            </w:r>
          </w:p>
        </w:tc>
        <w:tc>
          <w:tcPr>
            <w:tcW w:w="1984" w:type="dxa"/>
            <w:shd w:val="clear" w:color="auto" w:fill="CCFFCC"/>
          </w:tcPr>
          <w:p w:rsidR="00841C55" w:rsidRDefault="00841C55" w:rsidP="00841C55">
            <w:pPr>
              <w:jc w:val="center"/>
              <w:rPr>
                <w:b/>
                <w:i/>
              </w:rPr>
            </w:pPr>
            <w:r>
              <w:t>November 2012</w:t>
            </w:r>
          </w:p>
        </w:tc>
        <w:tc>
          <w:tcPr>
            <w:tcW w:w="1418" w:type="dxa"/>
            <w:shd w:val="clear" w:color="auto" w:fill="CCFFCC"/>
          </w:tcPr>
          <w:p w:rsidR="00841C55" w:rsidRDefault="00841C55" w:rsidP="00841C55">
            <w:pPr>
              <w:rPr>
                <w:b/>
                <w:i/>
              </w:rPr>
            </w:pPr>
            <w:r>
              <w:rPr>
                <w:b/>
                <w:i/>
              </w:rPr>
              <w:t>London</w:t>
            </w:r>
          </w:p>
          <w:p w:rsidR="00841C55" w:rsidRPr="00FE6F42" w:rsidRDefault="00841C55" w:rsidP="00841C55">
            <w:pPr>
              <w:rPr>
                <w:b/>
                <w:i/>
              </w:rPr>
            </w:pPr>
          </w:p>
        </w:tc>
        <w:tc>
          <w:tcPr>
            <w:tcW w:w="1134" w:type="dxa"/>
            <w:shd w:val="clear" w:color="auto" w:fill="CCFFCC"/>
          </w:tcPr>
          <w:p w:rsidR="00841C55" w:rsidRDefault="00841C55" w:rsidP="00841C55">
            <w:pPr>
              <w:jc w:val="center"/>
            </w:pPr>
            <w:r>
              <w:t>Office</w:t>
            </w:r>
          </w:p>
        </w:tc>
        <w:tc>
          <w:tcPr>
            <w:tcW w:w="1275" w:type="dxa"/>
            <w:shd w:val="clear" w:color="auto" w:fill="CCFFCC"/>
          </w:tcPr>
          <w:p w:rsidR="00841C55" w:rsidRDefault="00841C55" w:rsidP="00841C55">
            <w:pPr>
              <w:jc w:val="center"/>
            </w:pPr>
            <w:proofErr w:type="spellStart"/>
            <w:r>
              <w:t>Refurb</w:t>
            </w:r>
            <w:proofErr w:type="spellEnd"/>
          </w:p>
        </w:tc>
        <w:tc>
          <w:tcPr>
            <w:tcW w:w="1560" w:type="dxa"/>
            <w:shd w:val="clear" w:color="auto" w:fill="CCFFCC"/>
          </w:tcPr>
          <w:p w:rsidR="00841C55" w:rsidRDefault="00841C55" w:rsidP="00841C55">
            <w:pPr>
              <w:jc w:val="center"/>
            </w:pPr>
            <w:r>
              <w:t>Very Good</w:t>
            </w:r>
          </w:p>
        </w:tc>
        <w:tc>
          <w:tcPr>
            <w:tcW w:w="1275" w:type="dxa"/>
            <w:shd w:val="clear" w:color="auto" w:fill="CCFFCC"/>
          </w:tcPr>
          <w:p w:rsidR="00841C55" w:rsidRPr="0001118B" w:rsidRDefault="00841C55" w:rsidP="00841C55">
            <w:pPr>
              <w:jc w:val="center"/>
            </w:pPr>
            <w:r>
              <w:t>Part</w:t>
            </w:r>
          </w:p>
        </w:tc>
        <w:tc>
          <w:tcPr>
            <w:tcW w:w="1702" w:type="dxa"/>
            <w:shd w:val="clear" w:color="auto" w:fill="CCFFCC"/>
          </w:tcPr>
          <w:p w:rsidR="00841C55" w:rsidRDefault="00841C55" w:rsidP="00841C55">
            <w:pPr>
              <w:jc w:val="center"/>
            </w:pPr>
            <w:r>
              <w:t>10, break at 5</w:t>
            </w:r>
          </w:p>
        </w:tc>
        <w:tc>
          <w:tcPr>
            <w:tcW w:w="1276" w:type="dxa"/>
            <w:shd w:val="clear" w:color="auto" w:fill="CCFFCC"/>
          </w:tcPr>
          <w:p w:rsidR="00841C55" w:rsidRDefault="00841C55" w:rsidP="00841C55">
            <w:pPr>
              <w:jc w:val="center"/>
            </w:pPr>
            <w:r>
              <w:t>Y</w:t>
            </w:r>
          </w:p>
        </w:tc>
        <w:tc>
          <w:tcPr>
            <w:tcW w:w="1276" w:type="dxa"/>
            <w:shd w:val="clear" w:color="auto" w:fill="CCFFCC"/>
          </w:tcPr>
          <w:p w:rsidR="00841C55" w:rsidRDefault="00841C55" w:rsidP="00841C55">
            <w:pPr>
              <w:jc w:val="center"/>
            </w:pPr>
            <w:r>
              <w:t>N</w:t>
            </w:r>
          </w:p>
        </w:tc>
      </w:tr>
      <w:tr w:rsidR="00841C55" w:rsidTr="00841C55">
        <w:tc>
          <w:tcPr>
            <w:tcW w:w="534" w:type="dxa"/>
            <w:shd w:val="clear" w:color="auto" w:fill="CCFFCC"/>
          </w:tcPr>
          <w:p w:rsidR="00841C55" w:rsidRPr="00FE6F42" w:rsidRDefault="00841C55" w:rsidP="00841C55">
            <w:pPr>
              <w:jc w:val="center"/>
              <w:rPr>
                <w:b/>
                <w:i/>
              </w:rPr>
            </w:pPr>
            <w:r>
              <w:rPr>
                <w:b/>
                <w:i/>
              </w:rPr>
              <w:t>K</w:t>
            </w:r>
          </w:p>
        </w:tc>
        <w:tc>
          <w:tcPr>
            <w:tcW w:w="1984" w:type="dxa"/>
            <w:shd w:val="clear" w:color="auto" w:fill="CCFFCC"/>
          </w:tcPr>
          <w:p w:rsidR="00841C55" w:rsidRDefault="00841C55" w:rsidP="00841C55">
            <w:pPr>
              <w:jc w:val="center"/>
              <w:rPr>
                <w:b/>
                <w:i/>
              </w:rPr>
            </w:pPr>
            <w:r>
              <w:t>September 2012</w:t>
            </w:r>
          </w:p>
        </w:tc>
        <w:tc>
          <w:tcPr>
            <w:tcW w:w="1418" w:type="dxa"/>
            <w:shd w:val="clear" w:color="auto" w:fill="CCFFCC"/>
          </w:tcPr>
          <w:p w:rsidR="00841C55" w:rsidRDefault="00841C55" w:rsidP="00841C55">
            <w:pPr>
              <w:rPr>
                <w:b/>
                <w:i/>
              </w:rPr>
            </w:pPr>
            <w:r>
              <w:rPr>
                <w:b/>
                <w:i/>
              </w:rPr>
              <w:t>London</w:t>
            </w:r>
          </w:p>
          <w:p w:rsidR="00841C55" w:rsidRPr="00FE6F42" w:rsidRDefault="00841C55" w:rsidP="00841C55">
            <w:pPr>
              <w:rPr>
                <w:b/>
                <w:i/>
              </w:rPr>
            </w:pPr>
          </w:p>
        </w:tc>
        <w:tc>
          <w:tcPr>
            <w:tcW w:w="1134" w:type="dxa"/>
            <w:shd w:val="clear" w:color="auto" w:fill="CCFFCC"/>
          </w:tcPr>
          <w:p w:rsidR="00841C55" w:rsidRDefault="00841C55" w:rsidP="00841C55">
            <w:pPr>
              <w:jc w:val="center"/>
            </w:pPr>
            <w:r>
              <w:t>Office</w:t>
            </w:r>
          </w:p>
        </w:tc>
        <w:tc>
          <w:tcPr>
            <w:tcW w:w="1275" w:type="dxa"/>
            <w:shd w:val="clear" w:color="auto" w:fill="CCFFCC"/>
          </w:tcPr>
          <w:p w:rsidR="00841C55" w:rsidRDefault="00841C55" w:rsidP="00841C55">
            <w:pPr>
              <w:jc w:val="center"/>
            </w:pPr>
            <w:proofErr w:type="spellStart"/>
            <w:r>
              <w:t>Refurb</w:t>
            </w:r>
            <w:proofErr w:type="spellEnd"/>
          </w:p>
        </w:tc>
        <w:tc>
          <w:tcPr>
            <w:tcW w:w="1560" w:type="dxa"/>
            <w:shd w:val="clear" w:color="auto" w:fill="CCFFCC"/>
          </w:tcPr>
          <w:p w:rsidR="00841C55" w:rsidRDefault="00841C55" w:rsidP="00841C55">
            <w:pPr>
              <w:jc w:val="center"/>
            </w:pPr>
            <w:r>
              <w:t>Excellent</w:t>
            </w:r>
          </w:p>
        </w:tc>
        <w:tc>
          <w:tcPr>
            <w:tcW w:w="1275" w:type="dxa"/>
            <w:shd w:val="clear" w:color="auto" w:fill="CCFFCC"/>
          </w:tcPr>
          <w:p w:rsidR="00841C55" w:rsidRDefault="00841C55" w:rsidP="00841C55">
            <w:pPr>
              <w:jc w:val="center"/>
            </w:pPr>
            <w:r>
              <w:t>Part</w:t>
            </w:r>
          </w:p>
        </w:tc>
        <w:tc>
          <w:tcPr>
            <w:tcW w:w="1702" w:type="dxa"/>
            <w:shd w:val="clear" w:color="auto" w:fill="CCFFCC"/>
          </w:tcPr>
          <w:p w:rsidR="00841C55" w:rsidRDefault="00841C55" w:rsidP="00841C55">
            <w:pPr>
              <w:jc w:val="center"/>
            </w:pPr>
            <w:r>
              <w:t>10</w:t>
            </w:r>
          </w:p>
        </w:tc>
        <w:tc>
          <w:tcPr>
            <w:tcW w:w="1276" w:type="dxa"/>
            <w:shd w:val="clear" w:color="auto" w:fill="CCFFCC"/>
          </w:tcPr>
          <w:p w:rsidR="00841C55" w:rsidRDefault="00841C55" w:rsidP="00841C55">
            <w:pPr>
              <w:jc w:val="center"/>
            </w:pPr>
            <w:r>
              <w:t>Y</w:t>
            </w:r>
          </w:p>
        </w:tc>
        <w:tc>
          <w:tcPr>
            <w:tcW w:w="1276" w:type="dxa"/>
            <w:shd w:val="clear" w:color="auto" w:fill="CCFFCC"/>
          </w:tcPr>
          <w:p w:rsidR="00841C55" w:rsidRDefault="00841C55" w:rsidP="00841C55">
            <w:pPr>
              <w:jc w:val="center"/>
            </w:pPr>
            <w:r>
              <w:t>N</w:t>
            </w:r>
          </w:p>
        </w:tc>
      </w:tr>
      <w:tr w:rsidR="00841C55" w:rsidTr="00841C55">
        <w:tc>
          <w:tcPr>
            <w:tcW w:w="534" w:type="dxa"/>
            <w:shd w:val="clear" w:color="auto" w:fill="CCFFCC"/>
          </w:tcPr>
          <w:p w:rsidR="00841C55" w:rsidRPr="00FE6F42" w:rsidRDefault="00841C55" w:rsidP="00841C55">
            <w:pPr>
              <w:jc w:val="center"/>
              <w:rPr>
                <w:b/>
                <w:i/>
              </w:rPr>
            </w:pPr>
            <w:r>
              <w:rPr>
                <w:b/>
                <w:i/>
              </w:rPr>
              <w:t>L</w:t>
            </w:r>
          </w:p>
        </w:tc>
        <w:tc>
          <w:tcPr>
            <w:tcW w:w="1984" w:type="dxa"/>
            <w:shd w:val="clear" w:color="auto" w:fill="CCFFCC"/>
          </w:tcPr>
          <w:p w:rsidR="00841C55" w:rsidRDefault="00841C55" w:rsidP="00841C55">
            <w:pPr>
              <w:jc w:val="center"/>
              <w:rPr>
                <w:b/>
                <w:i/>
              </w:rPr>
            </w:pPr>
            <w:r>
              <w:t>August 2010</w:t>
            </w:r>
          </w:p>
        </w:tc>
        <w:tc>
          <w:tcPr>
            <w:tcW w:w="1418" w:type="dxa"/>
            <w:shd w:val="clear" w:color="auto" w:fill="CCFFCC"/>
          </w:tcPr>
          <w:p w:rsidR="00841C55" w:rsidRDefault="00841C55" w:rsidP="00841C55">
            <w:pPr>
              <w:rPr>
                <w:b/>
                <w:i/>
              </w:rPr>
            </w:pPr>
            <w:r>
              <w:rPr>
                <w:b/>
                <w:i/>
              </w:rPr>
              <w:t>London</w:t>
            </w:r>
          </w:p>
          <w:p w:rsidR="00841C55" w:rsidRPr="00FE6F42" w:rsidRDefault="00841C55" w:rsidP="00841C55">
            <w:pPr>
              <w:rPr>
                <w:b/>
                <w:i/>
              </w:rPr>
            </w:pPr>
          </w:p>
        </w:tc>
        <w:tc>
          <w:tcPr>
            <w:tcW w:w="1134" w:type="dxa"/>
            <w:shd w:val="clear" w:color="auto" w:fill="CCFFCC"/>
          </w:tcPr>
          <w:p w:rsidR="00841C55" w:rsidRDefault="00841C55" w:rsidP="00841C55">
            <w:pPr>
              <w:jc w:val="center"/>
            </w:pPr>
            <w:r>
              <w:t>Office</w:t>
            </w:r>
          </w:p>
        </w:tc>
        <w:tc>
          <w:tcPr>
            <w:tcW w:w="1275" w:type="dxa"/>
            <w:shd w:val="clear" w:color="auto" w:fill="CCFFCC"/>
          </w:tcPr>
          <w:p w:rsidR="00841C55" w:rsidRDefault="00841C55" w:rsidP="00841C55">
            <w:pPr>
              <w:jc w:val="center"/>
            </w:pPr>
            <w:r>
              <w:t xml:space="preserve">New </w:t>
            </w:r>
          </w:p>
        </w:tc>
        <w:tc>
          <w:tcPr>
            <w:tcW w:w="1560" w:type="dxa"/>
            <w:shd w:val="clear" w:color="auto" w:fill="CCFFCC"/>
          </w:tcPr>
          <w:p w:rsidR="00841C55" w:rsidRDefault="00841C55" w:rsidP="00841C55">
            <w:pPr>
              <w:jc w:val="center"/>
            </w:pPr>
            <w:r>
              <w:t>Excellent</w:t>
            </w:r>
          </w:p>
        </w:tc>
        <w:tc>
          <w:tcPr>
            <w:tcW w:w="1275" w:type="dxa"/>
            <w:shd w:val="clear" w:color="auto" w:fill="CCFFCC"/>
          </w:tcPr>
          <w:p w:rsidR="00841C55" w:rsidRPr="0001118B" w:rsidRDefault="00841C55" w:rsidP="00841C55">
            <w:pPr>
              <w:jc w:val="center"/>
            </w:pPr>
            <w:r>
              <w:t>Part</w:t>
            </w:r>
          </w:p>
        </w:tc>
        <w:tc>
          <w:tcPr>
            <w:tcW w:w="1702" w:type="dxa"/>
            <w:shd w:val="clear" w:color="auto" w:fill="CCFFCC"/>
          </w:tcPr>
          <w:p w:rsidR="00841C55" w:rsidRDefault="00841C55" w:rsidP="00841C55">
            <w:pPr>
              <w:jc w:val="center"/>
            </w:pPr>
            <w:r>
              <w:t>15.5, break at 10.5</w:t>
            </w:r>
          </w:p>
        </w:tc>
        <w:tc>
          <w:tcPr>
            <w:tcW w:w="1276" w:type="dxa"/>
            <w:shd w:val="clear" w:color="auto" w:fill="CCFFCC"/>
          </w:tcPr>
          <w:p w:rsidR="00841C55" w:rsidRDefault="00841C55" w:rsidP="00841C55">
            <w:pPr>
              <w:jc w:val="center"/>
            </w:pPr>
            <w:r>
              <w:t>Y</w:t>
            </w:r>
          </w:p>
        </w:tc>
        <w:tc>
          <w:tcPr>
            <w:tcW w:w="1276" w:type="dxa"/>
            <w:shd w:val="clear" w:color="auto" w:fill="CCFFCC"/>
          </w:tcPr>
          <w:p w:rsidR="00841C55" w:rsidRDefault="00841C55" w:rsidP="00841C55">
            <w:pPr>
              <w:jc w:val="center"/>
            </w:pPr>
            <w:r>
              <w:t>Y</w:t>
            </w:r>
          </w:p>
        </w:tc>
      </w:tr>
      <w:tr w:rsidR="00841C55" w:rsidTr="00841C55">
        <w:tc>
          <w:tcPr>
            <w:tcW w:w="534" w:type="dxa"/>
            <w:tcBorders>
              <w:bottom w:val="single" w:sz="4" w:space="0" w:color="auto"/>
            </w:tcBorders>
            <w:shd w:val="clear" w:color="auto" w:fill="CCFFCC"/>
          </w:tcPr>
          <w:p w:rsidR="00841C55" w:rsidRPr="00FE6F42" w:rsidRDefault="00841C55" w:rsidP="00841C55">
            <w:pPr>
              <w:jc w:val="center"/>
              <w:rPr>
                <w:b/>
                <w:i/>
              </w:rPr>
            </w:pPr>
            <w:r>
              <w:rPr>
                <w:b/>
                <w:i/>
              </w:rPr>
              <w:t>M</w:t>
            </w:r>
          </w:p>
        </w:tc>
        <w:tc>
          <w:tcPr>
            <w:tcW w:w="1984" w:type="dxa"/>
            <w:tcBorders>
              <w:bottom w:val="single" w:sz="4" w:space="0" w:color="auto"/>
            </w:tcBorders>
            <w:shd w:val="clear" w:color="auto" w:fill="CCFFCC"/>
          </w:tcPr>
          <w:p w:rsidR="00841C55" w:rsidRDefault="00841C55" w:rsidP="00841C55">
            <w:pPr>
              <w:jc w:val="center"/>
              <w:rPr>
                <w:b/>
                <w:i/>
              </w:rPr>
            </w:pPr>
            <w:r>
              <w:t>December 2011</w:t>
            </w:r>
          </w:p>
        </w:tc>
        <w:tc>
          <w:tcPr>
            <w:tcW w:w="1418" w:type="dxa"/>
            <w:tcBorders>
              <w:bottom w:val="single" w:sz="4" w:space="0" w:color="auto"/>
            </w:tcBorders>
            <w:shd w:val="clear" w:color="auto" w:fill="CCFFCC"/>
          </w:tcPr>
          <w:p w:rsidR="00841C55" w:rsidRDefault="00841C55" w:rsidP="00841C55">
            <w:pPr>
              <w:rPr>
                <w:b/>
                <w:i/>
              </w:rPr>
            </w:pPr>
            <w:r>
              <w:rPr>
                <w:b/>
                <w:i/>
              </w:rPr>
              <w:t>London</w:t>
            </w:r>
          </w:p>
          <w:p w:rsidR="00841C55" w:rsidRPr="00FE6F42" w:rsidRDefault="00841C55" w:rsidP="00841C55">
            <w:pPr>
              <w:rPr>
                <w:b/>
                <w:i/>
              </w:rPr>
            </w:pPr>
          </w:p>
        </w:tc>
        <w:tc>
          <w:tcPr>
            <w:tcW w:w="1134" w:type="dxa"/>
            <w:tcBorders>
              <w:bottom w:val="single" w:sz="4" w:space="0" w:color="auto"/>
            </w:tcBorders>
            <w:shd w:val="clear" w:color="auto" w:fill="CCFFCC"/>
          </w:tcPr>
          <w:p w:rsidR="00841C55" w:rsidRPr="00E93FDA" w:rsidRDefault="00841C55" w:rsidP="00841C55">
            <w:pPr>
              <w:jc w:val="center"/>
            </w:pPr>
            <w:r>
              <w:t>Office</w:t>
            </w:r>
          </w:p>
        </w:tc>
        <w:tc>
          <w:tcPr>
            <w:tcW w:w="1275" w:type="dxa"/>
            <w:tcBorders>
              <w:bottom w:val="single" w:sz="4" w:space="0" w:color="auto"/>
            </w:tcBorders>
            <w:shd w:val="clear" w:color="auto" w:fill="CCFFCC"/>
          </w:tcPr>
          <w:p w:rsidR="00841C55" w:rsidRPr="00C560B7" w:rsidRDefault="00841C55" w:rsidP="00841C55">
            <w:pPr>
              <w:jc w:val="center"/>
            </w:pPr>
            <w:proofErr w:type="spellStart"/>
            <w:r>
              <w:t>Refurb</w:t>
            </w:r>
            <w:proofErr w:type="spellEnd"/>
          </w:p>
        </w:tc>
        <w:tc>
          <w:tcPr>
            <w:tcW w:w="1560" w:type="dxa"/>
            <w:tcBorders>
              <w:bottom w:val="single" w:sz="4" w:space="0" w:color="auto"/>
            </w:tcBorders>
            <w:shd w:val="clear" w:color="auto" w:fill="CCFFCC"/>
          </w:tcPr>
          <w:p w:rsidR="00841C55" w:rsidRDefault="00841C55" w:rsidP="00841C55">
            <w:pPr>
              <w:jc w:val="center"/>
            </w:pPr>
            <w:r>
              <w:t>Very Good</w:t>
            </w:r>
          </w:p>
        </w:tc>
        <w:tc>
          <w:tcPr>
            <w:tcW w:w="1275" w:type="dxa"/>
            <w:tcBorders>
              <w:bottom w:val="single" w:sz="4" w:space="0" w:color="auto"/>
            </w:tcBorders>
            <w:shd w:val="clear" w:color="auto" w:fill="CCFFCC"/>
          </w:tcPr>
          <w:p w:rsidR="00841C55" w:rsidRDefault="00841C55" w:rsidP="00841C55">
            <w:pPr>
              <w:jc w:val="center"/>
            </w:pPr>
            <w:r>
              <w:t xml:space="preserve">Whole </w:t>
            </w:r>
          </w:p>
        </w:tc>
        <w:tc>
          <w:tcPr>
            <w:tcW w:w="1702" w:type="dxa"/>
            <w:tcBorders>
              <w:bottom w:val="single" w:sz="4" w:space="0" w:color="auto"/>
            </w:tcBorders>
            <w:shd w:val="clear" w:color="auto" w:fill="CCFFCC"/>
          </w:tcPr>
          <w:p w:rsidR="00841C55" w:rsidRDefault="00841C55" w:rsidP="00841C55">
            <w:pPr>
              <w:jc w:val="center"/>
            </w:pPr>
            <w:r>
              <w:t>15</w:t>
            </w:r>
          </w:p>
        </w:tc>
        <w:tc>
          <w:tcPr>
            <w:tcW w:w="1276" w:type="dxa"/>
            <w:tcBorders>
              <w:bottom w:val="single" w:sz="4" w:space="0" w:color="auto"/>
            </w:tcBorders>
            <w:shd w:val="clear" w:color="auto" w:fill="CCFFCC"/>
          </w:tcPr>
          <w:p w:rsidR="00841C55" w:rsidRDefault="00841C55" w:rsidP="00841C55">
            <w:pPr>
              <w:jc w:val="center"/>
            </w:pPr>
            <w:r>
              <w:t>Y</w:t>
            </w:r>
          </w:p>
        </w:tc>
        <w:tc>
          <w:tcPr>
            <w:tcW w:w="1276" w:type="dxa"/>
            <w:tcBorders>
              <w:bottom w:val="single" w:sz="4" w:space="0" w:color="auto"/>
            </w:tcBorders>
            <w:shd w:val="clear" w:color="auto" w:fill="CCFFCC"/>
          </w:tcPr>
          <w:p w:rsidR="00841C55" w:rsidRDefault="00841C55" w:rsidP="00841C55">
            <w:pPr>
              <w:jc w:val="center"/>
            </w:pPr>
            <w:r>
              <w:t>Y</w:t>
            </w:r>
          </w:p>
        </w:tc>
      </w:tr>
      <w:tr w:rsidR="00841C55" w:rsidTr="00841C55">
        <w:tc>
          <w:tcPr>
            <w:tcW w:w="534" w:type="dxa"/>
            <w:shd w:val="clear" w:color="auto" w:fill="auto"/>
          </w:tcPr>
          <w:p w:rsidR="00841C55" w:rsidRPr="00FE6F42" w:rsidRDefault="00841C55" w:rsidP="00841C55">
            <w:pPr>
              <w:jc w:val="center"/>
              <w:rPr>
                <w:b/>
                <w:i/>
              </w:rPr>
            </w:pPr>
            <w:r>
              <w:rPr>
                <w:b/>
                <w:i/>
              </w:rPr>
              <w:t>N</w:t>
            </w:r>
          </w:p>
        </w:tc>
        <w:tc>
          <w:tcPr>
            <w:tcW w:w="1984" w:type="dxa"/>
            <w:shd w:val="clear" w:color="auto" w:fill="auto"/>
          </w:tcPr>
          <w:p w:rsidR="00841C55" w:rsidRDefault="00841C55" w:rsidP="00841C55">
            <w:pPr>
              <w:jc w:val="center"/>
              <w:rPr>
                <w:b/>
                <w:i/>
              </w:rPr>
            </w:pPr>
            <w:r>
              <w:t>March 2013</w:t>
            </w:r>
          </w:p>
        </w:tc>
        <w:tc>
          <w:tcPr>
            <w:tcW w:w="1418" w:type="dxa"/>
            <w:shd w:val="clear" w:color="auto" w:fill="auto"/>
          </w:tcPr>
          <w:p w:rsidR="00841C55" w:rsidRDefault="00841C55" w:rsidP="00841C55">
            <w:pPr>
              <w:rPr>
                <w:b/>
                <w:i/>
              </w:rPr>
            </w:pPr>
            <w:r>
              <w:rPr>
                <w:b/>
                <w:i/>
              </w:rPr>
              <w:t>London</w:t>
            </w:r>
          </w:p>
          <w:p w:rsidR="00841C55" w:rsidRPr="00FE6F42" w:rsidRDefault="00841C55" w:rsidP="00841C55">
            <w:pPr>
              <w:rPr>
                <w:b/>
                <w:i/>
              </w:rPr>
            </w:pPr>
          </w:p>
        </w:tc>
        <w:tc>
          <w:tcPr>
            <w:tcW w:w="1134" w:type="dxa"/>
            <w:shd w:val="clear" w:color="auto" w:fill="auto"/>
          </w:tcPr>
          <w:p w:rsidR="00841C55" w:rsidRDefault="00841C55" w:rsidP="00841C55">
            <w:pPr>
              <w:jc w:val="center"/>
            </w:pPr>
            <w:r>
              <w:t>Office</w:t>
            </w:r>
          </w:p>
        </w:tc>
        <w:tc>
          <w:tcPr>
            <w:tcW w:w="1275" w:type="dxa"/>
            <w:shd w:val="clear" w:color="auto" w:fill="auto"/>
          </w:tcPr>
          <w:p w:rsidR="00841C55" w:rsidRDefault="00841C55" w:rsidP="00841C55">
            <w:pPr>
              <w:jc w:val="center"/>
            </w:pPr>
            <w:proofErr w:type="spellStart"/>
            <w:r>
              <w:t>Refurb</w:t>
            </w:r>
            <w:proofErr w:type="spellEnd"/>
          </w:p>
        </w:tc>
        <w:tc>
          <w:tcPr>
            <w:tcW w:w="1560" w:type="dxa"/>
            <w:shd w:val="clear" w:color="auto" w:fill="auto"/>
          </w:tcPr>
          <w:p w:rsidR="00841C55" w:rsidRDefault="00841C55" w:rsidP="00841C55">
            <w:pPr>
              <w:jc w:val="center"/>
            </w:pPr>
            <w:r>
              <w:t>Excellent</w:t>
            </w:r>
          </w:p>
        </w:tc>
        <w:tc>
          <w:tcPr>
            <w:tcW w:w="1275" w:type="dxa"/>
            <w:shd w:val="clear" w:color="auto" w:fill="auto"/>
          </w:tcPr>
          <w:p w:rsidR="00841C55" w:rsidRDefault="00841C55" w:rsidP="00841C55">
            <w:pPr>
              <w:jc w:val="center"/>
            </w:pPr>
            <w:r>
              <w:t xml:space="preserve">Whole </w:t>
            </w:r>
          </w:p>
        </w:tc>
        <w:tc>
          <w:tcPr>
            <w:tcW w:w="1702" w:type="dxa"/>
          </w:tcPr>
          <w:p w:rsidR="00841C55" w:rsidRDefault="00841C55" w:rsidP="00841C55">
            <w:pPr>
              <w:jc w:val="center"/>
            </w:pPr>
            <w:r>
              <w:t>10, break at 5</w:t>
            </w:r>
          </w:p>
        </w:tc>
        <w:tc>
          <w:tcPr>
            <w:tcW w:w="2552" w:type="dxa"/>
            <w:gridSpan w:val="2"/>
            <w:shd w:val="clear" w:color="auto" w:fill="auto"/>
          </w:tcPr>
          <w:p w:rsidR="00841C55" w:rsidRDefault="00841C55" w:rsidP="00841C55">
            <w:pPr>
              <w:jc w:val="center"/>
            </w:pPr>
            <w:r>
              <w:t>Excluded: Incomplete Lease</w:t>
            </w:r>
          </w:p>
        </w:tc>
      </w:tr>
      <w:tr w:rsidR="00841C55" w:rsidTr="00841C55">
        <w:tc>
          <w:tcPr>
            <w:tcW w:w="534" w:type="dxa"/>
            <w:tcBorders>
              <w:bottom w:val="single" w:sz="4" w:space="0" w:color="auto"/>
            </w:tcBorders>
            <w:shd w:val="clear" w:color="auto" w:fill="FFFFFF" w:themeFill="background1"/>
          </w:tcPr>
          <w:p w:rsidR="00841C55" w:rsidRPr="00FE6F42" w:rsidRDefault="00841C55" w:rsidP="00841C55">
            <w:pPr>
              <w:jc w:val="center"/>
              <w:rPr>
                <w:b/>
                <w:i/>
              </w:rPr>
            </w:pPr>
            <w:r>
              <w:rPr>
                <w:b/>
                <w:i/>
              </w:rPr>
              <w:t>O</w:t>
            </w:r>
          </w:p>
        </w:tc>
        <w:tc>
          <w:tcPr>
            <w:tcW w:w="1984" w:type="dxa"/>
            <w:tcBorders>
              <w:bottom w:val="single" w:sz="4" w:space="0" w:color="auto"/>
            </w:tcBorders>
          </w:tcPr>
          <w:p w:rsidR="00841C55" w:rsidRDefault="00841C55" w:rsidP="00841C55">
            <w:pPr>
              <w:tabs>
                <w:tab w:val="center" w:pos="813"/>
              </w:tabs>
              <w:jc w:val="center"/>
              <w:rPr>
                <w:b/>
                <w:i/>
              </w:rPr>
            </w:pPr>
            <w:r>
              <w:t>February 2010</w:t>
            </w:r>
          </w:p>
        </w:tc>
        <w:tc>
          <w:tcPr>
            <w:tcW w:w="1418" w:type="dxa"/>
            <w:tcBorders>
              <w:bottom w:val="single" w:sz="4" w:space="0" w:color="auto"/>
            </w:tcBorders>
            <w:shd w:val="clear" w:color="auto" w:fill="auto"/>
          </w:tcPr>
          <w:p w:rsidR="00841C55" w:rsidRDefault="00841C55" w:rsidP="00841C55">
            <w:pPr>
              <w:rPr>
                <w:b/>
                <w:i/>
              </w:rPr>
            </w:pPr>
            <w:r>
              <w:rPr>
                <w:b/>
                <w:i/>
              </w:rPr>
              <w:t>London</w:t>
            </w:r>
          </w:p>
          <w:p w:rsidR="00841C55" w:rsidRPr="00FE6F42" w:rsidRDefault="00841C55" w:rsidP="00841C55">
            <w:pPr>
              <w:rPr>
                <w:b/>
                <w:i/>
              </w:rPr>
            </w:pPr>
          </w:p>
        </w:tc>
        <w:tc>
          <w:tcPr>
            <w:tcW w:w="1134" w:type="dxa"/>
            <w:tcBorders>
              <w:bottom w:val="single" w:sz="4" w:space="0" w:color="auto"/>
            </w:tcBorders>
            <w:shd w:val="clear" w:color="auto" w:fill="auto"/>
          </w:tcPr>
          <w:p w:rsidR="00841C55" w:rsidRDefault="00841C55" w:rsidP="00841C55">
            <w:pPr>
              <w:jc w:val="center"/>
            </w:pPr>
            <w:r>
              <w:t>Retail</w:t>
            </w:r>
          </w:p>
        </w:tc>
        <w:tc>
          <w:tcPr>
            <w:tcW w:w="1275" w:type="dxa"/>
            <w:tcBorders>
              <w:bottom w:val="single" w:sz="4" w:space="0" w:color="auto"/>
            </w:tcBorders>
            <w:shd w:val="clear" w:color="auto" w:fill="auto"/>
          </w:tcPr>
          <w:p w:rsidR="00841C55" w:rsidRDefault="00841C55" w:rsidP="00841C55">
            <w:pPr>
              <w:jc w:val="center"/>
            </w:pPr>
            <w:r>
              <w:t xml:space="preserve">New </w:t>
            </w:r>
          </w:p>
        </w:tc>
        <w:tc>
          <w:tcPr>
            <w:tcW w:w="1560" w:type="dxa"/>
            <w:tcBorders>
              <w:bottom w:val="single" w:sz="4" w:space="0" w:color="auto"/>
            </w:tcBorders>
            <w:shd w:val="clear" w:color="auto" w:fill="auto"/>
          </w:tcPr>
          <w:p w:rsidR="00841C55" w:rsidRDefault="00841C55" w:rsidP="00841C55">
            <w:pPr>
              <w:jc w:val="center"/>
            </w:pPr>
            <w:r>
              <w:t>Outstanding</w:t>
            </w:r>
          </w:p>
        </w:tc>
        <w:tc>
          <w:tcPr>
            <w:tcW w:w="1275" w:type="dxa"/>
            <w:tcBorders>
              <w:bottom w:val="single" w:sz="4" w:space="0" w:color="auto"/>
            </w:tcBorders>
          </w:tcPr>
          <w:p w:rsidR="00841C55" w:rsidRDefault="00841C55" w:rsidP="00841C55">
            <w:pPr>
              <w:jc w:val="center"/>
            </w:pPr>
            <w:r>
              <w:t xml:space="preserve">Part </w:t>
            </w:r>
          </w:p>
        </w:tc>
        <w:tc>
          <w:tcPr>
            <w:tcW w:w="1702" w:type="dxa"/>
            <w:tcBorders>
              <w:bottom w:val="single" w:sz="4" w:space="0" w:color="auto"/>
            </w:tcBorders>
          </w:tcPr>
          <w:p w:rsidR="00841C55" w:rsidRDefault="00841C55" w:rsidP="00841C55">
            <w:pPr>
              <w:jc w:val="center"/>
            </w:pPr>
            <w:r>
              <w:t>15</w:t>
            </w:r>
          </w:p>
        </w:tc>
        <w:tc>
          <w:tcPr>
            <w:tcW w:w="1276" w:type="dxa"/>
            <w:tcBorders>
              <w:bottom w:val="single" w:sz="4" w:space="0" w:color="auto"/>
            </w:tcBorders>
          </w:tcPr>
          <w:p w:rsidR="00841C55" w:rsidRDefault="00841C55" w:rsidP="00841C55">
            <w:pPr>
              <w:jc w:val="center"/>
            </w:pPr>
            <w:r>
              <w:t>N</w:t>
            </w:r>
          </w:p>
        </w:tc>
        <w:tc>
          <w:tcPr>
            <w:tcW w:w="1276" w:type="dxa"/>
            <w:tcBorders>
              <w:bottom w:val="single" w:sz="4" w:space="0" w:color="auto"/>
            </w:tcBorders>
          </w:tcPr>
          <w:p w:rsidR="00841C55" w:rsidRDefault="00841C55" w:rsidP="00841C55">
            <w:pPr>
              <w:jc w:val="center"/>
            </w:pPr>
            <w:r>
              <w:t>N</w:t>
            </w:r>
          </w:p>
        </w:tc>
      </w:tr>
      <w:tr w:rsidR="00841C55" w:rsidTr="00841C55">
        <w:trPr>
          <w:trHeight w:val="423"/>
        </w:trPr>
        <w:tc>
          <w:tcPr>
            <w:tcW w:w="534" w:type="dxa"/>
            <w:shd w:val="clear" w:color="auto" w:fill="CCFFCC"/>
          </w:tcPr>
          <w:p w:rsidR="00841C55" w:rsidRPr="00FE6F42" w:rsidRDefault="00841C55" w:rsidP="00841C55">
            <w:pPr>
              <w:jc w:val="center"/>
              <w:rPr>
                <w:b/>
                <w:i/>
              </w:rPr>
            </w:pPr>
            <w:r>
              <w:rPr>
                <w:b/>
                <w:i/>
              </w:rPr>
              <w:t>P*</w:t>
            </w:r>
          </w:p>
        </w:tc>
        <w:tc>
          <w:tcPr>
            <w:tcW w:w="1984" w:type="dxa"/>
            <w:shd w:val="clear" w:color="auto" w:fill="CCFFCC"/>
          </w:tcPr>
          <w:p w:rsidR="00841C55" w:rsidRPr="00920DD7" w:rsidRDefault="00841C55" w:rsidP="00841C55">
            <w:pPr>
              <w:jc w:val="center"/>
              <w:rPr>
                <w:b/>
                <w:i/>
                <w:highlight w:val="cyan"/>
              </w:rPr>
            </w:pPr>
            <w:r>
              <w:t>October 2010</w:t>
            </w:r>
          </w:p>
        </w:tc>
        <w:tc>
          <w:tcPr>
            <w:tcW w:w="1418" w:type="dxa"/>
            <w:shd w:val="clear" w:color="auto" w:fill="CCFFCC"/>
          </w:tcPr>
          <w:p w:rsidR="00841C55" w:rsidRDefault="00841C55" w:rsidP="00841C55">
            <w:pPr>
              <w:rPr>
                <w:b/>
                <w:i/>
              </w:rPr>
            </w:pPr>
            <w:r>
              <w:rPr>
                <w:b/>
                <w:i/>
              </w:rPr>
              <w:t>London</w:t>
            </w:r>
          </w:p>
          <w:p w:rsidR="00841C55" w:rsidRPr="00FE6F42" w:rsidRDefault="00841C55" w:rsidP="00841C55">
            <w:pPr>
              <w:rPr>
                <w:b/>
                <w:i/>
              </w:rPr>
            </w:pPr>
          </w:p>
        </w:tc>
        <w:tc>
          <w:tcPr>
            <w:tcW w:w="1134" w:type="dxa"/>
            <w:shd w:val="clear" w:color="auto" w:fill="CCFFCC"/>
          </w:tcPr>
          <w:p w:rsidR="00841C55" w:rsidRDefault="00841C55" w:rsidP="00841C55">
            <w:pPr>
              <w:jc w:val="center"/>
            </w:pPr>
            <w:r>
              <w:t>Office</w:t>
            </w:r>
          </w:p>
        </w:tc>
        <w:tc>
          <w:tcPr>
            <w:tcW w:w="1275" w:type="dxa"/>
            <w:shd w:val="clear" w:color="auto" w:fill="CCFFCC"/>
          </w:tcPr>
          <w:p w:rsidR="00841C55" w:rsidRDefault="00841C55" w:rsidP="00841C55">
            <w:pPr>
              <w:jc w:val="center"/>
            </w:pPr>
            <w:r>
              <w:t xml:space="preserve">New </w:t>
            </w:r>
          </w:p>
        </w:tc>
        <w:tc>
          <w:tcPr>
            <w:tcW w:w="1560" w:type="dxa"/>
            <w:shd w:val="clear" w:color="auto" w:fill="CCFFCC"/>
          </w:tcPr>
          <w:p w:rsidR="00841C55" w:rsidRDefault="00841C55" w:rsidP="00841C55">
            <w:pPr>
              <w:jc w:val="center"/>
            </w:pPr>
            <w:r>
              <w:t>Excellent</w:t>
            </w:r>
          </w:p>
        </w:tc>
        <w:tc>
          <w:tcPr>
            <w:tcW w:w="1275" w:type="dxa"/>
            <w:shd w:val="clear" w:color="auto" w:fill="CCFFCC"/>
          </w:tcPr>
          <w:p w:rsidR="00841C55" w:rsidRDefault="00841C55" w:rsidP="00841C55">
            <w:pPr>
              <w:jc w:val="center"/>
            </w:pPr>
            <w:r>
              <w:t xml:space="preserve">Part </w:t>
            </w:r>
          </w:p>
        </w:tc>
        <w:tc>
          <w:tcPr>
            <w:tcW w:w="1702" w:type="dxa"/>
            <w:shd w:val="clear" w:color="auto" w:fill="CCFFCC"/>
          </w:tcPr>
          <w:p w:rsidR="00841C55" w:rsidRDefault="00841C55" w:rsidP="00841C55">
            <w:pPr>
              <w:jc w:val="center"/>
            </w:pPr>
            <w:r>
              <w:t>20.5, break at 15.5</w:t>
            </w:r>
          </w:p>
        </w:tc>
        <w:tc>
          <w:tcPr>
            <w:tcW w:w="1276" w:type="dxa"/>
            <w:shd w:val="clear" w:color="auto" w:fill="CCFFCC"/>
          </w:tcPr>
          <w:p w:rsidR="00841C55" w:rsidRDefault="00841C55" w:rsidP="00841C55">
            <w:pPr>
              <w:jc w:val="center"/>
            </w:pPr>
            <w:r>
              <w:t>Y</w:t>
            </w:r>
          </w:p>
        </w:tc>
        <w:tc>
          <w:tcPr>
            <w:tcW w:w="1276" w:type="dxa"/>
            <w:shd w:val="clear" w:color="auto" w:fill="CCFFCC"/>
          </w:tcPr>
          <w:p w:rsidR="00841C55" w:rsidRDefault="00841C55" w:rsidP="00841C55">
            <w:pPr>
              <w:jc w:val="center"/>
            </w:pPr>
            <w:r>
              <w:t>N</w:t>
            </w:r>
          </w:p>
        </w:tc>
      </w:tr>
      <w:tr w:rsidR="00841C55" w:rsidTr="00841C55">
        <w:tc>
          <w:tcPr>
            <w:tcW w:w="534" w:type="dxa"/>
            <w:shd w:val="clear" w:color="auto" w:fill="CCFFCC"/>
          </w:tcPr>
          <w:p w:rsidR="00841C55" w:rsidRPr="00FE6F42" w:rsidRDefault="00841C55" w:rsidP="00841C55">
            <w:pPr>
              <w:jc w:val="center"/>
              <w:rPr>
                <w:b/>
                <w:i/>
              </w:rPr>
            </w:pPr>
            <w:r>
              <w:rPr>
                <w:b/>
                <w:i/>
              </w:rPr>
              <w:t>Q</w:t>
            </w:r>
          </w:p>
        </w:tc>
        <w:tc>
          <w:tcPr>
            <w:tcW w:w="1984" w:type="dxa"/>
            <w:shd w:val="clear" w:color="auto" w:fill="CCFFCC"/>
          </w:tcPr>
          <w:p w:rsidR="00841C55" w:rsidRDefault="00841C55" w:rsidP="00841C55">
            <w:pPr>
              <w:jc w:val="center"/>
              <w:rPr>
                <w:b/>
                <w:i/>
              </w:rPr>
            </w:pPr>
            <w:r>
              <w:t>April 2012</w:t>
            </w:r>
          </w:p>
        </w:tc>
        <w:tc>
          <w:tcPr>
            <w:tcW w:w="1418" w:type="dxa"/>
            <w:shd w:val="clear" w:color="auto" w:fill="CCFFCC"/>
          </w:tcPr>
          <w:p w:rsidR="00841C55" w:rsidRDefault="00841C55" w:rsidP="00841C55">
            <w:pPr>
              <w:rPr>
                <w:b/>
                <w:i/>
              </w:rPr>
            </w:pPr>
            <w:r>
              <w:rPr>
                <w:b/>
                <w:i/>
              </w:rPr>
              <w:t>South East</w:t>
            </w:r>
          </w:p>
          <w:p w:rsidR="00841C55" w:rsidRPr="00FE6F42" w:rsidRDefault="00841C55" w:rsidP="00841C55">
            <w:pPr>
              <w:rPr>
                <w:b/>
                <w:i/>
              </w:rPr>
            </w:pPr>
          </w:p>
        </w:tc>
        <w:tc>
          <w:tcPr>
            <w:tcW w:w="1134" w:type="dxa"/>
            <w:shd w:val="clear" w:color="auto" w:fill="CCFFCC"/>
          </w:tcPr>
          <w:p w:rsidR="00841C55" w:rsidRDefault="00841C55" w:rsidP="00841C55">
            <w:pPr>
              <w:jc w:val="center"/>
            </w:pPr>
            <w:r>
              <w:t>Office</w:t>
            </w:r>
          </w:p>
        </w:tc>
        <w:tc>
          <w:tcPr>
            <w:tcW w:w="1275" w:type="dxa"/>
            <w:shd w:val="clear" w:color="auto" w:fill="CCFFCC"/>
          </w:tcPr>
          <w:p w:rsidR="00841C55" w:rsidRDefault="00841C55" w:rsidP="00841C55">
            <w:pPr>
              <w:jc w:val="center"/>
            </w:pPr>
            <w:proofErr w:type="spellStart"/>
            <w:r>
              <w:t>Refurb</w:t>
            </w:r>
            <w:proofErr w:type="spellEnd"/>
          </w:p>
        </w:tc>
        <w:tc>
          <w:tcPr>
            <w:tcW w:w="1560" w:type="dxa"/>
            <w:shd w:val="clear" w:color="auto" w:fill="CCFFCC"/>
          </w:tcPr>
          <w:p w:rsidR="00841C55" w:rsidRDefault="00841C55" w:rsidP="00841C55">
            <w:pPr>
              <w:jc w:val="center"/>
            </w:pPr>
            <w:r>
              <w:t>Very Good</w:t>
            </w:r>
          </w:p>
        </w:tc>
        <w:tc>
          <w:tcPr>
            <w:tcW w:w="1275" w:type="dxa"/>
            <w:shd w:val="clear" w:color="auto" w:fill="CCFFCC"/>
          </w:tcPr>
          <w:p w:rsidR="00841C55" w:rsidRDefault="00841C55" w:rsidP="00841C55">
            <w:pPr>
              <w:jc w:val="center"/>
            </w:pPr>
            <w:r>
              <w:t xml:space="preserve">Whole </w:t>
            </w:r>
          </w:p>
        </w:tc>
        <w:tc>
          <w:tcPr>
            <w:tcW w:w="1702" w:type="dxa"/>
            <w:shd w:val="clear" w:color="auto" w:fill="CCFFCC"/>
          </w:tcPr>
          <w:p w:rsidR="00841C55" w:rsidRDefault="00841C55" w:rsidP="00841C55">
            <w:pPr>
              <w:jc w:val="center"/>
            </w:pPr>
            <w:r>
              <w:t>15</w:t>
            </w:r>
          </w:p>
        </w:tc>
        <w:tc>
          <w:tcPr>
            <w:tcW w:w="1276" w:type="dxa"/>
            <w:shd w:val="clear" w:color="auto" w:fill="CCFFCC"/>
          </w:tcPr>
          <w:p w:rsidR="00841C55" w:rsidRDefault="00841C55" w:rsidP="00841C55">
            <w:pPr>
              <w:jc w:val="center"/>
            </w:pPr>
            <w:r>
              <w:t>Y</w:t>
            </w:r>
          </w:p>
        </w:tc>
        <w:tc>
          <w:tcPr>
            <w:tcW w:w="1276" w:type="dxa"/>
            <w:shd w:val="clear" w:color="auto" w:fill="CCFFCC"/>
          </w:tcPr>
          <w:p w:rsidR="00841C55" w:rsidRDefault="00841C55" w:rsidP="00841C55">
            <w:pPr>
              <w:jc w:val="center"/>
            </w:pPr>
            <w:r>
              <w:t>Y</w:t>
            </w:r>
          </w:p>
        </w:tc>
      </w:tr>
      <w:tr w:rsidR="00841C55" w:rsidTr="00841C55">
        <w:trPr>
          <w:trHeight w:val="77"/>
        </w:trPr>
        <w:tc>
          <w:tcPr>
            <w:tcW w:w="534" w:type="dxa"/>
            <w:shd w:val="clear" w:color="auto" w:fill="CCFFCC"/>
          </w:tcPr>
          <w:p w:rsidR="00841C55" w:rsidRDefault="00841C55" w:rsidP="00841C55">
            <w:pPr>
              <w:jc w:val="center"/>
              <w:rPr>
                <w:b/>
                <w:i/>
              </w:rPr>
            </w:pPr>
            <w:r>
              <w:rPr>
                <w:b/>
                <w:i/>
              </w:rPr>
              <w:t>R</w:t>
            </w:r>
          </w:p>
        </w:tc>
        <w:tc>
          <w:tcPr>
            <w:tcW w:w="1984" w:type="dxa"/>
            <w:shd w:val="clear" w:color="auto" w:fill="CCFFCC"/>
          </w:tcPr>
          <w:p w:rsidR="00841C55" w:rsidRDefault="00841C55" w:rsidP="00841C55">
            <w:pPr>
              <w:jc w:val="center"/>
              <w:rPr>
                <w:b/>
                <w:i/>
              </w:rPr>
            </w:pPr>
            <w:r>
              <w:t>October 2011</w:t>
            </w:r>
          </w:p>
        </w:tc>
        <w:tc>
          <w:tcPr>
            <w:tcW w:w="1418" w:type="dxa"/>
            <w:shd w:val="clear" w:color="auto" w:fill="CCFFCC"/>
          </w:tcPr>
          <w:p w:rsidR="00841C55" w:rsidRDefault="00841C55" w:rsidP="00841C55">
            <w:pPr>
              <w:rPr>
                <w:b/>
                <w:i/>
              </w:rPr>
            </w:pPr>
            <w:r>
              <w:rPr>
                <w:b/>
                <w:i/>
              </w:rPr>
              <w:t>South East</w:t>
            </w:r>
          </w:p>
        </w:tc>
        <w:tc>
          <w:tcPr>
            <w:tcW w:w="1134" w:type="dxa"/>
            <w:shd w:val="clear" w:color="auto" w:fill="CCFFCC"/>
          </w:tcPr>
          <w:p w:rsidR="00841C55" w:rsidRDefault="00841C55" w:rsidP="00841C55">
            <w:pPr>
              <w:jc w:val="center"/>
            </w:pPr>
            <w:r>
              <w:t>Office</w:t>
            </w:r>
          </w:p>
        </w:tc>
        <w:tc>
          <w:tcPr>
            <w:tcW w:w="1275" w:type="dxa"/>
            <w:shd w:val="clear" w:color="auto" w:fill="CCFFCC"/>
          </w:tcPr>
          <w:p w:rsidR="00841C55" w:rsidRDefault="00841C55" w:rsidP="00841C55">
            <w:pPr>
              <w:jc w:val="center"/>
            </w:pPr>
            <w:proofErr w:type="spellStart"/>
            <w:r>
              <w:t>Refurb</w:t>
            </w:r>
            <w:proofErr w:type="spellEnd"/>
          </w:p>
        </w:tc>
        <w:tc>
          <w:tcPr>
            <w:tcW w:w="1560" w:type="dxa"/>
            <w:shd w:val="clear" w:color="auto" w:fill="CCFFCC"/>
          </w:tcPr>
          <w:p w:rsidR="00841C55" w:rsidRDefault="00841C55" w:rsidP="00841C55">
            <w:pPr>
              <w:jc w:val="center"/>
            </w:pPr>
            <w:r>
              <w:t>Good</w:t>
            </w:r>
          </w:p>
        </w:tc>
        <w:tc>
          <w:tcPr>
            <w:tcW w:w="1275" w:type="dxa"/>
            <w:shd w:val="clear" w:color="auto" w:fill="CCFFCC"/>
          </w:tcPr>
          <w:p w:rsidR="00841C55" w:rsidRDefault="00841C55" w:rsidP="00841C55">
            <w:pPr>
              <w:jc w:val="center"/>
            </w:pPr>
            <w:r>
              <w:t>Part</w:t>
            </w:r>
          </w:p>
        </w:tc>
        <w:tc>
          <w:tcPr>
            <w:tcW w:w="1702" w:type="dxa"/>
            <w:shd w:val="clear" w:color="auto" w:fill="CCFFCC"/>
          </w:tcPr>
          <w:p w:rsidR="00841C55" w:rsidRDefault="00841C55" w:rsidP="00841C55">
            <w:pPr>
              <w:jc w:val="center"/>
            </w:pPr>
            <w:r>
              <w:t>10, break at 5</w:t>
            </w:r>
          </w:p>
        </w:tc>
        <w:tc>
          <w:tcPr>
            <w:tcW w:w="1276" w:type="dxa"/>
            <w:shd w:val="clear" w:color="auto" w:fill="CCFFCC"/>
          </w:tcPr>
          <w:p w:rsidR="00841C55" w:rsidRDefault="00841C55" w:rsidP="00841C55">
            <w:pPr>
              <w:jc w:val="center"/>
            </w:pPr>
            <w:r>
              <w:t>Y</w:t>
            </w:r>
          </w:p>
        </w:tc>
        <w:tc>
          <w:tcPr>
            <w:tcW w:w="1276" w:type="dxa"/>
            <w:shd w:val="clear" w:color="auto" w:fill="CCFFCC"/>
          </w:tcPr>
          <w:p w:rsidR="00841C55" w:rsidRDefault="00841C55" w:rsidP="00841C55">
            <w:pPr>
              <w:jc w:val="center"/>
            </w:pPr>
            <w:r>
              <w:t>Y</w:t>
            </w:r>
          </w:p>
        </w:tc>
      </w:tr>
      <w:tr w:rsidR="00841C55" w:rsidTr="00841C55">
        <w:tc>
          <w:tcPr>
            <w:tcW w:w="534" w:type="dxa"/>
            <w:shd w:val="clear" w:color="auto" w:fill="CCFFCC"/>
          </w:tcPr>
          <w:p w:rsidR="00841C55" w:rsidRDefault="00841C55" w:rsidP="00841C55">
            <w:pPr>
              <w:jc w:val="center"/>
              <w:rPr>
                <w:b/>
                <w:i/>
              </w:rPr>
            </w:pPr>
            <w:r>
              <w:rPr>
                <w:b/>
                <w:i/>
              </w:rPr>
              <w:lastRenderedPageBreak/>
              <w:t>S</w:t>
            </w:r>
          </w:p>
        </w:tc>
        <w:tc>
          <w:tcPr>
            <w:tcW w:w="1984" w:type="dxa"/>
            <w:shd w:val="clear" w:color="auto" w:fill="CCFFCC"/>
          </w:tcPr>
          <w:p w:rsidR="00841C55" w:rsidRDefault="00841C55" w:rsidP="00841C55">
            <w:pPr>
              <w:jc w:val="center"/>
              <w:rPr>
                <w:b/>
                <w:i/>
              </w:rPr>
            </w:pPr>
            <w:r>
              <w:t>June 2010</w:t>
            </w:r>
          </w:p>
        </w:tc>
        <w:tc>
          <w:tcPr>
            <w:tcW w:w="1418" w:type="dxa"/>
            <w:shd w:val="clear" w:color="auto" w:fill="CCFFCC"/>
          </w:tcPr>
          <w:p w:rsidR="00841C55" w:rsidRDefault="00841C55" w:rsidP="00841C55">
            <w:pPr>
              <w:rPr>
                <w:b/>
                <w:i/>
              </w:rPr>
            </w:pPr>
            <w:r>
              <w:rPr>
                <w:b/>
                <w:i/>
              </w:rPr>
              <w:t>London</w:t>
            </w:r>
          </w:p>
          <w:p w:rsidR="00841C55" w:rsidRDefault="00841C55" w:rsidP="00841C55">
            <w:pPr>
              <w:rPr>
                <w:b/>
                <w:i/>
              </w:rPr>
            </w:pPr>
          </w:p>
        </w:tc>
        <w:tc>
          <w:tcPr>
            <w:tcW w:w="1134" w:type="dxa"/>
            <w:shd w:val="clear" w:color="auto" w:fill="CCFFCC"/>
          </w:tcPr>
          <w:p w:rsidR="00841C55" w:rsidRDefault="00841C55" w:rsidP="00841C55">
            <w:pPr>
              <w:jc w:val="center"/>
            </w:pPr>
            <w:r>
              <w:t>Office</w:t>
            </w:r>
          </w:p>
        </w:tc>
        <w:tc>
          <w:tcPr>
            <w:tcW w:w="1275" w:type="dxa"/>
            <w:shd w:val="clear" w:color="auto" w:fill="CCFFCC"/>
          </w:tcPr>
          <w:p w:rsidR="00841C55" w:rsidRDefault="00841C55" w:rsidP="00841C55">
            <w:pPr>
              <w:jc w:val="center"/>
            </w:pPr>
            <w:proofErr w:type="spellStart"/>
            <w:r>
              <w:t>Refurb</w:t>
            </w:r>
            <w:proofErr w:type="spellEnd"/>
          </w:p>
        </w:tc>
        <w:tc>
          <w:tcPr>
            <w:tcW w:w="1560" w:type="dxa"/>
            <w:shd w:val="clear" w:color="auto" w:fill="CCFFCC"/>
          </w:tcPr>
          <w:p w:rsidR="00841C55" w:rsidRDefault="00841C55" w:rsidP="00841C55">
            <w:pPr>
              <w:jc w:val="center"/>
            </w:pPr>
            <w:r>
              <w:t>Very Good</w:t>
            </w:r>
          </w:p>
        </w:tc>
        <w:tc>
          <w:tcPr>
            <w:tcW w:w="1275" w:type="dxa"/>
            <w:shd w:val="clear" w:color="auto" w:fill="CCFFCC"/>
          </w:tcPr>
          <w:p w:rsidR="00841C55" w:rsidRDefault="00841C55" w:rsidP="00841C55">
            <w:pPr>
              <w:jc w:val="center"/>
            </w:pPr>
            <w:r>
              <w:t>Part</w:t>
            </w:r>
          </w:p>
        </w:tc>
        <w:tc>
          <w:tcPr>
            <w:tcW w:w="1702" w:type="dxa"/>
            <w:shd w:val="clear" w:color="auto" w:fill="CCFFCC"/>
          </w:tcPr>
          <w:p w:rsidR="00841C55" w:rsidRDefault="00841C55" w:rsidP="00841C55">
            <w:pPr>
              <w:jc w:val="center"/>
            </w:pPr>
            <w:r>
              <w:t>11.25</w:t>
            </w:r>
          </w:p>
        </w:tc>
        <w:tc>
          <w:tcPr>
            <w:tcW w:w="1276" w:type="dxa"/>
            <w:shd w:val="clear" w:color="auto" w:fill="CCFFCC"/>
          </w:tcPr>
          <w:p w:rsidR="00841C55" w:rsidRDefault="00841C55" w:rsidP="00841C55">
            <w:pPr>
              <w:jc w:val="center"/>
            </w:pPr>
            <w:r>
              <w:t>Y</w:t>
            </w:r>
          </w:p>
        </w:tc>
        <w:tc>
          <w:tcPr>
            <w:tcW w:w="1276" w:type="dxa"/>
            <w:shd w:val="clear" w:color="auto" w:fill="CCFFCC"/>
          </w:tcPr>
          <w:p w:rsidR="00841C55" w:rsidRDefault="00841C55" w:rsidP="00841C55">
            <w:pPr>
              <w:jc w:val="center"/>
            </w:pPr>
            <w:r>
              <w:t>N</w:t>
            </w:r>
          </w:p>
        </w:tc>
      </w:tr>
      <w:tr w:rsidR="00841C55" w:rsidTr="00841C55">
        <w:tc>
          <w:tcPr>
            <w:tcW w:w="534" w:type="dxa"/>
            <w:shd w:val="clear" w:color="auto" w:fill="CCFFCC"/>
          </w:tcPr>
          <w:p w:rsidR="00841C55" w:rsidRDefault="00841C55" w:rsidP="00841C55">
            <w:pPr>
              <w:jc w:val="center"/>
              <w:rPr>
                <w:b/>
                <w:i/>
              </w:rPr>
            </w:pPr>
            <w:r>
              <w:rPr>
                <w:b/>
                <w:i/>
              </w:rPr>
              <w:t>T</w:t>
            </w:r>
          </w:p>
        </w:tc>
        <w:tc>
          <w:tcPr>
            <w:tcW w:w="1984" w:type="dxa"/>
            <w:shd w:val="clear" w:color="auto" w:fill="CCFFCC"/>
          </w:tcPr>
          <w:p w:rsidR="00841C55" w:rsidRDefault="00841C55" w:rsidP="00841C55">
            <w:pPr>
              <w:jc w:val="center"/>
              <w:rPr>
                <w:b/>
                <w:i/>
              </w:rPr>
            </w:pPr>
            <w:r>
              <w:t>July 2012</w:t>
            </w:r>
          </w:p>
        </w:tc>
        <w:tc>
          <w:tcPr>
            <w:tcW w:w="1418" w:type="dxa"/>
            <w:shd w:val="clear" w:color="auto" w:fill="CCFFCC"/>
          </w:tcPr>
          <w:p w:rsidR="00841C55" w:rsidRDefault="00841C55" w:rsidP="00841C55">
            <w:pPr>
              <w:rPr>
                <w:b/>
                <w:i/>
              </w:rPr>
            </w:pPr>
            <w:r>
              <w:rPr>
                <w:b/>
                <w:i/>
              </w:rPr>
              <w:t>London</w:t>
            </w:r>
          </w:p>
          <w:p w:rsidR="00841C55" w:rsidRDefault="00841C55" w:rsidP="00841C55">
            <w:pPr>
              <w:rPr>
                <w:b/>
                <w:i/>
              </w:rPr>
            </w:pPr>
          </w:p>
        </w:tc>
        <w:tc>
          <w:tcPr>
            <w:tcW w:w="1134" w:type="dxa"/>
            <w:shd w:val="clear" w:color="auto" w:fill="CCFFCC"/>
          </w:tcPr>
          <w:p w:rsidR="00841C55" w:rsidRDefault="00841C55" w:rsidP="00841C55">
            <w:pPr>
              <w:jc w:val="center"/>
            </w:pPr>
            <w:r>
              <w:t>Office</w:t>
            </w:r>
          </w:p>
        </w:tc>
        <w:tc>
          <w:tcPr>
            <w:tcW w:w="1275" w:type="dxa"/>
            <w:shd w:val="clear" w:color="auto" w:fill="CCFFCC"/>
          </w:tcPr>
          <w:p w:rsidR="00841C55" w:rsidRDefault="00841C55" w:rsidP="00841C55">
            <w:pPr>
              <w:jc w:val="center"/>
            </w:pPr>
            <w:proofErr w:type="spellStart"/>
            <w:r>
              <w:t>Refurb</w:t>
            </w:r>
            <w:proofErr w:type="spellEnd"/>
          </w:p>
        </w:tc>
        <w:tc>
          <w:tcPr>
            <w:tcW w:w="1560" w:type="dxa"/>
            <w:shd w:val="clear" w:color="auto" w:fill="CCFFCC"/>
          </w:tcPr>
          <w:p w:rsidR="00841C55" w:rsidRDefault="00841C55" w:rsidP="00841C55">
            <w:pPr>
              <w:jc w:val="center"/>
            </w:pPr>
            <w:r>
              <w:t>Excellent</w:t>
            </w:r>
          </w:p>
        </w:tc>
        <w:tc>
          <w:tcPr>
            <w:tcW w:w="1275" w:type="dxa"/>
            <w:shd w:val="clear" w:color="auto" w:fill="CCFFCC"/>
          </w:tcPr>
          <w:p w:rsidR="00841C55" w:rsidRDefault="00841C55" w:rsidP="00841C55">
            <w:pPr>
              <w:jc w:val="center"/>
            </w:pPr>
            <w:r>
              <w:t>Part</w:t>
            </w:r>
          </w:p>
        </w:tc>
        <w:tc>
          <w:tcPr>
            <w:tcW w:w="1702" w:type="dxa"/>
            <w:shd w:val="clear" w:color="auto" w:fill="CCFFCC"/>
          </w:tcPr>
          <w:p w:rsidR="00841C55" w:rsidRDefault="00841C55" w:rsidP="00841C55">
            <w:pPr>
              <w:jc w:val="center"/>
            </w:pPr>
            <w:r>
              <w:t>15.5</w:t>
            </w:r>
          </w:p>
        </w:tc>
        <w:tc>
          <w:tcPr>
            <w:tcW w:w="1276" w:type="dxa"/>
            <w:shd w:val="clear" w:color="auto" w:fill="CCFFCC"/>
          </w:tcPr>
          <w:p w:rsidR="00841C55" w:rsidRDefault="00841C55" w:rsidP="00841C55">
            <w:pPr>
              <w:jc w:val="center"/>
            </w:pPr>
            <w:r>
              <w:t>Y</w:t>
            </w:r>
          </w:p>
        </w:tc>
        <w:tc>
          <w:tcPr>
            <w:tcW w:w="1276" w:type="dxa"/>
            <w:shd w:val="clear" w:color="auto" w:fill="CCFFCC"/>
          </w:tcPr>
          <w:p w:rsidR="00841C55" w:rsidRDefault="00841C55" w:rsidP="00841C55">
            <w:pPr>
              <w:jc w:val="center"/>
            </w:pPr>
            <w:r>
              <w:t>Y</w:t>
            </w:r>
          </w:p>
        </w:tc>
      </w:tr>
      <w:tr w:rsidR="00841C55" w:rsidTr="00841C55">
        <w:tc>
          <w:tcPr>
            <w:tcW w:w="534" w:type="dxa"/>
            <w:shd w:val="clear" w:color="auto" w:fill="CCFFCC"/>
          </w:tcPr>
          <w:p w:rsidR="00841C55" w:rsidRDefault="00841C55" w:rsidP="00841C55">
            <w:pPr>
              <w:jc w:val="center"/>
              <w:rPr>
                <w:b/>
                <w:i/>
              </w:rPr>
            </w:pPr>
            <w:r>
              <w:rPr>
                <w:b/>
                <w:i/>
              </w:rPr>
              <w:t>U</w:t>
            </w:r>
          </w:p>
        </w:tc>
        <w:tc>
          <w:tcPr>
            <w:tcW w:w="1984" w:type="dxa"/>
            <w:shd w:val="clear" w:color="auto" w:fill="CCFFCC"/>
          </w:tcPr>
          <w:p w:rsidR="00841C55" w:rsidRDefault="00841C55" w:rsidP="00841C55">
            <w:pPr>
              <w:jc w:val="center"/>
              <w:rPr>
                <w:b/>
                <w:i/>
              </w:rPr>
            </w:pPr>
            <w:r>
              <w:t>February 2011</w:t>
            </w:r>
          </w:p>
        </w:tc>
        <w:tc>
          <w:tcPr>
            <w:tcW w:w="1418" w:type="dxa"/>
            <w:shd w:val="clear" w:color="auto" w:fill="CCFFCC"/>
          </w:tcPr>
          <w:p w:rsidR="00841C55" w:rsidRDefault="00841C55" w:rsidP="00841C55">
            <w:pPr>
              <w:rPr>
                <w:b/>
                <w:i/>
              </w:rPr>
            </w:pPr>
            <w:r>
              <w:rPr>
                <w:b/>
                <w:i/>
              </w:rPr>
              <w:t>London</w:t>
            </w:r>
          </w:p>
          <w:p w:rsidR="00841C55" w:rsidRDefault="00841C55" w:rsidP="00841C55">
            <w:pPr>
              <w:rPr>
                <w:b/>
                <w:i/>
              </w:rPr>
            </w:pPr>
          </w:p>
        </w:tc>
        <w:tc>
          <w:tcPr>
            <w:tcW w:w="1134" w:type="dxa"/>
            <w:shd w:val="clear" w:color="auto" w:fill="CCFFCC"/>
          </w:tcPr>
          <w:p w:rsidR="00841C55" w:rsidRDefault="00841C55" w:rsidP="00841C55">
            <w:pPr>
              <w:jc w:val="center"/>
            </w:pPr>
            <w:r>
              <w:t>Office</w:t>
            </w:r>
          </w:p>
        </w:tc>
        <w:tc>
          <w:tcPr>
            <w:tcW w:w="1275" w:type="dxa"/>
            <w:shd w:val="clear" w:color="auto" w:fill="CCFFCC"/>
          </w:tcPr>
          <w:p w:rsidR="00841C55" w:rsidRDefault="00841C55" w:rsidP="00841C55">
            <w:pPr>
              <w:jc w:val="center"/>
            </w:pPr>
            <w:proofErr w:type="spellStart"/>
            <w:r>
              <w:t>Refurb</w:t>
            </w:r>
            <w:proofErr w:type="spellEnd"/>
          </w:p>
        </w:tc>
        <w:tc>
          <w:tcPr>
            <w:tcW w:w="1560" w:type="dxa"/>
            <w:shd w:val="clear" w:color="auto" w:fill="CCFFCC"/>
          </w:tcPr>
          <w:p w:rsidR="00841C55" w:rsidRDefault="00841C55" w:rsidP="00841C55">
            <w:pPr>
              <w:jc w:val="center"/>
            </w:pPr>
            <w:r>
              <w:t>Excellent</w:t>
            </w:r>
          </w:p>
        </w:tc>
        <w:tc>
          <w:tcPr>
            <w:tcW w:w="1275" w:type="dxa"/>
            <w:shd w:val="clear" w:color="auto" w:fill="CCFFCC"/>
          </w:tcPr>
          <w:p w:rsidR="00841C55" w:rsidRDefault="00841C55" w:rsidP="00841C55">
            <w:pPr>
              <w:jc w:val="center"/>
            </w:pPr>
            <w:r>
              <w:t>Part</w:t>
            </w:r>
          </w:p>
        </w:tc>
        <w:tc>
          <w:tcPr>
            <w:tcW w:w="1702" w:type="dxa"/>
            <w:shd w:val="clear" w:color="auto" w:fill="CCFFCC"/>
          </w:tcPr>
          <w:p w:rsidR="00841C55" w:rsidRDefault="00841C55" w:rsidP="00841C55">
            <w:pPr>
              <w:jc w:val="center"/>
            </w:pPr>
            <w:r>
              <w:t>10, break at 5</w:t>
            </w:r>
          </w:p>
        </w:tc>
        <w:tc>
          <w:tcPr>
            <w:tcW w:w="1276" w:type="dxa"/>
            <w:shd w:val="clear" w:color="auto" w:fill="CCFFCC"/>
          </w:tcPr>
          <w:p w:rsidR="00841C55" w:rsidRDefault="00841C55" w:rsidP="00841C55">
            <w:pPr>
              <w:jc w:val="center"/>
            </w:pPr>
            <w:r>
              <w:t>N</w:t>
            </w:r>
          </w:p>
        </w:tc>
        <w:tc>
          <w:tcPr>
            <w:tcW w:w="1276" w:type="dxa"/>
            <w:shd w:val="clear" w:color="auto" w:fill="CCFFCC"/>
          </w:tcPr>
          <w:p w:rsidR="00841C55" w:rsidRDefault="00841C55" w:rsidP="00841C55">
            <w:pPr>
              <w:jc w:val="center"/>
            </w:pPr>
            <w:r>
              <w:t>Y</w:t>
            </w:r>
          </w:p>
        </w:tc>
      </w:tr>
      <w:tr w:rsidR="00841C55" w:rsidTr="00841C55">
        <w:trPr>
          <w:trHeight w:val="621"/>
        </w:trPr>
        <w:tc>
          <w:tcPr>
            <w:tcW w:w="534" w:type="dxa"/>
            <w:shd w:val="clear" w:color="auto" w:fill="auto"/>
          </w:tcPr>
          <w:p w:rsidR="00841C55" w:rsidRDefault="00841C55" w:rsidP="00841C55">
            <w:pPr>
              <w:jc w:val="center"/>
              <w:rPr>
                <w:b/>
                <w:i/>
              </w:rPr>
            </w:pPr>
            <w:r>
              <w:rPr>
                <w:b/>
                <w:i/>
              </w:rPr>
              <w:t>V</w:t>
            </w:r>
          </w:p>
          <w:p w:rsidR="00841C55" w:rsidRDefault="00841C55" w:rsidP="00841C55">
            <w:pPr>
              <w:jc w:val="center"/>
              <w:rPr>
                <w:b/>
                <w:i/>
              </w:rPr>
            </w:pPr>
            <w:r>
              <w:rPr>
                <w:b/>
                <w:i/>
              </w:rPr>
              <w:t>§</w:t>
            </w:r>
          </w:p>
        </w:tc>
        <w:tc>
          <w:tcPr>
            <w:tcW w:w="1984" w:type="dxa"/>
          </w:tcPr>
          <w:p w:rsidR="00841C55" w:rsidRDefault="00841C55" w:rsidP="00841C55">
            <w:pPr>
              <w:jc w:val="center"/>
              <w:rPr>
                <w:b/>
                <w:i/>
              </w:rPr>
            </w:pPr>
            <w:r>
              <w:t>July 2010</w:t>
            </w:r>
          </w:p>
        </w:tc>
        <w:tc>
          <w:tcPr>
            <w:tcW w:w="1418" w:type="dxa"/>
            <w:shd w:val="clear" w:color="auto" w:fill="auto"/>
          </w:tcPr>
          <w:p w:rsidR="00841C55" w:rsidRDefault="00841C55" w:rsidP="00841C55">
            <w:pPr>
              <w:rPr>
                <w:b/>
                <w:i/>
              </w:rPr>
            </w:pPr>
            <w:r>
              <w:rPr>
                <w:b/>
                <w:i/>
              </w:rPr>
              <w:t>Wales</w:t>
            </w:r>
          </w:p>
          <w:p w:rsidR="00841C55" w:rsidRDefault="00841C55" w:rsidP="00841C55">
            <w:pPr>
              <w:rPr>
                <w:b/>
                <w:i/>
              </w:rPr>
            </w:pPr>
          </w:p>
        </w:tc>
        <w:tc>
          <w:tcPr>
            <w:tcW w:w="1134" w:type="dxa"/>
            <w:shd w:val="clear" w:color="auto" w:fill="auto"/>
          </w:tcPr>
          <w:p w:rsidR="00841C55" w:rsidRDefault="00841C55" w:rsidP="00841C55">
            <w:pPr>
              <w:jc w:val="center"/>
            </w:pPr>
            <w:r>
              <w:t>Retail</w:t>
            </w:r>
          </w:p>
        </w:tc>
        <w:tc>
          <w:tcPr>
            <w:tcW w:w="1275" w:type="dxa"/>
            <w:shd w:val="clear" w:color="auto" w:fill="auto"/>
          </w:tcPr>
          <w:p w:rsidR="00841C55" w:rsidRDefault="00841C55" w:rsidP="00841C55">
            <w:pPr>
              <w:jc w:val="center"/>
            </w:pPr>
            <w:proofErr w:type="spellStart"/>
            <w:r>
              <w:t>Refurb</w:t>
            </w:r>
            <w:proofErr w:type="spellEnd"/>
          </w:p>
        </w:tc>
        <w:tc>
          <w:tcPr>
            <w:tcW w:w="1560" w:type="dxa"/>
            <w:shd w:val="clear" w:color="auto" w:fill="auto"/>
          </w:tcPr>
          <w:p w:rsidR="00841C55" w:rsidRDefault="00841C55" w:rsidP="00841C55">
            <w:pPr>
              <w:jc w:val="center"/>
            </w:pPr>
            <w:r>
              <w:t>Excellent</w:t>
            </w:r>
          </w:p>
        </w:tc>
        <w:tc>
          <w:tcPr>
            <w:tcW w:w="1275" w:type="dxa"/>
          </w:tcPr>
          <w:p w:rsidR="00841C55" w:rsidRDefault="00841C55" w:rsidP="00841C55">
            <w:pPr>
              <w:jc w:val="center"/>
            </w:pPr>
            <w:r>
              <w:t>Part</w:t>
            </w:r>
          </w:p>
        </w:tc>
        <w:tc>
          <w:tcPr>
            <w:tcW w:w="1702" w:type="dxa"/>
          </w:tcPr>
          <w:p w:rsidR="00841C55" w:rsidRDefault="00841C55" w:rsidP="00841C55">
            <w:pPr>
              <w:jc w:val="center"/>
            </w:pPr>
            <w:r>
              <w:t>25, break at 20</w:t>
            </w:r>
          </w:p>
        </w:tc>
        <w:tc>
          <w:tcPr>
            <w:tcW w:w="1276" w:type="dxa"/>
          </w:tcPr>
          <w:p w:rsidR="00841C55" w:rsidRDefault="00841C55" w:rsidP="00841C55">
            <w:pPr>
              <w:jc w:val="center"/>
            </w:pPr>
            <w:r>
              <w:t>N</w:t>
            </w:r>
          </w:p>
        </w:tc>
        <w:tc>
          <w:tcPr>
            <w:tcW w:w="1276" w:type="dxa"/>
          </w:tcPr>
          <w:p w:rsidR="00841C55" w:rsidRDefault="00841C55" w:rsidP="00841C55">
            <w:pPr>
              <w:jc w:val="center"/>
            </w:pPr>
            <w:r>
              <w:t>N</w:t>
            </w:r>
          </w:p>
        </w:tc>
      </w:tr>
      <w:tr w:rsidR="00841C55" w:rsidTr="00841C55">
        <w:tc>
          <w:tcPr>
            <w:tcW w:w="534" w:type="dxa"/>
            <w:tcBorders>
              <w:bottom w:val="single" w:sz="4" w:space="0" w:color="auto"/>
            </w:tcBorders>
            <w:shd w:val="clear" w:color="auto" w:fill="FFFFFF" w:themeFill="background1"/>
          </w:tcPr>
          <w:p w:rsidR="00841C55" w:rsidRDefault="00841C55" w:rsidP="00841C55">
            <w:pPr>
              <w:jc w:val="center"/>
              <w:rPr>
                <w:b/>
                <w:i/>
              </w:rPr>
            </w:pPr>
            <w:r>
              <w:rPr>
                <w:b/>
                <w:i/>
              </w:rPr>
              <w:t>W</w:t>
            </w:r>
          </w:p>
          <w:p w:rsidR="00841C55" w:rsidRDefault="00841C55" w:rsidP="00841C55">
            <w:pPr>
              <w:jc w:val="center"/>
              <w:rPr>
                <w:b/>
                <w:i/>
              </w:rPr>
            </w:pPr>
            <w:r>
              <w:rPr>
                <w:b/>
                <w:i/>
              </w:rPr>
              <w:t>§</w:t>
            </w:r>
          </w:p>
        </w:tc>
        <w:tc>
          <w:tcPr>
            <w:tcW w:w="1984" w:type="dxa"/>
            <w:tcBorders>
              <w:bottom w:val="single" w:sz="4" w:space="0" w:color="auto"/>
            </w:tcBorders>
          </w:tcPr>
          <w:p w:rsidR="00841C55" w:rsidRDefault="00841C55" w:rsidP="00841C55">
            <w:pPr>
              <w:jc w:val="center"/>
              <w:rPr>
                <w:b/>
                <w:i/>
              </w:rPr>
            </w:pPr>
            <w:r>
              <w:t>December 2012</w:t>
            </w:r>
          </w:p>
        </w:tc>
        <w:tc>
          <w:tcPr>
            <w:tcW w:w="1418" w:type="dxa"/>
            <w:tcBorders>
              <w:bottom w:val="single" w:sz="4" w:space="0" w:color="auto"/>
            </w:tcBorders>
            <w:shd w:val="clear" w:color="auto" w:fill="auto"/>
          </w:tcPr>
          <w:p w:rsidR="00841C55" w:rsidRDefault="00841C55" w:rsidP="00841C55">
            <w:pPr>
              <w:rPr>
                <w:b/>
                <w:i/>
              </w:rPr>
            </w:pPr>
            <w:r>
              <w:rPr>
                <w:b/>
                <w:i/>
              </w:rPr>
              <w:t>East Midlands</w:t>
            </w:r>
          </w:p>
        </w:tc>
        <w:tc>
          <w:tcPr>
            <w:tcW w:w="1134" w:type="dxa"/>
            <w:tcBorders>
              <w:bottom w:val="single" w:sz="4" w:space="0" w:color="auto"/>
            </w:tcBorders>
            <w:shd w:val="clear" w:color="auto" w:fill="auto"/>
          </w:tcPr>
          <w:p w:rsidR="00841C55" w:rsidRDefault="00841C55" w:rsidP="00841C55">
            <w:pPr>
              <w:jc w:val="center"/>
            </w:pPr>
            <w:r>
              <w:t>Retail</w:t>
            </w:r>
          </w:p>
        </w:tc>
        <w:tc>
          <w:tcPr>
            <w:tcW w:w="1275" w:type="dxa"/>
            <w:tcBorders>
              <w:bottom w:val="single" w:sz="4" w:space="0" w:color="auto"/>
            </w:tcBorders>
            <w:shd w:val="clear" w:color="auto" w:fill="auto"/>
          </w:tcPr>
          <w:p w:rsidR="00841C55" w:rsidRDefault="00841C55" w:rsidP="00841C55">
            <w:pPr>
              <w:jc w:val="center"/>
            </w:pPr>
            <w:proofErr w:type="spellStart"/>
            <w:r>
              <w:t>Refurb</w:t>
            </w:r>
            <w:proofErr w:type="spellEnd"/>
          </w:p>
        </w:tc>
        <w:tc>
          <w:tcPr>
            <w:tcW w:w="1560" w:type="dxa"/>
            <w:tcBorders>
              <w:bottom w:val="single" w:sz="4" w:space="0" w:color="auto"/>
            </w:tcBorders>
            <w:shd w:val="clear" w:color="auto" w:fill="auto"/>
          </w:tcPr>
          <w:p w:rsidR="00841C55" w:rsidRDefault="00841C55" w:rsidP="00841C55">
            <w:pPr>
              <w:jc w:val="center"/>
            </w:pPr>
            <w:r>
              <w:t>Very Good</w:t>
            </w:r>
          </w:p>
        </w:tc>
        <w:tc>
          <w:tcPr>
            <w:tcW w:w="1275" w:type="dxa"/>
            <w:tcBorders>
              <w:bottom w:val="single" w:sz="4" w:space="0" w:color="auto"/>
            </w:tcBorders>
          </w:tcPr>
          <w:p w:rsidR="00841C55" w:rsidRDefault="00841C55" w:rsidP="00841C55">
            <w:pPr>
              <w:jc w:val="center"/>
            </w:pPr>
            <w:r>
              <w:t>Part</w:t>
            </w:r>
          </w:p>
        </w:tc>
        <w:tc>
          <w:tcPr>
            <w:tcW w:w="1702" w:type="dxa"/>
            <w:tcBorders>
              <w:bottom w:val="single" w:sz="4" w:space="0" w:color="auto"/>
            </w:tcBorders>
          </w:tcPr>
          <w:p w:rsidR="00841C55" w:rsidRDefault="00841C55" w:rsidP="00841C55">
            <w:pPr>
              <w:jc w:val="center"/>
            </w:pPr>
            <w:r>
              <w:t>15</w:t>
            </w:r>
          </w:p>
        </w:tc>
        <w:tc>
          <w:tcPr>
            <w:tcW w:w="1276" w:type="dxa"/>
            <w:tcBorders>
              <w:bottom w:val="single" w:sz="4" w:space="0" w:color="auto"/>
            </w:tcBorders>
          </w:tcPr>
          <w:p w:rsidR="00841C55" w:rsidRDefault="00841C55" w:rsidP="00841C55">
            <w:pPr>
              <w:jc w:val="center"/>
            </w:pPr>
            <w:r>
              <w:t>N</w:t>
            </w:r>
          </w:p>
        </w:tc>
        <w:tc>
          <w:tcPr>
            <w:tcW w:w="1276" w:type="dxa"/>
            <w:tcBorders>
              <w:bottom w:val="single" w:sz="4" w:space="0" w:color="auto"/>
            </w:tcBorders>
          </w:tcPr>
          <w:p w:rsidR="00841C55" w:rsidRDefault="00841C55" w:rsidP="00841C55">
            <w:pPr>
              <w:jc w:val="center"/>
            </w:pPr>
            <w:r>
              <w:t>N</w:t>
            </w:r>
          </w:p>
        </w:tc>
      </w:tr>
      <w:tr w:rsidR="00841C55" w:rsidTr="00841C55">
        <w:tc>
          <w:tcPr>
            <w:tcW w:w="534" w:type="dxa"/>
            <w:shd w:val="clear" w:color="auto" w:fill="CCFFCC"/>
          </w:tcPr>
          <w:p w:rsidR="00841C55" w:rsidRDefault="00841C55" w:rsidP="00841C55">
            <w:pPr>
              <w:jc w:val="center"/>
              <w:rPr>
                <w:b/>
                <w:i/>
              </w:rPr>
            </w:pPr>
            <w:r>
              <w:rPr>
                <w:b/>
                <w:i/>
              </w:rPr>
              <w:t>X</w:t>
            </w:r>
          </w:p>
          <w:p w:rsidR="00841C55" w:rsidRDefault="00841C55" w:rsidP="00841C55">
            <w:pPr>
              <w:jc w:val="center"/>
              <w:rPr>
                <w:b/>
                <w:i/>
              </w:rPr>
            </w:pPr>
            <w:r>
              <w:rPr>
                <w:b/>
                <w:i/>
              </w:rPr>
              <w:t>§</w:t>
            </w:r>
          </w:p>
        </w:tc>
        <w:tc>
          <w:tcPr>
            <w:tcW w:w="1984" w:type="dxa"/>
            <w:shd w:val="clear" w:color="auto" w:fill="CCFFCC"/>
          </w:tcPr>
          <w:p w:rsidR="00841C55" w:rsidRDefault="00841C55" w:rsidP="00841C55">
            <w:pPr>
              <w:jc w:val="center"/>
              <w:rPr>
                <w:b/>
                <w:i/>
              </w:rPr>
            </w:pPr>
            <w:r>
              <w:t>January 2012</w:t>
            </w:r>
          </w:p>
        </w:tc>
        <w:tc>
          <w:tcPr>
            <w:tcW w:w="1418" w:type="dxa"/>
            <w:shd w:val="clear" w:color="auto" w:fill="CCFFCC"/>
          </w:tcPr>
          <w:p w:rsidR="00841C55" w:rsidRDefault="00841C55" w:rsidP="00841C55">
            <w:pPr>
              <w:rPr>
                <w:b/>
                <w:i/>
              </w:rPr>
            </w:pPr>
            <w:r>
              <w:rPr>
                <w:b/>
                <w:i/>
              </w:rPr>
              <w:t>North East</w:t>
            </w:r>
          </w:p>
        </w:tc>
        <w:tc>
          <w:tcPr>
            <w:tcW w:w="1134" w:type="dxa"/>
            <w:shd w:val="clear" w:color="auto" w:fill="CCFFCC"/>
          </w:tcPr>
          <w:p w:rsidR="00841C55" w:rsidRDefault="00841C55" w:rsidP="00841C55">
            <w:pPr>
              <w:jc w:val="center"/>
            </w:pPr>
            <w:r>
              <w:t>Retail</w:t>
            </w:r>
          </w:p>
        </w:tc>
        <w:tc>
          <w:tcPr>
            <w:tcW w:w="1275" w:type="dxa"/>
            <w:shd w:val="clear" w:color="auto" w:fill="CCFFCC"/>
          </w:tcPr>
          <w:p w:rsidR="00841C55" w:rsidRDefault="00841C55" w:rsidP="00841C55">
            <w:pPr>
              <w:jc w:val="center"/>
            </w:pPr>
            <w:r>
              <w:t>New</w:t>
            </w:r>
          </w:p>
        </w:tc>
        <w:tc>
          <w:tcPr>
            <w:tcW w:w="1560" w:type="dxa"/>
            <w:shd w:val="clear" w:color="auto" w:fill="CCFFCC"/>
          </w:tcPr>
          <w:p w:rsidR="00841C55" w:rsidRDefault="00841C55" w:rsidP="00841C55">
            <w:pPr>
              <w:jc w:val="center"/>
            </w:pPr>
            <w:r>
              <w:t>Unknown</w:t>
            </w:r>
          </w:p>
        </w:tc>
        <w:tc>
          <w:tcPr>
            <w:tcW w:w="1275" w:type="dxa"/>
            <w:shd w:val="clear" w:color="auto" w:fill="CCFFCC"/>
          </w:tcPr>
          <w:p w:rsidR="00841C55" w:rsidRPr="002A2BBA" w:rsidRDefault="00841C55" w:rsidP="00841C55">
            <w:pPr>
              <w:jc w:val="center"/>
            </w:pPr>
            <w:r>
              <w:t>Part</w:t>
            </w:r>
          </w:p>
          <w:p w:rsidR="00841C55" w:rsidRDefault="00841C55" w:rsidP="00841C55">
            <w:pPr>
              <w:jc w:val="center"/>
            </w:pPr>
          </w:p>
        </w:tc>
        <w:tc>
          <w:tcPr>
            <w:tcW w:w="1702" w:type="dxa"/>
            <w:shd w:val="clear" w:color="auto" w:fill="CCFFCC"/>
          </w:tcPr>
          <w:p w:rsidR="00841C55" w:rsidRDefault="00841C55" w:rsidP="00841C55">
            <w:pPr>
              <w:jc w:val="center"/>
            </w:pPr>
            <w:r>
              <w:t>25.5, break at 15.5</w:t>
            </w:r>
          </w:p>
        </w:tc>
        <w:tc>
          <w:tcPr>
            <w:tcW w:w="1276" w:type="dxa"/>
            <w:shd w:val="clear" w:color="auto" w:fill="CCFFCC"/>
          </w:tcPr>
          <w:p w:rsidR="00841C55" w:rsidRDefault="00841C55" w:rsidP="00841C55">
            <w:pPr>
              <w:jc w:val="center"/>
            </w:pPr>
            <w:r>
              <w:t>N</w:t>
            </w:r>
          </w:p>
        </w:tc>
        <w:tc>
          <w:tcPr>
            <w:tcW w:w="1276" w:type="dxa"/>
            <w:shd w:val="clear" w:color="auto" w:fill="CCFFCC"/>
          </w:tcPr>
          <w:p w:rsidR="00841C55" w:rsidRDefault="00841C55" w:rsidP="00841C55">
            <w:pPr>
              <w:jc w:val="center"/>
            </w:pPr>
            <w:r>
              <w:t>Y</w:t>
            </w:r>
          </w:p>
        </w:tc>
      </w:tr>
      <w:tr w:rsidR="00841C55" w:rsidTr="00841C55">
        <w:tc>
          <w:tcPr>
            <w:tcW w:w="534" w:type="dxa"/>
            <w:shd w:val="clear" w:color="auto" w:fill="CCFFCC"/>
          </w:tcPr>
          <w:p w:rsidR="00841C55" w:rsidRDefault="00841C55" w:rsidP="00841C55">
            <w:pPr>
              <w:jc w:val="center"/>
              <w:rPr>
                <w:b/>
                <w:i/>
              </w:rPr>
            </w:pPr>
            <w:r>
              <w:rPr>
                <w:b/>
                <w:i/>
              </w:rPr>
              <w:t>Y</w:t>
            </w:r>
          </w:p>
          <w:p w:rsidR="00841C55" w:rsidRDefault="00841C55" w:rsidP="00841C55">
            <w:pPr>
              <w:jc w:val="center"/>
              <w:rPr>
                <w:b/>
                <w:i/>
              </w:rPr>
            </w:pPr>
            <w:r>
              <w:rPr>
                <w:b/>
                <w:i/>
              </w:rPr>
              <w:t>§</w:t>
            </w:r>
          </w:p>
        </w:tc>
        <w:tc>
          <w:tcPr>
            <w:tcW w:w="1984" w:type="dxa"/>
            <w:shd w:val="clear" w:color="auto" w:fill="CCFFCC"/>
          </w:tcPr>
          <w:p w:rsidR="00841C55" w:rsidRDefault="00841C55" w:rsidP="00841C55">
            <w:pPr>
              <w:jc w:val="center"/>
              <w:rPr>
                <w:b/>
                <w:i/>
              </w:rPr>
            </w:pPr>
            <w:r>
              <w:t>August  2010</w:t>
            </w:r>
          </w:p>
        </w:tc>
        <w:tc>
          <w:tcPr>
            <w:tcW w:w="1418" w:type="dxa"/>
            <w:shd w:val="clear" w:color="auto" w:fill="CCFFCC"/>
          </w:tcPr>
          <w:p w:rsidR="00841C55" w:rsidRDefault="00841C55" w:rsidP="00841C55">
            <w:pPr>
              <w:rPr>
                <w:b/>
                <w:i/>
              </w:rPr>
            </w:pPr>
            <w:r>
              <w:rPr>
                <w:b/>
                <w:i/>
              </w:rPr>
              <w:t>South East</w:t>
            </w:r>
          </w:p>
        </w:tc>
        <w:tc>
          <w:tcPr>
            <w:tcW w:w="1134" w:type="dxa"/>
            <w:shd w:val="clear" w:color="auto" w:fill="CCFFCC"/>
          </w:tcPr>
          <w:p w:rsidR="00841C55" w:rsidRDefault="00841C55" w:rsidP="00841C55">
            <w:pPr>
              <w:jc w:val="center"/>
            </w:pPr>
            <w:r>
              <w:t>Retail</w:t>
            </w:r>
          </w:p>
        </w:tc>
        <w:tc>
          <w:tcPr>
            <w:tcW w:w="1275" w:type="dxa"/>
            <w:shd w:val="clear" w:color="auto" w:fill="CCFFCC"/>
          </w:tcPr>
          <w:p w:rsidR="00841C55" w:rsidRDefault="00841C55" w:rsidP="00841C55">
            <w:pPr>
              <w:jc w:val="center"/>
            </w:pPr>
            <w:proofErr w:type="spellStart"/>
            <w:r>
              <w:t>Refurb</w:t>
            </w:r>
            <w:proofErr w:type="spellEnd"/>
          </w:p>
        </w:tc>
        <w:tc>
          <w:tcPr>
            <w:tcW w:w="1560" w:type="dxa"/>
            <w:shd w:val="clear" w:color="auto" w:fill="CCFFCC"/>
          </w:tcPr>
          <w:p w:rsidR="00841C55" w:rsidRDefault="00841C55" w:rsidP="00841C55">
            <w:pPr>
              <w:jc w:val="center"/>
            </w:pPr>
            <w:r>
              <w:t>Unknown</w:t>
            </w:r>
          </w:p>
        </w:tc>
        <w:tc>
          <w:tcPr>
            <w:tcW w:w="1275" w:type="dxa"/>
            <w:shd w:val="clear" w:color="auto" w:fill="CCFFCC"/>
          </w:tcPr>
          <w:p w:rsidR="00841C55" w:rsidRDefault="00841C55" w:rsidP="00841C55">
            <w:pPr>
              <w:jc w:val="center"/>
            </w:pPr>
            <w:r>
              <w:t>Part</w:t>
            </w:r>
          </w:p>
        </w:tc>
        <w:tc>
          <w:tcPr>
            <w:tcW w:w="1702" w:type="dxa"/>
            <w:shd w:val="clear" w:color="auto" w:fill="CCFFCC"/>
          </w:tcPr>
          <w:p w:rsidR="00841C55" w:rsidRDefault="00841C55" w:rsidP="00841C55">
            <w:pPr>
              <w:jc w:val="center"/>
            </w:pPr>
            <w:r>
              <w:t>25, break at 15</w:t>
            </w:r>
          </w:p>
        </w:tc>
        <w:tc>
          <w:tcPr>
            <w:tcW w:w="1276" w:type="dxa"/>
            <w:shd w:val="clear" w:color="auto" w:fill="CCFFCC"/>
          </w:tcPr>
          <w:p w:rsidR="00841C55" w:rsidRDefault="00841C55" w:rsidP="00841C55">
            <w:pPr>
              <w:jc w:val="center"/>
            </w:pPr>
            <w:r>
              <w:t>N</w:t>
            </w:r>
          </w:p>
        </w:tc>
        <w:tc>
          <w:tcPr>
            <w:tcW w:w="1276" w:type="dxa"/>
            <w:shd w:val="clear" w:color="auto" w:fill="CCFFCC"/>
          </w:tcPr>
          <w:p w:rsidR="00841C55" w:rsidRDefault="00841C55" w:rsidP="00841C55">
            <w:pPr>
              <w:jc w:val="center"/>
            </w:pPr>
            <w:r>
              <w:t>Y</w:t>
            </w:r>
          </w:p>
        </w:tc>
      </w:tr>
      <w:tr w:rsidR="00841C55" w:rsidTr="00841C55">
        <w:trPr>
          <w:trHeight w:val="656"/>
        </w:trPr>
        <w:tc>
          <w:tcPr>
            <w:tcW w:w="534" w:type="dxa"/>
            <w:shd w:val="clear" w:color="auto" w:fill="CCFFCC"/>
          </w:tcPr>
          <w:p w:rsidR="00841C55" w:rsidRDefault="00841C55" w:rsidP="00841C55">
            <w:pPr>
              <w:jc w:val="center"/>
              <w:rPr>
                <w:b/>
                <w:i/>
              </w:rPr>
            </w:pPr>
            <w:r>
              <w:rPr>
                <w:b/>
                <w:i/>
              </w:rPr>
              <w:t>Z</w:t>
            </w:r>
          </w:p>
          <w:p w:rsidR="00841C55" w:rsidRDefault="00841C55" w:rsidP="00841C55">
            <w:pPr>
              <w:jc w:val="center"/>
              <w:rPr>
                <w:b/>
                <w:i/>
              </w:rPr>
            </w:pPr>
            <w:r>
              <w:rPr>
                <w:b/>
                <w:i/>
              </w:rPr>
              <w:t>§</w:t>
            </w:r>
          </w:p>
        </w:tc>
        <w:tc>
          <w:tcPr>
            <w:tcW w:w="1984" w:type="dxa"/>
            <w:shd w:val="clear" w:color="auto" w:fill="CCFFCC"/>
          </w:tcPr>
          <w:p w:rsidR="00841C55" w:rsidRDefault="00841C55" w:rsidP="00841C55">
            <w:pPr>
              <w:jc w:val="center"/>
              <w:rPr>
                <w:b/>
                <w:i/>
              </w:rPr>
            </w:pPr>
            <w:r>
              <w:t>January 2011</w:t>
            </w:r>
          </w:p>
        </w:tc>
        <w:tc>
          <w:tcPr>
            <w:tcW w:w="1418" w:type="dxa"/>
            <w:shd w:val="clear" w:color="auto" w:fill="CCFFCC"/>
          </w:tcPr>
          <w:p w:rsidR="00841C55" w:rsidRDefault="00841C55" w:rsidP="00841C55">
            <w:pPr>
              <w:rPr>
                <w:b/>
                <w:i/>
              </w:rPr>
            </w:pPr>
            <w:r>
              <w:rPr>
                <w:b/>
                <w:i/>
              </w:rPr>
              <w:t>North West</w:t>
            </w:r>
          </w:p>
        </w:tc>
        <w:tc>
          <w:tcPr>
            <w:tcW w:w="1134" w:type="dxa"/>
            <w:shd w:val="clear" w:color="auto" w:fill="CCFFCC"/>
          </w:tcPr>
          <w:p w:rsidR="00841C55" w:rsidRDefault="00841C55" w:rsidP="00841C55">
            <w:pPr>
              <w:jc w:val="center"/>
            </w:pPr>
            <w:r>
              <w:t>Retail</w:t>
            </w:r>
          </w:p>
        </w:tc>
        <w:tc>
          <w:tcPr>
            <w:tcW w:w="1275" w:type="dxa"/>
            <w:shd w:val="clear" w:color="auto" w:fill="CCFFCC"/>
          </w:tcPr>
          <w:p w:rsidR="00841C55" w:rsidRDefault="00841C55" w:rsidP="00841C55">
            <w:pPr>
              <w:jc w:val="center"/>
            </w:pPr>
            <w:proofErr w:type="spellStart"/>
            <w:r>
              <w:t>Refurb</w:t>
            </w:r>
            <w:proofErr w:type="spellEnd"/>
          </w:p>
        </w:tc>
        <w:tc>
          <w:tcPr>
            <w:tcW w:w="1560" w:type="dxa"/>
            <w:shd w:val="clear" w:color="auto" w:fill="CCFFCC"/>
          </w:tcPr>
          <w:p w:rsidR="00841C55" w:rsidRDefault="00841C55" w:rsidP="00841C55">
            <w:pPr>
              <w:jc w:val="center"/>
            </w:pPr>
            <w:r>
              <w:t>Excellent</w:t>
            </w:r>
          </w:p>
        </w:tc>
        <w:tc>
          <w:tcPr>
            <w:tcW w:w="1275" w:type="dxa"/>
            <w:shd w:val="clear" w:color="auto" w:fill="CCFFCC"/>
          </w:tcPr>
          <w:p w:rsidR="00841C55" w:rsidRDefault="00841C55" w:rsidP="00841C55">
            <w:pPr>
              <w:jc w:val="center"/>
            </w:pPr>
            <w:r>
              <w:t>Part</w:t>
            </w:r>
          </w:p>
        </w:tc>
        <w:tc>
          <w:tcPr>
            <w:tcW w:w="1702" w:type="dxa"/>
            <w:shd w:val="clear" w:color="auto" w:fill="CCFFCC"/>
          </w:tcPr>
          <w:p w:rsidR="00841C55" w:rsidRDefault="00841C55" w:rsidP="00841C55">
            <w:pPr>
              <w:jc w:val="center"/>
            </w:pPr>
            <w:r>
              <w:t>10, qualified break at 5</w:t>
            </w:r>
          </w:p>
        </w:tc>
        <w:tc>
          <w:tcPr>
            <w:tcW w:w="1276" w:type="dxa"/>
            <w:shd w:val="clear" w:color="auto" w:fill="CCFFCC"/>
          </w:tcPr>
          <w:p w:rsidR="00841C55" w:rsidRDefault="00841C55" w:rsidP="00841C55">
            <w:pPr>
              <w:jc w:val="center"/>
            </w:pPr>
            <w:r>
              <w:t>Y</w:t>
            </w:r>
          </w:p>
        </w:tc>
        <w:tc>
          <w:tcPr>
            <w:tcW w:w="1276" w:type="dxa"/>
            <w:shd w:val="clear" w:color="auto" w:fill="CCFFCC"/>
          </w:tcPr>
          <w:p w:rsidR="00841C55" w:rsidRDefault="00841C55" w:rsidP="00841C55">
            <w:pPr>
              <w:jc w:val="center"/>
            </w:pPr>
            <w:r>
              <w:t>N</w:t>
            </w:r>
          </w:p>
        </w:tc>
      </w:tr>
      <w:tr w:rsidR="00841C55" w:rsidTr="00841C55">
        <w:tc>
          <w:tcPr>
            <w:tcW w:w="534" w:type="dxa"/>
            <w:shd w:val="clear" w:color="auto" w:fill="CCFFCC"/>
          </w:tcPr>
          <w:p w:rsidR="00841C55" w:rsidRDefault="00841C55" w:rsidP="00841C55">
            <w:pPr>
              <w:jc w:val="center"/>
              <w:rPr>
                <w:b/>
                <w:i/>
              </w:rPr>
            </w:pPr>
            <w:r>
              <w:rPr>
                <w:b/>
                <w:i/>
              </w:rPr>
              <w:t>Aa</w:t>
            </w:r>
          </w:p>
          <w:p w:rsidR="00841C55" w:rsidRDefault="00841C55" w:rsidP="00841C55">
            <w:pPr>
              <w:jc w:val="center"/>
              <w:rPr>
                <w:b/>
                <w:i/>
              </w:rPr>
            </w:pPr>
            <w:r>
              <w:rPr>
                <w:b/>
                <w:i/>
              </w:rPr>
              <w:lastRenderedPageBreak/>
              <w:t>**</w:t>
            </w:r>
          </w:p>
          <w:p w:rsidR="00841C55" w:rsidRDefault="00841C55" w:rsidP="00841C55">
            <w:pPr>
              <w:jc w:val="center"/>
              <w:rPr>
                <w:b/>
                <w:i/>
              </w:rPr>
            </w:pPr>
            <w:r>
              <w:rPr>
                <w:b/>
                <w:i/>
              </w:rPr>
              <w:t>§</w:t>
            </w:r>
          </w:p>
        </w:tc>
        <w:tc>
          <w:tcPr>
            <w:tcW w:w="1984" w:type="dxa"/>
            <w:shd w:val="clear" w:color="auto" w:fill="CCFFCC"/>
          </w:tcPr>
          <w:p w:rsidR="00841C55" w:rsidRDefault="00841C55" w:rsidP="00841C55">
            <w:pPr>
              <w:jc w:val="center"/>
              <w:rPr>
                <w:b/>
                <w:i/>
              </w:rPr>
            </w:pPr>
            <w:r>
              <w:lastRenderedPageBreak/>
              <w:t>February 2013</w:t>
            </w:r>
          </w:p>
        </w:tc>
        <w:tc>
          <w:tcPr>
            <w:tcW w:w="1418" w:type="dxa"/>
            <w:shd w:val="clear" w:color="auto" w:fill="CCFFCC"/>
          </w:tcPr>
          <w:p w:rsidR="00841C55" w:rsidRDefault="00841C55" w:rsidP="00841C55">
            <w:pPr>
              <w:rPr>
                <w:b/>
                <w:i/>
              </w:rPr>
            </w:pPr>
            <w:r>
              <w:rPr>
                <w:b/>
                <w:i/>
              </w:rPr>
              <w:t>West Midlands</w:t>
            </w:r>
          </w:p>
        </w:tc>
        <w:tc>
          <w:tcPr>
            <w:tcW w:w="1134" w:type="dxa"/>
            <w:shd w:val="clear" w:color="auto" w:fill="CCFFCC"/>
          </w:tcPr>
          <w:p w:rsidR="00841C55" w:rsidRDefault="00841C55" w:rsidP="00841C55">
            <w:pPr>
              <w:jc w:val="center"/>
            </w:pPr>
            <w:r>
              <w:t>Retail</w:t>
            </w:r>
          </w:p>
        </w:tc>
        <w:tc>
          <w:tcPr>
            <w:tcW w:w="1275" w:type="dxa"/>
            <w:shd w:val="clear" w:color="auto" w:fill="CCFFCC"/>
          </w:tcPr>
          <w:p w:rsidR="00841C55" w:rsidRDefault="00841C55" w:rsidP="00841C55">
            <w:pPr>
              <w:jc w:val="center"/>
            </w:pPr>
            <w:r>
              <w:t>New</w:t>
            </w:r>
          </w:p>
        </w:tc>
        <w:tc>
          <w:tcPr>
            <w:tcW w:w="1560" w:type="dxa"/>
            <w:shd w:val="clear" w:color="auto" w:fill="CCFFCC"/>
          </w:tcPr>
          <w:p w:rsidR="00841C55" w:rsidRDefault="00841C55" w:rsidP="00841C55">
            <w:pPr>
              <w:jc w:val="center"/>
            </w:pPr>
            <w:r>
              <w:t xml:space="preserve">Unknown </w:t>
            </w:r>
          </w:p>
        </w:tc>
        <w:tc>
          <w:tcPr>
            <w:tcW w:w="1275" w:type="dxa"/>
            <w:shd w:val="clear" w:color="auto" w:fill="CCFFCC"/>
          </w:tcPr>
          <w:p w:rsidR="00841C55" w:rsidRDefault="00841C55" w:rsidP="00841C55">
            <w:pPr>
              <w:jc w:val="center"/>
            </w:pPr>
            <w:r>
              <w:t>Part</w:t>
            </w:r>
          </w:p>
        </w:tc>
        <w:tc>
          <w:tcPr>
            <w:tcW w:w="1702" w:type="dxa"/>
            <w:shd w:val="clear" w:color="auto" w:fill="CCFFCC"/>
          </w:tcPr>
          <w:p w:rsidR="00841C55" w:rsidRDefault="00841C55" w:rsidP="00841C55">
            <w:pPr>
              <w:jc w:val="center"/>
            </w:pPr>
            <w:r>
              <w:t>25, break at 20</w:t>
            </w:r>
          </w:p>
        </w:tc>
        <w:tc>
          <w:tcPr>
            <w:tcW w:w="1276" w:type="dxa"/>
            <w:shd w:val="clear" w:color="auto" w:fill="CCFFCC"/>
          </w:tcPr>
          <w:p w:rsidR="00841C55" w:rsidRDefault="00841C55" w:rsidP="00841C55">
            <w:pPr>
              <w:jc w:val="center"/>
            </w:pPr>
            <w:r>
              <w:t>Y</w:t>
            </w:r>
          </w:p>
        </w:tc>
        <w:tc>
          <w:tcPr>
            <w:tcW w:w="1276" w:type="dxa"/>
            <w:shd w:val="clear" w:color="auto" w:fill="CCFFCC"/>
          </w:tcPr>
          <w:p w:rsidR="00841C55" w:rsidRDefault="00841C55" w:rsidP="00841C55">
            <w:pPr>
              <w:jc w:val="center"/>
            </w:pPr>
            <w:r>
              <w:t>Y</w:t>
            </w:r>
          </w:p>
        </w:tc>
      </w:tr>
      <w:tr w:rsidR="00841C55" w:rsidTr="00841C55">
        <w:tc>
          <w:tcPr>
            <w:tcW w:w="534" w:type="dxa"/>
            <w:shd w:val="clear" w:color="auto" w:fill="CCFFCC"/>
          </w:tcPr>
          <w:p w:rsidR="00841C55" w:rsidRDefault="00841C55" w:rsidP="00841C55">
            <w:pPr>
              <w:jc w:val="center"/>
              <w:rPr>
                <w:b/>
                <w:i/>
              </w:rPr>
            </w:pPr>
            <w:r>
              <w:rPr>
                <w:b/>
                <w:i/>
              </w:rPr>
              <w:lastRenderedPageBreak/>
              <w:t>Bb*</w:t>
            </w:r>
          </w:p>
          <w:p w:rsidR="00841C55" w:rsidRDefault="00841C55" w:rsidP="00841C55">
            <w:pPr>
              <w:jc w:val="center"/>
              <w:rPr>
                <w:b/>
                <w:i/>
              </w:rPr>
            </w:pPr>
            <w:r>
              <w:rPr>
                <w:b/>
                <w:i/>
              </w:rPr>
              <w:t>§</w:t>
            </w:r>
          </w:p>
        </w:tc>
        <w:tc>
          <w:tcPr>
            <w:tcW w:w="1984" w:type="dxa"/>
            <w:shd w:val="clear" w:color="auto" w:fill="CCFFCC"/>
          </w:tcPr>
          <w:p w:rsidR="00841C55" w:rsidRDefault="00841C55" w:rsidP="00841C55">
            <w:pPr>
              <w:jc w:val="center"/>
              <w:rPr>
                <w:b/>
                <w:i/>
              </w:rPr>
            </w:pPr>
            <w:r>
              <w:t>December 2010</w:t>
            </w:r>
          </w:p>
        </w:tc>
        <w:tc>
          <w:tcPr>
            <w:tcW w:w="1418" w:type="dxa"/>
            <w:shd w:val="clear" w:color="auto" w:fill="CCFFCC"/>
          </w:tcPr>
          <w:p w:rsidR="00841C55" w:rsidRDefault="00841C55" w:rsidP="00841C55">
            <w:pPr>
              <w:rPr>
                <w:b/>
                <w:i/>
              </w:rPr>
            </w:pPr>
            <w:r>
              <w:rPr>
                <w:b/>
                <w:i/>
              </w:rPr>
              <w:t>London</w:t>
            </w:r>
          </w:p>
          <w:p w:rsidR="00841C55" w:rsidRDefault="00841C55" w:rsidP="00841C55">
            <w:pPr>
              <w:rPr>
                <w:b/>
                <w:i/>
              </w:rPr>
            </w:pPr>
          </w:p>
        </w:tc>
        <w:tc>
          <w:tcPr>
            <w:tcW w:w="1134" w:type="dxa"/>
            <w:shd w:val="clear" w:color="auto" w:fill="CCFFCC"/>
          </w:tcPr>
          <w:p w:rsidR="00841C55" w:rsidRDefault="00841C55" w:rsidP="00841C55">
            <w:pPr>
              <w:jc w:val="center"/>
            </w:pPr>
            <w:r>
              <w:t>Retail</w:t>
            </w:r>
          </w:p>
        </w:tc>
        <w:tc>
          <w:tcPr>
            <w:tcW w:w="1275" w:type="dxa"/>
            <w:shd w:val="clear" w:color="auto" w:fill="CCFFCC"/>
          </w:tcPr>
          <w:p w:rsidR="00841C55" w:rsidRDefault="00841C55" w:rsidP="00841C55">
            <w:pPr>
              <w:jc w:val="center"/>
            </w:pPr>
            <w:r>
              <w:t>New</w:t>
            </w:r>
          </w:p>
        </w:tc>
        <w:tc>
          <w:tcPr>
            <w:tcW w:w="1560" w:type="dxa"/>
            <w:shd w:val="clear" w:color="auto" w:fill="CCFFCC"/>
          </w:tcPr>
          <w:p w:rsidR="00841C55" w:rsidRDefault="00841C55" w:rsidP="00841C55">
            <w:pPr>
              <w:jc w:val="center"/>
            </w:pPr>
            <w:r>
              <w:t>Excellent</w:t>
            </w:r>
          </w:p>
        </w:tc>
        <w:tc>
          <w:tcPr>
            <w:tcW w:w="1275" w:type="dxa"/>
            <w:shd w:val="clear" w:color="auto" w:fill="CCFFCC"/>
          </w:tcPr>
          <w:p w:rsidR="00841C55" w:rsidRDefault="00841C55" w:rsidP="00841C55">
            <w:r>
              <w:t>Part</w:t>
            </w:r>
          </w:p>
        </w:tc>
        <w:tc>
          <w:tcPr>
            <w:tcW w:w="1702" w:type="dxa"/>
            <w:shd w:val="clear" w:color="auto" w:fill="CCFFCC"/>
          </w:tcPr>
          <w:p w:rsidR="00841C55" w:rsidRDefault="00841C55" w:rsidP="00841C55">
            <w:pPr>
              <w:jc w:val="center"/>
            </w:pPr>
            <w:r>
              <w:t>15, break at 10</w:t>
            </w:r>
          </w:p>
        </w:tc>
        <w:tc>
          <w:tcPr>
            <w:tcW w:w="1276" w:type="dxa"/>
            <w:shd w:val="clear" w:color="auto" w:fill="CCFFCC"/>
          </w:tcPr>
          <w:p w:rsidR="00841C55" w:rsidRDefault="00841C55" w:rsidP="00841C55">
            <w:pPr>
              <w:jc w:val="center"/>
            </w:pPr>
            <w:r>
              <w:t>Y</w:t>
            </w:r>
          </w:p>
        </w:tc>
        <w:tc>
          <w:tcPr>
            <w:tcW w:w="1276" w:type="dxa"/>
            <w:shd w:val="clear" w:color="auto" w:fill="CCFFCC"/>
          </w:tcPr>
          <w:p w:rsidR="00841C55" w:rsidRDefault="00841C55" w:rsidP="00841C55">
            <w:pPr>
              <w:jc w:val="center"/>
            </w:pPr>
            <w:r>
              <w:t>N</w:t>
            </w:r>
          </w:p>
        </w:tc>
      </w:tr>
    </w:tbl>
    <w:p w:rsidR="001B16AE" w:rsidRDefault="001B16AE" w:rsidP="00657333"/>
    <w:p w:rsidR="00841C55" w:rsidRDefault="00841C55" w:rsidP="00657333">
      <w:pPr>
        <w:rPr>
          <w:sz w:val="28"/>
          <w:szCs w:val="28"/>
        </w:rPr>
      </w:pPr>
    </w:p>
    <w:p w:rsidR="00841C55" w:rsidRDefault="00841C55" w:rsidP="00841C55">
      <w:pPr>
        <w:jc w:val="center"/>
      </w:pPr>
    </w:p>
    <w:p w:rsidR="00841C55" w:rsidRDefault="00841C55" w:rsidP="00841C55"/>
    <w:p w:rsidR="00841C55" w:rsidRDefault="00841C55" w:rsidP="00841C55"/>
    <w:p w:rsidR="00841C55" w:rsidRPr="00D730B9" w:rsidRDefault="00841C55" w:rsidP="00841C55">
      <w:pPr>
        <w:pStyle w:val="ListParagraph"/>
        <w:numPr>
          <w:ilvl w:val="0"/>
          <w:numId w:val="7"/>
        </w:numPr>
      </w:pPr>
      <w:r>
        <w:t>same landlord; ** probably same landlord (different corporate name used); § same tenant</w:t>
      </w:r>
    </w:p>
    <w:p w:rsidR="00841C55" w:rsidRPr="00841C55" w:rsidRDefault="00841C55" w:rsidP="00657333">
      <w:pPr>
        <w:rPr>
          <w:sz w:val="28"/>
          <w:szCs w:val="28"/>
        </w:rPr>
        <w:sectPr w:rsidR="00841C55" w:rsidRPr="00841C55" w:rsidSect="00991A89">
          <w:pgSz w:w="16838" w:h="11906" w:orient="landscape"/>
          <w:pgMar w:top="1440" w:right="1440" w:bottom="1440" w:left="1440" w:header="708" w:footer="708" w:gutter="0"/>
          <w:cols w:space="708"/>
          <w:docGrid w:linePitch="360"/>
        </w:sectPr>
      </w:pPr>
    </w:p>
    <w:p w:rsidR="009A546E" w:rsidRDefault="001B16AE" w:rsidP="00657333">
      <w:r>
        <w:lastRenderedPageBreak/>
        <w:t>The sample is too small and</w:t>
      </w:r>
      <w:r w:rsidR="00957621">
        <w:t xml:space="preserve"> too selective to draw any wide</w:t>
      </w:r>
      <w:r>
        <w:t xml:space="preserve"> conclusions. It is difficult to be sure about the identity of landlords as the corporate name on a lease does not necessarily indicate whether it is a subsidiary of a larger property investment company</w:t>
      </w:r>
      <w:r w:rsidR="007E1B06">
        <w:t>. So</w:t>
      </w:r>
      <w:r>
        <w:t xml:space="preserve"> far as we </w:t>
      </w:r>
      <w:r w:rsidR="007E1B06">
        <w:t>can tell</w:t>
      </w:r>
      <w:r>
        <w:t xml:space="preserve"> </w:t>
      </w:r>
      <w:r w:rsidR="007E1B06">
        <w:t>(only)</w:t>
      </w:r>
      <w:r>
        <w:t xml:space="preserve"> 2 landlords </w:t>
      </w:r>
      <w:r w:rsidR="007E1B06">
        <w:t>are</w:t>
      </w:r>
      <w:r>
        <w:t xml:space="preserve"> landlords of 2 properties in our sample</w:t>
      </w:r>
      <w:r w:rsidR="00FE5378">
        <w:t xml:space="preserve"> (these are indicated i</w:t>
      </w:r>
      <w:r w:rsidR="007E1B06">
        <w:t>n Table</w:t>
      </w:r>
      <w:r w:rsidR="00FE5378">
        <w:t xml:space="preserve"> 2</w:t>
      </w:r>
      <w:r w:rsidR="007E1B06">
        <w:t>)</w:t>
      </w:r>
      <w:r>
        <w:t xml:space="preserve">. </w:t>
      </w:r>
      <w:r w:rsidR="00957621">
        <w:t>T</w:t>
      </w:r>
      <w:r>
        <w:t xml:space="preserve">he </w:t>
      </w:r>
      <w:r w:rsidR="00957621">
        <w:t xml:space="preserve">relatively </w:t>
      </w:r>
      <w:r>
        <w:t xml:space="preserve">high percentage of green leases </w:t>
      </w:r>
      <w:r w:rsidR="00957621">
        <w:t xml:space="preserve">cannot therefore be </w:t>
      </w:r>
      <w:r>
        <w:t xml:space="preserve">explained </w:t>
      </w:r>
      <w:r w:rsidR="00957621">
        <w:t xml:space="preserve">on the basis that there was </w:t>
      </w:r>
      <w:r>
        <w:t xml:space="preserve">a narrow sample of (green) landlords. It is the case, however, that seven of our retail leases are let to the same tenant; of these, three have green clauses (and a further two have green reference clauses).  </w:t>
      </w:r>
      <w:r w:rsidR="007E1B06">
        <w:t>It may be that there is</w:t>
      </w:r>
      <w:r>
        <w:t xml:space="preserve"> a higher use of green leases in London and the South East than elsewhere (of the 16 leases in these regions, 15 contain some green provision)</w:t>
      </w:r>
      <w:r w:rsidR="007E1B06">
        <w:t xml:space="preserve">; if so, this would not be a surprising result, particularly in the light of the promotion of green leases by those landlords involved in London’s </w:t>
      </w:r>
      <w:r w:rsidR="00140A80">
        <w:t>BBP</w:t>
      </w:r>
      <w:r w:rsidR="007E1B06">
        <w:t>,</w:t>
      </w:r>
      <w:r>
        <w:t xml:space="preserve"> </w:t>
      </w:r>
      <w:r w:rsidR="007E1B06">
        <w:t>but it could</w:t>
      </w:r>
      <w:r>
        <w:t xml:space="preserve"> well be that our sele</w:t>
      </w:r>
      <w:r w:rsidR="007E1B06">
        <w:t xml:space="preserve">ction of sample leases has some kind of bias. A much larger sample would be necessary to test this. </w:t>
      </w:r>
      <w:r w:rsidR="00140A80">
        <w:t>Nor</w:t>
      </w:r>
      <w:r w:rsidR="007E1B06">
        <w:t xml:space="preserve"> is </w:t>
      </w:r>
      <w:r w:rsidR="00140A80">
        <w:t>there</w:t>
      </w:r>
      <w:r w:rsidR="007E1B06">
        <w:t xml:space="preserve"> enough information to test whether retail leases generally do not contain green p</w:t>
      </w:r>
      <w:r w:rsidR="00957621">
        <w:t>rovisions; our sample only has two</w:t>
      </w:r>
      <w:r w:rsidR="007E1B06">
        <w:t xml:space="preserve"> retail leases not supplied directly and neither of these contains green provisions. </w:t>
      </w:r>
    </w:p>
    <w:p w:rsidR="003C1548" w:rsidRPr="004579B8" w:rsidRDefault="004579B8" w:rsidP="00657333">
      <w:pPr>
        <w:rPr>
          <w:i/>
        </w:rPr>
      </w:pPr>
      <w:r>
        <w:rPr>
          <w:i/>
        </w:rPr>
        <w:t xml:space="preserve">4.2 </w:t>
      </w:r>
      <w:r w:rsidR="007E1B06" w:rsidRPr="004579B8">
        <w:rPr>
          <w:i/>
        </w:rPr>
        <w:t>The Content of the Green Leases</w:t>
      </w:r>
    </w:p>
    <w:p w:rsidR="007B2126" w:rsidRDefault="007E1B06" w:rsidP="00657333">
      <w:r>
        <w:t xml:space="preserve">As mentioned above, there is considerable variation </w:t>
      </w:r>
      <w:r w:rsidR="003E2808">
        <w:t>in the wording used in</w:t>
      </w:r>
      <w:r w:rsidR="00957621">
        <w:t xml:space="preserve"> the sample</w:t>
      </w:r>
      <w:r w:rsidR="003E2808">
        <w:t xml:space="preserve"> lease clauses – both as to the subject matter of </w:t>
      </w:r>
      <w:r w:rsidR="007B2126">
        <w:t xml:space="preserve">the </w:t>
      </w:r>
      <w:r w:rsidR="003E2808">
        <w:t xml:space="preserve">green </w:t>
      </w:r>
      <w:r w:rsidR="007B2126">
        <w:t>provision (eg recycling, data-sharing)</w:t>
      </w:r>
      <w:r w:rsidR="003E2808">
        <w:t xml:space="preserve">, but also the level of commitment that appears to lie behind it. </w:t>
      </w:r>
      <w:r w:rsidR="007B2126">
        <w:t>Some clauses express binding legal commitments, others are expressly worded as non-binding aspirational clauses</w:t>
      </w:r>
      <w:r w:rsidR="00140A80">
        <w:t>, others use</w:t>
      </w:r>
      <w:r w:rsidR="007B2126">
        <w:t xml:space="preserve"> the language of good faith and co-operation. </w:t>
      </w:r>
      <w:r w:rsidR="00484C48">
        <w:t xml:space="preserve">Given the variety of ways in which the commitment is expressed, it would be very difficult </w:t>
      </w:r>
      <w:r w:rsidR="00140A80">
        <w:t>to analyse our sample according to the ‘strength’ of the commitment, and so our classification focuses instead on the substantive goal (data sharing, waste reduction, etc).</w:t>
      </w:r>
    </w:p>
    <w:p w:rsidR="00484B01" w:rsidRDefault="003E2808" w:rsidP="00657333">
      <w:r>
        <w:t>Our table on categories (</w:t>
      </w:r>
      <w:r w:rsidR="004579B8">
        <w:t xml:space="preserve">Table 1 </w:t>
      </w:r>
      <w:r>
        <w:t xml:space="preserve">above) shows how we have grouped the different types of provisions. </w:t>
      </w:r>
      <w:r w:rsidR="007E1B06">
        <w:t xml:space="preserve"> </w:t>
      </w:r>
      <w:r w:rsidR="00FE5378">
        <w:t>The following T</w:t>
      </w:r>
      <w:r>
        <w:t xml:space="preserve">able </w:t>
      </w:r>
      <w:r w:rsidR="00FE5378">
        <w:t>3</w:t>
      </w:r>
      <w:r>
        <w:t xml:space="preserve"> shows how commonly these different categories were found in our green leases. </w:t>
      </w:r>
    </w:p>
    <w:p w:rsidR="008D06CF" w:rsidRPr="00E43C19" w:rsidRDefault="00484B01" w:rsidP="00657333">
      <w:pPr>
        <w:rPr>
          <w:rFonts w:asciiTheme="minorHAnsi" w:hAnsiTheme="minorHAnsi"/>
          <w:sz w:val="26"/>
        </w:rPr>
      </w:pPr>
      <w:r w:rsidRPr="00E43C19">
        <w:rPr>
          <w:rFonts w:asciiTheme="minorHAnsi" w:hAnsiTheme="minorHAnsi"/>
          <w:sz w:val="28"/>
        </w:rPr>
        <w:t>TABLE 3: Green and Green Reference clauses in sample leases</w:t>
      </w:r>
    </w:p>
    <w:tbl>
      <w:tblPr>
        <w:tblW w:w="8441" w:type="dxa"/>
        <w:tblInd w:w="94" w:type="dxa"/>
        <w:tblLook w:val="04A0" w:firstRow="1" w:lastRow="0" w:firstColumn="1" w:lastColumn="0" w:noHBand="0" w:noVBand="1"/>
      </w:tblPr>
      <w:tblGrid>
        <w:gridCol w:w="2080"/>
        <w:gridCol w:w="362"/>
        <w:gridCol w:w="368"/>
        <w:gridCol w:w="336"/>
        <w:gridCol w:w="336"/>
        <w:gridCol w:w="348"/>
        <w:gridCol w:w="336"/>
        <w:gridCol w:w="426"/>
        <w:gridCol w:w="344"/>
        <w:gridCol w:w="381"/>
        <w:gridCol w:w="352"/>
        <w:gridCol w:w="336"/>
        <w:gridCol w:w="336"/>
        <w:gridCol w:w="373"/>
        <w:gridCol w:w="349"/>
        <w:gridCol w:w="341"/>
        <w:gridCol w:w="336"/>
        <w:gridCol w:w="480"/>
        <w:gridCol w:w="480"/>
      </w:tblGrid>
      <w:tr w:rsidR="008D06CF" w:rsidRPr="007158AD" w:rsidTr="00FD6D42">
        <w:trPr>
          <w:trHeight w:val="300"/>
        </w:trPr>
        <w:tc>
          <w:tcPr>
            <w:tcW w:w="2080" w:type="dxa"/>
            <w:vMerge w:val="restart"/>
            <w:tcBorders>
              <w:top w:val="single" w:sz="4" w:space="0" w:color="auto"/>
              <w:left w:val="single" w:sz="4" w:space="0" w:color="auto"/>
              <w:right w:val="single" w:sz="4" w:space="0" w:color="auto"/>
            </w:tcBorders>
            <w:shd w:val="clear" w:color="auto" w:fill="D9D9D9" w:themeFill="background1" w:themeFillShade="D9"/>
            <w:noWrap/>
            <w:vAlign w:val="bottom"/>
            <w:hideMark/>
          </w:tcPr>
          <w:p w:rsidR="008D06CF" w:rsidRPr="001E26F3" w:rsidRDefault="008D06CF" w:rsidP="00FD6D42">
            <w:pPr>
              <w:jc w:val="center"/>
              <w:rPr>
                <w:rFonts w:eastAsia="Times New Roman"/>
                <w:b/>
                <w:bCs/>
                <w:color w:val="000000"/>
                <w:sz w:val="24"/>
                <w:lang w:eastAsia="en-GB"/>
              </w:rPr>
            </w:pPr>
            <w:r w:rsidRPr="001E26F3">
              <w:rPr>
                <w:rFonts w:eastAsia="Times New Roman"/>
                <w:b/>
                <w:bCs/>
                <w:color w:val="000000"/>
                <w:sz w:val="24"/>
                <w:lang w:eastAsia="en-GB"/>
              </w:rPr>
              <w:t>Type of clause</w:t>
            </w:r>
          </w:p>
          <w:p w:rsidR="008D06CF" w:rsidRPr="007158AD" w:rsidRDefault="008D06CF" w:rsidP="00FD6D42">
            <w:pPr>
              <w:rPr>
                <w:rFonts w:eastAsia="Times New Roman"/>
                <w:b/>
                <w:bCs/>
                <w:color w:val="000000"/>
                <w:lang w:eastAsia="en-GB"/>
              </w:rPr>
            </w:pPr>
            <w:r w:rsidRPr="007158AD">
              <w:rPr>
                <w:rFonts w:eastAsia="Times New Roman"/>
                <w:b/>
                <w:color w:val="000000"/>
                <w:lang w:eastAsia="en-GB"/>
              </w:rPr>
              <w:t> </w:t>
            </w:r>
          </w:p>
        </w:tc>
        <w:tc>
          <w:tcPr>
            <w:tcW w:w="6361" w:type="dxa"/>
            <w:gridSpan w:val="18"/>
            <w:tcBorders>
              <w:top w:val="single" w:sz="4" w:space="0" w:color="auto"/>
              <w:left w:val="nil"/>
              <w:bottom w:val="single" w:sz="4" w:space="0" w:color="auto"/>
              <w:right w:val="single" w:sz="4" w:space="0" w:color="000000"/>
            </w:tcBorders>
            <w:shd w:val="clear" w:color="auto" w:fill="D9D9D9" w:themeFill="background1" w:themeFillShade="D9"/>
            <w:noWrap/>
            <w:vAlign w:val="bottom"/>
            <w:hideMark/>
          </w:tcPr>
          <w:p w:rsidR="008D06CF" w:rsidRPr="00BE2460" w:rsidRDefault="008D06CF" w:rsidP="00FD6D42">
            <w:pPr>
              <w:jc w:val="center"/>
              <w:rPr>
                <w:rFonts w:eastAsia="Times New Roman"/>
                <w:b/>
                <w:bCs/>
                <w:color w:val="000000"/>
                <w:sz w:val="24"/>
                <w:lang w:eastAsia="en-GB"/>
              </w:rPr>
            </w:pPr>
            <w:r w:rsidRPr="00BE2460">
              <w:rPr>
                <w:rFonts w:eastAsia="Times New Roman"/>
                <w:b/>
                <w:bCs/>
                <w:color w:val="000000"/>
                <w:sz w:val="24"/>
                <w:lang w:eastAsia="en-GB"/>
              </w:rPr>
              <w:t>Leasehold title</w:t>
            </w:r>
          </w:p>
        </w:tc>
      </w:tr>
      <w:tr w:rsidR="008D06CF" w:rsidRPr="00BE2460" w:rsidTr="00FD6D42">
        <w:trPr>
          <w:trHeight w:val="300"/>
        </w:trPr>
        <w:tc>
          <w:tcPr>
            <w:tcW w:w="2080" w:type="dxa"/>
            <w:vMerge/>
            <w:tcBorders>
              <w:left w:val="single" w:sz="4" w:space="0" w:color="auto"/>
              <w:bottom w:val="single" w:sz="4" w:space="0" w:color="auto"/>
              <w:right w:val="single" w:sz="4" w:space="0" w:color="auto"/>
            </w:tcBorders>
            <w:shd w:val="clear" w:color="auto" w:fill="D9D9D9" w:themeFill="background1" w:themeFillShade="D9"/>
            <w:noWrap/>
            <w:vAlign w:val="bottom"/>
            <w:hideMark/>
          </w:tcPr>
          <w:p w:rsidR="008D06CF" w:rsidRPr="00BE2460" w:rsidRDefault="008D06CF" w:rsidP="00FD6D42">
            <w:pPr>
              <w:rPr>
                <w:rFonts w:eastAsia="Times New Roman"/>
                <w:b/>
                <w:color w:val="000000"/>
                <w:sz w:val="24"/>
                <w:lang w:eastAsia="en-GB"/>
              </w:rPr>
            </w:pPr>
          </w:p>
        </w:tc>
        <w:tc>
          <w:tcPr>
            <w:tcW w:w="350" w:type="dxa"/>
            <w:tcBorders>
              <w:top w:val="nil"/>
              <w:left w:val="nil"/>
              <w:bottom w:val="single" w:sz="4" w:space="0" w:color="auto"/>
              <w:right w:val="single" w:sz="4" w:space="0" w:color="auto"/>
            </w:tcBorders>
            <w:shd w:val="clear" w:color="auto" w:fill="D9D9D9" w:themeFill="background1" w:themeFillShade="D9"/>
            <w:noWrap/>
            <w:vAlign w:val="bottom"/>
            <w:hideMark/>
          </w:tcPr>
          <w:p w:rsidR="008D06CF" w:rsidRPr="00BE2460" w:rsidRDefault="008D06CF" w:rsidP="00FD6D42">
            <w:pPr>
              <w:rPr>
                <w:rFonts w:eastAsia="Times New Roman"/>
                <w:b/>
                <w:color w:val="000000"/>
                <w:sz w:val="24"/>
                <w:lang w:eastAsia="en-GB"/>
              </w:rPr>
            </w:pPr>
            <w:r w:rsidRPr="00BE2460">
              <w:rPr>
                <w:rFonts w:eastAsia="Times New Roman"/>
                <w:b/>
                <w:color w:val="000000"/>
                <w:sz w:val="24"/>
                <w:lang w:eastAsia="en-GB"/>
              </w:rPr>
              <w:t>A</w:t>
            </w:r>
          </w:p>
        </w:tc>
        <w:tc>
          <w:tcPr>
            <w:tcW w:w="355" w:type="dxa"/>
            <w:tcBorders>
              <w:top w:val="nil"/>
              <w:left w:val="nil"/>
              <w:bottom w:val="single" w:sz="4" w:space="0" w:color="auto"/>
              <w:right w:val="single" w:sz="4" w:space="0" w:color="auto"/>
            </w:tcBorders>
            <w:shd w:val="clear" w:color="auto" w:fill="D9D9D9" w:themeFill="background1" w:themeFillShade="D9"/>
            <w:noWrap/>
            <w:vAlign w:val="bottom"/>
            <w:hideMark/>
          </w:tcPr>
          <w:p w:rsidR="008D06CF" w:rsidRPr="00BE2460" w:rsidRDefault="008D06CF" w:rsidP="00FD6D42">
            <w:pPr>
              <w:rPr>
                <w:rFonts w:eastAsia="Times New Roman"/>
                <w:b/>
                <w:color w:val="000000"/>
                <w:sz w:val="24"/>
                <w:lang w:eastAsia="en-GB"/>
              </w:rPr>
            </w:pPr>
            <w:r w:rsidRPr="00BE2460">
              <w:rPr>
                <w:rFonts w:eastAsia="Times New Roman"/>
                <w:b/>
                <w:color w:val="000000"/>
                <w:sz w:val="24"/>
                <w:lang w:eastAsia="en-GB"/>
              </w:rPr>
              <w:t>D</w:t>
            </w:r>
          </w:p>
        </w:tc>
        <w:tc>
          <w:tcPr>
            <w:tcW w:w="319" w:type="dxa"/>
            <w:tcBorders>
              <w:top w:val="nil"/>
              <w:left w:val="nil"/>
              <w:bottom w:val="single" w:sz="4" w:space="0" w:color="auto"/>
              <w:right w:val="single" w:sz="4" w:space="0" w:color="auto"/>
            </w:tcBorders>
            <w:shd w:val="clear" w:color="auto" w:fill="D9D9D9" w:themeFill="background1" w:themeFillShade="D9"/>
            <w:noWrap/>
            <w:vAlign w:val="bottom"/>
            <w:hideMark/>
          </w:tcPr>
          <w:p w:rsidR="008D06CF" w:rsidRPr="00BE2460" w:rsidRDefault="008D06CF" w:rsidP="00FD6D42">
            <w:pPr>
              <w:rPr>
                <w:rFonts w:eastAsia="Times New Roman"/>
                <w:b/>
                <w:color w:val="000000"/>
                <w:sz w:val="24"/>
                <w:lang w:eastAsia="en-GB"/>
              </w:rPr>
            </w:pPr>
            <w:r w:rsidRPr="00BE2460">
              <w:rPr>
                <w:rFonts w:eastAsia="Times New Roman"/>
                <w:b/>
                <w:color w:val="000000"/>
                <w:sz w:val="24"/>
                <w:lang w:eastAsia="en-GB"/>
              </w:rPr>
              <w:t>I</w:t>
            </w:r>
          </w:p>
        </w:tc>
        <w:tc>
          <w:tcPr>
            <w:tcW w:w="319" w:type="dxa"/>
            <w:tcBorders>
              <w:top w:val="nil"/>
              <w:left w:val="nil"/>
              <w:bottom w:val="single" w:sz="4" w:space="0" w:color="auto"/>
              <w:right w:val="single" w:sz="4" w:space="0" w:color="auto"/>
            </w:tcBorders>
            <w:shd w:val="clear" w:color="auto" w:fill="D9D9D9" w:themeFill="background1" w:themeFillShade="D9"/>
            <w:noWrap/>
            <w:vAlign w:val="bottom"/>
            <w:hideMark/>
          </w:tcPr>
          <w:p w:rsidR="008D06CF" w:rsidRPr="00BE2460" w:rsidRDefault="008D06CF" w:rsidP="00FD6D42">
            <w:pPr>
              <w:rPr>
                <w:rFonts w:eastAsia="Times New Roman"/>
                <w:b/>
                <w:color w:val="000000"/>
                <w:sz w:val="24"/>
                <w:lang w:eastAsia="en-GB"/>
              </w:rPr>
            </w:pPr>
            <w:r w:rsidRPr="00BE2460">
              <w:rPr>
                <w:rFonts w:eastAsia="Times New Roman"/>
                <w:b/>
                <w:color w:val="000000"/>
                <w:sz w:val="24"/>
                <w:lang w:eastAsia="en-GB"/>
              </w:rPr>
              <w:t>J</w:t>
            </w:r>
          </w:p>
        </w:tc>
        <w:tc>
          <w:tcPr>
            <w:tcW w:w="337" w:type="dxa"/>
            <w:tcBorders>
              <w:top w:val="nil"/>
              <w:left w:val="nil"/>
              <w:bottom w:val="single" w:sz="4" w:space="0" w:color="auto"/>
              <w:right w:val="single" w:sz="4" w:space="0" w:color="auto"/>
            </w:tcBorders>
            <w:shd w:val="clear" w:color="auto" w:fill="D9D9D9" w:themeFill="background1" w:themeFillShade="D9"/>
            <w:noWrap/>
            <w:vAlign w:val="bottom"/>
            <w:hideMark/>
          </w:tcPr>
          <w:p w:rsidR="008D06CF" w:rsidRPr="00BE2460" w:rsidRDefault="008D06CF" w:rsidP="00FD6D42">
            <w:pPr>
              <w:rPr>
                <w:rFonts w:eastAsia="Times New Roman"/>
                <w:b/>
                <w:color w:val="000000"/>
                <w:sz w:val="24"/>
                <w:lang w:eastAsia="en-GB"/>
              </w:rPr>
            </w:pPr>
            <w:r w:rsidRPr="00BE2460">
              <w:rPr>
                <w:rFonts w:eastAsia="Times New Roman"/>
                <w:b/>
                <w:color w:val="000000"/>
                <w:sz w:val="24"/>
                <w:lang w:eastAsia="en-GB"/>
              </w:rPr>
              <w:t>K</w:t>
            </w:r>
          </w:p>
        </w:tc>
        <w:tc>
          <w:tcPr>
            <w:tcW w:w="319" w:type="dxa"/>
            <w:tcBorders>
              <w:top w:val="nil"/>
              <w:left w:val="nil"/>
              <w:bottom w:val="single" w:sz="4" w:space="0" w:color="auto"/>
              <w:right w:val="single" w:sz="4" w:space="0" w:color="auto"/>
            </w:tcBorders>
            <w:shd w:val="clear" w:color="auto" w:fill="D9D9D9" w:themeFill="background1" w:themeFillShade="D9"/>
            <w:noWrap/>
            <w:vAlign w:val="bottom"/>
            <w:hideMark/>
          </w:tcPr>
          <w:p w:rsidR="008D06CF" w:rsidRPr="00BE2460" w:rsidRDefault="008D06CF" w:rsidP="00FD6D42">
            <w:pPr>
              <w:rPr>
                <w:rFonts w:eastAsia="Times New Roman"/>
                <w:b/>
                <w:color w:val="000000"/>
                <w:sz w:val="24"/>
                <w:lang w:eastAsia="en-GB"/>
              </w:rPr>
            </w:pPr>
            <w:r w:rsidRPr="00BE2460">
              <w:rPr>
                <w:rFonts w:eastAsia="Times New Roman"/>
                <w:b/>
                <w:color w:val="000000"/>
                <w:sz w:val="24"/>
                <w:lang w:eastAsia="en-GB"/>
              </w:rPr>
              <w:t>L</w:t>
            </w:r>
          </w:p>
        </w:tc>
        <w:tc>
          <w:tcPr>
            <w:tcW w:w="409" w:type="dxa"/>
            <w:tcBorders>
              <w:top w:val="nil"/>
              <w:left w:val="nil"/>
              <w:bottom w:val="single" w:sz="4" w:space="0" w:color="auto"/>
              <w:right w:val="single" w:sz="4" w:space="0" w:color="auto"/>
            </w:tcBorders>
            <w:shd w:val="clear" w:color="auto" w:fill="D9D9D9" w:themeFill="background1" w:themeFillShade="D9"/>
            <w:noWrap/>
            <w:vAlign w:val="bottom"/>
            <w:hideMark/>
          </w:tcPr>
          <w:p w:rsidR="008D06CF" w:rsidRPr="00BE2460" w:rsidRDefault="008D06CF" w:rsidP="00FD6D42">
            <w:pPr>
              <w:rPr>
                <w:rFonts w:eastAsia="Times New Roman"/>
                <w:b/>
                <w:color w:val="000000"/>
                <w:sz w:val="24"/>
                <w:lang w:eastAsia="en-GB"/>
              </w:rPr>
            </w:pPr>
            <w:r w:rsidRPr="00BE2460">
              <w:rPr>
                <w:rFonts w:eastAsia="Times New Roman"/>
                <w:b/>
                <w:color w:val="000000"/>
                <w:sz w:val="24"/>
                <w:lang w:eastAsia="en-GB"/>
              </w:rPr>
              <w:t>M</w:t>
            </w:r>
          </w:p>
        </w:tc>
        <w:tc>
          <w:tcPr>
            <w:tcW w:w="334" w:type="dxa"/>
            <w:tcBorders>
              <w:top w:val="nil"/>
              <w:left w:val="nil"/>
              <w:bottom w:val="single" w:sz="4" w:space="0" w:color="auto"/>
              <w:right w:val="single" w:sz="4" w:space="0" w:color="auto"/>
            </w:tcBorders>
            <w:shd w:val="clear" w:color="auto" w:fill="D9D9D9" w:themeFill="background1" w:themeFillShade="D9"/>
            <w:noWrap/>
            <w:vAlign w:val="bottom"/>
            <w:hideMark/>
          </w:tcPr>
          <w:p w:rsidR="008D06CF" w:rsidRPr="00BE2460" w:rsidRDefault="008D06CF" w:rsidP="00FD6D42">
            <w:pPr>
              <w:rPr>
                <w:rFonts w:eastAsia="Times New Roman"/>
                <w:b/>
                <w:color w:val="000000"/>
                <w:sz w:val="24"/>
                <w:lang w:eastAsia="en-GB"/>
              </w:rPr>
            </w:pPr>
            <w:r w:rsidRPr="00BE2460">
              <w:rPr>
                <w:rFonts w:eastAsia="Times New Roman"/>
                <w:b/>
                <w:color w:val="000000"/>
                <w:sz w:val="24"/>
                <w:lang w:eastAsia="en-GB"/>
              </w:rPr>
              <w:t>P</w:t>
            </w:r>
          </w:p>
        </w:tc>
        <w:tc>
          <w:tcPr>
            <w:tcW w:w="367" w:type="dxa"/>
            <w:tcBorders>
              <w:top w:val="nil"/>
              <w:left w:val="nil"/>
              <w:bottom w:val="single" w:sz="4" w:space="0" w:color="auto"/>
              <w:right w:val="single" w:sz="4" w:space="0" w:color="auto"/>
            </w:tcBorders>
            <w:shd w:val="clear" w:color="auto" w:fill="D9D9D9" w:themeFill="background1" w:themeFillShade="D9"/>
            <w:noWrap/>
            <w:vAlign w:val="bottom"/>
            <w:hideMark/>
          </w:tcPr>
          <w:p w:rsidR="008D06CF" w:rsidRPr="00BE2460" w:rsidRDefault="008D06CF" w:rsidP="00FD6D42">
            <w:pPr>
              <w:rPr>
                <w:rFonts w:eastAsia="Times New Roman"/>
                <w:b/>
                <w:color w:val="000000"/>
                <w:sz w:val="24"/>
                <w:lang w:eastAsia="en-GB"/>
              </w:rPr>
            </w:pPr>
            <w:r w:rsidRPr="00BE2460">
              <w:rPr>
                <w:rFonts w:eastAsia="Times New Roman"/>
                <w:b/>
                <w:color w:val="000000"/>
                <w:sz w:val="24"/>
                <w:lang w:eastAsia="en-GB"/>
              </w:rPr>
              <w:t>Q</w:t>
            </w:r>
          </w:p>
        </w:tc>
        <w:tc>
          <w:tcPr>
            <w:tcW w:w="340" w:type="dxa"/>
            <w:tcBorders>
              <w:top w:val="nil"/>
              <w:left w:val="nil"/>
              <w:bottom w:val="single" w:sz="4" w:space="0" w:color="auto"/>
              <w:right w:val="single" w:sz="4" w:space="0" w:color="auto"/>
            </w:tcBorders>
            <w:shd w:val="clear" w:color="auto" w:fill="D9D9D9" w:themeFill="background1" w:themeFillShade="D9"/>
            <w:noWrap/>
            <w:vAlign w:val="bottom"/>
            <w:hideMark/>
          </w:tcPr>
          <w:p w:rsidR="008D06CF" w:rsidRPr="00BE2460" w:rsidRDefault="008D06CF" w:rsidP="00FD6D42">
            <w:pPr>
              <w:rPr>
                <w:rFonts w:eastAsia="Times New Roman"/>
                <w:b/>
                <w:color w:val="000000"/>
                <w:sz w:val="24"/>
                <w:lang w:eastAsia="en-GB"/>
              </w:rPr>
            </w:pPr>
            <w:r w:rsidRPr="00BE2460">
              <w:rPr>
                <w:rFonts w:eastAsia="Times New Roman"/>
                <w:b/>
                <w:color w:val="000000"/>
                <w:sz w:val="24"/>
                <w:lang w:eastAsia="en-GB"/>
              </w:rPr>
              <w:t>R</w:t>
            </w:r>
          </w:p>
        </w:tc>
        <w:tc>
          <w:tcPr>
            <w:tcW w:w="320" w:type="dxa"/>
            <w:tcBorders>
              <w:top w:val="nil"/>
              <w:left w:val="nil"/>
              <w:bottom w:val="single" w:sz="4" w:space="0" w:color="auto"/>
              <w:right w:val="single" w:sz="4" w:space="0" w:color="auto"/>
            </w:tcBorders>
            <w:shd w:val="clear" w:color="auto" w:fill="D9D9D9" w:themeFill="background1" w:themeFillShade="D9"/>
            <w:noWrap/>
            <w:vAlign w:val="bottom"/>
            <w:hideMark/>
          </w:tcPr>
          <w:p w:rsidR="008D06CF" w:rsidRPr="00BE2460" w:rsidRDefault="008D06CF" w:rsidP="00FD6D42">
            <w:pPr>
              <w:rPr>
                <w:rFonts w:eastAsia="Times New Roman"/>
                <w:b/>
                <w:color w:val="000000"/>
                <w:sz w:val="24"/>
                <w:lang w:eastAsia="en-GB"/>
              </w:rPr>
            </w:pPr>
            <w:r w:rsidRPr="00BE2460">
              <w:rPr>
                <w:rFonts w:eastAsia="Times New Roman"/>
                <w:b/>
                <w:color w:val="000000"/>
                <w:sz w:val="24"/>
                <w:lang w:eastAsia="en-GB"/>
              </w:rPr>
              <w:t>S</w:t>
            </w:r>
          </w:p>
        </w:tc>
        <w:tc>
          <w:tcPr>
            <w:tcW w:w="325" w:type="dxa"/>
            <w:tcBorders>
              <w:top w:val="nil"/>
              <w:left w:val="nil"/>
              <w:bottom w:val="single" w:sz="4" w:space="0" w:color="auto"/>
              <w:right w:val="single" w:sz="4" w:space="0" w:color="auto"/>
            </w:tcBorders>
            <w:shd w:val="clear" w:color="auto" w:fill="D9D9D9" w:themeFill="background1" w:themeFillShade="D9"/>
            <w:noWrap/>
            <w:vAlign w:val="bottom"/>
            <w:hideMark/>
          </w:tcPr>
          <w:p w:rsidR="008D06CF" w:rsidRPr="00BE2460" w:rsidRDefault="008D06CF" w:rsidP="00FD6D42">
            <w:pPr>
              <w:rPr>
                <w:rFonts w:eastAsia="Times New Roman"/>
                <w:b/>
                <w:color w:val="000000"/>
                <w:sz w:val="24"/>
                <w:lang w:eastAsia="en-GB"/>
              </w:rPr>
            </w:pPr>
            <w:r w:rsidRPr="00BE2460">
              <w:rPr>
                <w:rFonts w:eastAsia="Times New Roman"/>
                <w:b/>
                <w:color w:val="000000"/>
                <w:sz w:val="24"/>
                <w:lang w:eastAsia="en-GB"/>
              </w:rPr>
              <w:t>T</w:t>
            </w:r>
          </w:p>
        </w:tc>
        <w:tc>
          <w:tcPr>
            <w:tcW w:w="360" w:type="dxa"/>
            <w:tcBorders>
              <w:top w:val="nil"/>
              <w:left w:val="nil"/>
              <w:bottom w:val="single" w:sz="4" w:space="0" w:color="auto"/>
              <w:right w:val="single" w:sz="4" w:space="0" w:color="auto"/>
            </w:tcBorders>
            <w:shd w:val="clear" w:color="auto" w:fill="D9D9D9" w:themeFill="background1" w:themeFillShade="D9"/>
            <w:noWrap/>
            <w:vAlign w:val="bottom"/>
            <w:hideMark/>
          </w:tcPr>
          <w:p w:rsidR="008D06CF" w:rsidRPr="00BE2460" w:rsidRDefault="008D06CF" w:rsidP="00FD6D42">
            <w:pPr>
              <w:rPr>
                <w:rFonts w:eastAsia="Times New Roman"/>
                <w:b/>
                <w:color w:val="000000"/>
                <w:sz w:val="24"/>
                <w:lang w:eastAsia="en-GB"/>
              </w:rPr>
            </w:pPr>
            <w:r w:rsidRPr="00BE2460">
              <w:rPr>
                <w:rFonts w:eastAsia="Times New Roman"/>
                <w:b/>
                <w:color w:val="000000"/>
                <w:sz w:val="24"/>
                <w:lang w:eastAsia="en-GB"/>
              </w:rPr>
              <w:t>U</w:t>
            </w:r>
          </w:p>
        </w:tc>
        <w:tc>
          <w:tcPr>
            <w:tcW w:w="338" w:type="dxa"/>
            <w:tcBorders>
              <w:top w:val="nil"/>
              <w:left w:val="nil"/>
              <w:bottom w:val="single" w:sz="4" w:space="0" w:color="auto"/>
              <w:right w:val="single" w:sz="4" w:space="0" w:color="auto"/>
            </w:tcBorders>
            <w:shd w:val="clear" w:color="auto" w:fill="D9D9D9" w:themeFill="background1" w:themeFillShade="D9"/>
            <w:noWrap/>
            <w:vAlign w:val="bottom"/>
            <w:hideMark/>
          </w:tcPr>
          <w:p w:rsidR="008D06CF" w:rsidRPr="00BE2460" w:rsidRDefault="008D06CF" w:rsidP="00FD6D42">
            <w:pPr>
              <w:rPr>
                <w:rFonts w:eastAsia="Times New Roman"/>
                <w:b/>
                <w:color w:val="000000"/>
                <w:sz w:val="24"/>
                <w:lang w:eastAsia="en-GB"/>
              </w:rPr>
            </w:pPr>
            <w:r w:rsidRPr="00BE2460">
              <w:rPr>
                <w:rFonts w:eastAsia="Times New Roman"/>
                <w:b/>
                <w:color w:val="000000"/>
                <w:sz w:val="24"/>
                <w:lang w:eastAsia="en-GB"/>
              </w:rPr>
              <w:t>X</w:t>
            </w:r>
          </w:p>
        </w:tc>
        <w:tc>
          <w:tcPr>
            <w:tcW w:w="331" w:type="dxa"/>
            <w:tcBorders>
              <w:top w:val="nil"/>
              <w:left w:val="nil"/>
              <w:bottom w:val="single" w:sz="4" w:space="0" w:color="auto"/>
              <w:right w:val="single" w:sz="4" w:space="0" w:color="auto"/>
            </w:tcBorders>
            <w:shd w:val="clear" w:color="auto" w:fill="D9D9D9" w:themeFill="background1" w:themeFillShade="D9"/>
            <w:noWrap/>
            <w:vAlign w:val="bottom"/>
            <w:hideMark/>
          </w:tcPr>
          <w:p w:rsidR="008D06CF" w:rsidRPr="00BE2460" w:rsidRDefault="008D06CF" w:rsidP="00FD6D42">
            <w:pPr>
              <w:rPr>
                <w:rFonts w:eastAsia="Times New Roman"/>
                <w:b/>
                <w:color w:val="000000"/>
                <w:sz w:val="24"/>
                <w:lang w:eastAsia="en-GB"/>
              </w:rPr>
            </w:pPr>
            <w:r w:rsidRPr="00BE2460">
              <w:rPr>
                <w:rFonts w:eastAsia="Times New Roman"/>
                <w:b/>
                <w:color w:val="000000"/>
                <w:sz w:val="24"/>
                <w:lang w:eastAsia="en-GB"/>
              </w:rPr>
              <w:t>Y</w:t>
            </w:r>
          </w:p>
        </w:tc>
        <w:tc>
          <w:tcPr>
            <w:tcW w:w="322" w:type="dxa"/>
            <w:tcBorders>
              <w:top w:val="nil"/>
              <w:left w:val="nil"/>
              <w:bottom w:val="single" w:sz="4" w:space="0" w:color="auto"/>
              <w:right w:val="single" w:sz="4" w:space="0" w:color="auto"/>
            </w:tcBorders>
            <w:shd w:val="clear" w:color="auto" w:fill="D9D9D9" w:themeFill="background1" w:themeFillShade="D9"/>
            <w:noWrap/>
            <w:vAlign w:val="bottom"/>
            <w:hideMark/>
          </w:tcPr>
          <w:p w:rsidR="008D06CF" w:rsidRPr="00BE2460" w:rsidRDefault="008D06CF" w:rsidP="00FD6D42">
            <w:pPr>
              <w:rPr>
                <w:rFonts w:eastAsia="Times New Roman"/>
                <w:b/>
                <w:color w:val="000000"/>
                <w:sz w:val="24"/>
                <w:lang w:eastAsia="en-GB"/>
              </w:rPr>
            </w:pPr>
            <w:r w:rsidRPr="00BE2460">
              <w:rPr>
                <w:rFonts w:eastAsia="Times New Roman"/>
                <w:b/>
                <w:color w:val="000000"/>
                <w:sz w:val="24"/>
                <w:lang w:eastAsia="en-GB"/>
              </w:rPr>
              <w:t>Z</w:t>
            </w:r>
          </w:p>
        </w:tc>
        <w:tc>
          <w:tcPr>
            <w:tcW w:w="458" w:type="dxa"/>
            <w:tcBorders>
              <w:top w:val="nil"/>
              <w:left w:val="nil"/>
              <w:bottom w:val="single" w:sz="4" w:space="0" w:color="auto"/>
              <w:right w:val="single" w:sz="4" w:space="0" w:color="auto"/>
            </w:tcBorders>
            <w:shd w:val="clear" w:color="auto" w:fill="D9D9D9" w:themeFill="background1" w:themeFillShade="D9"/>
            <w:noWrap/>
            <w:vAlign w:val="bottom"/>
            <w:hideMark/>
          </w:tcPr>
          <w:p w:rsidR="008D06CF" w:rsidRPr="00BE2460" w:rsidRDefault="008D06CF" w:rsidP="00FD6D42">
            <w:pPr>
              <w:rPr>
                <w:rFonts w:eastAsia="Times New Roman"/>
                <w:b/>
                <w:color w:val="000000"/>
                <w:sz w:val="24"/>
                <w:lang w:eastAsia="en-GB"/>
              </w:rPr>
            </w:pPr>
            <w:r w:rsidRPr="00BE2460">
              <w:rPr>
                <w:rFonts w:eastAsia="Times New Roman"/>
                <w:b/>
                <w:color w:val="000000"/>
                <w:sz w:val="24"/>
                <w:lang w:eastAsia="en-GB"/>
              </w:rPr>
              <w:t>Aa</w:t>
            </w:r>
          </w:p>
        </w:tc>
        <w:tc>
          <w:tcPr>
            <w:tcW w:w="458" w:type="dxa"/>
            <w:tcBorders>
              <w:top w:val="nil"/>
              <w:left w:val="nil"/>
              <w:bottom w:val="single" w:sz="4" w:space="0" w:color="auto"/>
              <w:right w:val="single" w:sz="4" w:space="0" w:color="auto"/>
            </w:tcBorders>
            <w:shd w:val="clear" w:color="auto" w:fill="D9D9D9" w:themeFill="background1" w:themeFillShade="D9"/>
            <w:noWrap/>
            <w:vAlign w:val="bottom"/>
            <w:hideMark/>
          </w:tcPr>
          <w:p w:rsidR="008D06CF" w:rsidRPr="00BE2460" w:rsidRDefault="008D06CF" w:rsidP="00FD6D42">
            <w:pPr>
              <w:rPr>
                <w:rFonts w:eastAsia="Times New Roman"/>
                <w:b/>
                <w:color w:val="000000"/>
                <w:sz w:val="24"/>
                <w:lang w:eastAsia="en-GB"/>
              </w:rPr>
            </w:pPr>
            <w:r w:rsidRPr="00BE2460">
              <w:rPr>
                <w:rFonts w:eastAsia="Times New Roman"/>
                <w:b/>
                <w:color w:val="000000"/>
                <w:sz w:val="24"/>
                <w:lang w:eastAsia="en-GB"/>
              </w:rPr>
              <w:t>Bb</w:t>
            </w:r>
          </w:p>
        </w:tc>
      </w:tr>
      <w:tr w:rsidR="008D06CF" w:rsidRPr="007158AD" w:rsidTr="00FD6D42">
        <w:trPr>
          <w:trHeight w:val="315"/>
        </w:trPr>
        <w:tc>
          <w:tcPr>
            <w:tcW w:w="2080" w:type="dxa"/>
            <w:tcBorders>
              <w:top w:val="nil"/>
              <w:left w:val="single" w:sz="4" w:space="0" w:color="auto"/>
              <w:bottom w:val="single" w:sz="4" w:space="0" w:color="auto"/>
              <w:right w:val="single" w:sz="4" w:space="0" w:color="auto"/>
            </w:tcBorders>
            <w:shd w:val="clear" w:color="auto" w:fill="auto"/>
            <w:vAlign w:val="center"/>
            <w:hideMark/>
          </w:tcPr>
          <w:p w:rsidR="008D06CF" w:rsidRPr="007158AD" w:rsidRDefault="008D06CF" w:rsidP="00FD6D42">
            <w:pPr>
              <w:rPr>
                <w:rFonts w:eastAsia="Times New Roman"/>
                <w:b/>
                <w:bCs/>
                <w:color w:val="000000"/>
                <w:sz w:val="24"/>
                <w:szCs w:val="24"/>
                <w:lang w:eastAsia="en-GB"/>
              </w:rPr>
            </w:pPr>
            <w:r w:rsidRPr="007158AD">
              <w:rPr>
                <w:rFonts w:eastAsia="Times New Roman"/>
                <w:b/>
                <w:bCs/>
                <w:color w:val="000000"/>
                <w:sz w:val="24"/>
                <w:szCs w:val="24"/>
                <w:lang w:val="en-US" w:eastAsia="en-GB"/>
              </w:rPr>
              <w:t>GREEN CLAUSES</w:t>
            </w:r>
          </w:p>
        </w:tc>
        <w:tc>
          <w:tcPr>
            <w:tcW w:w="6361" w:type="dxa"/>
            <w:gridSpan w:val="18"/>
            <w:tcBorders>
              <w:top w:val="single" w:sz="4" w:space="0" w:color="auto"/>
              <w:left w:val="nil"/>
              <w:bottom w:val="single" w:sz="4" w:space="0" w:color="auto"/>
              <w:right w:val="single" w:sz="4" w:space="0" w:color="auto"/>
            </w:tcBorders>
            <w:shd w:val="clear" w:color="auto" w:fill="auto"/>
            <w:vAlign w:val="center"/>
            <w:hideMark/>
          </w:tcPr>
          <w:p w:rsidR="008D06CF" w:rsidRPr="007158AD" w:rsidRDefault="008D06CF" w:rsidP="00FD6D42">
            <w:pPr>
              <w:rPr>
                <w:rFonts w:eastAsia="Times New Roman"/>
                <w:color w:val="000000"/>
                <w:sz w:val="24"/>
                <w:szCs w:val="24"/>
                <w:lang w:eastAsia="en-GB"/>
              </w:rPr>
            </w:pPr>
            <w:r w:rsidRPr="007158AD">
              <w:rPr>
                <w:rFonts w:eastAsia="Times New Roman"/>
                <w:color w:val="000000"/>
                <w:sz w:val="24"/>
                <w:szCs w:val="24"/>
                <w:lang w:eastAsia="en-GB"/>
              </w:rPr>
              <w:t> </w:t>
            </w:r>
          </w:p>
        </w:tc>
      </w:tr>
      <w:tr w:rsidR="008D06CF" w:rsidRPr="007158AD" w:rsidTr="00FD6D42">
        <w:trPr>
          <w:trHeight w:val="630"/>
        </w:trPr>
        <w:tc>
          <w:tcPr>
            <w:tcW w:w="2080" w:type="dxa"/>
            <w:tcBorders>
              <w:top w:val="nil"/>
              <w:left w:val="single" w:sz="4" w:space="0" w:color="auto"/>
              <w:bottom w:val="single" w:sz="4" w:space="0" w:color="auto"/>
              <w:right w:val="single" w:sz="4" w:space="0" w:color="auto"/>
            </w:tcBorders>
            <w:shd w:val="clear" w:color="000000" w:fill="9FFF9F"/>
            <w:vAlign w:val="center"/>
            <w:hideMark/>
          </w:tcPr>
          <w:p w:rsidR="008D06CF" w:rsidRPr="007158AD" w:rsidRDefault="008D06CF" w:rsidP="00FD6D42">
            <w:pPr>
              <w:rPr>
                <w:rFonts w:eastAsia="Times New Roman"/>
                <w:color w:val="000000"/>
                <w:sz w:val="24"/>
                <w:szCs w:val="24"/>
                <w:lang w:eastAsia="en-GB"/>
              </w:rPr>
            </w:pPr>
            <w:r w:rsidRPr="007158AD">
              <w:rPr>
                <w:rFonts w:eastAsia="Times New Roman"/>
                <w:color w:val="000000"/>
                <w:sz w:val="24"/>
                <w:szCs w:val="24"/>
                <w:lang w:val="en-US" w:eastAsia="en-GB"/>
              </w:rPr>
              <w:t>Sustainability statement</w:t>
            </w:r>
          </w:p>
        </w:tc>
        <w:tc>
          <w:tcPr>
            <w:tcW w:w="350" w:type="dxa"/>
            <w:tcBorders>
              <w:top w:val="nil"/>
              <w:left w:val="nil"/>
              <w:bottom w:val="single" w:sz="4" w:space="0" w:color="auto"/>
              <w:right w:val="single" w:sz="4" w:space="0" w:color="auto"/>
            </w:tcBorders>
            <w:shd w:val="clear" w:color="000000" w:fill="DDDDDD"/>
            <w:vAlign w:val="center"/>
            <w:hideMark/>
          </w:tcPr>
          <w:p w:rsidR="008D06CF" w:rsidRPr="007158AD" w:rsidRDefault="008D06CF" w:rsidP="00FD6D42">
            <w:pPr>
              <w:rPr>
                <w:rFonts w:eastAsia="Times New Roman"/>
                <w:color w:val="000000"/>
                <w:sz w:val="24"/>
                <w:szCs w:val="24"/>
                <w:lang w:eastAsia="en-GB"/>
              </w:rPr>
            </w:pPr>
            <w:r w:rsidRPr="007158AD">
              <w:rPr>
                <w:rFonts w:eastAsia="Times New Roman"/>
                <w:color w:val="000000"/>
                <w:sz w:val="24"/>
                <w:szCs w:val="24"/>
                <w:lang w:val="en-US" w:eastAsia="en-GB"/>
              </w:rPr>
              <w:t> </w:t>
            </w:r>
          </w:p>
        </w:tc>
        <w:tc>
          <w:tcPr>
            <w:tcW w:w="355" w:type="dxa"/>
            <w:tcBorders>
              <w:top w:val="nil"/>
              <w:left w:val="nil"/>
              <w:bottom w:val="single" w:sz="4" w:space="0" w:color="auto"/>
              <w:right w:val="single" w:sz="4" w:space="0" w:color="auto"/>
            </w:tcBorders>
            <w:shd w:val="clear" w:color="auto" w:fill="auto"/>
            <w:vAlign w:val="center"/>
            <w:hideMark/>
          </w:tcPr>
          <w:p w:rsidR="008D06CF" w:rsidRPr="007158AD" w:rsidRDefault="008D06CF" w:rsidP="00FD6D42">
            <w:pPr>
              <w:rPr>
                <w:rFonts w:eastAsia="Times New Roman"/>
                <w:color w:val="000000"/>
                <w:sz w:val="24"/>
                <w:szCs w:val="24"/>
                <w:lang w:eastAsia="en-GB"/>
              </w:rPr>
            </w:pPr>
            <w:r w:rsidRPr="007158AD">
              <w:rPr>
                <w:rFonts w:eastAsia="Times New Roman"/>
                <w:color w:val="000000"/>
                <w:sz w:val="24"/>
                <w:szCs w:val="24"/>
                <w:lang w:val="en-US" w:eastAsia="en-GB"/>
              </w:rPr>
              <w:t>*</w:t>
            </w:r>
          </w:p>
        </w:tc>
        <w:tc>
          <w:tcPr>
            <w:tcW w:w="319" w:type="dxa"/>
            <w:tcBorders>
              <w:top w:val="nil"/>
              <w:left w:val="nil"/>
              <w:bottom w:val="single" w:sz="4" w:space="0" w:color="auto"/>
              <w:right w:val="single" w:sz="4" w:space="0" w:color="auto"/>
            </w:tcBorders>
            <w:shd w:val="clear" w:color="000000" w:fill="DDDDDD"/>
            <w:vAlign w:val="center"/>
            <w:hideMark/>
          </w:tcPr>
          <w:p w:rsidR="008D06CF" w:rsidRPr="007158AD" w:rsidRDefault="008D06CF" w:rsidP="00FD6D42">
            <w:pPr>
              <w:rPr>
                <w:rFonts w:eastAsia="Times New Roman"/>
                <w:color w:val="000000"/>
                <w:sz w:val="24"/>
                <w:szCs w:val="24"/>
                <w:lang w:eastAsia="en-GB"/>
              </w:rPr>
            </w:pPr>
            <w:r w:rsidRPr="007158AD">
              <w:rPr>
                <w:rFonts w:eastAsia="Times New Roman"/>
                <w:color w:val="000000"/>
                <w:sz w:val="24"/>
                <w:szCs w:val="24"/>
                <w:lang w:val="en-US" w:eastAsia="en-GB"/>
              </w:rPr>
              <w:t> </w:t>
            </w:r>
          </w:p>
        </w:tc>
        <w:tc>
          <w:tcPr>
            <w:tcW w:w="319" w:type="dxa"/>
            <w:tcBorders>
              <w:top w:val="nil"/>
              <w:left w:val="nil"/>
              <w:bottom w:val="single" w:sz="4" w:space="0" w:color="auto"/>
              <w:right w:val="single" w:sz="4" w:space="0" w:color="auto"/>
            </w:tcBorders>
            <w:shd w:val="clear" w:color="auto" w:fill="auto"/>
            <w:vAlign w:val="center"/>
            <w:hideMark/>
          </w:tcPr>
          <w:p w:rsidR="008D06CF" w:rsidRPr="007158AD" w:rsidRDefault="008D06CF" w:rsidP="00FD6D42">
            <w:pPr>
              <w:rPr>
                <w:rFonts w:eastAsia="Times New Roman"/>
                <w:color w:val="000000"/>
                <w:sz w:val="24"/>
                <w:szCs w:val="24"/>
                <w:lang w:eastAsia="en-GB"/>
              </w:rPr>
            </w:pPr>
            <w:r w:rsidRPr="007158AD">
              <w:rPr>
                <w:rFonts w:eastAsia="Times New Roman"/>
                <w:color w:val="000000"/>
                <w:sz w:val="24"/>
                <w:szCs w:val="24"/>
                <w:lang w:val="en-US" w:eastAsia="en-GB"/>
              </w:rPr>
              <w:t>*</w:t>
            </w:r>
          </w:p>
        </w:tc>
        <w:tc>
          <w:tcPr>
            <w:tcW w:w="337" w:type="dxa"/>
            <w:tcBorders>
              <w:top w:val="nil"/>
              <w:left w:val="nil"/>
              <w:bottom w:val="single" w:sz="4" w:space="0" w:color="auto"/>
              <w:right w:val="single" w:sz="4" w:space="0" w:color="auto"/>
            </w:tcBorders>
            <w:shd w:val="clear" w:color="000000" w:fill="DDDDDD"/>
            <w:vAlign w:val="center"/>
            <w:hideMark/>
          </w:tcPr>
          <w:p w:rsidR="008D06CF" w:rsidRPr="007158AD" w:rsidRDefault="008D06CF" w:rsidP="00FD6D42">
            <w:pPr>
              <w:rPr>
                <w:rFonts w:eastAsia="Times New Roman"/>
                <w:color w:val="000000"/>
                <w:sz w:val="24"/>
                <w:szCs w:val="24"/>
                <w:lang w:eastAsia="en-GB"/>
              </w:rPr>
            </w:pPr>
            <w:r w:rsidRPr="007158AD">
              <w:rPr>
                <w:rFonts w:eastAsia="Times New Roman"/>
                <w:color w:val="000000"/>
                <w:sz w:val="24"/>
                <w:szCs w:val="24"/>
                <w:lang w:val="en-US" w:eastAsia="en-GB"/>
              </w:rPr>
              <w:t> </w:t>
            </w:r>
          </w:p>
        </w:tc>
        <w:tc>
          <w:tcPr>
            <w:tcW w:w="319" w:type="dxa"/>
            <w:tcBorders>
              <w:top w:val="nil"/>
              <w:left w:val="nil"/>
              <w:bottom w:val="single" w:sz="4" w:space="0" w:color="auto"/>
              <w:right w:val="single" w:sz="4" w:space="0" w:color="auto"/>
            </w:tcBorders>
            <w:shd w:val="clear" w:color="auto" w:fill="auto"/>
            <w:vAlign w:val="center"/>
            <w:hideMark/>
          </w:tcPr>
          <w:p w:rsidR="008D06CF" w:rsidRPr="007158AD" w:rsidRDefault="008D06CF" w:rsidP="00FD6D42">
            <w:pPr>
              <w:rPr>
                <w:rFonts w:eastAsia="Times New Roman"/>
                <w:color w:val="000000"/>
                <w:sz w:val="24"/>
                <w:szCs w:val="24"/>
                <w:lang w:eastAsia="en-GB"/>
              </w:rPr>
            </w:pPr>
            <w:r w:rsidRPr="007158AD">
              <w:rPr>
                <w:rFonts w:eastAsia="Times New Roman"/>
                <w:color w:val="000000"/>
                <w:sz w:val="24"/>
                <w:szCs w:val="24"/>
                <w:lang w:val="en-US" w:eastAsia="en-GB"/>
              </w:rPr>
              <w:t> </w:t>
            </w:r>
          </w:p>
        </w:tc>
        <w:tc>
          <w:tcPr>
            <w:tcW w:w="409" w:type="dxa"/>
            <w:tcBorders>
              <w:top w:val="nil"/>
              <w:left w:val="nil"/>
              <w:bottom w:val="single" w:sz="4" w:space="0" w:color="auto"/>
              <w:right w:val="single" w:sz="4" w:space="0" w:color="auto"/>
            </w:tcBorders>
            <w:shd w:val="clear" w:color="000000" w:fill="DDDDDD"/>
            <w:vAlign w:val="center"/>
            <w:hideMark/>
          </w:tcPr>
          <w:p w:rsidR="008D06CF" w:rsidRPr="007158AD" w:rsidRDefault="008D06CF" w:rsidP="00FD6D42">
            <w:pPr>
              <w:rPr>
                <w:rFonts w:eastAsia="Times New Roman"/>
                <w:color w:val="000000"/>
                <w:sz w:val="24"/>
                <w:szCs w:val="24"/>
                <w:lang w:eastAsia="en-GB"/>
              </w:rPr>
            </w:pPr>
            <w:r w:rsidRPr="007158AD">
              <w:rPr>
                <w:rFonts w:eastAsia="Times New Roman"/>
                <w:color w:val="000000"/>
                <w:sz w:val="24"/>
                <w:szCs w:val="24"/>
                <w:lang w:val="en-US" w:eastAsia="en-GB"/>
              </w:rPr>
              <w:t>*</w:t>
            </w:r>
          </w:p>
        </w:tc>
        <w:tc>
          <w:tcPr>
            <w:tcW w:w="334" w:type="dxa"/>
            <w:tcBorders>
              <w:top w:val="nil"/>
              <w:left w:val="nil"/>
              <w:bottom w:val="single" w:sz="4" w:space="0" w:color="auto"/>
              <w:right w:val="single" w:sz="4" w:space="0" w:color="auto"/>
            </w:tcBorders>
            <w:shd w:val="clear" w:color="auto" w:fill="auto"/>
            <w:vAlign w:val="center"/>
            <w:hideMark/>
          </w:tcPr>
          <w:p w:rsidR="008D06CF" w:rsidRPr="007158AD" w:rsidRDefault="008D06CF" w:rsidP="00FD6D42">
            <w:pPr>
              <w:rPr>
                <w:rFonts w:eastAsia="Times New Roman"/>
                <w:color w:val="000000"/>
                <w:sz w:val="24"/>
                <w:szCs w:val="24"/>
                <w:lang w:eastAsia="en-GB"/>
              </w:rPr>
            </w:pPr>
            <w:r w:rsidRPr="007158AD">
              <w:rPr>
                <w:rFonts w:eastAsia="Times New Roman"/>
                <w:color w:val="000000"/>
                <w:sz w:val="24"/>
                <w:szCs w:val="24"/>
                <w:lang w:val="en-US" w:eastAsia="en-GB"/>
              </w:rPr>
              <w:t> </w:t>
            </w:r>
          </w:p>
        </w:tc>
        <w:tc>
          <w:tcPr>
            <w:tcW w:w="367" w:type="dxa"/>
            <w:tcBorders>
              <w:top w:val="nil"/>
              <w:left w:val="nil"/>
              <w:bottom w:val="single" w:sz="4" w:space="0" w:color="auto"/>
              <w:right w:val="single" w:sz="4" w:space="0" w:color="auto"/>
            </w:tcBorders>
            <w:shd w:val="clear" w:color="000000" w:fill="DDDDDD"/>
            <w:vAlign w:val="center"/>
            <w:hideMark/>
          </w:tcPr>
          <w:p w:rsidR="008D06CF" w:rsidRPr="007158AD" w:rsidRDefault="008D06CF" w:rsidP="00FD6D42">
            <w:pPr>
              <w:rPr>
                <w:rFonts w:eastAsia="Times New Roman"/>
                <w:color w:val="000000"/>
                <w:sz w:val="24"/>
                <w:szCs w:val="24"/>
                <w:lang w:eastAsia="en-GB"/>
              </w:rPr>
            </w:pPr>
            <w:r w:rsidRPr="007158AD">
              <w:rPr>
                <w:rFonts w:eastAsia="Times New Roman"/>
                <w:color w:val="000000"/>
                <w:sz w:val="24"/>
                <w:szCs w:val="24"/>
                <w:lang w:val="en-US" w:eastAsia="en-GB"/>
              </w:rPr>
              <w:t> </w:t>
            </w:r>
          </w:p>
        </w:tc>
        <w:tc>
          <w:tcPr>
            <w:tcW w:w="340" w:type="dxa"/>
            <w:tcBorders>
              <w:top w:val="nil"/>
              <w:left w:val="nil"/>
              <w:bottom w:val="single" w:sz="4" w:space="0" w:color="auto"/>
              <w:right w:val="single" w:sz="4" w:space="0" w:color="auto"/>
            </w:tcBorders>
            <w:shd w:val="clear" w:color="auto" w:fill="auto"/>
            <w:vAlign w:val="center"/>
            <w:hideMark/>
          </w:tcPr>
          <w:p w:rsidR="008D06CF" w:rsidRPr="007158AD" w:rsidRDefault="008D06CF" w:rsidP="00FD6D42">
            <w:pPr>
              <w:rPr>
                <w:rFonts w:eastAsia="Times New Roman"/>
                <w:color w:val="000000"/>
                <w:sz w:val="24"/>
                <w:szCs w:val="24"/>
                <w:lang w:eastAsia="en-GB"/>
              </w:rPr>
            </w:pPr>
            <w:r w:rsidRPr="007158AD">
              <w:rPr>
                <w:rFonts w:eastAsia="Times New Roman"/>
                <w:color w:val="000000"/>
                <w:sz w:val="24"/>
                <w:szCs w:val="24"/>
                <w:lang w:val="en-US" w:eastAsia="en-GB"/>
              </w:rPr>
              <w:t> </w:t>
            </w:r>
          </w:p>
        </w:tc>
        <w:tc>
          <w:tcPr>
            <w:tcW w:w="320" w:type="dxa"/>
            <w:tcBorders>
              <w:top w:val="nil"/>
              <w:left w:val="nil"/>
              <w:bottom w:val="single" w:sz="4" w:space="0" w:color="auto"/>
              <w:right w:val="single" w:sz="4" w:space="0" w:color="auto"/>
            </w:tcBorders>
            <w:shd w:val="clear" w:color="000000" w:fill="DDDDDD"/>
            <w:vAlign w:val="center"/>
            <w:hideMark/>
          </w:tcPr>
          <w:p w:rsidR="008D06CF" w:rsidRPr="007158AD" w:rsidRDefault="008D06CF" w:rsidP="00FD6D42">
            <w:pPr>
              <w:rPr>
                <w:rFonts w:eastAsia="Times New Roman"/>
                <w:color w:val="000000"/>
                <w:sz w:val="24"/>
                <w:szCs w:val="24"/>
                <w:lang w:eastAsia="en-GB"/>
              </w:rPr>
            </w:pPr>
            <w:r w:rsidRPr="007158AD">
              <w:rPr>
                <w:rFonts w:eastAsia="Times New Roman"/>
                <w:color w:val="000000"/>
                <w:sz w:val="24"/>
                <w:szCs w:val="24"/>
                <w:lang w:val="en-US" w:eastAsia="en-GB"/>
              </w:rPr>
              <w:t>*</w:t>
            </w:r>
          </w:p>
        </w:tc>
        <w:tc>
          <w:tcPr>
            <w:tcW w:w="325" w:type="dxa"/>
            <w:tcBorders>
              <w:top w:val="nil"/>
              <w:left w:val="nil"/>
              <w:bottom w:val="single" w:sz="4" w:space="0" w:color="auto"/>
              <w:right w:val="single" w:sz="4" w:space="0" w:color="auto"/>
            </w:tcBorders>
            <w:shd w:val="clear" w:color="auto" w:fill="auto"/>
            <w:vAlign w:val="center"/>
            <w:hideMark/>
          </w:tcPr>
          <w:p w:rsidR="008D06CF" w:rsidRPr="007158AD" w:rsidRDefault="008D06CF" w:rsidP="00FD6D42">
            <w:pPr>
              <w:rPr>
                <w:rFonts w:eastAsia="Times New Roman"/>
                <w:color w:val="000000"/>
                <w:sz w:val="24"/>
                <w:szCs w:val="24"/>
                <w:lang w:eastAsia="en-GB"/>
              </w:rPr>
            </w:pPr>
            <w:r w:rsidRPr="007158AD">
              <w:rPr>
                <w:rFonts w:eastAsia="Times New Roman"/>
                <w:color w:val="000000"/>
                <w:sz w:val="24"/>
                <w:szCs w:val="24"/>
                <w:lang w:val="en-US" w:eastAsia="en-GB"/>
              </w:rPr>
              <w:t> </w:t>
            </w:r>
          </w:p>
        </w:tc>
        <w:tc>
          <w:tcPr>
            <w:tcW w:w="360" w:type="dxa"/>
            <w:tcBorders>
              <w:top w:val="nil"/>
              <w:left w:val="nil"/>
              <w:bottom w:val="single" w:sz="4" w:space="0" w:color="auto"/>
              <w:right w:val="single" w:sz="4" w:space="0" w:color="auto"/>
            </w:tcBorders>
            <w:shd w:val="clear" w:color="000000" w:fill="DDDDDD"/>
            <w:vAlign w:val="center"/>
            <w:hideMark/>
          </w:tcPr>
          <w:p w:rsidR="008D06CF" w:rsidRPr="007158AD" w:rsidRDefault="008D06CF" w:rsidP="00FD6D42">
            <w:pPr>
              <w:rPr>
                <w:rFonts w:eastAsia="Times New Roman"/>
                <w:color w:val="000000"/>
                <w:sz w:val="24"/>
                <w:szCs w:val="24"/>
                <w:lang w:eastAsia="en-GB"/>
              </w:rPr>
            </w:pPr>
            <w:r w:rsidRPr="007158AD">
              <w:rPr>
                <w:rFonts w:eastAsia="Times New Roman"/>
                <w:color w:val="000000"/>
                <w:sz w:val="24"/>
                <w:szCs w:val="24"/>
                <w:lang w:val="en-US" w:eastAsia="en-GB"/>
              </w:rPr>
              <w:t> </w:t>
            </w:r>
          </w:p>
        </w:tc>
        <w:tc>
          <w:tcPr>
            <w:tcW w:w="338" w:type="dxa"/>
            <w:tcBorders>
              <w:top w:val="nil"/>
              <w:left w:val="nil"/>
              <w:bottom w:val="single" w:sz="4" w:space="0" w:color="auto"/>
              <w:right w:val="single" w:sz="4" w:space="0" w:color="auto"/>
            </w:tcBorders>
            <w:shd w:val="clear" w:color="auto" w:fill="auto"/>
            <w:vAlign w:val="center"/>
            <w:hideMark/>
          </w:tcPr>
          <w:p w:rsidR="008D06CF" w:rsidRPr="007158AD" w:rsidRDefault="008D06CF" w:rsidP="00FD6D42">
            <w:pPr>
              <w:rPr>
                <w:rFonts w:eastAsia="Times New Roman"/>
                <w:color w:val="000000"/>
                <w:sz w:val="24"/>
                <w:szCs w:val="24"/>
                <w:lang w:eastAsia="en-GB"/>
              </w:rPr>
            </w:pPr>
            <w:r w:rsidRPr="007158AD">
              <w:rPr>
                <w:rFonts w:eastAsia="Times New Roman"/>
                <w:color w:val="000000"/>
                <w:sz w:val="24"/>
                <w:szCs w:val="24"/>
                <w:lang w:val="en-US" w:eastAsia="en-GB"/>
              </w:rPr>
              <w:t> </w:t>
            </w:r>
          </w:p>
        </w:tc>
        <w:tc>
          <w:tcPr>
            <w:tcW w:w="331" w:type="dxa"/>
            <w:tcBorders>
              <w:top w:val="nil"/>
              <w:left w:val="nil"/>
              <w:bottom w:val="single" w:sz="4" w:space="0" w:color="auto"/>
              <w:right w:val="single" w:sz="4" w:space="0" w:color="auto"/>
            </w:tcBorders>
            <w:shd w:val="clear" w:color="000000" w:fill="DDDDDD"/>
            <w:vAlign w:val="center"/>
            <w:hideMark/>
          </w:tcPr>
          <w:p w:rsidR="008D06CF" w:rsidRPr="007158AD" w:rsidRDefault="008D06CF" w:rsidP="00FD6D42">
            <w:pPr>
              <w:rPr>
                <w:rFonts w:eastAsia="Times New Roman"/>
                <w:color w:val="000000"/>
                <w:sz w:val="24"/>
                <w:szCs w:val="24"/>
                <w:lang w:eastAsia="en-GB"/>
              </w:rPr>
            </w:pPr>
            <w:r w:rsidRPr="007158AD">
              <w:rPr>
                <w:rFonts w:eastAsia="Times New Roman"/>
                <w:color w:val="000000"/>
                <w:sz w:val="24"/>
                <w:szCs w:val="24"/>
                <w:lang w:val="en-US" w:eastAsia="en-GB"/>
              </w:rPr>
              <w:t> </w:t>
            </w:r>
          </w:p>
        </w:tc>
        <w:tc>
          <w:tcPr>
            <w:tcW w:w="322" w:type="dxa"/>
            <w:tcBorders>
              <w:top w:val="nil"/>
              <w:left w:val="nil"/>
              <w:bottom w:val="single" w:sz="4" w:space="0" w:color="auto"/>
              <w:right w:val="single" w:sz="4" w:space="0" w:color="auto"/>
            </w:tcBorders>
            <w:shd w:val="clear" w:color="auto" w:fill="auto"/>
            <w:vAlign w:val="center"/>
            <w:hideMark/>
          </w:tcPr>
          <w:p w:rsidR="008D06CF" w:rsidRPr="007158AD" w:rsidRDefault="008D06CF" w:rsidP="00FD6D42">
            <w:pPr>
              <w:rPr>
                <w:rFonts w:eastAsia="Times New Roman"/>
                <w:color w:val="000000"/>
                <w:sz w:val="24"/>
                <w:szCs w:val="24"/>
                <w:lang w:eastAsia="en-GB"/>
              </w:rPr>
            </w:pPr>
            <w:r w:rsidRPr="007158AD">
              <w:rPr>
                <w:rFonts w:eastAsia="Times New Roman"/>
                <w:color w:val="000000"/>
                <w:sz w:val="24"/>
                <w:szCs w:val="24"/>
                <w:lang w:val="en-US" w:eastAsia="en-GB"/>
              </w:rPr>
              <w:t> </w:t>
            </w:r>
          </w:p>
        </w:tc>
        <w:tc>
          <w:tcPr>
            <w:tcW w:w="458" w:type="dxa"/>
            <w:tcBorders>
              <w:top w:val="nil"/>
              <w:left w:val="nil"/>
              <w:bottom w:val="single" w:sz="4" w:space="0" w:color="auto"/>
              <w:right w:val="single" w:sz="4" w:space="0" w:color="auto"/>
            </w:tcBorders>
            <w:shd w:val="clear" w:color="000000" w:fill="DDDDDD"/>
            <w:vAlign w:val="center"/>
            <w:hideMark/>
          </w:tcPr>
          <w:p w:rsidR="008D06CF" w:rsidRPr="007158AD" w:rsidRDefault="008D06CF" w:rsidP="00FD6D42">
            <w:pPr>
              <w:rPr>
                <w:rFonts w:eastAsia="Times New Roman"/>
                <w:color w:val="000000"/>
                <w:sz w:val="24"/>
                <w:szCs w:val="24"/>
                <w:lang w:eastAsia="en-GB"/>
              </w:rPr>
            </w:pPr>
            <w:r w:rsidRPr="007158AD">
              <w:rPr>
                <w:rFonts w:eastAsia="Times New Roman"/>
                <w:color w:val="000000"/>
                <w:sz w:val="24"/>
                <w:szCs w:val="24"/>
                <w:lang w:val="en-US" w:eastAsia="en-GB"/>
              </w:rPr>
              <w:t> </w:t>
            </w:r>
          </w:p>
        </w:tc>
        <w:tc>
          <w:tcPr>
            <w:tcW w:w="458" w:type="dxa"/>
            <w:tcBorders>
              <w:top w:val="nil"/>
              <w:left w:val="nil"/>
              <w:bottom w:val="single" w:sz="4" w:space="0" w:color="auto"/>
              <w:right w:val="single" w:sz="4" w:space="0" w:color="auto"/>
            </w:tcBorders>
            <w:shd w:val="clear" w:color="auto" w:fill="auto"/>
            <w:vAlign w:val="center"/>
            <w:hideMark/>
          </w:tcPr>
          <w:p w:rsidR="008D06CF" w:rsidRPr="007158AD" w:rsidRDefault="008D06CF" w:rsidP="00FD6D42">
            <w:pPr>
              <w:rPr>
                <w:rFonts w:eastAsia="Times New Roman"/>
                <w:color w:val="000000"/>
                <w:sz w:val="24"/>
                <w:szCs w:val="24"/>
                <w:lang w:eastAsia="en-GB"/>
              </w:rPr>
            </w:pPr>
            <w:r w:rsidRPr="007158AD">
              <w:rPr>
                <w:rFonts w:eastAsia="Times New Roman"/>
                <w:color w:val="000000"/>
                <w:sz w:val="24"/>
                <w:szCs w:val="24"/>
                <w:lang w:val="en-US" w:eastAsia="en-GB"/>
              </w:rPr>
              <w:t>*</w:t>
            </w:r>
          </w:p>
        </w:tc>
      </w:tr>
      <w:tr w:rsidR="008D06CF" w:rsidRPr="007158AD" w:rsidTr="00FD6D42">
        <w:trPr>
          <w:trHeight w:val="630"/>
        </w:trPr>
        <w:tc>
          <w:tcPr>
            <w:tcW w:w="2080" w:type="dxa"/>
            <w:tcBorders>
              <w:top w:val="nil"/>
              <w:left w:val="single" w:sz="4" w:space="0" w:color="auto"/>
              <w:bottom w:val="single" w:sz="4" w:space="0" w:color="auto"/>
              <w:right w:val="single" w:sz="4" w:space="0" w:color="auto"/>
            </w:tcBorders>
            <w:shd w:val="clear" w:color="000000" w:fill="9FFF9F"/>
            <w:vAlign w:val="center"/>
            <w:hideMark/>
          </w:tcPr>
          <w:p w:rsidR="008D06CF" w:rsidRPr="007158AD" w:rsidRDefault="008D06CF" w:rsidP="00FD6D42">
            <w:pPr>
              <w:rPr>
                <w:rFonts w:eastAsia="Times New Roman"/>
                <w:color w:val="000000"/>
                <w:sz w:val="24"/>
                <w:szCs w:val="24"/>
                <w:lang w:eastAsia="en-GB"/>
              </w:rPr>
            </w:pPr>
            <w:r w:rsidRPr="007158AD">
              <w:rPr>
                <w:rFonts w:eastAsia="Times New Roman"/>
                <w:color w:val="000000"/>
                <w:sz w:val="24"/>
                <w:szCs w:val="24"/>
                <w:lang w:val="en-US" w:eastAsia="en-GB"/>
              </w:rPr>
              <w:t>Environmental plan</w:t>
            </w:r>
          </w:p>
        </w:tc>
        <w:tc>
          <w:tcPr>
            <w:tcW w:w="350" w:type="dxa"/>
            <w:tcBorders>
              <w:top w:val="nil"/>
              <w:left w:val="nil"/>
              <w:bottom w:val="single" w:sz="4" w:space="0" w:color="auto"/>
              <w:right w:val="single" w:sz="4" w:space="0" w:color="auto"/>
            </w:tcBorders>
            <w:shd w:val="clear" w:color="000000" w:fill="DDDDDD"/>
            <w:vAlign w:val="center"/>
            <w:hideMark/>
          </w:tcPr>
          <w:p w:rsidR="008D06CF" w:rsidRPr="007158AD" w:rsidRDefault="008D06CF" w:rsidP="00FD6D42">
            <w:pPr>
              <w:rPr>
                <w:rFonts w:eastAsia="Times New Roman"/>
                <w:color w:val="000000"/>
                <w:sz w:val="24"/>
                <w:szCs w:val="24"/>
                <w:lang w:eastAsia="en-GB"/>
              </w:rPr>
            </w:pPr>
            <w:r w:rsidRPr="007158AD">
              <w:rPr>
                <w:rFonts w:eastAsia="Times New Roman"/>
                <w:color w:val="000000"/>
                <w:sz w:val="24"/>
                <w:szCs w:val="24"/>
                <w:lang w:val="en-US" w:eastAsia="en-GB"/>
              </w:rPr>
              <w:t> </w:t>
            </w:r>
          </w:p>
        </w:tc>
        <w:tc>
          <w:tcPr>
            <w:tcW w:w="355" w:type="dxa"/>
            <w:tcBorders>
              <w:top w:val="nil"/>
              <w:left w:val="nil"/>
              <w:bottom w:val="single" w:sz="4" w:space="0" w:color="auto"/>
              <w:right w:val="single" w:sz="4" w:space="0" w:color="auto"/>
            </w:tcBorders>
            <w:shd w:val="clear" w:color="auto" w:fill="auto"/>
            <w:vAlign w:val="center"/>
            <w:hideMark/>
          </w:tcPr>
          <w:p w:rsidR="008D06CF" w:rsidRPr="007158AD" w:rsidRDefault="008D06CF" w:rsidP="00FD6D42">
            <w:pPr>
              <w:rPr>
                <w:rFonts w:eastAsia="Times New Roman"/>
                <w:color w:val="000000"/>
                <w:sz w:val="24"/>
                <w:szCs w:val="24"/>
                <w:lang w:eastAsia="en-GB"/>
              </w:rPr>
            </w:pPr>
            <w:r w:rsidRPr="007158AD">
              <w:rPr>
                <w:rFonts w:eastAsia="Times New Roman"/>
                <w:color w:val="000000"/>
                <w:sz w:val="24"/>
                <w:szCs w:val="24"/>
                <w:lang w:val="en-US" w:eastAsia="en-GB"/>
              </w:rPr>
              <w:t>*</w:t>
            </w:r>
          </w:p>
        </w:tc>
        <w:tc>
          <w:tcPr>
            <w:tcW w:w="319" w:type="dxa"/>
            <w:tcBorders>
              <w:top w:val="nil"/>
              <w:left w:val="nil"/>
              <w:bottom w:val="single" w:sz="4" w:space="0" w:color="auto"/>
              <w:right w:val="single" w:sz="4" w:space="0" w:color="auto"/>
            </w:tcBorders>
            <w:shd w:val="clear" w:color="000000" w:fill="DDDDDD"/>
            <w:vAlign w:val="center"/>
            <w:hideMark/>
          </w:tcPr>
          <w:p w:rsidR="008D06CF" w:rsidRPr="007158AD" w:rsidRDefault="008D06CF" w:rsidP="00FD6D42">
            <w:pPr>
              <w:rPr>
                <w:rFonts w:eastAsia="Times New Roman"/>
                <w:color w:val="000000"/>
                <w:sz w:val="24"/>
                <w:szCs w:val="24"/>
                <w:lang w:eastAsia="en-GB"/>
              </w:rPr>
            </w:pPr>
            <w:r w:rsidRPr="007158AD">
              <w:rPr>
                <w:rFonts w:eastAsia="Times New Roman"/>
                <w:color w:val="000000"/>
                <w:sz w:val="24"/>
                <w:szCs w:val="24"/>
                <w:lang w:val="en-US" w:eastAsia="en-GB"/>
              </w:rPr>
              <w:t> </w:t>
            </w:r>
          </w:p>
        </w:tc>
        <w:tc>
          <w:tcPr>
            <w:tcW w:w="319" w:type="dxa"/>
            <w:tcBorders>
              <w:top w:val="nil"/>
              <w:left w:val="nil"/>
              <w:bottom w:val="single" w:sz="4" w:space="0" w:color="auto"/>
              <w:right w:val="single" w:sz="4" w:space="0" w:color="auto"/>
            </w:tcBorders>
            <w:shd w:val="clear" w:color="auto" w:fill="auto"/>
            <w:vAlign w:val="center"/>
            <w:hideMark/>
          </w:tcPr>
          <w:p w:rsidR="008D06CF" w:rsidRPr="007158AD" w:rsidRDefault="008D06CF" w:rsidP="00FD6D42">
            <w:pPr>
              <w:rPr>
                <w:rFonts w:eastAsia="Times New Roman"/>
                <w:color w:val="000000"/>
                <w:sz w:val="24"/>
                <w:szCs w:val="24"/>
                <w:lang w:eastAsia="en-GB"/>
              </w:rPr>
            </w:pPr>
            <w:r w:rsidRPr="007158AD">
              <w:rPr>
                <w:rFonts w:eastAsia="Times New Roman"/>
                <w:color w:val="000000"/>
                <w:sz w:val="24"/>
                <w:szCs w:val="24"/>
                <w:lang w:val="en-US" w:eastAsia="en-GB"/>
              </w:rPr>
              <w:t>*</w:t>
            </w:r>
          </w:p>
        </w:tc>
        <w:tc>
          <w:tcPr>
            <w:tcW w:w="337" w:type="dxa"/>
            <w:tcBorders>
              <w:top w:val="nil"/>
              <w:left w:val="nil"/>
              <w:bottom w:val="single" w:sz="4" w:space="0" w:color="auto"/>
              <w:right w:val="single" w:sz="4" w:space="0" w:color="auto"/>
            </w:tcBorders>
            <w:shd w:val="clear" w:color="000000" w:fill="DDDDDD"/>
            <w:vAlign w:val="center"/>
            <w:hideMark/>
          </w:tcPr>
          <w:p w:rsidR="008D06CF" w:rsidRPr="007158AD" w:rsidRDefault="008D06CF" w:rsidP="00FD6D42">
            <w:pPr>
              <w:rPr>
                <w:rFonts w:eastAsia="Times New Roman"/>
                <w:color w:val="000000"/>
                <w:sz w:val="24"/>
                <w:szCs w:val="24"/>
                <w:lang w:eastAsia="en-GB"/>
              </w:rPr>
            </w:pPr>
            <w:r w:rsidRPr="007158AD">
              <w:rPr>
                <w:rFonts w:eastAsia="Times New Roman"/>
                <w:color w:val="000000"/>
                <w:sz w:val="24"/>
                <w:szCs w:val="24"/>
                <w:lang w:val="en-US" w:eastAsia="en-GB"/>
              </w:rPr>
              <w:t> </w:t>
            </w:r>
          </w:p>
        </w:tc>
        <w:tc>
          <w:tcPr>
            <w:tcW w:w="319" w:type="dxa"/>
            <w:tcBorders>
              <w:top w:val="nil"/>
              <w:left w:val="nil"/>
              <w:bottom w:val="single" w:sz="4" w:space="0" w:color="auto"/>
              <w:right w:val="single" w:sz="4" w:space="0" w:color="auto"/>
            </w:tcBorders>
            <w:shd w:val="clear" w:color="auto" w:fill="auto"/>
            <w:vAlign w:val="center"/>
            <w:hideMark/>
          </w:tcPr>
          <w:p w:rsidR="008D06CF" w:rsidRPr="007158AD" w:rsidRDefault="008D06CF" w:rsidP="00FD6D42">
            <w:pPr>
              <w:rPr>
                <w:rFonts w:eastAsia="Times New Roman"/>
                <w:color w:val="000000"/>
                <w:sz w:val="24"/>
                <w:szCs w:val="24"/>
                <w:lang w:eastAsia="en-GB"/>
              </w:rPr>
            </w:pPr>
            <w:r w:rsidRPr="007158AD">
              <w:rPr>
                <w:rFonts w:eastAsia="Times New Roman"/>
                <w:color w:val="000000"/>
                <w:sz w:val="24"/>
                <w:szCs w:val="24"/>
                <w:lang w:val="en-US" w:eastAsia="en-GB"/>
              </w:rPr>
              <w:t>*</w:t>
            </w:r>
          </w:p>
        </w:tc>
        <w:tc>
          <w:tcPr>
            <w:tcW w:w="409" w:type="dxa"/>
            <w:tcBorders>
              <w:top w:val="nil"/>
              <w:left w:val="nil"/>
              <w:bottom w:val="single" w:sz="4" w:space="0" w:color="auto"/>
              <w:right w:val="single" w:sz="4" w:space="0" w:color="auto"/>
            </w:tcBorders>
            <w:shd w:val="clear" w:color="000000" w:fill="DDDDDD"/>
            <w:vAlign w:val="center"/>
            <w:hideMark/>
          </w:tcPr>
          <w:p w:rsidR="008D06CF" w:rsidRPr="007158AD" w:rsidRDefault="008D06CF" w:rsidP="00FD6D42">
            <w:pPr>
              <w:rPr>
                <w:rFonts w:eastAsia="Times New Roman"/>
                <w:color w:val="000000"/>
                <w:sz w:val="24"/>
                <w:szCs w:val="24"/>
                <w:lang w:eastAsia="en-GB"/>
              </w:rPr>
            </w:pPr>
            <w:r w:rsidRPr="007158AD">
              <w:rPr>
                <w:rFonts w:eastAsia="Times New Roman"/>
                <w:color w:val="000000"/>
                <w:sz w:val="24"/>
                <w:szCs w:val="24"/>
                <w:lang w:val="en-US" w:eastAsia="en-GB"/>
              </w:rPr>
              <w:t>*</w:t>
            </w:r>
          </w:p>
        </w:tc>
        <w:tc>
          <w:tcPr>
            <w:tcW w:w="334" w:type="dxa"/>
            <w:tcBorders>
              <w:top w:val="nil"/>
              <w:left w:val="nil"/>
              <w:bottom w:val="single" w:sz="4" w:space="0" w:color="auto"/>
              <w:right w:val="single" w:sz="4" w:space="0" w:color="auto"/>
            </w:tcBorders>
            <w:shd w:val="clear" w:color="auto" w:fill="auto"/>
            <w:vAlign w:val="center"/>
            <w:hideMark/>
          </w:tcPr>
          <w:p w:rsidR="008D06CF" w:rsidRPr="007158AD" w:rsidRDefault="008D06CF" w:rsidP="00FD6D42">
            <w:pPr>
              <w:rPr>
                <w:rFonts w:eastAsia="Times New Roman"/>
                <w:color w:val="000000"/>
                <w:sz w:val="24"/>
                <w:szCs w:val="24"/>
                <w:lang w:eastAsia="en-GB"/>
              </w:rPr>
            </w:pPr>
            <w:r w:rsidRPr="007158AD">
              <w:rPr>
                <w:rFonts w:eastAsia="Times New Roman"/>
                <w:color w:val="000000"/>
                <w:sz w:val="24"/>
                <w:szCs w:val="24"/>
                <w:lang w:val="en-US" w:eastAsia="en-GB"/>
              </w:rPr>
              <w:t> </w:t>
            </w:r>
          </w:p>
        </w:tc>
        <w:tc>
          <w:tcPr>
            <w:tcW w:w="367" w:type="dxa"/>
            <w:tcBorders>
              <w:top w:val="nil"/>
              <w:left w:val="nil"/>
              <w:bottom w:val="single" w:sz="4" w:space="0" w:color="auto"/>
              <w:right w:val="single" w:sz="4" w:space="0" w:color="auto"/>
            </w:tcBorders>
            <w:shd w:val="clear" w:color="000000" w:fill="DDDDDD"/>
            <w:vAlign w:val="center"/>
            <w:hideMark/>
          </w:tcPr>
          <w:p w:rsidR="008D06CF" w:rsidRPr="007158AD" w:rsidRDefault="008D06CF" w:rsidP="00FD6D42">
            <w:pPr>
              <w:rPr>
                <w:rFonts w:eastAsia="Times New Roman"/>
                <w:color w:val="000000"/>
                <w:sz w:val="24"/>
                <w:szCs w:val="24"/>
                <w:lang w:eastAsia="en-GB"/>
              </w:rPr>
            </w:pPr>
            <w:r w:rsidRPr="007158AD">
              <w:rPr>
                <w:rFonts w:eastAsia="Times New Roman"/>
                <w:color w:val="000000"/>
                <w:sz w:val="24"/>
                <w:szCs w:val="24"/>
                <w:lang w:val="en-US" w:eastAsia="en-GB"/>
              </w:rPr>
              <w:t> </w:t>
            </w:r>
          </w:p>
        </w:tc>
        <w:tc>
          <w:tcPr>
            <w:tcW w:w="340" w:type="dxa"/>
            <w:tcBorders>
              <w:top w:val="nil"/>
              <w:left w:val="nil"/>
              <w:bottom w:val="single" w:sz="4" w:space="0" w:color="auto"/>
              <w:right w:val="single" w:sz="4" w:space="0" w:color="auto"/>
            </w:tcBorders>
            <w:shd w:val="clear" w:color="auto" w:fill="auto"/>
            <w:vAlign w:val="center"/>
            <w:hideMark/>
          </w:tcPr>
          <w:p w:rsidR="008D06CF" w:rsidRPr="007158AD" w:rsidRDefault="008D06CF" w:rsidP="00FD6D42">
            <w:pPr>
              <w:rPr>
                <w:rFonts w:eastAsia="Times New Roman"/>
                <w:color w:val="000000"/>
                <w:sz w:val="24"/>
                <w:szCs w:val="24"/>
                <w:lang w:eastAsia="en-GB"/>
              </w:rPr>
            </w:pPr>
            <w:r w:rsidRPr="007158AD">
              <w:rPr>
                <w:rFonts w:eastAsia="Times New Roman"/>
                <w:color w:val="000000"/>
                <w:sz w:val="24"/>
                <w:szCs w:val="24"/>
                <w:lang w:val="en-US" w:eastAsia="en-GB"/>
              </w:rPr>
              <w:t>*</w:t>
            </w:r>
          </w:p>
        </w:tc>
        <w:tc>
          <w:tcPr>
            <w:tcW w:w="320" w:type="dxa"/>
            <w:tcBorders>
              <w:top w:val="nil"/>
              <w:left w:val="nil"/>
              <w:bottom w:val="single" w:sz="4" w:space="0" w:color="auto"/>
              <w:right w:val="single" w:sz="4" w:space="0" w:color="auto"/>
            </w:tcBorders>
            <w:shd w:val="clear" w:color="000000" w:fill="DDDDDD"/>
            <w:vAlign w:val="center"/>
            <w:hideMark/>
          </w:tcPr>
          <w:p w:rsidR="008D06CF" w:rsidRPr="007158AD" w:rsidRDefault="008D06CF" w:rsidP="00FD6D42">
            <w:pPr>
              <w:rPr>
                <w:rFonts w:eastAsia="Times New Roman"/>
                <w:color w:val="000000"/>
                <w:sz w:val="24"/>
                <w:szCs w:val="24"/>
                <w:lang w:eastAsia="en-GB"/>
              </w:rPr>
            </w:pPr>
            <w:r w:rsidRPr="007158AD">
              <w:rPr>
                <w:rFonts w:eastAsia="Times New Roman"/>
                <w:color w:val="000000"/>
                <w:sz w:val="24"/>
                <w:szCs w:val="24"/>
                <w:lang w:val="en-US" w:eastAsia="en-GB"/>
              </w:rPr>
              <w:t>*</w:t>
            </w:r>
          </w:p>
        </w:tc>
        <w:tc>
          <w:tcPr>
            <w:tcW w:w="325" w:type="dxa"/>
            <w:tcBorders>
              <w:top w:val="nil"/>
              <w:left w:val="nil"/>
              <w:bottom w:val="single" w:sz="4" w:space="0" w:color="auto"/>
              <w:right w:val="single" w:sz="4" w:space="0" w:color="auto"/>
            </w:tcBorders>
            <w:shd w:val="clear" w:color="auto" w:fill="auto"/>
            <w:vAlign w:val="center"/>
            <w:hideMark/>
          </w:tcPr>
          <w:p w:rsidR="008D06CF" w:rsidRPr="007158AD" w:rsidRDefault="008D06CF" w:rsidP="00FD6D42">
            <w:pPr>
              <w:rPr>
                <w:rFonts w:eastAsia="Times New Roman"/>
                <w:color w:val="000000"/>
                <w:sz w:val="24"/>
                <w:szCs w:val="24"/>
                <w:lang w:eastAsia="en-GB"/>
              </w:rPr>
            </w:pPr>
            <w:r w:rsidRPr="007158AD">
              <w:rPr>
                <w:rFonts w:eastAsia="Times New Roman"/>
                <w:color w:val="000000"/>
                <w:sz w:val="24"/>
                <w:szCs w:val="24"/>
                <w:lang w:val="en-US" w:eastAsia="en-GB"/>
              </w:rPr>
              <w:t> </w:t>
            </w:r>
          </w:p>
        </w:tc>
        <w:tc>
          <w:tcPr>
            <w:tcW w:w="360" w:type="dxa"/>
            <w:tcBorders>
              <w:top w:val="nil"/>
              <w:left w:val="nil"/>
              <w:bottom w:val="single" w:sz="4" w:space="0" w:color="auto"/>
              <w:right w:val="single" w:sz="4" w:space="0" w:color="auto"/>
            </w:tcBorders>
            <w:shd w:val="clear" w:color="000000" w:fill="DDDDDD"/>
            <w:vAlign w:val="center"/>
            <w:hideMark/>
          </w:tcPr>
          <w:p w:rsidR="008D06CF" w:rsidRPr="007158AD" w:rsidRDefault="008D06CF" w:rsidP="00FD6D42">
            <w:pPr>
              <w:rPr>
                <w:rFonts w:eastAsia="Times New Roman"/>
                <w:color w:val="000000"/>
                <w:sz w:val="24"/>
                <w:szCs w:val="24"/>
                <w:lang w:eastAsia="en-GB"/>
              </w:rPr>
            </w:pPr>
            <w:r w:rsidRPr="007158AD">
              <w:rPr>
                <w:rFonts w:eastAsia="Times New Roman"/>
                <w:color w:val="000000"/>
                <w:sz w:val="24"/>
                <w:szCs w:val="24"/>
                <w:lang w:val="en-US" w:eastAsia="en-GB"/>
              </w:rPr>
              <w:t> </w:t>
            </w:r>
          </w:p>
        </w:tc>
        <w:tc>
          <w:tcPr>
            <w:tcW w:w="338" w:type="dxa"/>
            <w:tcBorders>
              <w:top w:val="nil"/>
              <w:left w:val="nil"/>
              <w:bottom w:val="single" w:sz="4" w:space="0" w:color="auto"/>
              <w:right w:val="single" w:sz="4" w:space="0" w:color="auto"/>
            </w:tcBorders>
            <w:shd w:val="clear" w:color="auto" w:fill="auto"/>
            <w:vAlign w:val="center"/>
            <w:hideMark/>
          </w:tcPr>
          <w:p w:rsidR="008D06CF" w:rsidRPr="007158AD" w:rsidRDefault="008D06CF" w:rsidP="00FD6D42">
            <w:pPr>
              <w:rPr>
                <w:rFonts w:eastAsia="Times New Roman"/>
                <w:color w:val="000000"/>
                <w:sz w:val="24"/>
                <w:szCs w:val="24"/>
                <w:lang w:eastAsia="en-GB"/>
              </w:rPr>
            </w:pPr>
            <w:r w:rsidRPr="007158AD">
              <w:rPr>
                <w:rFonts w:eastAsia="Times New Roman"/>
                <w:color w:val="000000"/>
                <w:sz w:val="24"/>
                <w:szCs w:val="24"/>
                <w:lang w:val="en-US" w:eastAsia="en-GB"/>
              </w:rPr>
              <w:t> </w:t>
            </w:r>
          </w:p>
        </w:tc>
        <w:tc>
          <w:tcPr>
            <w:tcW w:w="331" w:type="dxa"/>
            <w:tcBorders>
              <w:top w:val="nil"/>
              <w:left w:val="nil"/>
              <w:bottom w:val="single" w:sz="4" w:space="0" w:color="auto"/>
              <w:right w:val="single" w:sz="4" w:space="0" w:color="auto"/>
            </w:tcBorders>
            <w:shd w:val="clear" w:color="000000" w:fill="DDDDDD"/>
            <w:vAlign w:val="center"/>
            <w:hideMark/>
          </w:tcPr>
          <w:p w:rsidR="008D06CF" w:rsidRPr="007158AD" w:rsidRDefault="008D06CF" w:rsidP="00FD6D42">
            <w:pPr>
              <w:rPr>
                <w:rFonts w:eastAsia="Times New Roman"/>
                <w:color w:val="000000"/>
                <w:sz w:val="24"/>
                <w:szCs w:val="24"/>
                <w:lang w:eastAsia="en-GB"/>
              </w:rPr>
            </w:pPr>
            <w:r w:rsidRPr="007158AD">
              <w:rPr>
                <w:rFonts w:eastAsia="Times New Roman"/>
                <w:color w:val="000000"/>
                <w:sz w:val="24"/>
                <w:szCs w:val="24"/>
                <w:lang w:val="en-US" w:eastAsia="en-GB"/>
              </w:rPr>
              <w:t> </w:t>
            </w:r>
          </w:p>
        </w:tc>
        <w:tc>
          <w:tcPr>
            <w:tcW w:w="322" w:type="dxa"/>
            <w:tcBorders>
              <w:top w:val="nil"/>
              <w:left w:val="nil"/>
              <w:bottom w:val="single" w:sz="4" w:space="0" w:color="auto"/>
              <w:right w:val="single" w:sz="4" w:space="0" w:color="auto"/>
            </w:tcBorders>
            <w:shd w:val="clear" w:color="auto" w:fill="auto"/>
            <w:vAlign w:val="center"/>
            <w:hideMark/>
          </w:tcPr>
          <w:p w:rsidR="008D06CF" w:rsidRPr="007158AD" w:rsidRDefault="008D06CF" w:rsidP="00FD6D42">
            <w:pPr>
              <w:rPr>
                <w:rFonts w:eastAsia="Times New Roman"/>
                <w:color w:val="000000"/>
                <w:sz w:val="24"/>
                <w:szCs w:val="24"/>
                <w:lang w:eastAsia="en-GB"/>
              </w:rPr>
            </w:pPr>
            <w:r w:rsidRPr="007158AD">
              <w:rPr>
                <w:rFonts w:eastAsia="Times New Roman"/>
                <w:color w:val="000000"/>
                <w:sz w:val="24"/>
                <w:szCs w:val="24"/>
                <w:lang w:val="en-US" w:eastAsia="en-GB"/>
              </w:rPr>
              <w:t>*</w:t>
            </w:r>
          </w:p>
        </w:tc>
        <w:tc>
          <w:tcPr>
            <w:tcW w:w="458" w:type="dxa"/>
            <w:tcBorders>
              <w:top w:val="nil"/>
              <w:left w:val="nil"/>
              <w:bottom w:val="single" w:sz="4" w:space="0" w:color="auto"/>
              <w:right w:val="single" w:sz="4" w:space="0" w:color="auto"/>
            </w:tcBorders>
            <w:shd w:val="clear" w:color="000000" w:fill="DDDDDD"/>
            <w:vAlign w:val="center"/>
            <w:hideMark/>
          </w:tcPr>
          <w:p w:rsidR="008D06CF" w:rsidRPr="007158AD" w:rsidRDefault="008D06CF" w:rsidP="00FD6D42">
            <w:pPr>
              <w:rPr>
                <w:rFonts w:eastAsia="Times New Roman"/>
                <w:color w:val="000000"/>
                <w:sz w:val="24"/>
                <w:szCs w:val="24"/>
                <w:lang w:eastAsia="en-GB"/>
              </w:rPr>
            </w:pPr>
            <w:r w:rsidRPr="007158AD">
              <w:rPr>
                <w:rFonts w:eastAsia="Times New Roman"/>
                <w:color w:val="000000"/>
                <w:sz w:val="24"/>
                <w:szCs w:val="24"/>
                <w:lang w:val="en-US" w:eastAsia="en-GB"/>
              </w:rPr>
              <w:t> </w:t>
            </w:r>
          </w:p>
        </w:tc>
        <w:tc>
          <w:tcPr>
            <w:tcW w:w="458" w:type="dxa"/>
            <w:tcBorders>
              <w:top w:val="nil"/>
              <w:left w:val="nil"/>
              <w:bottom w:val="single" w:sz="4" w:space="0" w:color="auto"/>
              <w:right w:val="single" w:sz="4" w:space="0" w:color="auto"/>
            </w:tcBorders>
            <w:shd w:val="clear" w:color="auto" w:fill="auto"/>
            <w:vAlign w:val="center"/>
            <w:hideMark/>
          </w:tcPr>
          <w:p w:rsidR="008D06CF" w:rsidRPr="007158AD" w:rsidRDefault="008D06CF" w:rsidP="00FD6D42">
            <w:pPr>
              <w:rPr>
                <w:rFonts w:eastAsia="Times New Roman"/>
                <w:color w:val="000000"/>
                <w:sz w:val="24"/>
                <w:szCs w:val="24"/>
                <w:lang w:eastAsia="en-GB"/>
              </w:rPr>
            </w:pPr>
            <w:r w:rsidRPr="007158AD">
              <w:rPr>
                <w:rFonts w:eastAsia="Times New Roman"/>
                <w:color w:val="000000"/>
                <w:sz w:val="24"/>
                <w:szCs w:val="24"/>
                <w:lang w:val="en-US" w:eastAsia="en-GB"/>
              </w:rPr>
              <w:t>*</w:t>
            </w:r>
          </w:p>
        </w:tc>
      </w:tr>
      <w:tr w:rsidR="008D06CF" w:rsidRPr="007158AD" w:rsidTr="00FD6D42">
        <w:trPr>
          <w:trHeight w:val="945"/>
        </w:trPr>
        <w:tc>
          <w:tcPr>
            <w:tcW w:w="2080" w:type="dxa"/>
            <w:tcBorders>
              <w:top w:val="nil"/>
              <w:left w:val="single" w:sz="4" w:space="0" w:color="auto"/>
              <w:bottom w:val="single" w:sz="4" w:space="0" w:color="auto"/>
              <w:right w:val="single" w:sz="4" w:space="0" w:color="auto"/>
            </w:tcBorders>
            <w:shd w:val="clear" w:color="000000" w:fill="9FFF9F"/>
            <w:vAlign w:val="center"/>
            <w:hideMark/>
          </w:tcPr>
          <w:p w:rsidR="008D06CF" w:rsidRPr="007158AD" w:rsidRDefault="008D06CF" w:rsidP="00FD6D42">
            <w:pPr>
              <w:rPr>
                <w:rFonts w:eastAsia="Times New Roman"/>
                <w:color w:val="000000"/>
                <w:sz w:val="24"/>
                <w:szCs w:val="24"/>
                <w:lang w:eastAsia="en-GB"/>
              </w:rPr>
            </w:pPr>
            <w:r w:rsidRPr="007158AD">
              <w:rPr>
                <w:rFonts w:eastAsia="Times New Roman"/>
                <w:color w:val="000000"/>
                <w:sz w:val="24"/>
                <w:szCs w:val="24"/>
                <w:lang w:val="en-US" w:eastAsia="en-GB"/>
              </w:rPr>
              <w:t>Comply with environmental plan</w:t>
            </w:r>
          </w:p>
        </w:tc>
        <w:tc>
          <w:tcPr>
            <w:tcW w:w="350" w:type="dxa"/>
            <w:tcBorders>
              <w:top w:val="nil"/>
              <w:left w:val="nil"/>
              <w:bottom w:val="single" w:sz="4" w:space="0" w:color="auto"/>
              <w:right w:val="single" w:sz="4" w:space="0" w:color="auto"/>
            </w:tcBorders>
            <w:shd w:val="clear" w:color="000000" w:fill="DDDDDD"/>
            <w:vAlign w:val="center"/>
            <w:hideMark/>
          </w:tcPr>
          <w:p w:rsidR="008D06CF" w:rsidRPr="007158AD" w:rsidRDefault="008D06CF" w:rsidP="00FD6D42">
            <w:pPr>
              <w:rPr>
                <w:rFonts w:eastAsia="Times New Roman"/>
                <w:color w:val="000000"/>
                <w:sz w:val="24"/>
                <w:szCs w:val="24"/>
                <w:lang w:eastAsia="en-GB"/>
              </w:rPr>
            </w:pPr>
            <w:r w:rsidRPr="007158AD">
              <w:rPr>
                <w:rFonts w:eastAsia="Times New Roman"/>
                <w:color w:val="000000"/>
                <w:sz w:val="24"/>
                <w:szCs w:val="24"/>
                <w:lang w:val="en-US" w:eastAsia="en-GB"/>
              </w:rPr>
              <w:t> </w:t>
            </w:r>
          </w:p>
        </w:tc>
        <w:tc>
          <w:tcPr>
            <w:tcW w:w="355" w:type="dxa"/>
            <w:tcBorders>
              <w:top w:val="nil"/>
              <w:left w:val="nil"/>
              <w:bottom w:val="single" w:sz="4" w:space="0" w:color="auto"/>
              <w:right w:val="single" w:sz="4" w:space="0" w:color="auto"/>
            </w:tcBorders>
            <w:shd w:val="clear" w:color="auto" w:fill="auto"/>
            <w:vAlign w:val="center"/>
            <w:hideMark/>
          </w:tcPr>
          <w:p w:rsidR="008D06CF" w:rsidRPr="007158AD" w:rsidRDefault="008D06CF" w:rsidP="00FD6D42">
            <w:pPr>
              <w:rPr>
                <w:rFonts w:eastAsia="Times New Roman"/>
                <w:color w:val="000000"/>
                <w:sz w:val="24"/>
                <w:szCs w:val="24"/>
                <w:lang w:eastAsia="en-GB"/>
              </w:rPr>
            </w:pPr>
            <w:r w:rsidRPr="007158AD">
              <w:rPr>
                <w:rFonts w:eastAsia="Times New Roman"/>
                <w:color w:val="000000"/>
                <w:sz w:val="24"/>
                <w:szCs w:val="24"/>
                <w:lang w:val="en-US" w:eastAsia="en-GB"/>
              </w:rPr>
              <w:t> </w:t>
            </w:r>
          </w:p>
        </w:tc>
        <w:tc>
          <w:tcPr>
            <w:tcW w:w="319" w:type="dxa"/>
            <w:tcBorders>
              <w:top w:val="nil"/>
              <w:left w:val="nil"/>
              <w:bottom w:val="single" w:sz="4" w:space="0" w:color="auto"/>
              <w:right w:val="single" w:sz="4" w:space="0" w:color="auto"/>
            </w:tcBorders>
            <w:shd w:val="clear" w:color="000000" w:fill="DDDDDD"/>
            <w:vAlign w:val="center"/>
            <w:hideMark/>
          </w:tcPr>
          <w:p w:rsidR="008D06CF" w:rsidRPr="007158AD" w:rsidRDefault="008D06CF" w:rsidP="00FD6D42">
            <w:pPr>
              <w:rPr>
                <w:rFonts w:eastAsia="Times New Roman"/>
                <w:color w:val="000000"/>
                <w:sz w:val="24"/>
                <w:szCs w:val="24"/>
                <w:lang w:eastAsia="en-GB"/>
              </w:rPr>
            </w:pPr>
            <w:r w:rsidRPr="007158AD">
              <w:rPr>
                <w:rFonts w:eastAsia="Times New Roman"/>
                <w:color w:val="000000"/>
                <w:sz w:val="24"/>
                <w:szCs w:val="24"/>
                <w:lang w:val="en-US" w:eastAsia="en-GB"/>
              </w:rPr>
              <w:t>*</w:t>
            </w:r>
          </w:p>
        </w:tc>
        <w:tc>
          <w:tcPr>
            <w:tcW w:w="319" w:type="dxa"/>
            <w:tcBorders>
              <w:top w:val="nil"/>
              <w:left w:val="nil"/>
              <w:bottom w:val="single" w:sz="4" w:space="0" w:color="auto"/>
              <w:right w:val="single" w:sz="4" w:space="0" w:color="auto"/>
            </w:tcBorders>
            <w:shd w:val="clear" w:color="auto" w:fill="auto"/>
            <w:vAlign w:val="center"/>
            <w:hideMark/>
          </w:tcPr>
          <w:p w:rsidR="008D06CF" w:rsidRPr="007158AD" w:rsidRDefault="008D06CF" w:rsidP="00FD6D42">
            <w:pPr>
              <w:rPr>
                <w:rFonts w:eastAsia="Times New Roman"/>
                <w:color w:val="000000"/>
                <w:sz w:val="24"/>
                <w:szCs w:val="24"/>
                <w:lang w:eastAsia="en-GB"/>
              </w:rPr>
            </w:pPr>
            <w:r w:rsidRPr="007158AD">
              <w:rPr>
                <w:rFonts w:eastAsia="Times New Roman"/>
                <w:color w:val="000000"/>
                <w:sz w:val="24"/>
                <w:szCs w:val="24"/>
                <w:lang w:val="en-US" w:eastAsia="en-GB"/>
              </w:rPr>
              <w:t> </w:t>
            </w:r>
          </w:p>
        </w:tc>
        <w:tc>
          <w:tcPr>
            <w:tcW w:w="337" w:type="dxa"/>
            <w:tcBorders>
              <w:top w:val="nil"/>
              <w:left w:val="nil"/>
              <w:bottom w:val="single" w:sz="4" w:space="0" w:color="auto"/>
              <w:right w:val="single" w:sz="4" w:space="0" w:color="auto"/>
            </w:tcBorders>
            <w:shd w:val="clear" w:color="000000" w:fill="DDDDDD"/>
            <w:vAlign w:val="center"/>
            <w:hideMark/>
          </w:tcPr>
          <w:p w:rsidR="008D06CF" w:rsidRPr="007158AD" w:rsidRDefault="008D06CF" w:rsidP="00FD6D42">
            <w:pPr>
              <w:rPr>
                <w:rFonts w:eastAsia="Times New Roman"/>
                <w:color w:val="000000"/>
                <w:sz w:val="24"/>
                <w:szCs w:val="24"/>
                <w:lang w:eastAsia="en-GB"/>
              </w:rPr>
            </w:pPr>
            <w:r w:rsidRPr="007158AD">
              <w:rPr>
                <w:rFonts w:eastAsia="Times New Roman"/>
                <w:color w:val="000000"/>
                <w:sz w:val="24"/>
                <w:szCs w:val="24"/>
                <w:lang w:val="en-US" w:eastAsia="en-GB"/>
              </w:rPr>
              <w:t> </w:t>
            </w:r>
          </w:p>
        </w:tc>
        <w:tc>
          <w:tcPr>
            <w:tcW w:w="319" w:type="dxa"/>
            <w:tcBorders>
              <w:top w:val="nil"/>
              <w:left w:val="nil"/>
              <w:bottom w:val="single" w:sz="4" w:space="0" w:color="auto"/>
              <w:right w:val="single" w:sz="4" w:space="0" w:color="auto"/>
            </w:tcBorders>
            <w:shd w:val="clear" w:color="auto" w:fill="auto"/>
            <w:vAlign w:val="center"/>
            <w:hideMark/>
          </w:tcPr>
          <w:p w:rsidR="008D06CF" w:rsidRPr="007158AD" w:rsidRDefault="008D06CF" w:rsidP="00FD6D42">
            <w:pPr>
              <w:rPr>
                <w:rFonts w:eastAsia="Times New Roman"/>
                <w:color w:val="000000"/>
                <w:sz w:val="24"/>
                <w:szCs w:val="24"/>
                <w:lang w:eastAsia="en-GB"/>
              </w:rPr>
            </w:pPr>
            <w:r w:rsidRPr="007158AD">
              <w:rPr>
                <w:rFonts w:eastAsia="Times New Roman"/>
                <w:color w:val="000000"/>
                <w:sz w:val="24"/>
                <w:szCs w:val="24"/>
                <w:lang w:val="en-US" w:eastAsia="en-GB"/>
              </w:rPr>
              <w:t> </w:t>
            </w:r>
          </w:p>
        </w:tc>
        <w:tc>
          <w:tcPr>
            <w:tcW w:w="409" w:type="dxa"/>
            <w:tcBorders>
              <w:top w:val="nil"/>
              <w:left w:val="nil"/>
              <w:bottom w:val="single" w:sz="4" w:space="0" w:color="auto"/>
              <w:right w:val="single" w:sz="4" w:space="0" w:color="auto"/>
            </w:tcBorders>
            <w:shd w:val="clear" w:color="000000" w:fill="DDDDDD"/>
            <w:vAlign w:val="center"/>
            <w:hideMark/>
          </w:tcPr>
          <w:p w:rsidR="008D06CF" w:rsidRPr="007158AD" w:rsidRDefault="008D06CF" w:rsidP="00FD6D42">
            <w:pPr>
              <w:rPr>
                <w:rFonts w:eastAsia="Times New Roman"/>
                <w:color w:val="000000"/>
                <w:sz w:val="24"/>
                <w:szCs w:val="24"/>
                <w:lang w:eastAsia="en-GB"/>
              </w:rPr>
            </w:pPr>
            <w:r w:rsidRPr="007158AD">
              <w:rPr>
                <w:rFonts w:eastAsia="Times New Roman"/>
                <w:color w:val="000000"/>
                <w:sz w:val="24"/>
                <w:szCs w:val="24"/>
                <w:lang w:val="en-US" w:eastAsia="en-GB"/>
              </w:rPr>
              <w:t> </w:t>
            </w:r>
          </w:p>
        </w:tc>
        <w:tc>
          <w:tcPr>
            <w:tcW w:w="334" w:type="dxa"/>
            <w:tcBorders>
              <w:top w:val="nil"/>
              <w:left w:val="nil"/>
              <w:bottom w:val="single" w:sz="4" w:space="0" w:color="auto"/>
              <w:right w:val="single" w:sz="4" w:space="0" w:color="auto"/>
            </w:tcBorders>
            <w:shd w:val="clear" w:color="auto" w:fill="auto"/>
            <w:vAlign w:val="center"/>
            <w:hideMark/>
          </w:tcPr>
          <w:p w:rsidR="008D06CF" w:rsidRPr="007158AD" w:rsidRDefault="008D06CF" w:rsidP="00FD6D42">
            <w:pPr>
              <w:rPr>
                <w:rFonts w:eastAsia="Times New Roman"/>
                <w:color w:val="000000"/>
                <w:sz w:val="24"/>
                <w:szCs w:val="24"/>
                <w:lang w:eastAsia="en-GB"/>
              </w:rPr>
            </w:pPr>
            <w:r w:rsidRPr="007158AD">
              <w:rPr>
                <w:rFonts w:eastAsia="Times New Roman"/>
                <w:color w:val="000000"/>
                <w:sz w:val="24"/>
                <w:szCs w:val="24"/>
                <w:lang w:val="en-US" w:eastAsia="en-GB"/>
              </w:rPr>
              <w:t> </w:t>
            </w:r>
          </w:p>
        </w:tc>
        <w:tc>
          <w:tcPr>
            <w:tcW w:w="367" w:type="dxa"/>
            <w:tcBorders>
              <w:top w:val="nil"/>
              <w:left w:val="nil"/>
              <w:bottom w:val="single" w:sz="4" w:space="0" w:color="auto"/>
              <w:right w:val="single" w:sz="4" w:space="0" w:color="auto"/>
            </w:tcBorders>
            <w:shd w:val="clear" w:color="000000" w:fill="DDDDDD"/>
            <w:vAlign w:val="center"/>
            <w:hideMark/>
          </w:tcPr>
          <w:p w:rsidR="008D06CF" w:rsidRPr="007158AD" w:rsidRDefault="008D06CF" w:rsidP="00FD6D42">
            <w:pPr>
              <w:rPr>
                <w:rFonts w:eastAsia="Times New Roman"/>
                <w:color w:val="000000"/>
                <w:sz w:val="24"/>
                <w:szCs w:val="24"/>
                <w:lang w:eastAsia="en-GB"/>
              </w:rPr>
            </w:pPr>
            <w:r w:rsidRPr="007158AD">
              <w:rPr>
                <w:rFonts w:eastAsia="Times New Roman"/>
                <w:color w:val="000000"/>
                <w:sz w:val="24"/>
                <w:szCs w:val="24"/>
                <w:lang w:val="en-US" w:eastAsia="en-GB"/>
              </w:rPr>
              <w:t> </w:t>
            </w:r>
          </w:p>
        </w:tc>
        <w:tc>
          <w:tcPr>
            <w:tcW w:w="340" w:type="dxa"/>
            <w:tcBorders>
              <w:top w:val="nil"/>
              <w:left w:val="nil"/>
              <w:bottom w:val="single" w:sz="4" w:space="0" w:color="auto"/>
              <w:right w:val="single" w:sz="4" w:space="0" w:color="auto"/>
            </w:tcBorders>
            <w:shd w:val="clear" w:color="auto" w:fill="auto"/>
            <w:vAlign w:val="center"/>
            <w:hideMark/>
          </w:tcPr>
          <w:p w:rsidR="008D06CF" w:rsidRPr="007158AD" w:rsidRDefault="008D06CF" w:rsidP="00FD6D42">
            <w:pPr>
              <w:rPr>
                <w:rFonts w:eastAsia="Times New Roman"/>
                <w:color w:val="000000"/>
                <w:sz w:val="24"/>
                <w:szCs w:val="24"/>
                <w:lang w:eastAsia="en-GB"/>
              </w:rPr>
            </w:pPr>
            <w:r w:rsidRPr="007158AD">
              <w:rPr>
                <w:rFonts w:eastAsia="Times New Roman"/>
                <w:color w:val="000000"/>
                <w:sz w:val="24"/>
                <w:szCs w:val="24"/>
                <w:lang w:val="en-US" w:eastAsia="en-GB"/>
              </w:rPr>
              <w:t> </w:t>
            </w:r>
          </w:p>
        </w:tc>
        <w:tc>
          <w:tcPr>
            <w:tcW w:w="320" w:type="dxa"/>
            <w:tcBorders>
              <w:top w:val="nil"/>
              <w:left w:val="nil"/>
              <w:bottom w:val="single" w:sz="4" w:space="0" w:color="auto"/>
              <w:right w:val="single" w:sz="4" w:space="0" w:color="auto"/>
            </w:tcBorders>
            <w:shd w:val="clear" w:color="000000" w:fill="DDDDDD"/>
            <w:vAlign w:val="center"/>
            <w:hideMark/>
          </w:tcPr>
          <w:p w:rsidR="008D06CF" w:rsidRPr="007158AD" w:rsidRDefault="008D06CF" w:rsidP="00FD6D42">
            <w:pPr>
              <w:rPr>
                <w:rFonts w:eastAsia="Times New Roman"/>
                <w:color w:val="000000"/>
                <w:sz w:val="24"/>
                <w:szCs w:val="24"/>
                <w:lang w:eastAsia="en-GB"/>
              </w:rPr>
            </w:pPr>
            <w:r w:rsidRPr="007158AD">
              <w:rPr>
                <w:rFonts w:eastAsia="Times New Roman"/>
                <w:color w:val="000000"/>
                <w:sz w:val="24"/>
                <w:szCs w:val="24"/>
                <w:lang w:val="en-US" w:eastAsia="en-GB"/>
              </w:rPr>
              <w:t>*</w:t>
            </w:r>
          </w:p>
        </w:tc>
        <w:tc>
          <w:tcPr>
            <w:tcW w:w="325" w:type="dxa"/>
            <w:tcBorders>
              <w:top w:val="nil"/>
              <w:left w:val="nil"/>
              <w:bottom w:val="single" w:sz="4" w:space="0" w:color="auto"/>
              <w:right w:val="single" w:sz="4" w:space="0" w:color="auto"/>
            </w:tcBorders>
            <w:shd w:val="clear" w:color="auto" w:fill="auto"/>
            <w:vAlign w:val="center"/>
            <w:hideMark/>
          </w:tcPr>
          <w:p w:rsidR="008D06CF" w:rsidRPr="007158AD" w:rsidRDefault="008D06CF" w:rsidP="00FD6D42">
            <w:pPr>
              <w:rPr>
                <w:rFonts w:eastAsia="Times New Roman"/>
                <w:color w:val="000000"/>
                <w:sz w:val="24"/>
                <w:szCs w:val="24"/>
                <w:lang w:eastAsia="en-GB"/>
              </w:rPr>
            </w:pPr>
            <w:r w:rsidRPr="007158AD">
              <w:rPr>
                <w:rFonts w:eastAsia="Times New Roman"/>
                <w:color w:val="000000"/>
                <w:sz w:val="24"/>
                <w:szCs w:val="24"/>
                <w:lang w:val="en-US" w:eastAsia="en-GB"/>
              </w:rPr>
              <w:t> </w:t>
            </w:r>
          </w:p>
        </w:tc>
        <w:tc>
          <w:tcPr>
            <w:tcW w:w="360" w:type="dxa"/>
            <w:tcBorders>
              <w:top w:val="nil"/>
              <w:left w:val="nil"/>
              <w:bottom w:val="single" w:sz="4" w:space="0" w:color="auto"/>
              <w:right w:val="single" w:sz="4" w:space="0" w:color="auto"/>
            </w:tcBorders>
            <w:shd w:val="clear" w:color="000000" w:fill="DDDDDD"/>
            <w:vAlign w:val="center"/>
            <w:hideMark/>
          </w:tcPr>
          <w:p w:rsidR="008D06CF" w:rsidRPr="007158AD" w:rsidRDefault="008D06CF" w:rsidP="00FD6D42">
            <w:pPr>
              <w:rPr>
                <w:rFonts w:eastAsia="Times New Roman"/>
                <w:color w:val="000000"/>
                <w:sz w:val="24"/>
                <w:szCs w:val="24"/>
                <w:lang w:eastAsia="en-GB"/>
              </w:rPr>
            </w:pPr>
            <w:r w:rsidRPr="007158AD">
              <w:rPr>
                <w:rFonts w:eastAsia="Times New Roman"/>
                <w:color w:val="000000"/>
                <w:sz w:val="24"/>
                <w:szCs w:val="24"/>
                <w:lang w:val="en-US" w:eastAsia="en-GB"/>
              </w:rPr>
              <w:t> </w:t>
            </w:r>
          </w:p>
        </w:tc>
        <w:tc>
          <w:tcPr>
            <w:tcW w:w="338" w:type="dxa"/>
            <w:tcBorders>
              <w:top w:val="nil"/>
              <w:left w:val="nil"/>
              <w:bottom w:val="single" w:sz="4" w:space="0" w:color="auto"/>
              <w:right w:val="single" w:sz="4" w:space="0" w:color="auto"/>
            </w:tcBorders>
            <w:shd w:val="clear" w:color="auto" w:fill="auto"/>
            <w:vAlign w:val="center"/>
            <w:hideMark/>
          </w:tcPr>
          <w:p w:rsidR="008D06CF" w:rsidRPr="007158AD" w:rsidRDefault="008D06CF" w:rsidP="00FD6D42">
            <w:pPr>
              <w:rPr>
                <w:rFonts w:eastAsia="Times New Roman"/>
                <w:color w:val="000000"/>
                <w:sz w:val="24"/>
                <w:szCs w:val="24"/>
                <w:lang w:eastAsia="en-GB"/>
              </w:rPr>
            </w:pPr>
            <w:r w:rsidRPr="007158AD">
              <w:rPr>
                <w:rFonts w:eastAsia="Times New Roman"/>
                <w:color w:val="000000"/>
                <w:sz w:val="24"/>
                <w:szCs w:val="24"/>
                <w:lang w:val="en-US" w:eastAsia="en-GB"/>
              </w:rPr>
              <w:t> </w:t>
            </w:r>
          </w:p>
        </w:tc>
        <w:tc>
          <w:tcPr>
            <w:tcW w:w="331" w:type="dxa"/>
            <w:tcBorders>
              <w:top w:val="nil"/>
              <w:left w:val="nil"/>
              <w:bottom w:val="single" w:sz="4" w:space="0" w:color="auto"/>
              <w:right w:val="single" w:sz="4" w:space="0" w:color="auto"/>
            </w:tcBorders>
            <w:shd w:val="clear" w:color="000000" w:fill="DDDDDD"/>
            <w:vAlign w:val="center"/>
            <w:hideMark/>
          </w:tcPr>
          <w:p w:rsidR="008D06CF" w:rsidRPr="007158AD" w:rsidRDefault="008D06CF" w:rsidP="00FD6D42">
            <w:pPr>
              <w:rPr>
                <w:rFonts w:eastAsia="Times New Roman"/>
                <w:color w:val="000000"/>
                <w:sz w:val="24"/>
                <w:szCs w:val="24"/>
                <w:lang w:eastAsia="en-GB"/>
              </w:rPr>
            </w:pPr>
            <w:r w:rsidRPr="007158AD">
              <w:rPr>
                <w:rFonts w:eastAsia="Times New Roman"/>
                <w:color w:val="000000"/>
                <w:sz w:val="24"/>
                <w:szCs w:val="24"/>
                <w:lang w:val="en-US" w:eastAsia="en-GB"/>
              </w:rPr>
              <w:t> </w:t>
            </w:r>
          </w:p>
        </w:tc>
        <w:tc>
          <w:tcPr>
            <w:tcW w:w="322" w:type="dxa"/>
            <w:tcBorders>
              <w:top w:val="nil"/>
              <w:left w:val="nil"/>
              <w:bottom w:val="single" w:sz="4" w:space="0" w:color="auto"/>
              <w:right w:val="single" w:sz="4" w:space="0" w:color="auto"/>
            </w:tcBorders>
            <w:shd w:val="clear" w:color="auto" w:fill="auto"/>
            <w:vAlign w:val="center"/>
            <w:hideMark/>
          </w:tcPr>
          <w:p w:rsidR="008D06CF" w:rsidRPr="007158AD" w:rsidRDefault="008D06CF" w:rsidP="00FD6D42">
            <w:pPr>
              <w:rPr>
                <w:rFonts w:eastAsia="Times New Roman"/>
                <w:color w:val="000000"/>
                <w:sz w:val="24"/>
                <w:szCs w:val="24"/>
                <w:lang w:eastAsia="en-GB"/>
              </w:rPr>
            </w:pPr>
            <w:r w:rsidRPr="007158AD">
              <w:rPr>
                <w:rFonts w:eastAsia="Times New Roman"/>
                <w:color w:val="000000"/>
                <w:sz w:val="24"/>
                <w:szCs w:val="24"/>
                <w:lang w:val="en-US" w:eastAsia="en-GB"/>
              </w:rPr>
              <w:t> </w:t>
            </w:r>
          </w:p>
        </w:tc>
        <w:tc>
          <w:tcPr>
            <w:tcW w:w="458" w:type="dxa"/>
            <w:tcBorders>
              <w:top w:val="nil"/>
              <w:left w:val="nil"/>
              <w:bottom w:val="single" w:sz="4" w:space="0" w:color="auto"/>
              <w:right w:val="single" w:sz="4" w:space="0" w:color="auto"/>
            </w:tcBorders>
            <w:shd w:val="clear" w:color="000000" w:fill="DDDDDD"/>
            <w:vAlign w:val="center"/>
            <w:hideMark/>
          </w:tcPr>
          <w:p w:rsidR="008D06CF" w:rsidRPr="007158AD" w:rsidRDefault="008D06CF" w:rsidP="00FD6D42">
            <w:pPr>
              <w:rPr>
                <w:rFonts w:eastAsia="Times New Roman"/>
                <w:color w:val="000000"/>
                <w:sz w:val="24"/>
                <w:szCs w:val="24"/>
                <w:lang w:eastAsia="en-GB"/>
              </w:rPr>
            </w:pPr>
            <w:r w:rsidRPr="007158AD">
              <w:rPr>
                <w:rFonts w:eastAsia="Times New Roman"/>
                <w:color w:val="000000"/>
                <w:sz w:val="24"/>
                <w:szCs w:val="24"/>
                <w:lang w:eastAsia="en-GB"/>
              </w:rPr>
              <w:t> </w:t>
            </w:r>
          </w:p>
        </w:tc>
        <w:tc>
          <w:tcPr>
            <w:tcW w:w="458" w:type="dxa"/>
            <w:tcBorders>
              <w:top w:val="nil"/>
              <w:left w:val="nil"/>
              <w:bottom w:val="single" w:sz="4" w:space="0" w:color="auto"/>
              <w:right w:val="single" w:sz="4" w:space="0" w:color="auto"/>
            </w:tcBorders>
            <w:shd w:val="clear" w:color="auto" w:fill="auto"/>
            <w:vAlign w:val="center"/>
            <w:hideMark/>
          </w:tcPr>
          <w:p w:rsidR="008D06CF" w:rsidRPr="007158AD" w:rsidRDefault="008D06CF" w:rsidP="00FD6D42">
            <w:pPr>
              <w:rPr>
                <w:rFonts w:eastAsia="Times New Roman"/>
                <w:color w:val="000000"/>
                <w:sz w:val="24"/>
                <w:szCs w:val="24"/>
                <w:lang w:eastAsia="en-GB"/>
              </w:rPr>
            </w:pPr>
            <w:r w:rsidRPr="007158AD">
              <w:rPr>
                <w:rFonts w:eastAsia="Times New Roman"/>
                <w:color w:val="000000"/>
                <w:sz w:val="24"/>
                <w:szCs w:val="24"/>
                <w:lang w:val="en-US" w:eastAsia="en-GB"/>
              </w:rPr>
              <w:t> </w:t>
            </w:r>
          </w:p>
        </w:tc>
      </w:tr>
      <w:tr w:rsidR="008D06CF" w:rsidRPr="007158AD" w:rsidTr="00FD6D42">
        <w:trPr>
          <w:trHeight w:val="630"/>
        </w:trPr>
        <w:tc>
          <w:tcPr>
            <w:tcW w:w="2080" w:type="dxa"/>
            <w:tcBorders>
              <w:top w:val="nil"/>
              <w:left w:val="single" w:sz="4" w:space="0" w:color="auto"/>
              <w:bottom w:val="single" w:sz="4" w:space="0" w:color="auto"/>
              <w:right w:val="single" w:sz="4" w:space="0" w:color="auto"/>
            </w:tcBorders>
            <w:shd w:val="clear" w:color="000000" w:fill="9FFF9F"/>
            <w:vAlign w:val="center"/>
            <w:hideMark/>
          </w:tcPr>
          <w:p w:rsidR="008D06CF" w:rsidRPr="007158AD" w:rsidRDefault="008D06CF" w:rsidP="00FD6D42">
            <w:pPr>
              <w:rPr>
                <w:rFonts w:eastAsia="Times New Roman"/>
                <w:color w:val="000000"/>
                <w:sz w:val="24"/>
                <w:szCs w:val="24"/>
                <w:lang w:eastAsia="en-GB"/>
              </w:rPr>
            </w:pPr>
            <w:r w:rsidRPr="007158AD">
              <w:rPr>
                <w:rFonts w:eastAsia="Times New Roman"/>
                <w:color w:val="000000"/>
                <w:sz w:val="24"/>
                <w:szCs w:val="24"/>
                <w:lang w:val="en-US" w:eastAsia="en-GB"/>
              </w:rPr>
              <w:lastRenderedPageBreak/>
              <w:t>Alterations and Repairs</w:t>
            </w:r>
          </w:p>
        </w:tc>
        <w:tc>
          <w:tcPr>
            <w:tcW w:w="350" w:type="dxa"/>
            <w:tcBorders>
              <w:top w:val="nil"/>
              <w:left w:val="nil"/>
              <w:bottom w:val="single" w:sz="4" w:space="0" w:color="auto"/>
              <w:right w:val="single" w:sz="4" w:space="0" w:color="auto"/>
            </w:tcBorders>
            <w:shd w:val="clear" w:color="000000" w:fill="DDDDDD"/>
            <w:vAlign w:val="center"/>
            <w:hideMark/>
          </w:tcPr>
          <w:p w:rsidR="008D06CF" w:rsidRPr="007158AD" w:rsidRDefault="008D06CF" w:rsidP="00FD6D42">
            <w:pPr>
              <w:rPr>
                <w:rFonts w:eastAsia="Times New Roman"/>
                <w:color w:val="000000"/>
                <w:sz w:val="24"/>
                <w:szCs w:val="24"/>
                <w:lang w:eastAsia="en-GB"/>
              </w:rPr>
            </w:pPr>
            <w:r w:rsidRPr="007158AD">
              <w:rPr>
                <w:rFonts w:eastAsia="Times New Roman"/>
                <w:color w:val="000000"/>
                <w:sz w:val="24"/>
                <w:szCs w:val="24"/>
                <w:lang w:val="en-US" w:eastAsia="en-GB"/>
              </w:rPr>
              <w:t>*</w:t>
            </w:r>
          </w:p>
        </w:tc>
        <w:tc>
          <w:tcPr>
            <w:tcW w:w="355" w:type="dxa"/>
            <w:tcBorders>
              <w:top w:val="nil"/>
              <w:left w:val="nil"/>
              <w:bottom w:val="single" w:sz="4" w:space="0" w:color="auto"/>
              <w:right w:val="single" w:sz="4" w:space="0" w:color="auto"/>
            </w:tcBorders>
            <w:shd w:val="clear" w:color="auto" w:fill="auto"/>
            <w:vAlign w:val="center"/>
            <w:hideMark/>
          </w:tcPr>
          <w:p w:rsidR="008D06CF" w:rsidRPr="007158AD" w:rsidRDefault="008D06CF" w:rsidP="00FD6D42">
            <w:pPr>
              <w:rPr>
                <w:rFonts w:eastAsia="Times New Roman"/>
                <w:color w:val="000000"/>
                <w:sz w:val="24"/>
                <w:szCs w:val="24"/>
                <w:lang w:eastAsia="en-GB"/>
              </w:rPr>
            </w:pPr>
            <w:r w:rsidRPr="007158AD">
              <w:rPr>
                <w:rFonts w:eastAsia="Times New Roman"/>
                <w:color w:val="000000"/>
                <w:sz w:val="24"/>
                <w:szCs w:val="24"/>
                <w:lang w:val="en-US" w:eastAsia="en-GB"/>
              </w:rPr>
              <w:t>*</w:t>
            </w:r>
          </w:p>
        </w:tc>
        <w:tc>
          <w:tcPr>
            <w:tcW w:w="319" w:type="dxa"/>
            <w:tcBorders>
              <w:top w:val="nil"/>
              <w:left w:val="nil"/>
              <w:bottom w:val="single" w:sz="4" w:space="0" w:color="auto"/>
              <w:right w:val="single" w:sz="4" w:space="0" w:color="auto"/>
            </w:tcBorders>
            <w:shd w:val="clear" w:color="000000" w:fill="DDDDDD"/>
            <w:vAlign w:val="center"/>
            <w:hideMark/>
          </w:tcPr>
          <w:p w:rsidR="008D06CF" w:rsidRPr="007158AD" w:rsidRDefault="008D06CF" w:rsidP="00FD6D42">
            <w:pPr>
              <w:rPr>
                <w:rFonts w:eastAsia="Times New Roman"/>
                <w:color w:val="000000"/>
                <w:sz w:val="24"/>
                <w:szCs w:val="24"/>
                <w:lang w:eastAsia="en-GB"/>
              </w:rPr>
            </w:pPr>
            <w:r w:rsidRPr="007158AD">
              <w:rPr>
                <w:rFonts w:eastAsia="Times New Roman"/>
                <w:color w:val="000000"/>
                <w:sz w:val="24"/>
                <w:szCs w:val="24"/>
                <w:lang w:val="en-US" w:eastAsia="en-GB"/>
              </w:rPr>
              <w:t>*</w:t>
            </w:r>
          </w:p>
        </w:tc>
        <w:tc>
          <w:tcPr>
            <w:tcW w:w="319" w:type="dxa"/>
            <w:tcBorders>
              <w:top w:val="nil"/>
              <w:left w:val="nil"/>
              <w:bottom w:val="single" w:sz="4" w:space="0" w:color="auto"/>
              <w:right w:val="single" w:sz="4" w:space="0" w:color="auto"/>
            </w:tcBorders>
            <w:shd w:val="clear" w:color="auto" w:fill="auto"/>
            <w:vAlign w:val="center"/>
            <w:hideMark/>
          </w:tcPr>
          <w:p w:rsidR="008D06CF" w:rsidRPr="007158AD" w:rsidRDefault="008D06CF" w:rsidP="00FD6D42">
            <w:pPr>
              <w:rPr>
                <w:rFonts w:eastAsia="Times New Roman"/>
                <w:color w:val="000000"/>
                <w:sz w:val="24"/>
                <w:szCs w:val="24"/>
                <w:lang w:eastAsia="en-GB"/>
              </w:rPr>
            </w:pPr>
            <w:r w:rsidRPr="007158AD">
              <w:rPr>
                <w:rFonts w:eastAsia="Times New Roman"/>
                <w:color w:val="000000"/>
                <w:sz w:val="24"/>
                <w:szCs w:val="24"/>
                <w:lang w:val="en-US" w:eastAsia="en-GB"/>
              </w:rPr>
              <w:t>*</w:t>
            </w:r>
          </w:p>
        </w:tc>
        <w:tc>
          <w:tcPr>
            <w:tcW w:w="337" w:type="dxa"/>
            <w:tcBorders>
              <w:top w:val="nil"/>
              <w:left w:val="nil"/>
              <w:bottom w:val="single" w:sz="4" w:space="0" w:color="auto"/>
              <w:right w:val="single" w:sz="4" w:space="0" w:color="auto"/>
            </w:tcBorders>
            <w:shd w:val="clear" w:color="000000" w:fill="DDDDDD"/>
            <w:vAlign w:val="center"/>
            <w:hideMark/>
          </w:tcPr>
          <w:p w:rsidR="008D06CF" w:rsidRPr="007158AD" w:rsidRDefault="008D06CF" w:rsidP="00FD6D42">
            <w:pPr>
              <w:rPr>
                <w:rFonts w:eastAsia="Times New Roman"/>
                <w:color w:val="000000"/>
                <w:sz w:val="24"/>
                <w:szCs w:val="24"/>
                <w:lang w:eastAsia="en-GB"/>
              </w:rPr>
            </w:pPr>
            <w:r w:rsidRPr="007158AD">
              <w:rPr>
                <w:rFonts w:eastAsia="Times New Roman"/>
                <w:color w:val="000000"/>
                <w:sz w:val="24"/>
                <w:szCs w:val="24"/>
                <w:lang w:val="en-US" w:eastAsia="en-GB"/>
              </w:rPr>
              <w:t>*</w:t>
            </w:r>
          </w:p>
        </w:tc>
        <w:tc>
          <w:tcPr>
            <w:tcW w:w="319" w:type="dxa"/>
            <w:tcBorders>
              <w:top w:val="nil"/>
              <w:left w:val="nil"/>
              <w:bottom w:val="single" w:sz="4" w:space="0" w:color="auto"/>
              <w:right w:val="single" w:sz="4" w:space="0" w:color="auto"/>
            </w:tcBorders>
            <w:shd w:val="clear" w:color="auto" w:fill="auto"/>
            <w:vAlign w:val="center"/>
            <w:hideMark/>
          </w:tcPr>
          <w:p w:rsidR="008D06CF" w:rsidRPr="007158AD" w:rsidRDefault="008D06CF" w:rsidP="00FD6D42">
            <w:pPr>
              <w:rPr>
                <w:rFonts w:eastAsia="Times New Roman"/>
                <w:color w:val="000000"/>
                <w:sz w:val="24"/>
                <w:szCs w:val="24"/>
                <w:lang w:eastAsia="en-GB"/>
              </w:rPr>
            </w:pPr>
            <w:r w:rsidRPr="007158AD">
              <w:rPr>
                <w:rFonts w:eastAsia="Times New Roman"/>
                <w:color w:val="000000"/>
                <w:sz w:val="24"/>
                <w:szCs w:val="24"/>
                <w:lang w:val="en-US" w:eastAsia="en-GB"/>
              </w:rPr>
              <w:t> </w:t>
            </w:r>
          </w:p>
        </w:tc>
        <w:tc>
          <w:tcPr>
            <w:tcW w:w="409" w:type="dxa"/>
            <w:tcBorders>
              <w:top w:val="nil"/>
              <w:left w:val="nil"/>
              <w:bottom w:val="single" w:sz="4" w:space="0" w:color="auto"/>
              <w:right w:val="single" w:sz="4" w:space="0" w:color="auto"/>
            </w:tcBorders>
            <w:shd w:val="clear" w:color="000000" w:fill="DDDDDD"/>
            <w:vAlign w:val="center"/>
            <w:hideMark/>
          </w:tcPr>
          <w:p w:rsidR="008D06CF" w:rsidRPr="007158AD" w:rsidRDefault="008D06CF" w:rsidP="00FD6D42">
            <w:pPr>
              <w:rPr>
                <w:rFonts w:eastAsia="Times New Roman"/>
                <w:color w:val="000000"/>
                <w:sz w:val="24"/>
                <w:szCs w:val="24"/>
                <w:lang w:eastAsia="en-GB"/>
              </w:rPr>
            </w:pPr>
            <w:r w:rsidRPr="007158AD">
              <w:rPr>
                <w:rFonts w:eastAsia="Times New Roman"/>
                <w:color w:val="000000"/>
                <w:sz w:val="24"/>
                <w:szCs w:val="24"/>
                <w:lang w:val="en-US" w:eastAsia="en-GB"/>
              </w:rPr>
              <w:t>*</w:t>
            </w:r>
          </w:p>
        </w:tc>
        <w:tc>
          <w:tcPr>
            <w:tcW w:w="334" w:type="dxa"/>
            <w:tcBorders>
              <w:top w:val="nil"/>
              <w:left w:val="nil"/>
              <w:bottom w:val="single" w:sz="4" w:space="0" w:color="auto"/>
              <w:right w:val="single" w:sz="4" w:space="0" w:color="auto"/>
            </w:tcBorders>
            <w:shd w:val="clear" w:color="auto" w:fill="auto"/>
            <w:vAlign w:val="center"/>
            <w:hideMark/>
          </w:tcPr>
          <w:p w:rsidR="008D06CF" w:rsidRPr="007158AD" w:rsidRDefault="008D06CF" w:rsidP="00FD6D42">
            <w:pPr>
              <w:rPr>
                <w:rFonts w:eastAsia="Times New Roman"/>
                <w:color w:val="000000"/>
                <w:sz w:val="24"/>
                <w:szCs w:val="24"/>
                <w:lang w:eastAsia="en-GB"/>
              </w:rPr>
            </w:pPr>
            <w:r w:rsidRPr="007158AD">
              <w:rPr>
                <w:rFonts w:eastAsia="Times New Roman"/>
                <w:color w:val="000000"/>
                <w:sz w:val="24"/>
                <w:szCs w:val="24"/>
                <w:lang w:val="en-US" w:eastAsia="en-GB"/>
              </w:rPr>
              <w:t> </w:t>
            </w:r>
          </w:p>
        </w:tc>
        <w:tc>
          <w:tcPr>
            <w:tcW w:w="367" w:type="dxa"/>
            <w:tcBorders>
              <w:top w:val="nil"/>
              <w:left w:val="nil"/>
              <w:bottom w:val="single" w:sz="4" w:space="0" w:color="auto"/>
              <w:right w:val="single" w:sz="4" w:space="0" w:color="auto"/>
            </w:tcBorders>
            <w:shd w:val="clear" w:color="000000" w:fill="DDDDDD"/>
            <w:vAlign w:val="center"/>
            <w:hideMark/>
          </w:tcPr>
          <w:p w:rsidR="008D06CF" w:rsidRPr="007158AD" w:rsidRDefault="008D06CF" w:rsidP="00FD6D42">
            <w:pPr>
              <w:rPr>
                <w:rFonts w:eastAsia="Times New Roman"/>
                <w:color w:val="000000"/>
                <w:sz w:val="24"/>
                <w:szCs w:val="24"/>
                <w:lang w:eastAsia="en-GB"/>
              </w:rPr>
            </w:pPr>
            <w:r w:rsidRPr="007158AD">
              <w:rPr>
                <w:rFonts w:eastAsia="Times New Roman"/>
                <w:color w:val="000000"/>
                <w:sz w:val="24"/>
                <w:szCs w:val="24"/>
                <w:lang w:val="en-US" w:eastAsia="en-GB"/>
              </w:rPr>
              <w:t>*</w:t>
            </w:r>
          </w:p>
        </w:tc>
        <w:tc>
          <w:tcPr>
            <w:tcW w:w="340" w:type="dxa"/>
            <w:tcBorders>
              <w:top w:val="nil"/>
              <w:left w:val="nil"/>
              <w:bottom w:val="single" w:sz="4" w:space="0" w:color="auto"/>
              <w:right w:val="single" w:sz="4" w:space="0" w:color="auto"/>
            </w:tcBorders>
            <w:shd w:val="clear" w:color="auto" w:fill="auto"/>
            <w:vAlign w:val="center"/>
            <w:hideMark/>
          </w:tcPr>
          <w:p w:rsidR="008D06CF" w:rsidRPr="007158AD" w:rsidRDefault="008D06CF" w:rsidP="00FD6D42">
            <w:pPr>
              <w:rPr>
                <w:rFonts w:eastAsia="Times New Roman"/>
                <w:color w:val="000000"/>
                <w:sz w:val="24"/>
                <w:szCs w:val="24"/>
                <w:lang w:eastAsia="en-GB"/>
              </w:rPr>
            </w:pPr>
            <w:r w:rsidRPr="007158AD">
              <w:rPr>
                <w:rFonts w:eastAsia="Times New Roman"/>
                <w:color w:val="000000"/>
                <w:sz w:val="24"/>
                <w:szCs w:val="24"/>
                <w:lang w:val="en-US" w:eastAsia="en-GB"/>
              </w:rPr>
              <w:t>*</w:t>
            </w:r>
          </w:p>
        </w:tc>
        <w:tc>
          <w:tcPr>
            <w:tcW w:w="320" w:type="dxa"/>
            <w:tcBorders>
              <w:top w:val="nil"/>
              <w:left w:val="nil"/>
              <w:bottom w:val="single" w:sz="4" w:space="0" w:color="auto"/>
              <w:right w:val="single" w:sz="4" w:space="0" w:color="auto"/>
            </w:tcBorders>
            <w:shd w:val="clear" w:color="000000" w:fill="DDDDDD"/>
            <w:vAlign w:val="center"/>
            <w:hideMark/>
          </w:tcPr>
          <w:p w:rsidR="008D06CF" w:rsidRPr="007158AD" w:rsidRDefault="008D06CF" w:rsidP="00FD6D42">
            <w:pPr>
              <w:rPr>
                <w:rFonts w:eastAsia="Times New Roman"/>
                <w:color w:val="000000"/>
                <w:sz w:val="24"/>
                <w:szCs w:val="24"/>
                <w:lang w:eastAsia="en-GB"/>
              </w:rPr>
            </w:pPr>
            <w:r w:rsidRPr="007158AD">
              <w:rPr>
                <w:rFonts w:eastAsia="Times New Roman"/>
                <w:color w:val="000000"/>
                <w:sz w:val="24"/>
                <w:szCs w:val="24"/>
                <w:lang w:val="en-US" w:eastAsia="en-GB"/>
              </w:rPr>
              <w:t>*</w:t>
            </w:r>
          </w:p>
        </w:tc>
        <w:tc>
          <w:tcPr>
            <w:tcW w:w="325" w:type="dxa"/>
            <w:tcBorders>
              <w:top w:val="nil"/>
              <w:left w:val="nil"/>
              <w:bottom w:val="single" w:sz="4" w:space="0" w:color="auto"/>
              <w:right w:val="single" w:sz="4" w:space="0" w:color="auto"/>
            </w:tcBorders>
            <w:shd w:val="clear" w:color="auto" w:fill="auto"/>
            <w:vAlign w:val="center"/>
            <w:hideMark/>
          </w:tcPr>
          <w:p w:rsidR="008D06CF" w:rsidRPr="007158AD" w:rsidRDefault="008D06CF" w:rsidP="00FD6D42">
            <w:pPr>
              <w:rPr>
                <w:rFonts w:eastAsia="Times New Roman"/>
                <w:color w:val="000000"/>
                <w:sz w:val="24"/>
                <w:szCs w:val="24"/>
                <w:lang w:eastAsia="en-GB"/>
              </w:rPr>
            </w:pPr>
            <w:r w:rsidRPr="007158AD">
              <w:rPr>
                <w:rFonts w:eastAsia="Times New Roman"/>
                <w:color w:val="000000"/>
                <w:sz w:val="24"/>
                <w:szCs w:val="24"/>
                <w:lang w:val="en-US" w:eastAsia="en-GB"/>
              </w:rPr>
              <w:t> </w:t>
            </w:r>
          </w:p>
        </w:tc>
        <w:tc>
          <w:tcPr>
            <w:tcW w:w="360" w:type="dxa"/>
            <w:tcBorders>
              <w:top w:val="nil"/>
              <w:left w:val="nil"/>
              <w:bottom w:val="single" w:sz="4" w:space="0" w:color="auto"/>
              <w:right w:val="single" w:sz="4" w:space="0" w:color="auto"/>
            </w:tcBorders>
            <w:shd w:val="clear" w:color="000000" w:fill="DDDDDD"/>
            <w:vAlign w:val="center"/>
            <w:hideMark/>
          </w:tcPr>
          <w:p w:rsidR="008D06CF" w:rsidRPr="007158AD" w:rsidRDefault="008D06CF" w:rsidP="00FD6D42">
            <w:pPr>
              <w:rPr>
                <w:rFonts w:eastAsia="Times New Roman"/>
                <w:color w:val="000000"/>
                <w:sz w:val="24"/>
                <w:szCs w:val="24"/>
                <w:lang w:eastAsia="en-GB"/>
              </w:rPr>
            </w:pPr>
            <w:r w:rsidRPr="007158AD">
              <w:rPr>
                <w:rFonts w:eastAsia="Times New Roman"/>
                <w:color w:val="000000"/>
                <w:sz w:val="24"/>
                <w:szCs w:val="24"/>
                <w:lang w:val="en-US" w:eastAsia="en-GB"/>
              </w:rPr>
              <w:t> </w:t>
            </w:r>
          </w:p>
        </w:tc>
        <w:tc>
          <w:tcPr>
            <w:tcW w:w="338" w:type="dxa"/>
            <w:tcBorders>
              <w:top w:val="nil"/>
              <w:left w:val="nil"/>
              <w:bottom w:val="single" w:sz="4" w:space="0" w:color="auto"/>
              <w:right w:val="single" w:sz="4" w:space="0" w:color="auto"/>
            </w:tcBorders>
            <w:shd w:val="clear" w:color="auto" w:fill="auto"/>
            <w:vAlign w:val="center"/>
            <w:hideMark/>
          </w:tcPr>
          <w:p w:rsidR="008D06CF" w:rsidRPr="007158AD" w:rsidRDefault="008D06CF" w:rsidP="00FD6D42">
            <w:pPr>
              <w:rPr>
                <w:rFonts w:eastAsia="Times New Roman"/>
                <w:color w:val="000000"/>
                <w:sz w:val="24"/>
                <w:szCs w:val="24"/>
                <w:lang w:eastAsia="en-GB"/>
              </w:rPr>
            </w:pPr>
            <w:r w:rsidRPr="007158AD">
              <w:rPr>
                <w:rFonts w:eastAsia="Times New Roman"/>
                <w:color w:val="000000"/>
                <w:sz w:val="24"/>
                <w:szCs w:val="24"/>
                <w:lang w:val="en-US" w:eastAsia="en-GB"/>
              </w:rPr>
              <w:t> </w:t>
            </w:r>
          </w:p>
        </w:tc>
        <w:tc>
          <w:tcPr>
            <w:tcW w:w="331" w:type="dxa"/>
            <w:tcBorders>
              <w:top w:val="nil"/>
              <w:left w:val="nil"/>
              <w:bottom w:val="single" w:sz="4" w:space="0" w:color="auto"/>
              <w:right w:val="single" w:sz="4" w:space="0" w:color="auto"/>
            </w:tcBorders>
            <w:shd w:val="clear" w:color="000000" w:fill="DDDDDD"/>
            <w:vAlign w:val="center"/>
            <w:hideMark/>
          </w:tcPr>
          <w:p w:rsidR="008D06CF" w:rsidRPr="007158AD" w:rsidRDefault="008D06CF" w:rsidP="00FD6D42">
            <w:pPr>
              <w:rPr>
                <w:rFonts w:eastAsia="Times New Roman"/>
                <w:color w:val="000000"/>
                <w:sz w:val="24"/>
                <w:szCs w:val="24"/>
                <w:lang w:eastAsia="en-GB"/>
              </w:rPr>
            </w:pPr>
            <w:r w:rsidRPr="007158AD">
              <w:rPr>
                <w:rFonts w:eastAsia="Times New Roman"/>
                <w:color w:val="000000"/>
                <w:sz w:val="24"/>
                <w:szCs w:val="24"/>
                <w:lang w:val="en-US" w:eastAsia="en-GB"/>
              </w:rPr>
              <w:t> </w:t>
            </w:r>
          </w:p>
        </w:tc>
        <w:tc>
          <w:tcPr>
            <w:tcW w:w="322" w:type="dxa"/>
            <w:tcBorders>
              <w:top w:val="nil"/>
              <w:left w:val="nil"/>
              <w:bottom w:val="single" w:sz="4" w:space="0" w:color="auto"/>
              <w:right w:val="single" w:sz="4" w:space="0" w:color="auto"/>
            </w:tcBorders>
            <w:shd w:val="clear" w:color="auto" w:fill="auto"/>
            <w:vAlign w:val="center"/>
            <w:hideMark/>
          </w:tcPr>
          <w:p w:rsidR="008D06CF" w:rsidRPr="007158AD" w:rsidRDefault="008D06CF" w:rsidP="00FD6D42">
            <w:pPr>
              <w:rPr>
                <w:rFonts w:eastAsia="Times New Roman"/>
                <w:color w:val="000000"/>
                <w:sz w:val="24"/>
                <w:szCs w:val="24"/>
                <w:lang w:eastAsia="en-GB"/>
              </w:rPr>
            </w:pPr>
            <w:r w:rsidRPr="007158AD">
              <w:rPr>
                <w:rFonts w:eastAsia="Times New Roman"/>
                <w:color w:val="000000"/>
                <w:sz w:val="24"/>
                <w:szCs w:val="24"/>
                <w:lang w:val="en-US" w:eastAsia="en-GB"/>
              </w:rPr>
              <w:t> </w:t>
            </w:r>
          </w:p>
        </w:tc>
        <w:tc>
          <w:tcPr>
            <w:tcW w:w="458" w:type="dxa"/>
            <w:tcBorders>
              <w:top w:val="nil"/>
              <w:left w:val="nil"/>
              <w:bottom w:val="single" w:sz="4" w:space="0" w:color="auto"/>
              <w:right w:val="single" w:sz="4" w:space="0" w:color="auto"/>
            </w:tcBorders>
            <w:shd w:val="clear" w:color="000000" w:fill="DDDDDD"/>
            <w:vAlign w:val="center"/>
            <w:hideMark/>
          </w:tcPr>
          <w:p w:rsidR="008D06CF" w:rsidRPr="007158AD" w:rsidRDefault="008D06CF" w:rsidP="00FD6D42">
            <w:pPr>
              <w:rPr>
                <w:rFonts w:eastAsia="Times New Roman"/>
                <w:color w:val="000000"/>
                <w:sz w:val="24"/>
                <w:szCs w:val="24"/>
                <w:lang w:eastAsia="en-GB"/>
              </w:rPr>
            </w:pPr>
            <w:r w:rsidRPr="007158AD">
              <w:rPr>
                <w:rFonts w:eastAsia="Times New Roman"/>
                <w:color w:val="000000"/>
                <w:sz w:val="24"/>
                <w:szCs w:val="24"/>
                <w:lang w:val="en-US" w:eastAsia="en-GB"/>
              </w:rPr>
              <w:t>*</w:t>
            </w:r>
          </w:p>
        </w:tc>
        <w:tc>
          <w:tcPr>
            <w:tcW w:w="458" w:type="dxa"/>
            <w:tcBorders>
              <w:top w:val="nil"/>
              <w:left w:val="nil"/>
              <w:bottom w:val="single" w:sz="4" w:space="0" w:color="auto"/>
              <w:right w:val="single" w:sz="4" w:space="0" w:color="auto"/>
            </w:tcBorders>
            <w:shd w:val="clear" w:color="auto" w:fill="auto"/>
            <w:vAlign w:val="center"/>
            <w:hideMark/>
          </w:tcPr>
          <w:p w:rsidR="008D06CF" w:rsidRPr="007158AD" w:rsidRDefault="008D06CF" w:rsidP="00FD6D42">
            <w:pPr>
              <w:rPr>
                <w:rFonts w:eastAsia="Times New Roman"/>
                <w:color w:val="000000"/>
                <w:sz w:val="24"/>
                <w:szCs w:val="24"/>
                <w:lang w:eastAsia="en-GB"/>
              </w:rPr>
            </w:pPr>
            <w:r w:rsidRPr="007158AD">
              <w:rPr>
                <w:rFonts w:eastAsia="Times New Roman"/>
                <w:color w:val="000000"/>
                <w:sz w:val="24"/>
                <w:szCs w:val="24"/>
                <w:lang w:val="en-US" w:eastAsia="en-GB"/>
              </w:rPr>
              <w:t> </w:t>
            </w:r>
          </w:p>
        </w:tc>
      </w:tr>
      <w:tr w:rsidR="008D06CF" w:rsidRPr="007158AD" w:rsidTr="00FD6D42">
        <w:trPr>
          <w:trHeight w:val="315"/>
        </w:trPr>
        <w:tc>
          <w:tcPr>
            <w:tcW w:w="2080" w:type="dxa"/>
            <w:tcBorders>
              <w:top w:val="nil"/>
              <w:left w:val="single" w:sz="4" w:space="0" w:color="auto"/>
              <w:bottom w:val="single" w:sz="4" w:space="0" w:color="auto"/>
              <w:right w:val="single" w:sz="4" w:space="0" w:color="auto"/>
            </w:tcBorders>
            <w:shd w:val="clear" w:color="000000" w:fill="9FFF9F"/>
            <w:vAlign w:val="center"/>
            <w:hideMark/>
          </w:tcPr>
          <w:p w:rsidR="008D06CF" w:rsidRPr="007158AD" w:rsidRDefault="008D06CF" w:rsidP="00FD6D42">
            <w:pPr>
              <w:rPr>
                <w:rFonts w:eastAsia="Times New Roman"/>
                <w:color w:val="000000"/>
                <w:sz w:val="24"/>
                <w:szCs w:val="24"/>
                <w:lang w:eastAsia="en-GB"/>
              </w:rPr>
            </w:pPr>
            <w:r w:rsidRPr="007158AD">
              <w:rPr>
                <w:rFonts w:eastAsia="Times New Roman"/>
                <w:color w:val="000000"/>
                <w:sz w:val="24"/>
                <w:szCs w:val="24"/>
                <w:lang w:val="en-US" w:eastAsia="en-GB"/>
              </w:rPr>
              <w:t>Data sharing</w:t>
            </w:r>
          </w:p>
        </w:tc>
        <w:tc>
          <w:tcPr>
            <w:tcW w:w="350" w:type="dxa"/>
            <w:tcBorders>
              <w:top w:val="nil"/>
              <w:left w:val="nil"/>
              <w:bottom w:val="single" w:sz="4" w:space="0" w:color="auto"/>
              <w:right w:val="single" w:sz="4" w:space="0" w:color="auto"/>
            </w:tcBorders>
            <w:shd w:val="clear" w:color="000000" w:fill="DDDDDD"/>
            <w:vAlign w:val="center"/>
            <w:hideMark/>
          </w:tcPr>
          <w:p w:rsidR="008D06CF" w:rsidRPr="007158AD" w:rsidRDefault="008D06CF" w:rsidP="00FD6D42">
            <w:pPr>
              <w:rPr>
                <w:rFonts w:eastAsia="Times New Roman"/>
                <w:color w:val="000000"/>
                <w:sz w:val="24"/>
                <w:szCs w:val="24"/>
                <w:lang w:eastAsia="en-GB"/>
              </w:rPr>
            </w:pPr>
            <w:r w:rsidRPr="007158AD">
              <w:rPr>
                <w:rFonts w:eastAsia="Times New Roman"/>
                <w:color w:val="000000"/>
                <w:sz w:val="24"/>
                <w:szCs w:val="24"/>
                <w:lang w:val="en-US" w:eastAsia="en-GB"/>
              </w:rPr>
              <w:t>*</w:t>
            </w:r>
          </w:p>
        </w:tc>
        <w:tc>
          <w:tcPr>
            <w:tcW w:w="355" w:type="dxa"/>
            <w:tcBorders>
              <w:top w:val="nil"/>
              <w:left w:val="nil"/>
              <w:bottom w:val="single" w:sz="4" w:space="0" w:color="auto"/>
              <w:right w:val="single" w:sz="4" w:space="0" w:color="auto"/>
            </w:tcBorders>
            <w:shd w:val="clear" w:color="auto" w:fill="auto"/>
            <w:vAlign w:val="center"/>
            <w:hideMark/>
          </w:tcPr>
          <w:p w:rsidR="008D06CF" w:rsidRPr="007158AD" w:rsidRDefault="008D06CF" w:rsidP="00FD6D42">
            <w:pPr>
              <w:rPr>
                <w:rFonts w:eastAsia="Times New Roman"/>
                <w:color w:val="000000"/>
                <w:sz w:val="24"/>
                <w:szCs w:val="24"/>
                <w:lang w:eastAsia="en-GB"/>
              </w:rPr>
            </w:pPr>
            <w:r w:rsidRPr="007158AD">
              <w:rPr>
                <w:rFonts w:eastAsia="Times New Roman"/>
                <w:color w:val="000000"/>
                <w:sz w:val="24"/>
                <w:szCs w:val="24"/>
                <w:lang w:val="en-US" w:eastAsia="en-GB"/>
              </w:rPr>
              <w:t>*</w:t>
            </w:r>
          </w:p>
        </w:tc>
        <w:tc>
          <w:tcPr>
            <w:tcW w:w="319" w:type="dxa"/>
            <w:tcBorders>
              <w:top w:val="nil"/>
              <w:left w:val="nil"/>
              <w:bottom w:val="single" w:sz="4" w:space="0" w:color="auto"/>
              <w:right w:val="single" w:sz="4" w:space="0" w:color="auto"/>
            </w:tcBorders>
            <w:shd w:val="clear" w:color="000000" w:fill="DDDDDD"/>
            <w:vAlign w:val="center"/>
            <w:hideMark/>
          </w:tcPr>
          <w:p w:rsidR="008D06CF" w:rsidRPr="007158AD" w:rsidRDefault="008D06CF" w:rsidP="00FD6D42">
            <w:pPr>
              <w:rPr>
                <w:rFonts w:eastAsia="Times New Roman"/>
                <w:color w:val="000000"/>
                <w:sz w:val="24"/>
                <w:szCs w:val="24"/>
                <w:lang w:eastAsia="en-GB"/>
              </w:rPr>
            </w:pPr>
            <w:r w:rsidRPr="007158AD">
              <w:rPr>
                <w:rFonts w:eastAsia="Times New Roman"/>
                <w:color w:val="000000"/>
                <w:sz w:val="24"/>
                <w:szCs w:val="24"/>
                <w:lang w:val="en-US" w:eastAsia="en-GB"/>
              </w:rPr>
              <w:t> </w:t>
            </w:r>
          </w:p>
        </w:tc>
        <w:tc>
          <w:tcPr>
            <w:tcW w:w="319" w:type="dxa"/>
            <w:tcBorders>
              <w:top w:val="nil"/>
              <w:left w:val="nil"/>
              <w:bottom w:val="single" w:sz="4" w:space="0" w:color="auto"/>
              <w:right w:val="single" w:sz="4" w:space="0" w:color="auto"/>
            </w:tcBorders>
            <w:shd w:val="clear" w:color="auto" w:fill="auto"/>
            <w:vAlign w:val="center"/>
            <w:hideMark/>
          </w:tcPr>
          <w:p w:rsidR="008D06CF" w:rsidRPr="007158AD" w:rsidRDefault="008D06CF" w:rsidP="00FD6D42">
            <w:pPr>
              <w:rPr>
                <w:rFonts w:eastAsia="Times New Roman"/>
                <w:color w:val="000000"/>
                <w:sz w:val="24"/>
                <w:szCs w:val="24"/>
                <w:lang w:eastAsia="en-GB"/>
              </w:rPr>
            </w:pPr>
            <w:r w:rsidRPr="007158AD">
              <w:rPr>
                <w:rFonts w:eastAsia="Times New Roman"/>
                <w:color w:val="000000"/>
                <w:sz w:val="24"/>
                <w:szCs w:val="24"/>
                <w:lang w:val="en-US" w:eastAsia="en-GB"/>
              </w:rPr>
              <w:t>*</w:t>
            </w:r>
          </w:p>
        </w:tc>
        <w:tc>
          <w:tcPr>
            <w:tcW w:w="337" w:type="dxa"/>
            <w:tcBorders>
              <w:top w:val="nil"/>
              <w:left w:val="nil"/>
              <w:bottom w:val="single" w:sz="4" w:space="0" w:color="auto"/>
              <w:right w:val="single" w:sz="4" w:space="0" w:color="auto"/>
            </w:tcBorders>
            <w:shd w:val="clear" w:color="000000" w:fill="DDDDDD"/>
            <w:vAlign w:val="center"/>
            <w:hideMark/>
          </w:tcPr>
          <w:p w:rsidR="008D06CF" w:rsidRPr="007158AD" w:rsidRDefault="008D06CF" w:rsidP="00FD6D42">
            <w:pPr>
              <w:rPr>
                <w:rFonts w:eastAsia="Times New Roman"/>
                <w:color w:val="000000"/>
                <w:sz w:val="24"/>
                <w:szCs w:val="24"/>
                <w:lang w:eastAsia="en-GB"/>
              </w:rPr>
            </w:pPr>
            <w:r w:rsidRPr="007158AD">
              <w:rPr>
                <w:rFonts w:eastAsia="Times New Roman"/>
                <w:color w:val="000000"/>
                <w:sz w:val="24"/>
                <w:szCs w:val="24"/>
                <w:lang w:val="en-US" w:eastAsia="en-GB"/>
              </w:rPr>
              <w:t>*</w:t>
            </w:r>
          </w:p>
        </w:tc>
        <w:tc>
          <w:tcPr>
            <w:tcW w:w="319" w:type="dxa"/>
            <w:tcBorders>
              <w:top w:val="nil"/>
              <w:left w:val="nil"/>
              <w:bottom w:val="single" w:sz="4" w:space="0" w:color="auto"/>
              <w:right w:val="single" w:sz="4" w:space="0" w:color="auto"/>
            </w:tcBorders>
            <w:shd w:val="clear" w:color="auto" w:fill="auto"/>
            <w:vAlign w:val="center"/>
            <w:hideMark/>
          </w:tcPr>
          <w:p w:rsidR="008D06CF" w:rsidRPr="007158AD" w:rsidRDefault="008D06CF" w:rsidP="00FD6D42">
            <w:pPr>
              <w:rPr>
                <w:rFonts w:eastAsia="Times New Roman"/>
                <w:color w:val="000000"/>
                <w:sz w:val="24"/>
                <w:szCs w:val="24"/>
                <w:lang w:eastAsia="en-GB"/>
              </w:rPr>
            </w:pPr>
            <w:r w:rsidRPr="007158AD">
              <w:rPr>
                <w:rFonts w:eastAsia="Times New Roman"/>
                <w:color w:val="000000"/>
                <w:sz w:val="24"/>
                <w:szCs w:val="24"/>
                <w:lang w:val="en-US" w:eastAsia="en-GB"/>
              </w:rPr>
              <w:t>*</w:t>
            </w:r>
          </w:p>
        </w:tc>
        <w:tc>
          <w:tcPr>
            <w:tcW w:w="409" w:type="dxa"/>
            <w:tcBorders>
              <w:top w:val="nil"/>
              <w:left w:val="nil"/>
              <w:bottom w:val="single" w:sz="4" w:space="0" w:color="auto"/>
              <w:right w:val="single" w:sz="4" w:space="0" w:color="auto"/>
            </w:tcBorders>
            <w:shd w:val="clear" w:color="000000" w:fill="DDDDDD"/>
            <w:vAlign w:val="center"/>
            <w:hideMark/>
          </w:tcPr>
          <w:p w:rsidR="008D06CF" w:rsidRPr="007158AD" w:rsidRDefault="008D06CF" w:rsidP="00FD6D42">
            <w:pPr>
              <w:rPr>
                <w:rFonts w:eastAsia="Times New Roman"/>
                <w:color w:val="000000"/>
                <w:sz w:val="24"/>
                <w:szCs w:val="24"/>
                <w:lang w:eastAsia="en-GB"/>
              </w:rPr>
            </w:pPr>
            <w:r w:rsidRPr="007158AD">
              <w:rPr>
                <w:rFonts w:eastAsia="Times New Roman"/>
                <w:color w:val="000000"/>
                <w:sz w:val="24"/>
                <w:szCs w:val="24"/>
                <w:lang w:val="en-US" w:eastAsia="en-GB"/>
              </w:rPr>
              <w:t>*</w:t>
            </w:r>
          </w:p>
        </w:tc>
        <w:tc>
          <w:tcPr>
            <w:tcW w:w="334" w:type="dxa"/>
            <w:tcBorders>
              <w:top w:val="nil"/>
              <w:left w:val="nil"/>
              <w:bottom w:val="single" w:sz="4" w:space="0" w:color="auto"/>
              <w:right w:val="single" w:sz="4" w:space="0" w:color="auto"/>
            </w:tcBorders>
            <w:shd w:val="clear" w:color="auto" w:fill="auto"/>
            <w:vAlign w:val="center"/>
            <w:hideMark/>
          </w:tcPr>
          <w:p w:rsidR="008D06CF" w:rsidRPr="007158AD" w:rsidRDefault="008D06CF" w:rsidP="00FD6D42">
            <w:pPr>
              <w:rPr>
                <w:rFonts w:eastAsia="Times New Roman"/>
                <w:color w:val="000000"/>
                <w:sz w:val="24"/>
                <w:szCs w:val="24"/>
                <w:lang w:eastAsia="en-GB"/>
              </w:rPr>
            </w:pPr>
            <w:r w:rsidRPr="007158AD">
              <w:rPr>
                <w:rFonts w:eastAsia="Times New Roman"/>
                <w:color w:val="000000"/>
                <w:sz w:val="24"/>
                <w:szCs w:val="24"/>
                <w:lang w:val="en-US" w:eastAsia="en-GB"/>
              </w:rPr>
              <w:t> </w:t>
            </w:r>
          </w:p>
        </w:tc>
        <w:tc>
          <w:tcPr>
            <w:tcW w:w="367" w:type="dxa"/>
            <w:tcBorders>
              <w:top w:val="nil"/>
              <w:left w:val="nil"/>
              <w:bottom w:val="single" w:sz="4" w:space="0" w:color="auto"/>
              <w:right w:val="single" w:sz="4" w:space="0" w:color="auto"/>
            </w:tcBorders>
            <w:shd w:val="clear" w:color="000000" w:fill="DDDDDD"/>
            <w:vAlign w:val="center"/>
            <w:hideMark/>
          </w:tcPr>
          <w:p w:rsidR="008D06CF" w:rsidRPr="007158AD" w:rsidRDefault="008D06CF" w:rsidP="00FD6D42">
            <w:pPr>
              <w:rPr>
                <w:rFonts w:eastAsia="Times New Roman"/>
                <w:color w:val="000000"/>
                <w:sz w:val="24"/>
                <w:szCs w:val="24"/>
                <w:lang w:eastAsia="en-GB"/>
              </w:rPr>
            </w:pPr>
            <w:r w:rsidRPr="007158AD">
              <w:rPr>
                <w:rFonts w:eastAsia="Times New Roman"/>
                <w:color w:val="000000"/>
                <w:sz w:val="24"/>
                <w:szCs w:val="24"/>
                <w:lang w:val="en-US" w:eastAsia="en-GB"/>
              </w:rPr>
              <w:t>*</w:t>
            </w:r>
          </w:p>
        </w:tc>
        <w:tc>
          <w:tcPr>
            <w:tcW w:w="340" w:type="dxa"/>
            <w:tcBorders>
              <w:top w:val="nil"/>
              <w:left w:val="nil"/>
              <w:bottom w:val="single" w:sz="4" w:space="0" w:color="auto"/>
              <w:right w:val="single" w:sz="4" w:space="0" w:color="auto"/>
            </w:tcBorders>
            <w:shd w:val="clear" w:color="auto" w:fill="auto"/>
            <w:vAlign w:val="center"/>
            <w:hideMark/>
          </w:tcPr>
          <w:p w:rsidR="008D06CF" w:rsidRPr="007158AD" w:rsidRDefault="008D06CF" w:rsidP="00FD6D42">
            <w:pPr>
              <w:rPr>
                <w:rFonts w:eastAsia="Times New Roman"/>
                <w:color w:val="000000"/>
                <w:sz w:val="24"/>
                <w:szCs w:val="24"/>
                <w:lang w:eastAsia="en-GB"/>
              </w:rPr>
            </w:pPr>
            <w:r w:rsidRPr="007158AD">
              <w:rPr>
                <w:rFonts w:eastAsia="Times New Roman"/>
                <w:color w:val="000000"/>
                <w:sz w:val="24"/>
                <w:szCs w:val="24"/>
                <w:lang w:val="en-US" w:eastAsia="en-GB"/>
              </w:rPr>
              <w:t>*</w:t>
            </w:r>
          </w:p>
        </w:tc>
        <w:tc>
          <w:tcPr>
            <w:tcW w:w="320" w:type="dxa"/>
            <w:tcBorders>
              <w:top w:val="nil"/>
              <w:left w:val="nil"/>
              <w:bottom w:val="single" w:sz="4" w:space="0" w:color="auto"/>
              <w:right w:val="single" w:sz="4" w:space="0" w:color="auto"/>
            </w:tcBorders>
            <w:shd w:val="clear" w:color="000000" w:fill="DDDDDD"/>
            <w:vAlign w:val="center"/>
            <w:hideMark/>
          </w:tcPr>
          <w:p w:rsidR="008D06CF" w:rsidRPr="007158AD" w:rsidRDefault="008D06CF" w:rsidP="00FD6D42">
            <w:pPr>
              <w:rPr>
                <w:rFonts w:eastAsia="Times New Roman"/>
                <w:color w:val="000000"/>
                <w:sz w:val="24"/>
                <w:szCs w:val="24"/>
                <w:lang w:eastAsia="en-GB"/>
              </w:rPr>
            </w:pPr>
            <w:r w:rsidRPr="007158AD">
              <w:rPr>
                <w:rFonts w:eastAsia="Times New Roman"/>
                <w:color w:val="000000"/>
                <w:sz w:val="24"/>
                <w:szCs w:val="24"/>
                <w:lang w:val="en-US" w:eastAsia="en-GB"/>
              </w:rPr>
              <w:t>*</w:t>
            </w:r>
          </w:p>
        </w:tc>
        <w:tc>
          <w:tcPr>
            <w:tcW w:w="325" w:type="dxa"/>
            <w:tcBorders>
              <w:top w:val="nil"/>
              <w:left w:val="nil"/>
              <w:bottom w:val="single" w:sz="4" w:space="0" w:color="auto"/>
              <w:right w:val="single" w:sz="4" w:space="0" w:color="auto"/>
            </w:tcBorders>
            <w:shd w:val="clear" w:color="auto" w:fill="auto"/>
            <w:vAlign w:val="center"/>
            <w:hideMark/>
          </w:tcPr>
          <w:p w:rsidR="008D06CF" w:rsidRPr="007158AD" w:rsidRDefault="008D06CF" w:rsidP="00FD6D42">
            <w:pPr>
              <w:rPr>
                <w:rFonts w:eastAsia="Times New Roman"/>
                <w:color w:val="000000"/>
                <w:sz w:val="24"/>
                <w:szCs w:val="24"/>
                <w:lang w:eastAsia="en-GB"/>
              </w:rPr>
            </w:pPr>
            <w:r w:rsidRPr="007158AD">
              <w:rPr>
                <w:rFonts w:eastAsia="Times New Roman"/>
                <w:color w:val="000000"/>
                <w:sz w:val="24"/>
                <w:szCs w:val="24"/>
                <w:lang w:val="en-US" w:eastAsia="en-GB"/>
              </w:rPr>
              <w:t>*</w:t>
            </w:r>
          </w:p>
        </w:tc>
        <w:tc>
          <w:tcPr>
            <w:tcW w:w="360" w:type="dxa"/>
            <w:tcBorders>
              <w:top w:val="nil"/>
              <w:left w:val="nil"/>
              <w:bottom w:val="single" w:sz="4" w:space="0" w:color="auto"/>
              <w:right w:val="single" w:sz="4" w:space="0" w:color="auto"/>
            </w:tcBorders>
            <w:shd w:val="clear" w:color="000000" w:fill="DDDDDD"/>
            <w:vAlign w:val="center"/>
            <w:hideMark/>
          </w:tcPr>
          <w:p w:rsidR="008D06CF" w:rsidRPr="007158AD" w:rsidRDefault="008D06CF" w:rsidP="00FD6D42">
            <w:pPr>
              <w:rPr>
                <w:rFonts w:eastAsia="Times New Roman"/>
                <w:color w:val="000000"/>
                <w:sz w:val="24"/>
                <w:szCs w:val="24"/>
                <w:lang w:eastAsia="en-GB"/>
              </w:rPr>
            </w:pPr>
            <w:r w:rsidRPr="007158AD">
              <w:rPr>
                <w:rFonts w:eastAsia="Times New Roman"/>
                <w:color w:val="000000"/>
                <w:sz w:val="24"/>
                <w:szCs w:val="24"/>
                <w:lang w:val="en-US" w:eastAsia="en-GB"/>
              </w:rPr>
              <w:t> </w:t>
            </w:r>
          </w:p>
        </w:tc>
        <w:tc>
          <w:tcPr>
            <w:tcW w:w="338" w:type="dxa"/>
            <w:tcBorders>
              <w:top w:val="nil"/>
              <w:left w:val="nil"/>
              <w:bottom w:val="single" w:sz="4" w:space="0" w:color="auto"/>
              <w:right w:val="single" w:sz="4" w:space="0" w:color="auto"/>
            </w:tcBorders>
            <w:shd w:val="clear" w:color="auto" w:fill="auto"/>
            <w:vAlign w:val="center"/>
            <w:hideMark/>
          </w:tcPr>
          <w:p w:rsidR="008D06CF" w:rsidRPr="007158AD" w:rsidRDefault="008D06CF" w:rsidP="00FD6D42">
            <w:pPr>
              <w:rPr>
                <w:rFonts w:eastAsia="Times New Roman"/>
                <w:color w:val="000000"/>
                <w:sz w:val="24"/>
                <w:szCs w:val="24"/>
                <w:lang w:eastAsia="en-GB"/>
              </w:rPr>
            </w:pPr>
            <w:r w:rsidRPr="007158AD">
              <w:rPr>
                <w:rFonts w:eastAsia="Times New Roman"/>
                <w:color w:val="000000"/>
                <w:sz w:val="24"/>
                <w:szCs w:val="24"/>
                <w:lang w:val="en-US" w:eastAsia="en-GB"/>
              </w:rPr>
              <w:t> </w:t>
            </w:r>
          </w:p>
        </w:tc>
        <w:tc>
          <w:tcPr>
            <w:tcW w:w="331" w:type="dxa"/>
            <w:tcBorders>
              <w:top w:val="nil"/>
              <w:left w:val="nil"/>
              <w:bottom w:val="single" w:sz="4" w:space="0" w:color="auto"/>
              <w:right w:val="single" w:sz="4" w:space="0" w:color="auto"/>
            </w:tcBorders>
            <w:shd w:val="clear" w:color="000000" w:fill="DDDDDD"/>
            <w:vAlign w:val="center"/>
            <w:hideMark/>
          </w:tcPr>
          <w:p w:rsidR="008D06CF" w:rsidRPr="007158AD" w:rsidRDefault="008D06CF" w:rsidP="00FD6D42">
            <w:pPr>
              <w:rPr>
                <w:rFonts w:eastAsia="Times New Roman"/>
                <w:color w:val="000000"/>
                <w:sz w:val="24"/>
                <w:szCs w:val="24"/>
                <w:lang w:eastAsia="en-GB"/>
              </w:rPr>
            </w:pPr>
            <w:r w:rsidRPr="007158AD">
              <w:rPr>
                <w:rFonts w:eastAsia="Times New Roman"/>
                <w:color w:val="000000"/>
                <w:sz w:val="24"/>
                <w:szCs w:val="24"/>
                <w:lang w:val="en-US" w:eastAsia="en-GB"/>
              </w:rPr>
              <w:t> </w:t>
            </w:r>
          </w:p>
        </w:tc>
        <w:tc>
          <w:tcPr>
            <w:tcW w:w="322" w:type="dxa"/>
            <w:tcBorders>
              <w:top w:val="nil"/>
              <w:left w:val="nil"/>
              <w:bottom w:val="single" w:sz="4" w:space="0" w:color="auto"/>
              <w:right w:val="single" w:sz="4" w:space="0" w:color="auto"/>
            </w:tcBorders>
            <w:shd w:val="clear" w:color="auto" w:fill="auto"/>
            <w:vAlign w:val="center"/>
            <w:hideMark/>
          </w:tcPr>
          <w:p w:rsidR="008D06CF" w:rsidRPr="007158AD" w:rsidRDefault="008D06CF" w:rsidP="00FD6D42">
            <w:pPr>
              <w:rPr>
                <w:rFonts w:eastAsia="Times New Roman"/>
                <w:color w:val="000000"/>
                <w:sz w:val="24"/>
                <w:szCs w:val="24"/>
                <w:lang w:eastAsia="en-GB"/>
              </w:rPr>
            </w:pPr>
            <w:r w:rsidRPr="007158AD">
              <w:rPr>
                <w:rFonts w:eastAsia="Times New Roman"/>
                <w:color w:val="000000"/>
                <w:sz w:val="24"/>
                <w:szCs w:val="24"/>
                <w:lang w:val="en-US" w:eastAsia="en-GB"/>
              </w:rPr>
              <w:t> </w:t>
            </w:r>
          </w:p>
        </w:tc>
        <w:tc>
          <w:tcPr>
            <w:tcW w:w="458" w:type="dxa"/>
            <w:tcBorders>
              <w:top w:val="nil"/>
              <w:left w:val="nil"/>
              <w:bottom w:val="single" w:sz="4" w:space="0" w:color="auto"/>
              <w:right w:val="single" w:sz="4" w:space="0" w:color="auto"/>
            </w:tcBorders>
            <w:shd w:val="clear" w:color="000000" w:fill="DDDDDD"/>
            <w:vAlign w:val="center"/>
            <w:hideMark/>
          </w:tcPr>
          <w:p w:rsidR="008D06CF" w:rsidRPr="007158AD" w:rsidRDefault="008D06CF" w:rsidP="00FD6D42">
            <w:pPr>
              <w:rPr>
                <w:rFonts w:eastAsia="Times New Roman"/>
                <w:color w:val="000000"/>
                <w:sz w:val="24"/>
                <w:szCs w:val="24"/>
                <w:lang w:eastAsia="en-GB"/>
              </w:rPr>
            </w:pPr>
            <w:r w:rsidRPr="007158AD">
              <w:rPr>
                <w:rFonts w:eastAsia="Times New Roman"/>
                <w:color w:val="000000"/>
                <w:sz w:val="24"/>
                <w:szCs w:val="24"/>
                <w:lang w:val="en-US" w:eastAsia="en-GB"/>
              </w:rPr>
              <w:t>*</w:t>
            </w:r>
          </w:p>
        </w:tc>
        <w:tc>
          <w:tcPr>
            <w:tcW w:w="458" w:type="dxa"/>
            <w:tcBorders>
              <w:top w:val="nil"/>
              <w:left w:val="nil"/>
              <w:bottom w:val="single" w:sz="4" w:space="0" w:color="auto"/>
              <w:right w:val="single" w:sz="4" w:space="0" w:color="auto"/>
            </w:tcBorders>
            <w:shd w:val="clear" w:color="auto" w:fill="auto"/>
            <w:vAlign w:val="center"/>
            <w:hideMark/>
          </w:tcPr>
          <w:p w:rsidR="008D06CF" w:rsidRPr="007158AD" w:rsidRDefault="008D06CF" w:rsidP="00FD6D42">
            <w:pPr>
              <w:rPr>
                <w:rFonts w:eastAsia="Times New Roman"/>
                <w:color w:val="000000"/>
                <w:sz w:val="24"/>
                <w:szCs w:val="24"/>
                <w:lang w:eastAsia="en-GB"/>
              </w:rPr>
            </w:pPr>
            <w:r w:rsidRPr="007158AD">
              <w:rPr>
                <w:rFonts w:eastAsia="Times New Roman"/>
                <w:color w:val="000000"/>
                <w:sz w:val="24"/>
                <w:szCs w:val="24"/>
                <w:lang w:val="en-US" w:eastAsia="en-GB"/>
              </w:rPr>
              <w:t>*</w:t>
            </w:r>
          </w:p>
        </w:tc>
      </w:tr>
      <w:tr w:rsidR="008D06CF" w:rsidRPr="007158AD" w:rsidTr="00FD6D42">
        <w:trPr>
          <w:trHeight w:val="315"/>
        </w:trPr>
        <w:tc>
          <w:tcPr>
            <w:tcW w:w="2080" w:type="dxa"/>
            <w:tcBorders>
              <w:top w:val="nil"/>
              <w:left w:val="single" w:sz="4" w:space="0" w:color="auto"/>
              <w:bottom w:val="single" w:sz="4" w:space="0" w:color="auto"/>
              <w:right w:val="single" w:sz="4" w:space="0" w:color="auto"/>
            </w:tcBorders>
            <w:shd w:val="clear" w:color="000000" w:fill="9FFF9F"/>
            <w:vAlign w:val="center"/>
            <w:hideMark/>
          </w:tcPr>
          <w:p w:rsidR="008D06CF" w:rsidRPr="007158AD" w:rsidRDefault="008D06CF" w:rsidP="00FD6D42">
            <w:pPr>
              <w:rPr>
                <w:rFonts w:eastAsia="Times New Roman"/>
                <w:color w:val="000000"/>
                <w:sz w:val="24"/>
                <w:szCs w:val="24"/>
                <w:lang w:eastAsia="en-GB"/>
              </w:rPr>
            </w:pPr>
            <w:r w:rsidRPr="007158AD">
              <w:rPr>
                <w:rFonts w:eastAsia="Times New Roman"/>
                <w:color w:val="000000"/>
                <w:sz w:val="24"/>
                <w:szCs w:val="24"/>
                <w:lang w:val="en-US" w:eastAsia="en-GB"/>
              </w:rPr>
              <w:t>Services</w:t>
            </w:r>
          </w:p>
        </w:tc>
        <w:tc>
          <w:tcPr>
            <w:tcW w:w="350" w:type="dxa"/>
            <w:tcBorders>
              <w:top w:val="nil"/>
              <w:left w:val="nil"/>
              <w:bottom w:val="single" w:sz="4" w:space="0" w:color="auto"/>
              <w:right w:val="single" w:sz="4" w:space="0" w:color="auto"/>
            </w:tcBorders>
            <w:shd w:val="clear" w:color="000000" w:fill="DDDDDD"/>
            <w:vAlign w:val="center"/>
            <w:hideMark/>
          </w:tcPr>
          <w:p w:rsidR="008D06CF" w:rsidRPr="007158AD" w:rsidRDefault="008D06CF" w:rsidP="00FD6D42">
            <w:pPr>
              <w:rPr>
                <w:rFonts w:eastAsia="Times New Roman"/>
                <w:color w:val="000000"/>
                <w:sz w:val="24"/>
                <w:szCs w:val="24"/>
                <w:lang w:eastAsia="en-GB"/>
              </w:rPr>
            </w:pPr>
            <w:r w:rsidRPr="007158AD">
              <w:rPr>
                <w:rFonts w:eastAsia="Times New Roman"/>
                <w:color w:val="000000"/>
                <w:sz w:val="24"/>
                <w:szCs w:val="24"/>
                <w:lang w:val="en-US" w:eastAsia="en-GB"/>
              </w:rPr>
              <w:t>*</w:t>
            </w:r>
          </w:p>
        </w:tc>
        <w:tc>
          <w:tcPr>
            <w:tcW w:w="355" w:type="dxa"/>
            <w:tcBorders>
              <w:top w:val="nil"/>
              <w:left w:val="nil"/>
              <w:bottom w:val="single" w:sz="4" w:space="0" w:color="auto"/>
              <w:right w:val="single" w:sz="4" w:space="0" w:color="auto"/>
            </w:tcBorders>
            <w:shd w:val="clear" w:color="auto" w:fill="auto"/>
            <w:vAlign w:val="center"/>
            <w:hideMark/>
          </w:tcPr>
          <w:p w:rsidR="008D06CF" w:rsidRPr="007158AD" w:rsidRDefault="008D06CF" w:rsidP="00FD6D42">
            <w:pPr>
              <w:rPr>
                <w:rFonts w:eastAsia="Times New Roman"/>
                <w:color w:val="000000"/>
                <w:sz w:val="24"/>
                <w:szCs w:val="24"/>
                <w:lang w:eastAsia="en-GB"/>
              </w:rPr>
            </w:pPr>
            <w:r w:rsidRPr="007158AD">
              <w:rPr>
                <w:rFonts w:eastAsia="Times New Roman"/>
                <w:color w:val="000000"/>
                <w:sz w:val="24"/>
                <w:szCs w:val="24"/>
                <w:lang w:val="en-US" w:eastAsia="en-GB"/>
              </w:rPr>
              <w:t>*</w:t>
            </w:r>
          </w:p>
        </w:tc>
        <w:tc>
          <w:tcPr>
            <w:tcW w:w="319" w:type="dxa"/>
            <w:tcBorders>
              <w:top w:val="nil"/>
              <w:left w:val="nil"/>
              <w:bottom w:val="single" w:sz="4" w:space="0" w:color="auto"/>
              <w:right w:val="single" w:sz="4" w:space="0" w:color="auto"/>
            </w:tcBorders>
            <w:shd w:val="clear" w:color="000000" w:fill="DDDDDD"/>
            <w:vAlign w:val="center"/>
            <w:hideMark/>
          </w:tcPr>
          <w:p w:rsidR="008D06CF" w:rsidRPr="007158AD" w:rsidRDefault="008D06CF" w:rsidP="00FD6D42">
            <w:pPr>
              <w:rPr>
                <w:rFonts w:eastAsia="Times New Roman"/>
                <w:color w:val="000000"/>
                <w:sz w:val="24"/>
                <w:szCs w:val="24"/>
                <w:lang w:eastAsia="en-GB"/>
              </w:rPr>
            </w:pPr>
            <w:r w:rsidRPr="007158AD">
              <w:rPr>
                <w:rFonts w:eastAsia="Times New Roman"/>
                <w:color w:val="000000"/>
                <w:sz w:val="24"/>
                <w:szCs w:val="24"/>
                <w:lang w:val="en-US" w:eastAsia="en-GB"/>
              </w:rPr>
              <w:t>*</w:t>
            </w:r>
          </w:p>
        </w:tc>
        <w:tc>
          <w:tcPr>
            <w:tcW w:w="319" w:type="dxa"/>
            <w:tcBorders>
              <w:top w:val="nil"/>
              <w:left w:val="nil"/>
              <w:bottom w:val="single" w:sz="4" w:space="0" w:color="auto"/>
              <w:right w:val="single" w:sz="4" w:space="0" w:color="auto"/>
            </w:tcBorders>
            <w:shd w:val="clear" w:color="auto" w:fill="auto"/>
            <w:vAlign w:val="center"/>
            <w:hideMark/>
          </w:tcPr>
          <w:p w:rsidR="008D06CF" w:rsidRPr="007158AD" w:rsidRDefault="008D06CF" w:rsidP="00FD6D42">
            <w:pPr>
              <w:rPr>
                <w:rFonts w:eastAsia="Times New Roman"/>
                <w:color w:val="000000"/>
                <w:sz w:val="24"/>
                <w:szCs w:val="24"/>
                <w:lang w:eastAsia="en-GB"/>
              </w:rPr>
            </w:pPr>
            <w:r w:rsidRPr="007158AD">
              <w:rPr>
                <w:rFonts w:eastAsia="Times New Roman"/>
                <w:color w:val="000000"/>
                <w:sz w:val="24"/>
                <w:szCs w:val="24"/>
                <w:lang w:val="en-US" w:eastAsia="en-GB"/>
              </w:rPr>
              <w:t>*</w:t>
            </w:r>
          </w:p>
        </w:tc>
        <w:tc>
          <w:tcPr>
            <w:tcW w:w="337" w:type="dxa"/>
            <w:tcBorders>
              <w:top w:val="nil"/>
              <w:left w:val="nil"/>
              <w:bottom w:val="single" w:sz="4" w:space="0" w:color="auto"/>
              <w:right w:val="single" w:sz="4" w:space="0" w:color="auto"/>
            </w:tcBorders>
            <w:shd w:val="clear" w:color="000000" w:fill="DDDDDD"/>
            <w:vAlign w:val="center"/>
            <w:hideMark/>
          </w:tcPr>
          <w:p w:rsidR="008D06CF" w:rsidRPr="007158AD" w:rsidRDefault="008D06CF" w:rsidP="00FD6D42">
            <w:pPr>
              <w:rPr>
                <w:rFonts w:eastAsia="Times New Roman"/>
                <w:color w:val="000000"/>
                <w:sz w:val="24"/>
                <w:szCs w:val="24"/>
                <w:lang w:eastAsia="en-GB"/>
              </w:rPr>
            </w:pPr>
            <w:r w:rsidRPr="007158AD">
              <w:rPr>
                <w:rFonts w:eastAsia="Times New Roman"/>
                <w:color w:val="000000"/>
                <w:sz w:val="24"/>
                <w:szCs w:val="24"/>
                <w:lang w:val="en-US" w:eastAsia="en-GB"/>
              </w:rPr>
              <w:t> </w:t>
            </w:r>
          </w:p>
        </w:tc>
        <w:tc>
          <w:tcPr>
            <w:tcW w:w="319" w:type="dxa"/>
            <w:tcBorders>
              <w:top w:val="nil"/>
              <w:left w:val="nil"/>
              <w:bottom w:val="single" w:sz="4" w:space="0" w:color="auto"/>
              <w:right w:val="single" w:sz="4" w:space="0" w:color="auto"/>
            </w:tcBorders>
            <w:shd w:val="clear" w:color="auto" w:fill="auto"/>
            <w:vAlign w:val="center"/>
            <w:hideMark/>
          </w:tcPr>
          <w:p w:rsidR="008D06CF" w:rsidRPr="007158AD" w:rsidRDefault="008D06CF" w:rsidP="00FD6D42">
            <w:pPr>
              <w:rPr>
                <w:rFonts w:eastAsia="Times New Roman"/>
                <w:color w:val="000000"/>
                <w:sz w:val="24"/>
                <w:szCs w:val="24"/>
                <w:lang w:eastAsia="en-GB"/>
              </w:rPr>
            </w:pPr>
            <w:r w:rsidRPr="007158AD">
              <w:rPr>
                <w:rFonts w:eastAsia="Times New Roman"/>
                <w:color w:val="000000"/>
                <w:sz w:val="24"/>
                <w:szCs w:val="24"/>
                <w:lang w:val="en-US" w:eastAsia="en-GB"/>
              </w:rPr>
              <w:t>*</w:t>
            </w:r>
          </w:p>
        </w:tc>
        <w:tc>
          <w:tcPr>
            <w:tcW w:w="409" w:type="dxa"/>
            <w:tcBorders>
              <w:top w:val="nil"/>
              <w:left w:val="nil"/>
              <w:bottom w:val="single" w:sz="4" w:space="0" w:color="auto"/>
              <w:right w:val="single" w:sz="4" w:space="0" w:color="auto"/>
            </w:tcBorders>
            <w:shd w:val="clear" w:color="000000" w:fill="DDDDDD"/>
            <w:vAlign w:val="center"/>
            <w:hideMark/>
          </w:tcPr>
          <w:p w:rsidR="008D06CF" w:rsidRPr="007158AD" w:rsidRDefault="008D06CF" w:rsidP="00FD6D42">
            <w:pPr>
              <w:rPr>
                <w:rFonts w:eastAsia="Times New Roman"/>
                <w:color w:val="000000"/>
                <w:sz w:val="24"/>
                <w:szCs w:val="24"/>
                <w:lang w:eastAsia="en-GB"/>
              </w:rPr>
            </w:pPr>
            <w:r w:rsidRPr="007158AD">
              <w:rPr>
                <w:rFonts w:eastAsia="Times New Roman"/>
                <w:color w:val="000000"/>
                <w:sz w:val="24"/>
                <w:szCs w:val="24"/>
                <w:lang w:val="en-US" w:eastAsia="en-GB"/>
              </w:rPr>
              <w:t>*</w:t>
            </w:r>
          </w:p>
        </w:tc>
        <w:tc>
          <w:tcPr>
            <w:tcW w:w="334" w:type="dxa"/>
            <w:tcBorders>
              <w:top w:val="nil"/>
              <w:left w:val="nil"/>
              <w:bottom w:val="single" w:sz="4" w:space="0" w:color="auto"/>
              <w:right w:val="single" w:sz="4" w:space="0" w:color="auto"/>
            </w:tcBorders>
            <w:shd w:val="clear" w:color="auto" w:fill="auto"/>
            <w:vAlign w:val="center"/>
            <w:hideMark/>
          </w:tcPr>
          <w:p w:rsidR="008D06CF" w:rsidRPr="007158AD" w:rsidRDefault="008D06CF" w:rsidP="00FD6D42">
            <w:pPr>
              <w:rPr>
                <w:rFonts w:eastAsia="Times New Roman"/>
                <w:color w:val="000000"/>
                <w:sz w:val="24"/>
                <w:szCs w:val="24"/>
                <w:lang w:eastAsia="en-GB"/>
              </w:rPr>
            </w:pPr>
            <w:r w:rsidRPr="007158AD">
              <w:rPr>
                <w:rFonts w:eastAsia="Times New Roman"/>
                <w:color w:val="000000"/>
                <w:sz w:val="24"/>
                <w:szCs w:val="24"/>
                <w:lang w:val="en-US" w:eastAsia="en-GB"/>
              </w:rPr>
              <w:t> </w:t>
            </w:r>
          </w:p>
        </w:tc>
        <w:tc>
          <w:tcPr>
            <w:tcW w:w="367" w:type="dxa"/>
            <w:tcBorders>
              <w:top w:val="nil"/>
              <w:left w:val="nil"/>
              <w:bottom w:val="single" w:sz="4" w:space="0" w:color="auto"/>
              <w:right w:val="single" w:sz="4" w:space="0" w:color="auto"/>
            </w:tcBorders>
            <w:shd w:val="clear" w:color="000000" w:fill="DDDDDD"/>
            <w:vAlign w:val="center"/>
            <w:hideMark/>
          </w:tcPr>
          <w:p w:rsidR="008D06CF" w:rsidRPr="007158AD" w:rsidRDefault="008D06CF" w:rsidP="00FD6D42">
            <w:pPr>
              <w:rPr>
                <w:rFonts w:eastAsia="Times New Roman"/>
                <w:color w:val="000000"/>
                <w:sz w:val="24"/>
                <w:szCs w:val="24"/>
                <w:lang w:eastAsia="en-GB"/>
              </w:rPr>
            </w:pPr>
            <w:r w:rsidRPr="007158AD">
              <w:rPr>
                <w:rFonts w:eastAsia="Times New Roman"/>
                <w:color w:val="000000"/>
                <w:sz w:val="24"/>
                <w:szCs w:val="24"/>
                <w:lang w:val="en-US" w:eastAsia="en-GB"/>
              </w:rPr>
              <w:t> </w:t>
            </w:r>
          </w:p>
        </w:tc>
        <w:tc>
          <w:tcPr>
            <w:tcW w:w="340" w:type="dxa"/>
            <w:tcBorders>
              <w:top w:val="nil"/>
              <w:left w:val="nil"/>
              <w:bottom w:val="single" w:sz="4" w:space="0" w:color="auto"/>
              <w:right w:val="single" w:sz="4" w:space="0" w:color="auto"/>
            </w:tcBorders>
            <w:shd w:val="clear" w:color="auto" w:fill="auto"/>
            <w:vAlign w:val="center"/>
            <w:hideMark/>
          </w:tcPr>
          <w:p w:rsidR="008D06CF" w:rsidRPr="007158AD" w:rsidRDefault="008D06CF" w:rsidP="00FD6D42">
            <w:pPr>
              <w:rPr>
                <w:rFonts w:eastAsia="Times New Roman"/>
                <w:color w:val="000000"/>
                <w:sz w:val="24"/>
                <w:szCs w:val="24"/>
                <w:lang w:eastAsia="en-GB"/>
              </w:rPr>
            </w:pPr>
            <w:r w:rsidRPr="007158AD">
              <w:rPr>
                <w:rFonts w:eastAsia="Times New Roman"/>
                <w:color w:val="000000"/>
                <w:sz w:val="24"/>
                <w:szCs w:val="24"/>
                <w:lang w:val="en-US" w:eastAsia="en-GB"/>
              </w:rPr>
              <w:t>*</w:t>
            </w:r>
          </w:p>
        </w:tc>
        <w:tc>
          <w:tcPr>
            <w:tcW w:w="320" w:type="dxa"/>
            <w:tcBorders>
              <w:top w:val="nil"/>
              <w:left w:val="nil"/>
              <w:bottom w:val="single" w:sz="4" w:space="0" w:color="auto"/>
              <w:right w:val="single" w:sz="4" w:space="0" w:color="auto"/>
            </w:tcBorders>
            <w:shd w:val="clear" w:color="000000" w:fill="DDDDDD"/>
            <w:vAlign w:val="center"/>
            <w:hideMark/>
          </w:tcPr>
          <w:p w:rsidR="008D06CF" w:rsidRPr="007158AD" w:rsidRDefault="008D06CF" w:rsidP="00FD6D42">
            <w:pPr>
              <w:rPr>
                <w:rFonts w:eastAsia="Times New Roman"/>
                <w:color w:val="000000"/>
                <w:sz w:val="24"/>
                <w:szCs w:val="24"/>
                <w:lang w:eastAsia="en-GB"/>
              </w:rPr>
            </w:pPr>
            <w:r w:rsidRPr="007158AD">
              <w:rPr>
                <w:rFonts w:eastAsia="Times New Roman"/>
                <w:color w:val="000000"/>
                <w:sz w:val="24"/>
                <w:szCs w:val="24"/>
                <w:lang w:val="en-US" w:eastAsia="en-GB"/>
              </w:rPr>
              <w:t>*</w:t>
            </w:r>
          </w:p>
        </w:tc>
        <w:tc>
          <w:tcPr>
            <w:tcW w:w="325" w:type="dxa"/>
            <w:tcBorders>
              <w:top w:val="nil"/>
              <w:left w:val="nil"/>
              <w:bottom w:val="single" w:sz="4" w:space="0" w:color="auto"/>
              <w:right w:val="single" w:sz="4" w:space="0" w:color="auto"/>
            </w:tcBorders>
            <w:shd w:val="clear" w:color="auto" w:fill="auto"/>
            <w:vAlign w:val="center"/>
            <w:hideMark/>
          </w:tcPr>
          <w:p w:rsidR="008D06CF" w:rsidRPr="007158AD" w:rsidRDefault="008D06CF" w:rsidP="00FD6D42">
            <w:pPr>
              <w:rPr>
                <w:rFonts w:eastAsia="Times New Roman"/>
                <w:color w:val="000000"/>
                <w:sz w:val="24"/>
                <w:szCs w:val="24"/>
                <w:lang w:eastAsia="en-GB"/>
              </w:rPr>
            </w:pPr>
            <w:r w:rsidRPr="007158AD">
              <w:rPr>
                <w:rFonts w:eastAsia="Times New Roman"/>
                <w:color w:val="000000"/>
                <w:sz w:val="24"/>
                <w:szCs w:val="24"/>
                <w:lang w:val="en-US" w:eastAsia="en-GB"/>
              </w:rPr>
              <w:t> </w:t>
            </w:r>
          </w:p>
        </w:tc>
        <w:tc>
          <w:tcPr>
            <w:tcW w:w="360" w:type="dxa"/>
            <w:tcBorders>
              <w:top w:val="nil"/>
              <w:left w:val="nil"/>
              <w:bottom w:val="single" w:sz="4" w:space="0" w:color="auto"/>
              <w:right w:val="single" w:sz="4" w:space="0" w:color="auto"/>
            </w:tcBorders>
            <w:shd w:val="clear" w:color="000000" w:fill="DDDDDD"/>
            <w:vAlign w:val="center"/>
            <w:hideMark/>
          </w:tcPr>
          <w:p w:rsidR="008D06CF" w:rsidRPr="007158AD" w:rsidRDefault="008D06CF" w:rsidP="00FD6D42">
            <w:pPr>
              <w:rPr>
                <w:rFonts w:eastAsia="Times New Roman"/>
                <w:color w:val="000000"/>
                <w:sz w:val="24"/>
                <w:szCs w:val="24"/>
                <w:lang w:eastAsia="en-GB"/>
              </w:rPr>
            </w:pPr>
            <w:r w:rsidRPr="007158AD">
              <w:rPr>
                <w:rFonts w:eastAsia="Times New Roman"/>
                <w:color w:val="000000"/>
                <w:sz w:val="24"/>
                <w:szCs w:val="24"/>
                <w:lang w:val="en-US" w:eastAsia="en-GB"/>
              </w:rPr>
              <w:t> </w:t>
            </w:r>
          </w:p>
        </w:tc>
        <w:tc>
          <w:tcPr>
            <w:tcW w:w="338" w:type="dxa"/>
            <w:tcBorders>
              <w:top w:val="nil"/>
              <w:left w:val="nil"/>
              <w:bottom w:val="single" w:sz="4" w:space="0" w:color="auto"/>
              <w:right w:val="single" w:sz="4" w:space="0" w:color="auto"/>
            </w:tcBorders>
            <w:shd w:val="clear" w:color="auto" w:fill="auto"/>
            <w:vAlign w:val="center"/>
            <w:hideMark/>
          </w:tcPr>
          <w:p w:rsidR="008D06CF" w:rsidRPr="007158AD" w:rsidRDefault="008D06CF" w:rsidP="00FD6D42">
            <w:pPr>
              <w:rPr>
                <w:rFonts w:eastAsia="Times New Roman"/>
                <w:color w:val="000000"/>
                <w:sz w:val="24"/>
                <w:szCs w:val="24"/>
                <w:lang w:eastAsia="en-GB"/>
              </w:rPr>
            </w:pPr>
            <w:r w:rsidRPr="007158AD">
              <w:rPr>
                <w:rFonts w:eastAsia="Times New Roman"/>
                <w:color w:val="000000"/>
                <w:sz w:val="24"/>
                <w:szCs w:val="24"/>
                <w:lang w:val="en-US" w:eastAsia="en-GB"/>
              </w:rPr>
              <w:t> </w:t>
            </w:r>
          </w:p>
        </w:tc>
        <w:tc>
          <w:tcPr>
            <w:tcW w:w="331" w:type="dxa"/>
            <w:tcBorders>
              <w:top w:val="nil"/>
              <w:left w:val="nil"/>
              <w:bottom w:val="single" w:sz="4" w:space="0" w:color="auto"/>
              <w:right w:val="single" w:sz="4" w:space="0" w:color="auto"/>
            </w:tcBorders>
            <w:shd w:val="clear" w:color="000000" w:fill="DDDDDD"/>
            <w:vAlign w:val="center"/>
            <w:hideMark/>
          </w:tcPr>
          <w:p w:rsidR="008D06CF" w:rsidRPr="007158AD" w:rsidRDefault="008D06CF" w:rsidP="00FD6D42">
            <w:pPr>
              <w:rPr>
                <w:rFonts w:eastAsia="Times New Roman"/>
                <w:color w:val="000000"/>
                <w:sz w:val="24"/>
                <w:szCs w:val="24"/>
                <w:lang w:eastAsia="en-GB"/>
              </w:rPr>
            </w:pPr>
            <w:r w:rsidRPr="007158AD">
              <w:rPr>
                <w:rFonts w:eastAsia="Times New Roman"/>
                <w:color w:val="000000"/>
                <w:sz w:val="24"/>
                <w:szCs w:val="24"/>
                <w:lang w:val="en-US" w:eastAsia="en-GB"/>
              </w:rPr>
              <w:t> </w:t>
            </w:r>
          </w:p>
        </w:tc>
        <w:tc>
          <w:tcPr>
            <w:tcW w:w="322" w:type="dxa"/>
            <w:tcBorders>
              <w:top w:val="nil"/>
              <w:left w:val="nil"/>
              <w:bottom w:val="single" w:sz="4" w:space="0" w:color="auto"/>
              <w:right w:val="single" w:sz="4" w:space="0" w:color="auto"/>
            </w:tcBorders>
            <w:shd w:val="clear" w:color="auto" w:fill="auto"/>
            <w:vAlign w:val="center"/>
            <w:hideMark/>
          </w:tcPr>
          <w:p w:rsidR="008D06CF" w:rsidRPr="007158AD" w:rsidRDefault="008D06CF" w:rsidP="00FD6D42">
            <w:pPr>
              <w:rPr>
                <w:rFonts w:eastAsia="Times New Roman"/>
                <w:color w:val="000000"/>
                <w:sz w:val="24"/>
                <w:szCs w:val="24"/>
                <w:lang w:eastAsia="en-GB"/>
              </w:rPr>
            </w:pPr>
            <w:r w:rsidRPr="007158AD">
              <w:rPr>
                <w:rFonts w:eastAsia="Times New Roman"/>
                <w:color w:val="000000"/>
                <w:sz w:val="24"/>
                <w:szCs w:val="24"/>
                <w:lang w:val="en-US" w:eastAsia="en-GB"/>
              </w:rPr>
              <w:t> </w:t>
            </w:r>
          </w:p>
        </w:tc>
        <w:tc>
          <w:tcPr>
            <w:tcW w:w="458" w:type="dxa"/>
            <w:tcBorders>
              <w:top w:val="nil"/>
              <w:left w:val="nil"/>
              <w:bottom w:val="single" w:sz="4" w:space="0" w:color="auto"/>
              <w:right w:val="single" w:sz="4" w:space="0" w:color="auto"/>
            </w:tcBorders>
            <w:shd w:val="clear" w:color="000000" w:fill="DDDDDD"/>
            <w:vAlign w:val="center"/>
            <w:hideMark/>
          </w:tcPr>
          <w:p w:rsidR="008D06CF" w:rsidRPr="007158AD" w:rsidRDefault="008D06CF" w:rsidP="00FD6D42">
            <w:pPr>
              <w:rPr>
                <w:rFonts w:eastAsia="Times New Roman"/>
                <w:color w:val="000000"/>
                <w:sz w:val="24"/>
                <w:szCs w:val="24"/>
                <w:lang w:eastAsia="en-GB"/>
              </w:rPr>
            </w:pPr>
            <w:r w:rsidRPr="007158AD">
              <w:rPr>
                <w:rFonts w:eastAsia="Times New Roman"/>
                <w:color w:val="000000"/>
                <w:sz w:val="24"/>
                <w:szCs w:val="24"/>
                <w:lang w:val="en-US" w:eastAsia="en-GB"/>
              </w:rPr>
              <w:t>*</w:t>
            </w:r>
          </w:p>
        </w:tc>
        <w:tc>
          <w:tcPr>
            <w:tcW w:w="458" w:type="dxa"/>
            <w:tcBorders>
              <w:top w:val="nil"/>
              <w:left w:val="nil"/>
              <w:bottom w:val="single" w:sz="4" w:space="0" w:color="auto"/>
              <w:right w:val="single" w:sz="4" w:space="0" w:color="auto"/>
            </w:tcBorders>
            <w:shd w:val="clear" w:color="auto" w:fill="auto"/>
            <w:vAlign w:val="center"/>
            <w:hideMark/>
          </w:tcPr>
          <w:p w:rsidR="008D06CF" w:rsidRPr="007158AD" w:rsidRDefault="008D06CF" w:rsidP="00FD6D42">
            <w:pPr>
              <w:rPr>
                <w:rFonts w:eastAsia="Times New Roman"/>
                <w:color w:val="000000"/>
                <w:sz w:val="24"/>
                <w:szCs w:val="24"/>
                <w:lang w:eastAsia="en-GB"/>
              </w:rPr>
            </w:pPr>
            <w:r w:rsidRPr="007158AD">
              <w:rPr>
                <w:rFonts w:eastAsia="Times New Roman"/>
                <w:color w:val="000000"/>
                <w:sz w:val="24"/>
                <w:szCs w:val="24"/>
                <w:lang w:val="en-US" w:eastAsia="en-GB"/>
              </w:rPr>
              <w:t>*</w:t>
            </w:r>
          </w:p>
        </w:tc>
      </w:tr>
      <w:tr w:rsidR="008D06CF" w:rsidRPr="007158AD" w:rsidTr="00FD6D42">
        <w:trPr>
          <w:trHeight w:val="1260"/>
        </w:trPr>
        <w:tc>
          <w:tcPr>
            <w:tcW w:w="2080" w:type="dxa"/>
            <w:tcBorders>
              <w:top w:val="nil"/>
              <w:left w:val="single" w:sz="4" w:space="0" w:color="auto"/>
              <w:bottom w:val="single" w:sz="4" w:space="0" w:color="auto"/>
              <w:right w:val="single" w:sz="4" w:space="0" w:color="auto"/>
            </w:tcBorders>
            <w:shd w:val="clear" w:color="000000" w:fill="9FFF9F"/>
            <w:vAlign w:val="center"/>
            <w:hideMark/>
          </w:tcPr>
          <w:p w:rsidR="008D06CF" w:rsidRPr="007158AD" w:rsidRDefault="008D06CF" w:rsidP="00FD6D42">
            <w:pPr>
              <w:rPr>
                <w:rFonts w:eastAsia="Times New Roman"/>
                <w:color w:val="000000"/>
                <w:sz w:val="24"/>
                <w:szCs w:val="24"/>
                <w:lang w:eastAsia="en-GB"/>
              </w:rPr>
            </w:pPr>
            <w:r w:rsidRPr="007158AD">
              <w:rPr>
                <w:rFonts w:eastAsia="Times New Roman"/>
                <w:color w:val="000000"/>
                <w:sz w:val="24"/>
                <w:szCs w:val="24"/>
                <w:lang w:val="en-US" w:eastAsia="en-GB"/>
              </w:rPr>
              <w:t>Environmental improvements</w:t>
            </w:r>
          </w:p>
        </w:tc>
        <w:tc>
          <w:tcPr>
            <w:tcW w:w="350" w:type="dxa"/>
            <w:tcBorders>
              <w:top w:val="nil"/>
              <w:left w:val="nil"/>
              <w:bottom w:val="single" w:sz="4" w:space="0" w:color="auto"/>
              <w:right w:val="single" w:sz="4" w:space="0" w:color="auto"/>
            </w:tcBorders>
            <w:shd w:val="clear" w:color="000000" w:fill="DDDDDD"/>
            <w:vAlign w:val="center"/>
            <w:hideMark/>
          </w:tcPr>
          <w:p w:rsidR="008D06CF" w:rsidRPr="007158AD" w:rsidRDefault="008D06CF" w:rsidP="00FD6D42">
            <w:pPr>
              <w:rPr>
                <w:rFonts w:eastAsia="Times New Roman"/>
                <w:color w:val="000000"/>
                <w:sz w:val="24"/>
                <w:szCs w:val="24"/>
                <w:lang w:eastAsia="en-GB"/>
              </w:rPr>
            </w:pPr>
            <w:r w:rsidRPr="007158AD">
              <w:rPr>
                <w:rFonts w:eastAsia="Times New Roman"/>
                <w:color w:val="000000"/>
                <w:sz w:val="24"/>
                <w:szCs w:val="24"/>
                <w:lang w:val="en-US" w:eastAsia="en-GB"/>
              </w:rPr>
              <w:t>*</w:t>
            </w:r>
          </w:p>
        </w:tc>
        <w:tc>
          <w:tcPr>
            <w:tcW w:w="355" w:type="dxa"/>
            <w:tcBorders>
              <w:top w:val="nil"/>
              <w:left w:val="nil"/>
              <w:bottom w:val="single" w:sz="4" w:space="0" w:color="auto"/>
              <w:right w:val="single" w:sz="4" w:space="0" w:color="auto"/>
            </w:tcBorders>
            <w:shd w:val="clear" w:color="auto" w:fill="auto"/>
            <w:vAlign w:val="center"/>
            <w:hideMark/>
          </w:tcPr>
          <w:p w:rsidR="008D06CF" w:rsidRPr="007158AD" w:rsidRDefault="008D06CF" w:rsidP="00FD6D42">
            <w:pPr>
              <w:rPr>
                <w:rFonts w:eastAsia="Times New Roman"/>
                <w:color w:val="000000"/>
                <w:sz w:val="24"/>
                <w:szCs w:val="24"/>
                <w:lang w:eastAsia="en-GB"/>
              </w:rPr>
            </w:pPr>
            <w:r w:rsidRPr="007158AD">
              <w:rPr>
                <w:rFonts w:eastAsia="Times New Roman"/>
                <w:color w:val="000000"/>
                <w:sz w:val="24"/>
                <w:szCs w:val="24"/>
                <w:lang w:val="en-US" w:eastAsia="en-GB"/>
              </w:rPr>
              <w:t> </w:t>
            </w:r>
          </w:p>
        </w:tc>
        <w:tc>
          <w:tcPr>
            <w:tcW w:w="319" w:type="dxa"/>
            <w:tcBorders>
              <w:top w:val="nil"/>
              <w:left w:val="nil"/>
              <w:bottom w:val="single" w:sz="4" w:space="0" w:color="auto"/>
              <w:right w:val="single" w:sz="4" w:space="0" w:color="auto"/>
            </w:tcBorders>
            <w:shd w:val="clear" w:color="000000" w:fill="DDDDDD"/>
            <w:vAlign w:val="center"/>
            <w:hideMark/>
          </w:tcPr>
          <w:p w:rsidR="008D06CF" w:rsidRPr="007158AD" w:rsidRDefault="008D06CF" w:rsidP="00FD6D42">
            <w:pPr>
              <w:rPr>
                <w:rFonts w:eastAsia="Times New Roman"/>
                <w:color w:val="000000"/>
                <w:sz w:val="24"/>
                <w:szCs w:val="24"/>
                <w:lang w:eastAsia="en-GB"/>
              </w:rPr>
            </w:pPr>
            <w:r w:rsidRPr="007158AD">
              <w:rPr>
                <w:rFonts w:eastAsia="Times New Roman"/>
                <w:color w:val="000000"/>
                <w:sz w:val="24"/>
                <w:szCs w:val="24"/>
                <w:lang w:val="en-US" w:eastAsia="en-GB"/>
              </w:rPr>
              <w:t> </w:t>
            </w:r>
          </w:p>
        </w:tc>
        <w:tc>
          <w:tcPr>
            <w:tcW w:w="319" w:type="dxa"/>
            <w:tcBorders>
              <w:top w:val="nil"/>
              <w:left w:val="nil"/>
              <w:bottom w:val="single" w:sz="4" w:space="0" w:color="auto"/>
              <w:right w:val="single" w:sz="4" w:space="0" w:color="auto"/>
            </w:tcBorders>
            <w:shd w:val="clear" w:color="auto" w:fill="auto"/>
            <w:vAlign w:val="center"/>
            <w:hideMark/>
          </w:tcPr>
          <w:p w:rsidR="008D06CF" w:rsidRPr="007158AD" w:rsidRDefault="008D06CF" w:rsidP="00FD6D42">
            <w:pPr>
              <w:rPr>
                <w:rFonts w:eastAsia="Times New Roman"/>
                <w:color w:val="000000"/>
                <w:sz w:val="24"/>
                <w:szCs w:val="24"/>
                <w:lang w:eastAsia="en-GB"/>
              </w:rPr>
            </w:pPr>
            <w:r w:rsidRPr="007158AD">
              <w:rPr>
                <w:rFonts w:eastAsia="Times New Roman"/>
                <w:color w:val="000000"/>
                <w:sz w:val="24"/>
                <w:szCs w:val="24"/>
                <w:lang w:val="en-US" w:eastAsia="en-GB"/>
              </w:rPr>
              <w:t>*</w:t>
            </w:r>
          </w:p>
        </w:tc>
        <w:tc>
          <w:tcPr>
            <w:tcW w:w="337" w:type="dxa"/>
            <w:tcBorders>
              <w:top w:val="nil"/>
              <w:left w:val="nil"/>
              <w:bottom w:val="single" w:sz="4" w:space="0" w:color="auto"/>
              <w:right w:val="single" w:sz="4" w:space="0" w:color="auto"/>
            </w:tcBorders>
            <w:shd w:val="clear" w:color="000000" w:fill="DDDDDD"/>
            <w:vAlign w:val="center"/>
            <w:hideMark/>
          </w:tcPr>
          <w:p w:rsidR="008D06CF" w:rsidRPr="007158AD" w:rsidRDefault="008D06CF" w:rsidP="00FD6D42">
            <w:pPr>
              <w:rPr>
                <w:rFonts w:eastAsia="Times New Roman"/>
                <w:color w:val="000000"/>
                <w:sz w:val="24"/>
                <w:szCs w:val="24"/>
                <w:lang w:eastAsia="en-GB"/>
              </w:rPr>
            </w:pPr>
            <w:r w:rsidRPr="007158AD">
              <w:rPr>
                <w:rFonts w:eastAsia="Times New Roman"/>
                <w:color w:val="000000"/>
                <w:sz w:val="24"/>
                <w:szCs w:val="24"/>
                <w:lang w:val="en-US" w:eastAsia="en-GB"/>
              </w:rPr>
              <w:t>*</w:t>
            </w:r>
          </w:p>
        </w:tc>
        <w:tc>
          <w:tcPr>
            <w:tcW w:w="319" w:type="dxa"/>
            <w:tcBorders>
              <w:top w:val="nil"/>
              <w:left w:val="nil"/>
              <w:bottom w:val="single" w:sz="4" w:space="0" w:color="auto"/>
              <w:right w:val="single" w:sz="4" w:space="0" w:color="auto"/>
            </w:tcBorders>
            <w:shd w:val="clear" w:color="auto" w:fill="auto"/>
            <w:vAlign w:val="center"/>
            <w:hideMark/>
          </w:tcPr>
          <w:p w:rsidR="008D06CF" w:rsidRPr="007158AD" w:rsidRDefault="008D06CF" w:rsidP="00FD6D42">
            <w:pPr>
              <w:rPr>
                <w:rFonts w:eastAsia="Times New Roman"/>
                <w:color w:val="000000"/>
                <w:sz w:val="24"/>
                <w:szCs w:val="24"/>
                <w:lang w:eastAsia="en-GB"/>
              </w:rPr>
            </w:pPr>
            <w:r w:rsidRPr="007158AD">
              <w:rPr>
                <w:rFonts w:eastAsia="Times New Roman"/>
                <w:color w:val="000000"/>
                <w:sz w:val="24"/>
                <w:szCs w:val="24"/>
                <w:lang w:val="en-US" w:eastAsia="en-GB"/>
              </w:rPr>
              <w:t>*</w:t>
            </w:r>
          </w:p>
        </w:tc>
        <w:tc>
          <w:tcPr>
            <w:tcW w:w="409" w:type="dxa"/>
            <w:tcBorders>
              <w:top w:val="nil"/>
              <w:left w:val="nil"/>
              <w:bottom w:val="single" w:sz="4" w:space="0" w:color="auto"/>
              <w:right w:val="single" w:sz="4" w:space="0" w:color="auto"/>
            </w:tcBorders>
            <w:shd w:val="clear" w:color="000000" w:fill="DDDDDD"/>
            <w:vAlign w:val="center"/>
            <w:hideMark/>
          </w:tcPr>
          <w:p w:rsidR="008D06CF" w:rsidRPr="007158AD" w:rsidRDefault="008D06CF" w:rsidP="00FD6D42">
            <w:pPr>
              <w:rPr>
                <w:rFonts w:eastAsia="Times New Roman"/>
                <w:color w:val="000000"/>
                <w:sz w:val="24"/>
                <w:szCs w:val="24"/>
                <w:lang w:eastAsia="en-GB"/>
              </w:rPr>
            </w:pPr>
            <w:r w:rsidRPr="007158AD">
              <w:rPr>
                <w:rFonts w:eastAsia="Times New Roman"/>
                <w:color w:val="000000"/>
                <w:sz w:val="24"/>
                <w:szCs w:val="24"/>
                <w:lang w:val="en-US" w:eastAsia="en-GB"/>
              </w:rPr>
              <w:t> </w:t>
            </w:r>
          </w:p>
        </w:tc>
        <w:tc>
          <w:tcPr>
            <w:tcW w:w="334" w:type="dxa"/>
            <w:tcBorders>
              <w:top w:val="nil"/>
              <w:left w:val="nil"/>
              <w:bottom w:val="single" w:sz="4" w:space="0" w:color="auto"/>
              <w:right w:val="single" w:sz="4" w:space="0" w:color="auto"/>
            </w:tcBorders>
            <w:shd w:val="clear" w:color="auto" w:fill="auto"/>
            <w:vAlign w:val="center"/>
            <w:hideMark/>
          </w:tcPr>
          <w:p w:rsidR="008D06CF" w:rsidRPr="007158AD" w:rsidRDefault="008D06CF" w:rsidP="00FD6D42">
            <w:pPr>
              <w:rPr>
                <w:rFonts w:eastAsia="Times New Roman"/>
                <w:color w:val="000000"/>
                <w:sz w:val="24"/>
                <w:szCs w:val="24"/>
                <w:lang w:eastAsia="en-GB"/>
              </w:rPr>
            </w:pPr>
            <w:r w:rsidRPr="007158AD">
              <w:rPr>
                <w:rFonts w:eastAsia="Times New Roman"/>
                <w:color w:val="000000"/>
                <w:sz w:val="24"/>
                <w:szCs w:val="24"/>
                <w:lang w:val="en-US" w:eastAsia="en-GB"/>
              </w:rPr>
              <w:t> </w:t>
            </w:r>
          </w:p>
        </w:tc>
        <w:tc>
          <w:tcPr>
            <w:tcW w:w="367" w:type="dxa"/>
            <w:tcBorders>
              <w:top w:val="nil"/>
              <w:left w:val="nil"/>
              <w:bottom w:val="single" w:sz="4" w:space="0" w:color="auto"/>
              <w:right w:val="single" w:sz="4" w:space="0" w:color="auto"/>
            </w:tcBorders>
            <w:shd w:val="clear" w:color="000000" w:fill="DDDDDD"/>
            <w:vAlign w:val="center"/>
            <w:hideMark/>
          </w:tcPr>
          <w:p w:rsidR="008D06CF" w:rsidRPr="007158AD" w:rsidRDefault="008D06CF" w:rsidP="00FD6D42">
            <w:pPr>
              <w:rPr>
                <w:rFonts w:eastAsia="Times New Roman"/>
                <w:color w:val="000000"/>
                <w:sz w:val="24"/>
                <w:szCs w:val="24"/>
                <w:lang w:eastAsia="en-GB"/>
              </w:rPr>
            </w:pPr>
            <w:r w:rsidRPr="007158AD">
              <w:rPr>
                <w:rFonts w:eastAsia="Times New Roman"/>
                <w:color w:val="000000"/>
                <w:sz w:val="24"/>
                <w:szCs w:val="24"/>
                <w:lang w:val="en-US" w:eastAsia="en-GB"/>
              </w:rPr>
              <w:t> </w:t>
            </w:r>
          </w:p>
        </w:tc>
        <w:tc>
          <w:tcPr>
            <w:tcW w:w="340" w:type="dxa"/>
            <w:tcBorders>
              <w:top w:val="nil"/>
              <w:left w:val="nil"/>
              <w:bottom w:val="single" w:sz="4" w:space="0" w:color="auto"/>
              <w:right w:val="single" w:sz="4" w:space="0" w:color="auto"/>
            </w:tcBorders>
            <w:shd w:val="clear" w:color="auto" w:fill="auto"/>
            <w:vAlign w:val="center"/>
            <w:hideMark/>
          </w:tcPr>
          <w:p w:rsidR="008D06CF" w:rsidRPr="007158AD" w:rsidRDefault="008D06CF" w:rsidP="00FD6D42">
            <w:pPr>
              <w:rPr>
                <w:rFonts w:eastAsia="Times New Roman"/>
                <w:color w:val="000000"/>
                <w:sz w:val="24"/>
                <w:szCs w:val="24"/>
                <w:lang w:eastAsia="en-GB"/>
              </w:rPr>
            </w:pPr>
            <w:r w:rsidRPr="007158AD">
              <w:rPr>
                <w:rFonts w:eastAsia="Times New Roman"/>
                <w:color w:val="000000"/>
                <w:sz w:val="24"/>
                <w:szCs w:val="24"/>
                <w:lang w:val="en-US" w:eastAsia="en-GB"/>
              </w:rPr>
              <w:t>*</w:t>
            </w:r>
          </w:p>
        </w:tc>
        <w:tc>
          <w:tcPr>
            <w:tcW w:w="320" w:type="dxa"/>
            <w:tcBorders>
              <w:top w:val="nil"/>
              <w:left w:val="nil"/>
              <w:bottom w:val="single" w:sz="4" w:space="0" w:color="auto"/>
              <w:right w:val="single" w:sz="4" w:space="0" w:color="auto"/>
            </w:tcBorders>
            <w:shd w:val="clear" w:color="000000" w:fill="DDDDDD"/>
            <w:vAlign w:val="center"/>
            <w:hideMark/>
          </w:tcPr>
          <w:p w:rsidR="008D06CF" w:rsidRPr="007158AD" w:rsidRDefault="008D06CF" w:rsidP="00FD6D42">
            <w:pPr>
              <w:rPr>
                <w:rFonts w:eastAsia="Times New Roman"/>
                <w:color w:val="000000"/>
                <w:sz w:val="24"/>
                <w:szCs w:val="24"/>
                <w:lang w:eastAsia="en-GB"/>
              </w:rPr>
            </w:pPr>
            <w:r w:rsidRPr="007158AD">
              <w:rPr>
                <w:rFonts w:eastAsia="Times New Roman"/>
                <w:color w:val="000000"/>
                <w:sz w:val="24"/>
                <w:szCs w:val="24"/>
                <w:lang w:val="en-US" w:eastAsia="en-GB"/>
              </w:rPr>
              <w:t>*</w:t>
            </w:r>
          </w:p>
        </w:tc>
        <w:tc>
          <w:tcPr>
            <w:tcW w:w="325" w:type="dxa"/>
            <w:tcBorders>
              <w:top w:val="nil"/>
              <w:left w:val="nil"/>
              <w:bottom w:val="single" w:sz="4" w:space="0" w:color="auto"/>
              <w:right w:val="single" w:sz="4" w:space="0" w:color="auto"/>
            </w:tcBorders>
            <w:shd w:val="clear" w:color="auto" w:fill="auto"/>
            <w:vAlign w:val="center"/>
            <w:hideMark/>
          </w:tcPr>
          <w:p w:rsidR="008D06CF" w:rsidRPr="007158AD" w:rsidRDefault="008D06CF" w:rsidP="00FD6D42">
            <w:pPr>
              <w:rPr>
                <w:rFonts w:eastAsia="Times New Roman"/>
                <w:color w:val="000000"/>
                <w:sz w:val="24"/>
                <w:szCs w:val="24"/>
                <w:lang w:eastAsia="en-GB"/>
              </w:rPr>
            </w:pPr>
            <w:r w:rsidRPr="007158AD">
              <w:rPr>
                <w:rFonts w:eastAsia="Times New Roman"/>
                <w:color w:val="000000"/>
                <w:sz w:val="24"/>
                <w:szCs w:val="24"/>
                <w:lang w:val="en-US" w:eastAsia="en-GB"/>
              </w:rPr>
              <w:t> </w:t>
            </w:r>
          </w:p>
        </w:tc>
        <w:tc>
          <w:tcPr>
            <w:tcW w:w="360" w:type="dxa"/>
            <w:tcBorders>
              <w:top w:val="nil"/>
              <w:left w:val="nil"/>
              <w:bottom w:val="single" w:sz="4" w:space="0" w:color="auto"/>
              <w:right w:val="single" w:sz="4" w:space="0" w:color="auto"/>
            </w:tcBorders>
            <w:shd w:val="clear" w:color="000000" w:fill="DDDDDD"/>
            <w:vAlign w:val="center"/>
            <w:hideMark/>
          </w:tcPr>
          <w:p w:rsidR="008D06CF" w:rsidRPr="007158AD" w:rsidRDefault="008D06CF" w:rsidP="00FD6D42">
            <w:pPr>
              <w:rPr>
                <w:rFonts w:eastAsia="Times New Roman"/>
                <w:color w:val="000000"/>
                <w:sz w:val="24"/>
                <w:szCs w:val="24"/>
                <w:lang w:eastAsia="en-GB"/>
              </w:rPr>
            </w:pPr>
            <w:r w:rsidRPr="007158AD">
              <w:rPr>
                <w:rFonts w:eastAsia="Times New Roman"/>
                <w:color w:val="000000"/>
                <w:sz w:val="24"/>
                <w:szCs w:val="24"/>
                <w:lang w:val="en-US" w:eastAsia="en-GB"/>
              </w:rPr>
              <w:t> </w:t>
            </w:r>
          </w:p>
        </w:tc>
        <w:tc>
          <w:tcPr>
            <w:tcW w:w="338" w:type="dxa"/>
            <w:tcBorders>
              <w:top w:val="nil"/>
              <w:left w:val="nil"/>
              <w:bottom w:val="single" w:sz="4" w:space="0" w:color="auto"/>
              <w:right w:val="single" w:sz="4" w:space="0" w:color="auto"/>
            </w:tcBorders>
            <w:shd w:val="clear" w:color="auto" w:fill="auto"/>
            <w:vAlign w:val="center"/>
            <w:hideMark/>
          </w:tcPr>
          <w:p w:rsidR="008D06CF" w:rsidRPr="007158AD" w:rsidRDefault="008D06CF" w:rsidP="00FD6D42">
            <w:pPr>
              <w:rPr>
                <w:rFonts w:eastAsia="Times New Roman"/>
                <w:color w:val="000000"/>
                <w:sz w:val="24"/>
                <w:szCs w:val="24"/>
                <w:lang w:eastAsia="en-GB"/>
              </w:rPr>
            </w:pPr>
            <w:r w:rsidRPr="007158AD">
              <w:rPr>
                <w:rFonts w:eastAsia="Times New Roman"/>
                <w:color w:val="000000"/>
                <w:sz w:val="24"/>
                <w:szCs w:val="24"/>
                <w:lang w:val="en-US" w:eastAsia="en-GB"/>
              </w:rPr>
              <w:t> </w:t>
            </w:r>
          </w:p>
        </w:tc>
        <w:tc>
          <w:tcPr>
            <w:tcW w:w="331" w:type="dxa"/>
            <w:tcBorders>
              <w:top w:val="nil"/>
              <w:left w:val="nil"/>
              <w:bottom w:val="single" w:sz="4" w:space="0" w:color="auto"/>
              <w:right w:val="single" w:sz="4" w:space="0" w:color="auto"/>
            </w:tcBorders>
            <w:shd w:val="clear" w:color="000000" w:fill="DDDDDD"/>
            <w:vAlign w:val="center"/>
            <w:hideMark/>
          </w:tcPr>
          <w:p w:rsidR="008D06CF" w:rsidRPr="007158AD" w:rsidRDefault="008D06CF" w:rsidP="00FD6D42">
            <w:pPr>
              <w:rPr>
                <w:rFonts w:eastAsia="Times New Roman"/>
                <w:color w:val="000000"/>
                <w:sz w:val="24"/>
                <w:szCs w:val="24"/>
                <w:lang w:eastAsia="en-GB"/>
              </w:rPr>
            </w:pPr>
            <w:r w:rsidRPr="007158AD">
              <w:rPr>
                <w:rFonts w:eastAsia="Times New Roman"/>
                <w:color w:val="000000"/>
                <w:sz w:val="24"/>
                <w:szCs w:val="24"/>
                <w:lang w:val="en-US" w:eastAsia="en-GB"/>
              </w:rPr>
              <w:t> </w:t>
            </w:r>
          </w:p>
        </w:tc>
        <w:tc>
          <w:tcPr>
            <w:tcW w:w="322" w:type="dxa"/>
            <w:tcBorders>
              <w:top w:val="nil"/>
              <w:left w:val="nil"/>
              <w:bottom w:val="single" w:sz="4" w:space="0" w:color="auto"/>
              <w:right w:val="single" w:sz="4" w:space="0" w:color="auto"/>
            </w:tcBorders>
            <w:shd w:val="clear" w:color="auto" w:fill="auto"/>
            <w:vAlign w:val="center"/>
            <w:hideMark/>
          </w:tcPr>
          <w:p w:rsidR="008D06CF" w:rsidRPr="007158AD" w:rsidRDefault="008D06CF" w:rsidP="00FD6D42">
            <w:pPr>
              <w:rPr>
                <w:rFonts w:eastAsia="Times New Roman"/>
                <w:color w:val="000000"/>
                <w:sz w:val="24"/>
                <w:szCs w:val="24"/>
                <w:lang w:eastAsia="en-GB"/>
              </w:rPr>
            </w:pPr>
            <w:r w:rsidRPr="007158AD">
              <w:rPr>
                <w:rFonts w:eastAsia="Times New Roman"/>
                <w:color w:val="000000"/>
                <w:sz w:val="24"/>
                <w:szCs w:val="24"/>
                <w:lang w:val="en-US" w:eastAsia="en-GB"/>
              </w:rPr>
              <w:t> </w:t>
            </w:r>
          </w:p>
        </w:tc>
        <w:tc>
          <w:tcPr>
            <w:tcW w:w="458" w:type="dxa"/>
            <w:tcBorders>
              <w:top w:val="nil"/>
              <w:left w:val="nil"/>
              <w:bottom w:val="single" w:sz="4" w:space="0" w:color="auto"/>
              <w:right w:val="single" w:sz="4" w:space="0" w:color="auto"/>
            </w:tcBorders>
            <w:shd w:val="clear" w:color="000000" w:fill="DDDDDD"/>
            <w:vAlign w:val="center"/>
            <w:hideMark/>
          </w:tcPr>
          <w:p w:rsidR="008D06CF" w:rsidRPr="007158AD" w:rsidRDefault="008D06CF" w:rsidP="00FD6D42">
            <w:pPr>
              <w:rPr>
                <w:rFonts w:eastAsia="Times New Roman"/>
                <w:color w:val="000000"/>
                <w:sz w:val="24"/>
                <w:szCs w:val="24"/>
                <w:lang w:eastAsia="en-GB"/>
              </w:rPr>
            </w:pPr>
            <w:r w:rsidRPr="007158AD">
              <w:rPr>
                <w:rFonts w:eastAsia="Times New Roman"/>
                <w:color w:val="000000"/>
                <w:sz w:val="24"/>
                <w:szCs w:val="24"/>
                <w:lang w:val="en-US" w:eastAsia="en-GB"/>
              </w:rPr>
              <w:t>*</w:t>
            </w:r>
          </w:p>
        </w:tc>
        <w:tc>
          <w:tcPr>
            <w:tcW w:w="458" w:type="dxa"/>
            <w:tcBorders>
              <w:top w:val="nil"/>
              <w:left w:val="nil"/>
              <w:bottom w:val="single" w:sz="4" w:space="0" w:color="auto"/>
              <w:right w:val="single" w:sz="4" w:space="0" w:color="auto"/>
            </w:tcBorders>
            <w:shd w:val="clear" w:color="auto" w:fill="auto"/>
            <w:vAlign w:val="center"/>
            <w:hideMark/>
          </w:tcPr>
          <w:p w:rsidR="008D06CF" w:rsidRPr="007158AD" w:rsidRDefault="008D06CF" w:rsidP="00FD6D42">
            <w:pPr>
              <w:rPr>
                <w:rFonts w:eastAsia="Times New Roman"/>
                <w:color w:val="000000"/>
                <w:sz w:val="24"/>
                <w:szCs w:val="24"/>
                <w:lang w:eastAsia="en-GB"/>
              </w:rPr>
            </w:pPr>
            <w:r w:rsidRPr="007158AD">
              <w:rPr>
                <w:rFonts w:eastAsia="Times New Roman"/>
                <w:color w:val="000000"/>
                <w:sz w:val="24"/>
                <w:szCs w:val="24"/>
                <w:lang w:val="en-US" w:eastAsia="en-GB"/>
              </w:rPr>
              <w:t> </w:t>
            </w:r>
          </w:p>
        </w:tc>
      </w:tr>
      <w:tr w:rsidR="008D06CF" w:rsidRPr="007158AD" w:rsidTr="00FD6D42">
        <w:trPr>
          <w:trHeight w:val="1260"/>
        </w:trPr>
        <w:tc>
          <w:tcPr>
            <w:tcW w:w="2080" w:type="dxa"/>
            <w:tcBorders>
              <w:top w:val="nil"/>
              <w:left w:val="single" w:sz="4" w:space="0" w:color="auto"/>
              <w:bottom w:val="single" w:sz="4" w:space="0" w:color="auto"/>
              <w:right w:val="single" w:sz="4" w:space="0" w:color="auto"/>
            </w:tcBorders>
            <w:shd w:val="clear" w:color="000000" w:fill="9FFF9F"/>
            <w:vAlign w:val="center"/>
            <w:hideMark/>
          </w:tcPr>
          <w:p w:rsidR="008D06CF" w:rsidRPr="007158AD" w:rsidRDefault="008D06CF" w:rsidP="00FD6D42">
            <w:pPr>
              <w:rPr>
                <w:rFonts w:eastAsia="Times New Roman"/>
                <w:color w:val="000000"/>
                <w:sz w:val="24"/>
                <w:szCs w:val="24"/>
                <w:lang w:eastAsia="en-GB"/>
              </w:rPr>
            </w:pPr>
            <w:r w:rsidRPr="007158AD">
              <w:rPr>
                <w:rFonts w:eastAsia="Times New Roman"/>
                <w:color w:val="000000"/>
                <w:sz w:val="24"/>
                <w:szCs w:val="24"/>
                <w:lang w:val="en-US" w:eastAsia="en-GB"/>
              </w:rPr>
              <w:t>Not to damage environmental performance</w:t>
            </w:r>
          </w:p>
        </w:tc>
        <w:tc>
          <w:tcPr>
            <w:tcW w:w="350" w:type="dxa"/>
            <w:tcBorders>
              <w:top w:val="nil"/>
              <w:left w:val="nil"/>
              <w:bottom w:val="single" w:sz="4" w:space="0" w:color="auto"/>
              <w:right w:val="single" w:sz="4" w:space="0" w:color="auto"/>
            </w:tcBorders>
            <w:shd w:val="clear" w:color="000000" w:fill="DDDDDD"/>
            <w:vAlign w:val="center"/>
            <w:hideMark/>
          </w:tcPr>
          <w:p w:rsidR="008D06CF" w:rsidRPr="007158AD" w:rsidRDefault="008D06CF" w:rsidP="00FD6D42">
            <w:pPr>
              <w:rPr>
                <w:rFonts w:eastAsia="Times New Roman"/>
                <w:color w:val="000000"/>
                <w:sz w:val="24"/>
                <w:szCs w:val="24"/>
                <w:lang w:eastAsia="en-GB"/>
              </w:rPr>
            </w:pPr>
            <w:r w:rsidRPr="007158AD">
              <w:rPr>
                <w:rFonts w:eastAsia="Times New Roman"/>
                <w:color w:val="000000"/>
                <w:sz w:val="24"/>
                <w:szCs w:val="24"/>
                <w:lang w:val="en-US" w:eastAsia="en-GB"/>
              </w:rPr>
              <w:t>*</w:t>
            </w:r>
          </w:p>
        </w:tc>
        <w:tc>
          <w:tcPr>
            <w:tcW w:w="355" w:type="dxa"/>
            <w:tcBorders>
              <w:top w:val="nil"/>
              <w:left w:val="nil"/>
              <w:bottom w:val="single" w:sz="4" w:space="0" w:color="auto"/>
              <w:right w:val="single" w:sz="4" w:space="0" w:color="auto"/>
            </w:tcBorders>
            <w:shd w:val="clear" w:color="auto" w:fill="auto"/>
            <w:vAlign w:val="center"/>
            <w:hideMark/>
          </w:tcPr>
          <w:p w:rsidR="008D06CF" w:rsidRPr="007158AD" w:rsidRDefault="008D06CF" w:rsidP="00FD6D42">
            <w:pPr>
              <w:rPr>
                <w:rFonts w:eastAsia="Times New Roman"/>
                <w:color w:val="000000"/>
                <w:sz w:val="24"/>
                <w:szCs w:val="24"/>
                <w:lang w:eastAsia="en-GB"/>
              </w:rPr>
            </w:pPr>
            <w:r w:rsidRPr="007158AD">
              <w:rPr>
                <w:rFonts w:eastAsia="Times New Roman"/>
                <w:color w:val="000000"/>
                <w:sz w:val="24"/>
                <w:szCs w:val="24"/>
                <w:lang w:val="en-US" w:eastAsia="en-GB"/>
              </w:rPr>
              <w:t> </w:t>
            </w:r>
          </w:p>
        </w:tc>
        <w:tc>
          <w:tcPr>
            <w:tcW w:w="319" w:type="dxa"/>
            <w:tcBorders>
              <w:top w:val="nil"/>
              <w:left w:val="nil"/>
              <w:bottom w:val="single" w:sz="4" w:space="0" w:color="auto"/>
              <w:right w:val="single" w:sz="4" w:space="0" w:color="auto"/>
            </w:tcBorders>
            <w:shd w:val="clear" w:color="000000" w:fill="DDDDDD"/>
            <w:vAlign w:val="center"/>
            <w:hideMark/>
          </w:tcPr>
          <w:p w:rsidR="008D06CF" w:rsidRPr="007158AD" w:rsidRDefault="008D06CF" w:rsidP="00FD6D42">
            <w:pPr>
              <w:rPr>
                <w:rFonts w:eastAsia="Times New Roman"/>
                <w:color w:val="000000"/>
                <w:sz w:val="24"/>
                <w:szCs w:val="24"/>
                <w:lang w:eastAsia="en-GB"/>
              </w:rPr>
            </w:pPr>
            <w:r w:rsidRPr="007158AD">
              <w:rPr>
                <w:rFonts w:eastAsia="Times New Roman"/>
                <w:color w:val="000000"/>
                <w:sz w:val="24"/>
                <w:szCs w:val="24"/>
                <w:lang w:val="en-US" w:eastAsia="en-GB"/>
              </w:rPr>
              <w:t> </w:t>
            </w:r>
          </w:p>
        </w:tc>
        <w:tc>
          <w:tcPr>
            <w:tcW w:w="319" w:type="dxa"/>
            <w:tcBorders>
              <w:top w:val="nil"/>
              <w:left w:val="nil"/>
              <w:bottom w:val="single" w:sz="4" w:space="0" w:color="auto"/>
              <w:right w:val="single" w:sz="4" w:space="0" w:color="auto"/>
            </w:tcBorders>
            <w:shd w:val="clear" w:color="auto" w:fill="auto"/>
            <w:vAlign w:val="center"/>
            <w:hideMark/>
          </w:tcPr>
          <w:p w:rsidR="008D06CF" w:rsidRPr="007158AD" w:rsidRDefault="008D06CF" w:rsidP="00FD6D42">
            <w:pPr>
              <w:rPr>
                <w:rFonts w:eastAsia="Times New Roman"/>
                <w:color w:val="000000"/>
                <w:sz w:val="24"/>
                <w:szCs w:val="24"/>
                <w:lang w:eastAsia="en-GB"/>
              </w:rPr>
            </w:pPr>
            <w:r w:rsidRPr="007158AD">
              <w:rPr>
                <w:rFonts w:eastAsia="Times New Roman"/>
                <w:color w:val="000000"/>
                <w:sz w:val="24"/>
                <w:szCs w:val="24"/>
                <w:lang w:val="en-US" w:eastAsia="en-GB"/>
              </w:rPr>
              <w:t> </w:t>
            </w:r>
          </w:p>
        </w:tc>
        <w:tc>
          <w:tcPr>
            <w:tcW w:w="337" w:type="dxa"/>
            <w:tcBorders>
              <w:top w:val="nil"/>
              <w:left w:val="nil"/>
              <w:bottom w:val="single" w:sz="4" w:space="0" w:color="auto"/>
              <w:right w:val="single" w:sz="4" w:space="0" w:color="auto"/>
            </w:tcBorders>
            <w:shd w:val="clear" w:color="000000" w:fill="DDDDDD"/>
            <w:vAlign w:val="center"/>
            <w:hideMark/>
          </w:tcPr>
          <w:p w:rsidR="008D06CF" w:rsidRPr="007158AD" w:rsidRDefault="008D06CF" w:rsidP="00FD6D42">
            <w:pPr>
              <w:rPr>
                <w:rFonts w:eastAsia="Times New Roman"/>
                <w:color w:val="000000"/>
                <w:sz w:val="24"/>
                <w:szCs w:val="24"/>
                <w:lang w:eastAsia="en-GB"/>
              </w:rPr>
            </w:pPr>
            <w:r w:rsidRPr="007158AD">
              <w:rPr>
                <w:rFonts w:eastAsia="Times New Roman"/>
                <w:color w:val="000000"/>
                <w:sz w:val="24"/>
                <w:szCs w:val="24"/>
                <w:lang w:val="en-US" w:eastAsia="en-GB"/>
              </w:rPr>
              <w:t>*</w:t>
            </w:r>
          </w:p>
        </w:tc>
        <w:tc>
          <w:tcPr>
            <w:tcW w:w="319" w:type="dxa"/>
            <w:tcBorders>
              <w:top w:val="nil"/>
              <w:left w:val="nil"/>
              <w:bottom w:val="single" w:sz="4" w:space="0" w:color="auto"/>
              <w:right w:val="single" w:sz="4" w:space="0" w:color="auto"/>
            </w:tcBorders>
            <w:shd w:val="clear" w:color="auto" w:fill="auto"/>
            <w:vAlign w:val="center"/>
            <w:hideMark/>
          </w:tcPr>
          <w:p w:rsidR="008D06CF" w:rsidRPr="007158AD" w:rsidRDefault="008D06CF" w:rsidP="00FD6D42">
            <w:pPr>
              <w:rPr>
                <w:rFonts w:eastAsia="Times New Roman"/>
                <w:color w:val="000000"/>
                <w:sz w:val="24"/>
                <w:szCs w:val="24"/>
                <w:lang w:eastAsia="en-GB"/>
              </w:rPr>
            </w:pPr>
            <w:r w:rsidRPr="007158AD">
              <w:rPr>
                <w:rFonts w:eastAsia="Times New Roman"/>
                <w:color w:val="000000"/>
                <w:sz w:val="24"/>
                <w:szCs w:val="24"/>
                <w:lang w:val="en-US" w:eastAsia="en-GB"/>
              </w:rPr>
              <w:t> </w:t>
            </w:r>
          </w:p>
        </w:tc>
        <w:tc>
          <w:tcPr>
            <w:tcW w:w="409" w:type="dxa"/>
            <w:tcBorders>
              <w:top w:val="nil"/>
              <w:left w:val="nil"/>
              <w:bottom w:val="single" w:sz="4" w:space="0" w:color="auto"/>
              <w:right w:val="single" w:sz="4" w:space="0" w:color="auto"/>
            </w:tcBorders>
            <w:shd w:val="clear" w:color="000000" w:fill="DDDDDD"/>
            <w:vAlign w:val="center"/>
            <w:hideMark/>
          </w:tcPr>
          <w:p w:rsidR="008D06CF" w:rsidRPr="007158AD" w:rsidRDefault="008D06CF" w:rsidP="00FD6D42">
            <w:pPr>
              <w:rPr>
                <w:rFonts w:eastAsia="Times New Roman"/>
                <w:color w:val="000000"/>
                <w:sz w:val="24"/>
                <w:szCs w:val="24"/>
                <w:lang w:eastAsia="en-GB"/>
              </w:rPr>
            </w:pPr>
            <w:r w:rsidRPr="007158AD">
              <w:rPr>
                <w:rFonts w:eastAsia="Times New Roman"/>
                <w:color w:val="000000"/>
                <w:sz w:val="24"/>
                <w:szCs w:val="24"/>
                <w:lang w:val="en-US" w:eastAsia="en-GB"/>
              </w:rPr>
              <w:t> </w:t>
            </w:r>
          </w:p>
        </w:tc>
        <w:tc>
          <w:tcPr>
            <w:tcW w:w="334" w:type="dxa"/>
            <w:tcBorders>
              <w:top w:val="nil"/>
              <w:left w:val="nil"/>
              <w:bottom w:val="single" w:sz="4" w:space="0" w:color="auto"/>
              <w:right w:val="single" w:sz="4" w:space="0" w:color="auto"/>
            </w:tcBorders>
            <w:shd w:val="clear" w:color="auto" w:fill="auto"/>
            <w:vAlign w:val="center"/>
            <w:hideMark/>
          </w:tcPr>
          <w:p w:rsidR="008D06CF" w:rsidRPr="007158AD" w:rsidRDefault="008D06CF" w:rsidP="00FD6D42">
            <w:pPr>
              <w:rPr>
                <w:rFonts w:eastAsia="Times New Roman"/>
                <w:color w:val="000000"/>
                <w:sz w:val="24"/>
                <w:szCs w:val="24"/>
                <w:lang w:eastAsia="en-GB"/>
              </w:rPr>
            </w:pPr>
            <w:r w:rsidRPr="007158AD">
              <w:rPr>
                <w:rFonts w:eastAsia="Times New Roman"/>
                <w:color w:val="000000"/>
                <w:sz w:val="24"/>
                <w:szCs w:val="24"/>
                <w:lang w:val="en-US" w:eastAsia="en-GB"/>
              </w:rPr>
              <w:t> </w:t>
            </w:r>
          </w:p>
        </w:tc>
        <w:tc>
          <w:tcPr>
            <w:tcW w:w="367" w:type="dxa"/>
            <w:tcBorders>
              <w:top w:val="nil"/>
              <w:left w:val="nil"/>
              <w:bottom w:val="single" w:sz="4" w:space="0" w:color="auto"/>
              <w:right w:val="single" w:sz="4" w:space="0" w:color="auto"/>
            </w:tcBorders>
            <w:shd w:val="clear" w:color="000000" w:fill="DDDDDD"/>
            <w:vAlign w:val="center"/>
            <w:hideMark/>
          </w:tcPr>
          <w:p w:rsidR="008D06CF" w:rsidRPr="007158AD" w:rsidRDefault="008D06CF" w:rsidP="00FD6D42">
            <w:pPr>
              <w:rPr>
                <w:rFonts w:eastAsia="Times New Roman"/>
                <w:color w:val="000000"/>
                <w:sz w:val="24"/>
                <w:szCs w:val="24"/>
                <w:lang w:eastAsia="en-GB"/>
              </w:rPr>
            </w:pPr>
            <w:r w:rsidRPr="007158AD">
              <w:rPr>
                <w:rFonts w:eastAsia="Times New Roman"/>
                <w:color w:val="000000"/>
                <w:sz w:val="24"/>
                <w:szCs w:val="24"/>
                <w:lang w:val="en-US" w:eastAsia="en-GB"/>
              </w:rPr>
              <w:t>*</w:t>
            </w:r>
          </w:p>
        </w:tc>
        <w:tc>
          <w:tcPr>
            <w:tcW w:w="340" w:type="dxa"/>
            <w:tcBorders>
              <w:top w:val="nil"/>
              <w:left w:val="nil"/>
              <w:bottom w:val="single" w:sz="4" w:space="0" w:color="auto"/>
              <w:right w:val="single" w:sz="4" w:space="0" w:color="auto"/>
            </w:tcBorders>
            <w:shd w:val="clear" w:color="auto" w:fill="auto"/>
            <w:vAlign w:val="center"/>
            <w:hideMark/>
          </w:tcPr>
          <w:p w:rsidR="008D06CF" w:rsidRPr="007158AD" w:rsidRDefault="008D06CF" w:rsidP="00FD6D42">
            <w:pPr>
              <w:rPr>
                <w:rFonts w:eastAsia="Times New Roman"/>
                <w:color w:val="000000"/>
                <w:sz w:val="24"/>
                <w:szCs w:val="24"/>
                <w:lang w:eastAsia="en-GB"/>
              </w:rPr>
            </w:pPr>
            <w:r w:rsidRPr="007158AD">
              <w:rPr>
                <w:rFonts w:eastAsia="Times New Roman"/>
                <w:color w:val="000000"/>
                <w:sz w:val="24"/>
                <w:szCs w:val="24"/>
                <w:lang w:val="en-US" w:eastAsia="en-GB"/>
              </w:rPr>
              <w:t> </w:t>
            </w:r>
          </w:p>
        </w:tc>
        <w:tc>
          <w:tcPr>
            <w:tcW w:w="320" w:type="dxa"/>
            <w:tcBorders>
              <w:top w:val="nil"/>
              <w:left w:val="nil"/>
              <w:bottom w:val="single" w:sz="4" w:space="0" w:color="auto"/>
              <w:right w:val="single" w:sz="4" w:space="0" w:color="auto"/>
            </w:tcBorders>
            <w:shd w:val="clear" w:color="000000" w:fill="DDDDDD"/>
            <w:vAlign w:val="center"/>
            <w:hideMark/>
          </w:tcPr>
          <w:p w:rsidR="008D06CF" w:rsidRPr="007158AD" w:rsidRDefault="008D06CF" w:rsidP="00FD6D42">
            <w:pPr>
              <w:rPr>
                <w:rFonts w:eastAsia="Times New Roman"/>
                <w:color w:val="000000"/>
                <w:sz w:val="24"/>
                <w:szCs w:val="24"/>
                <w:lang w:eastAsia="en-GB"/>
              </w:rPr>
            </w:pPr>
            <w:r w:rsidRPr="007158AD">
              <w:rPr>
                <w:rFonts w:eastAsia="Times New Roman"/>
                <w:color w:val="000000"/>
                <w:sz w:val="24"/>
                <w:szCs w:val="24"/>
                <w:lang w:val="en-US" w:eastAsia="en-GB"/>
              </w:rPr>
              <w:t> </w:t>
            </w:r>
          </w:p>
        </w:tc>
        <w:tc>
          <w:tcPr>
            <w:tcW w:w="325" w:type="dxa"/>
            <w:tcBorders>
              <w:top w:val="nil"/>
              <w:left w:val="nil"/>
              <w:bottom w:val="single" w:sz="4" w:space="0" w:color="auto"/>
              <w:right w:val="single" w:sz="4" w:space="0" w:color="auto"/>
            </w:tcBorders>
            <w:shd w:val="clear" w:color="auto" w:fill="auto"/>
            <w:vAlign w:val="center"/>
            <w:hideMark/>
          </w:tcPr>
          <w:p w:rsidR="008D06CF" w:rsidRPr="007158AD" w:rsidRDefault="008D06CF" w:rsidP="00FD6D42">
            <w:pPr>
              <w:rPr>
                <w:rFonts w:eastAsia="Times New Roman"/>
                <w:color w:val="000000"/>
                <w:sz w:val="24"/>
                <w:szCs w:val="24"/>
                <w:lang w:eastAsia="en-GB"/>
              </w:rPr>
            </w:pPr>
            <w:r w:rsidRPr="007158AD">
              <w:rPr>
                <w:rFonts w:eastAsia="Times New Roman"/>
                <w:color w:val="000000"/>
                <w:sz w:val="24"/>
                <w:szCs w:val="24"/>
                <w:lang w:val="en-US" w:eastAsia="en-GB"/>
              </w:rPr>
              <w:t> </w:t>
            </w:r>
          </w:p>
        </w:tc>
        <w:tc>
          <w:tcPr>
            <w:tcW w:w="360" w:type="dxa"/>
            <w:tcBorders>
              <w:top w:val="nil"/>
              <w:left w:val="nil"/>
              <w:bottom w:val="single" w:sz="4" w:space="0" w:color="auto"/>
              <w:right w:val="single" w:sz="4" w:space="0" w:color="auto"/>
            </w:tcBorders>
            <w:shd w:val="clear" w:color="000000" w:fill="DDDDDD"/>
            <w:vAlign w:val="center"/>
            <w:hideMark/>
          </w:tcPr>
          <w:p w:rsidR="008D06CF" w:rsidRPr="007158AD" w:rsidRDefault="008D06CF" w:rsidP="00FD6D42">
            <w:pPr>
              <w:rPr>
                <w:rFonts w:eastAsia="Times New Roman"/>
                <w:color w:val="000000"/>
                <w:sz w:val="24"/>
                <w:szCs w:val="24"/>
                <w:lang w:eastAsia="en-GB"/>
              </w:rPr>
            </w:pPr>
            <w:r w:rsidRPr="007158AD">
              <w:rPr>
                <w:rFonts w:eastAsia="Times New Roman"/>
                <w:color w:val="000000"/>
                <w:sz w:val="24"/>
                <w:szCs w:val="24"/>
                <w:lang w:val="en-US" w:eastAsia="en-GB"/>
              </w:rPr>
              <w:t> </w:t>
            </w:r>
          </w:p>
        </w:tc>
        <w:tc>
          <w:tcPr>
            <w:tcW w:w="338" w:type="dxa"/>
            <w:tcBorders>
              <w:top w:val="nil"/>
              <w:left w:val="nil"/>
              <w:bottom w:val="single" w:sz="4" w:space="0" w:color="auto"/>
              <w:right w:val="single" w:sz="4" w:space="0" w:color="auto"/>
            </w:tcBorders>
            <w:shd w:val="clear" w:color="auto" w:fill="auto"/>
            <w:vAlign w:val="center"/>
            <w:hideMark/>
          </w:tcPr>
          <w:p w:rsidR="008D06CF" w:rsidRPr="007158AD" w:rsidRDefault="008D06CF" w:rsidP="00FD6D42">
            <w:pPr>
              <w:rPr>
                <w:rFonts w:eastAsia="Times New Roman"/>
                <w:color w:val="000000"/>
                <w:sz w:val="24"/>
                <w:szCs w:val="24"/>
                <w:lang w:eastAsia="en-GB"/>
              </w:rPr>
            </w:pPr>
            <w:r w:rsidRPr="007158AD">
              <w:rPr>
                <w:rFonts w:eastAsia="Times New Roman"/>
                <w:color w:val="000000"/>
                <w:sz w:val="24"/>
                <w:szCs w:val="24"/>
                <w:lang w:val="en-US" w:eastAsia="en-GB"/>
              </w:rPr>
              <w:t> </w:t>
            </w:r>
          </w:p>
        </w:tc>
        <w:tc>
          <w:tcPr>
            <w:tcW w:w="331" w:type="dxa"/>
            <w:tcBorders>
              <w:top w:val="nil"/>
              <w:left w:val="nil"/>
              <w:bottom w:val="single" w:sz="4" w:space="0" w:color="auto"/>
              <w:right w:val="single" w:sz="4" w:space="0" w:color="auto"/>
            </w:tcBorders>
            <w:shd w:val="clear" w:color="000000" w:fill="DDDDDD"/>
            <w:vAlign w:val="center"/>
            <w:hideMark/>
          </w:tcPr>
          <w:p w:rsidR="008D06CF" w:rsidRPr="007158AD" w:rsidRDefault="008D06CF" w:rsidP="00FD6D42">
            <w:pPr>
              <w:rPr>
                <w:rFonts w:eastAsia="Times New Roman"/>
                <w:color w:val="000000"/>
                <w:sz w:val="24"/>
                <w:szCs w:val="24"/>
                <w:lang w:eastAsia="en-GB"/>
              </w:rPr>
            </w:pPr>
            <w:r w:rsidRPr="007158AD">
              <w:rPr>
                <w:rFonts w:eastAsia="Times New Roman"/>
                <w:color w:val="000000"/>
                <w:sz w:val="24"/>
                <w:szCs w:val="24"/>
                <w:lang w:val="en-US" w:eastAsia="en-GB"/>
              </w:rPr>
              <w:t> </w:t>
            </w:r>
          </w:p>
        </w:tc>
        <w:tc>
          <w:tcPr>
            <w:tcW w:w="322" w:type="dxa"/>
            <w:tcBorders>
              <w:top w:val="nil"/>
              <w:left w:val="nil"/>
              <w:bottom w:val="single" w:sz="4" w:space="0" w:color="auto"/>
              <w:right w:val="single" w:sz="4" w:space="0" w:color="auto"/>
            </w:tcBorders>
            <w:shd w:val="clear" w:color="auto" w:fill="auto"/>
            <w:vAlign w:val="center"/>
            <w:hideMark/>
          </w:tcPr>
          <w:p w:rsidR="008D06CF" w:rsidRPr="007158AD" w:rsidRDefault="008D06CF" w:rsidP="00FD6D42">
            <w:pPr>
              <w:rPr>
                <w:rFonts w:eastAsia="Times New Roman"/>
                <w:color w:val="000000"/>
                <w:sz w:val="24"/>
                <w:szCs w:val="24"/>
                <w:lang w:eastAsia="en-GB"/>
              </w:rPr>
            </w:pPr>
            <w:r w:rsidRPr="007158AD">
              <w:rPr>
                <w:rFonts w:eastAsia="Times New Roman"/>
                <w:color w:val="000000"/>
                <w:sz w:val="24"/>
                <w:szCs w:val="24"/>
                <w:lang w:val="en-US" w:eastAsia="en-GB"/>
              </w:rPr>
              <w:t> </w:t>
            </w:r>
          </w:p>
        </w:tc>
        <w:tc>
          <w:tcPr>
            <w:tcW w:w="458" w:type="dxa"/>
            <w:tcBorders>
              <w:top w:val="nil"/>
              <w:left w:val="nil"/>
              <w:bottom w:val="single" w:sz="4" w:space="0" w:color="auto"/>
              <w:right w:val="single" w:sz="4" w:space="0" w:color="auto"/>
            </w:tcBorders>
            <w:shd w:val="clear" w:color="000000" w:fill="DDDDDD"/>
            <w:vAlign w:val="center"/>
            <w:hideMark/>
          </w:tcPr>
          <w:p w:rsidR="008D06CF" w:rsidRPr="007158AD" w:rsidRDefault="008D06CF" w:rsidP="00FD6D42">
            <w:pPr>
              <w:rPr>
                <w:rFonts w:eastAsia="Times New Roman"/>
                <w:color w:val="000000"/>
                <w:sz w:val="24"/>
                <w:szCs w:val="24"/>
                <w:lang w:eastAsia="en-GB"/>
              </w:rPr>
            </w:pPr>
            <w:r w:rsidRPr="007158AD">
              <w:rPr>
                <w:rFonts w:eastAsia="Times New Roman"/>
                <w:color w:val="000000"/>
                <w:sz w:val="24"/>
                <w:szCs w:val="24"/>
                <w:lang w:val="en-US" w:eastAsia="en-GB"/>
              </w:rPr>
              <w:t> </w:t>
            </w:r>
          </w:p>
        </w:tc>
        <w:tc>
          <w:tcPr>
            <w:tcW w:w="458" w:type="dxa"/>
            <w:tcBorders>
              <w:top w:val="nil"/>
              <w:left w:val="nil"/>
              <w:bottom w:val="single" w:sz="4" w:space="0" w:color="auto"/>
              <w:right w:val="single" w:sz="4" w:space="0" w:color="auto"/>
            </w:tcBorders>
            <w:shd w:val="clear" w:color="auto" w:fill="auto"/>
            <w:vAlign w:val="center"/>
            <w:hideMark/>
          </w:tcPr>
          <w:p w:rsidR="008D06CF" w:rsidRPr="007158AD" w:rsidRDefault="008D06CF" w:rsidP="00FD6D42">
            <w:pPr>
              <w:rPr>
                <w:rFonts w:eastAsia="Times New Roman"/>
                <w:color w:val="000000"/>
                <w:sz w:val="24"/>
                <w:szCs w:val="24"/>
                <w:lang w:eastAsia="en-GB"/>
              </w:rPr>
            </w:pPr>
            <w:r w:rsidRPr="007158AD">
              <w:rPr>
                <w:rFonts w:eastAsia="Times New Roman"/>
                <w:color w:val="000000"/>
                <w:sz w:val="24"/>
                <w:szCs w:val="24"/>
                <w:lang w:val="en-US" w:eastAsia="en-GB"/>
              </w:rPr>
              <w:t> </w:t>
            </w:r>
          </w:p>
        </w:tc>
      </w:tr>
      <w:tr w:rsidR="008D06CF" w:rsidRPr="007158AD" w:rsidTr="00FD6D42">
        <w:trPr>
          <w:trHeight w:val="315"/>
        </w:trPr>
        <w:tc>
          <w:tcPr>
            <w:tcW w:w="2080" w:type="dxa"/>
            <w:tcBorders>
              <w:top w:val="nil"/>
              <w:left w:val="single" w:sz="4" w:space="0" w:color="auto"/>
              <w:bottom w:val="single" w:sz="4" w:space="0" w:color="auto"/>
              <w:right w:val="single" w:sz="4" w:space="0" w:color="auto"/>
            </w:tcBorders>
            <w:shd w:val="clear" w:color="000000" w:fill="9FFF9F"/>
            <w:vAlign w:val="center"/>
            <w:hideMark/>
          </w:tcPr>
          <w:p w:rsidR="008D06CF" w:rsidRPr="007158AD" w:rsidRDefault="008D06CF" w:rsidP="00FD6D42">
            <w:pPr>
              <w:rPr>
                <w:rFonts w:eastAsia="Times New Roman"/>
                <w:color w:val="000000"/>
                <w:sz w:val="24"/>
                <w:szCs w:val="24"/>
                <w:lang w:eastAsia="en-GB"/>
              </w:rPr>
            </w:pPr>
            <w:r w:rsidRPr="007158AD">
              <w:rPr>
                <w:rFonts w:eastAsia="Times New Roman"/>
                <w:color w:val="000000"/>
                <w:sz w:val="24"/>
                <w:szCs w:val="24"/>
                <w:lang w:val="en-US" w:eastAsia="en-GB"/>
              </w:rPr>
              <w:t>Yielding up</w:t>
            </w:r>
          </w:p>
        </w:tc>
        <w:tc>
          <w:tcPr>
            <w:tcW w:w="350" w:type="dxa"/>
            <w:tcBorders>
              <w:top w:val="nil"/>
              <w:left w:val="nil"/>
              <w:bottom w:val="single" w:sz="4" w:space="0" w:color="auto"/>
              <w:right w:val="single" w:sz="4" w:space="0" w:color="auto"/>
            </w:tcBorders>
            <w:shd w:val="clear" w:color="000000" w:fill="DDDDDD"/>
            <w:vAlign w:val="center"/>
            <w:hideMark/>
          </w:tcPr>
          <w:p w:rsidR="008D06CF" w:rsidRPr="007158AD" w:rsidRDefault="008D06CF" w:rsidP="00FD6D42">
            <w:pPr>
              <w:rPr>
                <w:rFonts w:eastAsia="Times New Roman"/>
                <w:color w:val="000000"/>
                <w:sz w:val="24"/>
                <w:szCs w:val="24"/>
                <w:lang w:eastAsia="en-GB"/>
              </w:rPr>
            </w:pPr>
            <w:r w:rsidRPr="007158AD">
              <w:rPr>
                <w:rFonts w:eastAsia="Times New Roman"/>
                <w:color w:val="000000"/>
                <w:sz w:val="24"/>
                <w:szCs w:val="24"/>
                <w:lang w:val="en-US" w:eastAsia="en-GB"/>
              </w:rPr>
              <w:t> </w:t>
            </w:r>
          </w:p>
        </w:tc>
        <w:tc>
          <w:tcPr>
            <w:tcW w:w="355" w:type="dxa"/>
            <w:tcBorders>
              <w:top w:val="nil"/>
              <w:left w:val="nil"/>
              <w:bottom w:val="single" w:sz="4" w:space="0" w:color="auto"/>
              <w:right w:val="single" w:sz="4" w:space="0" w:color="auto"/>
            </w:tcBorders>
            <w:shd w:val="clear" w:color="auto" w:fill="auto"/>
            <w:vAlign w:val="center"/>
            <w:hideMark/>
          </w:tcPr>
          <w:p w:rsidR="008D06CF" w:rsidRPr="007158AD" w:rsidRDefault="008D06CF" w:rsidP="00FD6D42">
            <w:pPr>
              <w:rPr>
                <w:rFonts w:eastAsia="Times New Roman"/>
                <w:color w:val="000000"/>
                <w:sz w:val="24"/>
                <w:szCs w:val="24"/>
                <w:lang w:eastAsia="en-GB"/>
              </w:rPr>
            </w:pPr>
            <w:r w:rsidRPr="007158AD">
              <w:rPr>
                <w:rFonts w:eastAsia="Times New Roman"/>
                <w:color w:val="000000"/>
                <w:sz w:val="24"/>
                <w:szCs w:val="24"/>
                <w:lang w:val="en-US" w:eastAsia="en-GB"/>
              </w:rPr>
              <w:t> </w:t>
            </w:r>
          </w:p>
        </w:tc>
        <w:tc>
          <w:tcPr>
            <w:tcW w:w="319" w:type="dxa"/>
            <w:tcBorders>
              <w:top w:val="nil"/>
              <w:left w:val="nil"/>
              <w:bottom w:val="single" w:sz="4" w:space="0" w:color="auto"/>
              <w:right w:val="single" w:sz="4" w:space="0" w:color="auto"/>
            </w:tcBorders>
            <w:shd w:val="clear" w:color="000000" w:fill="DDDDDD"/>
            <w:vAlign w:val="center"/>
            <w:hideMark/>
          </w:tcPr>
          <w:p w:rsidR="008D06CF" w:rsidRPr="007158AD" w:rsidRDefault="008D06CF" w:rsidP="00FD6D42">
            <w:pPr>
              <w:rPr>
                <w:rFonts w:eastAsia="Times New Roman"/>
                <w:color w:val="000000"/>
                <w:sz w:val="24"/>
                <w:szCs w:val="24"/>
                <w:lang w:eastAsia="en-GB"/>
              </w:rPr>
            </w:pPr>
            <w:r w:rsidRPr="007158AD">
              <w:rPr>
                <w:rFonts w:eastAsia="Times New Roman"/>
                <w:color w:val="000000"/>
                <w:sz w:val="24"/>
                <w:szCs w:val="24"/>
                <w:lang w:val="en-US" w:eastAsia="en-GB"/>
              </w:rPr>
              <w:t> </w:t>
            </w:r>
          </w:p>
        </w:tc>
        <w:tc>
          <w:tcPr>
            <w:tcW w:w="319" w:type="dxa"/>
            <w:tcBorders>
              <w:top w:val="nil"/>
              <w:left w:val="nil"/>
              <w:bottom w:val="single" w:sz="4" w:space="0" w:color="auto"/>
              <w:right w:val="single" w:sz="4" w:space="0" w:color="auto"/>
            </w:tcBorders>
            <w:shd w:val="clear" w:color="auto" w:fill="auto"/>
            <w:vAlign w:val="center"/>
            <w:hideMark/>
          </w:tcPr>
          <w:p w:rsidR="008D06CF" w:rsidRPr="007158AD" w:rsidRDefault="008D06CF" w:rsidP="00FD6D42">
            <w:pPr>
              <w:rPr>
                <w:rFonts w:eastAsia="Times New Roman"/>
                <w:color w:val="000000"/>
                <w:sz w:val="24"/>
                <w:szCs w:val="24"/>
                <w:lang w:eastAsia="en-GB"/>
              </w:rPr>
            </w:pPr>
            <w:r w:rsidRPr="007158AD">
              <w:rPr>
                <w:rFonts w:eastAsia="Times New Roman"/>
                <w:color w:val="000000"/>
                <w:sz w:val="24"/>
                <w:szCs w:val="24"/>
                <w:lang w:val="en-US" w:eastAsia="en-GB"/>
              </w:rPr>
              <w:t> </w:t>
            </w:r>
          </w:p>
        </w:tc>
        <w:tc>
          <w:tcPr>
            <w:tcW w:w="337" w:type="dxa"/>
            <w:tcBorders>
              <w:top w:val="nil"/>
              <w:left w:val="nil"/>
              <w:bottom w:val="single" w:sz="4" w:space="0" w:color="auto"/>
              <w:right w:val="single" w:sz="4" w:space="0" w:color="auto"/>
            </w:tcBorders>
            <w:shd w:val="clear" w:color="000000" w:fill="DDDDDD"/>
            <w:vAlign w:val="center"/>
            <w:hideMark/>
          </w:tcPr>
          <w:p w:rsidR="008D06CF" w:rsidRPr="007158AD" w:rsidRDefault="008D06CF" w:rsidP="00FD6D42">
            <w:pPr>
              <w:rPr>
                <w:rFonts w:eastAsia="Times New Roman"/>
                <w:color w:val="000000"/>
                <w:sz w:val="24"/>
                <w:szCs w:val="24"/>
                <w:lang w:eastAsia="en-GB"/>
              </w:rPr>
            </w:pPr>
            <w:r w:rsidRPr="007158AD">
              <w:rPr>
                <w:rFonts w:eastAsia="Times New Roman"/>
                <w:color w:val="000000"/>
                <w:sz w:val="24"/>
                <w:szCs w:val="24"/>
                <w:lang w:val="en-US" w:eastAsia="en-GB"/>
              </w:rPr>
              <w:t> </w:t>
            </w:r>
          </w:p>
        </w:tc>
        <w:tc>
          <w:tcPr>
            <w:tcW w:w="319" w:type="dxa"/>
            <w:tcBorders>
              <w:top w:val="nil"/>
              <w:left w:val="nil"/>
              <w:bottom w:val="single" w:sz="4" w:space="0" w:color="auto"/>
              <w:right w:val="single" w:sz="4" w:space="0" w:color="auto"/>
            </w:tcBorders>
            <w:shd w:val="clear" w:color="auto" w:fill="auto"/>
            <w:vAlign w:val="center"/>
            <w:hideMark/>
          </w:tcPr>
          <w:p w:rsidR="008D06CF" w:rsidRPr="007158AD" w:rsidRDefault="008D06CF" w:rsidP="00FD6D42">
            <w:pPr>
              <w:rPr>
                <w:rFonts w:eastAsia="Times New Roman"/>
                <w:color w:val="000000"/>
                <w:sz w:val="24"/>
                <w:szCs w:val="24"/>
                <w:lang w:eastAsia="en-GB"/>
              </w:rPr>
            </w:pPr>
            <w:r w:rsidRPr="007158AD">
              <w:rPr>
                <w:rFonts w:eastAsia="Times New Roman"/>
                <w:color w:val="000000"/>
                <w:sz w:val="24"/>
                <w:szCs w:val="24"/>
                <w:lang w:val="en-US" w:eastAsia="en-GB"/>
              </w:rPr>
              <w:t> </w:t>
            </w:r>
          </w:p>
        </w:tc>
        <w:tc>
          <w:tcPr>
            <w:tcW w:w="409" w:type="dxa"/>
            <w:tcBorders>
              <w:top w:val="nil"/>
              <w:left w:val="nil"/>
              <w:bottom w:val="single" w:sz="4" w:space="0" w:color="auto"/>
              <w:right w:val="single" w:sz="4" w:space="0" w:color="auto"/>
            </w:tcBorders>
            <w:shd w:val="clear" w:color="000000" w:fill="DDDDDD"/>
            <w:vAlign w:val="center"/>
            <w:hideMark/>
          </w:tcPr>
          <w:p w:rsidR="008D06CF" w:rsidRPr="007158AD" w:rsidRDefault="008D06CF" w:rsidP="00FD6D42">
            <w:pPr>
              <w:rPr>
                <w:rFonts w:eastAsia="Times New Roman"/>
                <w:color w:val="000000"/>
                <w:sz w:val="24"/>
                <w:szCs w:val="24"/>
                <w:lang w:eastAsia="en-GB"/>
              </w:rPr>
            </w:pPr>
            <w:r w:rsidRPr="007158AD">
              <w:rPr>
                <w:rFonts w:eastAsia="Times New Roman"/>
                <w:color w:val="000000"/>
                <w:sz w:val="24"/>
                <w:szCs w:val="24"/>
                <w:lang w:val="en-US" w:eastAsia="en-GB"/>
              </w:rPr>
              <w:t> </w:t>
            </w:r>
          </w:p>
        </w:tc>
        <w:tc>
          <w:tcPr>
            <w:tcW w:w="334" w:type="dxa"/>
            <w:tcBorders>
              <w:top w:val="nil"/>
              <w:left w:val="nil"/>
              <w:bottom w:val="single" w:sz="4" w:space="0" w:color="auto"/>
              <w:right w:val="single" w:sz="4" w:space="0" w:color="auto"/>
            </w:tcBorders>
            <w:shd w:val="clear" w:color="auto" w:fill="auto"/>
            <w:vAlign w:val="center"/>
            <w:hideMark/>
          </w:tcPr>
          <w:p w:rsidR="008D06CF" w:rsidRPr="007158AD" w:rsidRDefault="008D06CF" w:rsidP="00FD6D42">
            <w:pPr>
              <w:rPr>
                <w:rFonts w:eastAsia="Times New Roman"/>
                <w:color w:val="000000"/>
                <w:sz w:val="24"/>
                <w:szCs w:val="24"/>
                <w:lang w:eastAsia="en-GB"/>
              </w:rPr>
            </w:pPr>
            <w:r w:rsidRPr="007158AD">
              <w:rPr>
                <w:rFonts w:eastAsia="Times New Roman"/>
                <w:color w:val="000000"/>
                <w:sz w:val="24"/>
                <w:szCs w:val="24"/>
                <w:lang w:val="en-US" w:eastAsia="en-GB"/>
              </w:rPr>
              <w:t> </w:t>
            </w:r>
          </w:p>
        </w:tc>
        <w:tc>
          <w:tcPr>
            <w:tcW w:w="367" w:type="dxa"/>
            <w:tcBorders>
              <w:top w:val="nil"/>
              <w:left w:val="nil"/>
              <w:bottom w:val="single" w:sz="4" w:space="0" w:color="auto"/>
              <w:right w:val="single" w:sz="4" w:space="0" w:color="auto"/>
            </w:tcBorders>
            <w:shd w:val="clear" w:color="000000" w:fill="DDDDDD"/>
            <w:vAlign w:val="center"/>
            <w:hideMark/>
          </w:tcPr>
          <w:p w:rsidR="008D06CF" w:rsidRPr="007158AD" w:rsidRDefault="008D06CF" w:rsidP="00FD6D42">
            <w:pPr>
              <w:rPr>
                <w:rFonts w:eastAsia="Times New Roman"/>
                <w:color w:val="000000"/>
                <w:sz w:val="24"/>
                <w:szCs w:val="24"/>
                <w:lang w:eastAsia="en-GB"/>
              </w:rPr>
            </w:pPr>
            <w:r w:rsidRPr="007158AD">
              <w:rPr>
                <w:rFonts w:eastAsia="Times New Roman"/>
                <w:color w:val="000000"/>
                <w:sz w:val="24"/>
                <w:szCs w:val="24"/>
                <w:lang w:val="en-US" w:eastAsia="en-GB"/>
              </w:rPr>
              <w:t> </w:t>
            </w:r>
          </w:p>
        </w:tc>
        <w:tc>
          <w:tcPr>
            <w:tcW w:w="340" w:type="dxa"/>
            <w:tcBorders>
              <w:top w:val="nil"/>
              <w:left w:val="nil"/>
              <w:bottom w:val="single" w:sz="4" w:space="0" w:color="auto"/>
              <w:right w:val="single" w:sz="4" w:space="0" w:color="auto"/>
            </w:tcBorders>
            <w:shd w:val="clear" w:color="auto" w:fill="auto"/>
            <w:vAlign w:val="center"/>
            <w:hideMark/>
          </w:tcPr>
          <w:p w:rsidR="008D06CF" w:rsidRPr="007158AD" w:rsidRDefault="008D06CF" w:rsidP="00FD6D42">
            <w:pPr>
              <w:rPr>
                <w:rFonts w:eastAsia="Times New Roman"/>
                <w:color w:val="000000"/>
                <w:sz w:val="24"/>
                <w:szCs w:val="24"/>
                <w:lang w:eastAsia="en-GB"/>
              </w:rPr>
            </w:pPr>
            <w:r w:rsidRPr="007158AD">
              <w:rPr>
                <w:rFonts w:eastAsia="Times New Roman"/>
                <w:color w:val="000000"/>
                <w:sz w:val="24"/>
                <w:szCs w:val="24"/>
                <w:lang w:val="en-US" w:eastAsia="en-GB"/>
              </w:rPr>
              <w:t>*</w:t>
            </w:r>
          </w:p>
        </w:tc>
        <w:tc>
          <w:tcPr>
            <w:tcW w:w="320" w:type="dxa"/>
            <w:tcBorders>
              <w:top w:val="nil"/>
              <w:left w:val="nil"/>
              <w:bottom w:val="single" w:sz="4" w:space="0" w:color="auto"/>
              <w:right w:val="single" w:sz="4" w:space="0" w:color="auto"/>
            </w:tcBorders>
            <w:shd w:val="clear" w:color="000000" w:fill="DDDDDD"/>
            <w:vAlign w:val="center"/>
            <w:hideMark/>
          </w:tcPr>
          <w:p w:rsidR="008D06CF" w:rsidRPr="007158AD" w:rsidRDefault="008D06CF" w:rsidP="00FD6D42">
            <w:pPr>
              <w:rPr>
                <w:rFonts w:eastAsia="Times New Roman"/>
                <w:color w:val="000000"/>
                <w:sz w:val="24"/>
                <w:szCs w:val="24"/>
                <w:lang w:eastAsia="en-GB"/>
              </w:rPr>
            </w:pPr>
            <w:r w:rsidRPr="007158AD">
              <w:rPr>
                <w:rFonts w:eastAsia="Times New Roman"/>
                <w:color w:val="000000"/>
                <w:sz w:val="24"/>
                <w:szCs w:val="24"/>
                <w:lang w:val="en-US" w:eastAsia="en-GB"/>
              </w:rPr>
              <w:t>*</w:t>
            </w:r>
          </w:p>
        </w:tc>
        <w:tc>
          <w:tcPr>
            <w:tcW w:w="325" w:type="dxa"/>
            <w:tcBorders>
              <w:top w:val="nil"/>
              <w:left w:val="nil"/>
              <w:bottom w:val="single" w:sz="4" w:space="0" w:color="auto"/>
              <w:right w:val="single" w:sz="4" w:space="0" w:color="auto"/>
            </w:tcBorders>
            <w:shd w:val="clear" w:color="auto" w:fill="auto"/>
            <w:vAlign w:val="center"/>
            <w:hideMark/>
          </w:tcPr>
          <w:p w:rsidR="008D06CF" w:rsidRPr="007158AD" w:rsidRDefault="008D06CF" w:rsidP="00FD6D42">
            <w:pPr>
              <w:rPr>
                <w:rFonts w:eastAsia="Times New Roman"/>
                <w:color w:val="000000"/>
                <w:sz w:val="24"/>
                <w:szCs w:val="24"/>
                <w:lang w:eastAsia="en-GB"/>
              </w:rPr>
            </w:pPr>
            <w:r w:rsidRPr="007158AD">
              <w:rPr>
                <w:rFonts w:eastAsia="Times New Roman"/>
                <w:color w:val="000000"/>
                <w:sz w:val="24"/>
                <w:szCs w:val="24"/>
                <w:lang w:val="en-US" w:eastAsia="en-GB"/>
              </w:rPr>
              <w:t> </w:t>
            </w:r>
          </w:p>
        </w:tc>
        <w:tc>
          <w:tcPr>
            <w:tcW w:w="360" w:type="dxa"/>
            <w:tcBorders>
              <w:top w:val="nil"/>
              <w:left w:val="nil"/>
              <w:bottom w:val="single" w:sz="4" w:space="0" w:color="auto"/>
              <w:right w:val="single" w:sz="4" w:space="0" w:color="auto"/>
            </w:tcBorders>
            <w:shd w:val="clear" w:color="000000" w:fill="DDDDDD"/>
            <w:vAlign w:val="center"/>
            <w:hideMark/>
          </w:tcPr>
          <w:p w:rsidR="008D06CF" w:rsidRPr="007158AD" w:rsidRDefault="008D06CF" w:rsidP="00FD6D42">
            <w:pPr>
              <w:rPr>
                <w:rFonts w:eastAsia="Times New Roman"/>
                <w:color w:val="000000"/>
                <w:sz w:val="24"/>
                <w:szCs w:val="24"/>
                <w:lang w:eastAsia="en-GB"/>
              </w:rPr>
            </w:pPr>
            <w:r w:rsidRPr="007158AD">
              <w:rPr>
                <w:rFonts w:eastAsia="Times New Roman"/>
                <w:color w:val="000000"/>
                <w:sz w:val="24"/>
                <w:szCs w:val="24"/>
                <w:lang w:val="en-US" w:eastAsia="en-GB"/>
              </w:rPr>
              <w:t> </w:t>
            </w:r>
          </w:p>
        </w:tc>
        <w:tc>
          <w:tcPr>
            <w:tcW w:w="338" w:type="dxa"/>
            <w:tcBorders>
              <w:top w:val="nil"/>
              <w:left w:val="nil"/>
              <w:bottom w:val="single" w:sz="4" w:space="0" w:color="auto"/>
              <w:right w:val="single" w:sz="4" w:space="0" w:color="auto"/>
            </w:tcBorders>
            <w:shd w:val="clear" w:color="auto" w:fill="auto"/>
            <w:vAlign w:val="center"/>
            <w:hideMark/>
          </w:tcPr>
          <w:p w:rsidR="008D06CF" w:rsidRPr="007158AD" w:rsidRDefault="008D06CF" w:rsidP="00FD6D42">
            <w:pPr>
              <w:rPr>
                <w:rFonts w:eastAsia="Times New Roman"/>
                <w:color w:val="000000"/>
                <w:sz w:val="24"/>
                <w:szCs w:val="24"/>
                <w:lang w:eastAsia="en-GB"/>
              </w:rPr>
            </w:pPr>
            <w:r w:rsidRPr="007158AD">
              <w:rPr>
                <w:rFonts w:eastAsia="Times New Roman"/>
                <w:color w:val="000000"/>
                <w:sz w:val="24"/>
                <w:szCs w:val="24"/>
                <w:lang w:val="en-US" w:eastAsia="en-GB"/>
              </w:rPr>
              <w:t> </w:t>
            </w:r>
          </w:p>
        </w:tc>
        <w:tc>
          <w:tcPr>
            <w:tcW w:w="331" w:type="dxa"/>
            <w:tcBorders>
              <w:top w:val="nil"/>
              <w:left w:val="nil"/>
              <w:bottom w:val="single" w:sz="4" w:space="0" w:color="auto"/>
              <w:right w:val="single" w:sz="4" w:space="0" w:color="auto"/>
            </w:tcBorders>
            <w:shd w:val="clear" w:color="000000" w:fill="DDDDDD"/>
            <w:vAlign w:val="center"/>
            <w:hideMark/>
          </w:tcPr>
          <w:p w:rsidR="008D06CF" w:rsidRPr="007158AD" w:rsidRDefault="008D06CF" w:rsidP="00FD6D42">
            <w:pPr>
              <w:rPr>
                <w:rFonts w:eastAsia="Times New Roman"/>
                <w:color w:val="000000"/>
                <w:sz w:val="24"/>
                <w:szCs w:val="24"/>
                <w:lang w:eastAsia="en-GB"/>
              </w:rPr>
            </w:pPr>
            <w:r w:rsidRPr="007158AD">
              <w:rPr>
                <w:rFonts w:eastAsia="Times New Roman"/>
                <w:color w:val="000000"/>
                <w:sz w:val="24"/>
                <w:szCs w:val="24"/>
                <w:lang w:val="en-US" w:eastAsia="en-GB"/>
              </w:rPr>
              <w:t> </w:t>
            </w:r>
          </w:p>
        </w:tc>
        <w:tc>
          <w:tcPr>
            <w:tcW w:w="322" w:type="dxa"/>
            <w:tcBorders>
              <w:top w:val="nil"/>
              <w:left w:val="nil"/>
              <w:bottom w:val="single" w:sz="4" w:space="0" w:color="auto"/>
              <w:right w:val="single" w:sz="4" w:space="0" w:color="auto"/>
            </w:tcBorders>
            <w:shd w:val="clear" w:color="auto" w:fill="auto"/>
            <w:vAlign w:val="center"/>
            <w:hideMark/>
          </w:tcPr>
          <w:p w:rsidR="008D06CF" w:rsidRPr="007158AD" w:rsidRDefault="008D06CF" w:rsidP="00FD6D42">
            <w:pPr>
              <w:rPr>
                <w:rFonts w:eastAsia="Times New Roman"/>
                <w:color w:val="000000"/>
                <w:sz w:val="24"/>
                <w:szCs w:val="24"/>
                <w:lang w:eastAsia="en-GB"/>
              </w:rPr>
            </w:pPr>
            <w:r w:rsidRPr="007158AD">
              <w:rPr>
                <w:rFonts w:eastAsia="Times New Roman"/>
                <w:color w:val="000000"/>
                <w:sz w:val="24"/>
                <w:szCs w:val="24"/>
                <w:lang w:val="en-US" w:eastAsia="en-GB"/>
              </w:rPr>
              <w:t> </w:t>
            </w:r>
          </w:p>
        </w:tc>
        <w:tc>
          <w:tcPr>
            <w:tcW w:w="458" w:type="dxa"/>
            <w:tcBorders>
              <w:top w:val="nil"/>
              <w:left w:val="nil"/>
              <w:bottom w:val="single" w:sz="4" w:space="0" w:color="auto"/>
              <w:right w:val="single" w:sz="4" w:space="0" w:color="auto"/>
            </w:tcBorders>
            <w:shd w:val="clear" w:color="000000" w:fill="DDDDDD"/>
            <w:vAlign w:val="center"/>
            <w:hideMark/>
          </w:tcPr>
          <w:p w:rsidR="008D06CF" w:rsidRPr="007158AD" w:rsidRDefault="008D06CF" w:rsidP="00FD6D42">
            <w:pPr>
              <w:rPr>
                <w:rFonts w:eastAsia="Times New Roman"/>
                <w:color w:val="000000"/>
                <w:sz w:val="24"/>
                <w:szCs w:val="24"/>
                <w:lang w:eastAsia="en-GB"/>
              </w:rPr>
            </w:pPr>
            <w:r w:rsidRPr="007158AD">
              <w:rPr>
                <w:rFonts w:eastAsia="Times New Roman"/>
                <w:color w:val="000000"/>
                <w:sz w:val="24"/>
                <w:szCs w:val="24"/>
                <w:lang w:val="en-US" w:eastAsia="en-GB"/>
              </w:rPr>
              <w:t> </w:t>
            </w:r>
          </w:p>
        </w:tc>
        <w:tc>
          <w:tcPr>
            <w:tcW w:w="458" w:type="dxa"/>
            <w:tcBorders>
              <w:top w:val="nil"/>
              <w:left w:val="nil"/>
              <w:bottom w:val="single" w:sz="4" w:space="0" w:color="auto"/>
              <w:right w:val="single" w:sz="4" w:space="0" w:color="auto"/>
            </w:tcBorders>
            <w:shd w:val="clear" w:color="auto" w:fill="auto"/>
            <w:vAlign w:val="center"/>
            <w:hideMark/>
          </w:tcPr>
          <w:p w:rsidR="008D06CF" w:rsidRPr="007158AD" w:rsidRDefault="008D06CF" w:rsidP="00FD6D42">
            <w:pPr>
              <w:rPr>
                <w:rFonts w:eastAsia="Times New Roman"/>
                <w:color w:val="000000"/>
                <w:sz w:val="24"/>
                <w:szCs w:val="24"/>
                <w:lang w:eastAsia="en-GB"/>
              </w:rPr>
            </w:pPr>
            <w:r w:rsidRPr="007158AD">
              <w:rPr>
                <w:rFonts w:eastAsia="Times New Roman"/>
                <w:color w:val="000000"/>
                <w:sz w:val="24"/>
                <w:szCs w:val="24"/>
                <w:lang w:val="en-US" w:eastAsia="en-GB"/>
              </w:rPr>
              <w:t> </w:t>
            </w:r>
          </w:p>
        </w:tc>
      </w:tr>
      <w:tr w:rsidR="008D06CF" w:rsidRPr="007158AD" w:rsidTr="00FD6D42">
        <w:trPr>
          <w:trHeight w:val="945"/>
        </w:trPr>
        <w:tc>
          <w:tcPr>
            <w:tcW w:w="2080" w:type="dxa"/>
            <w:tcBorders>
              <w:top w:val="nil"/>
              <w:left w:val="single" w:sz="4" w:space="0" w:color="auto"/>
              <w:bottom w:val="single" w:sz="4" w:space="0" w:color="auto"/>
              <w:right w:val="single" w:sz="4" w:space="0" w:color="auto"/>
            </w:tcBorders>
            <w:shd w:val="clear" w:color="000000" w:fill="9FFF9F"/>
            <w:vAlign w:val="center"/>
            <w:hideMark/>
          </w:tcPr>
          <w:p w:rsidR="008D06CF" w:rsidRPr="007158AD" w:rsidRDefault="008D06CF" w:rsidP="00FD6D42">
            <w:pPr>
              <w:rPr>
                <w:rFonts w:eastAsia="Times New Roman"/>
                <w:color w:val="000000"/>
                <w:sz w:val="24"/>
                <w:szCs w:val="24"/>
                <w:lang w:eastAsia="en-GB"/>
              </w:rPr>
            </w:pPr>
            <w:r w:rsidRPr="007158AD">
              <w:rPr>
                <w:rFonts w:eastAsia="Times New Roman"/>
                <w:color w:val="000000"/>
                <w:sz w:val="24"/>
                <w:szCs w:val="24"/>
                <w:lang w:val="en-US" w:eastAsia="en-GB"/>
              </w:rPr>
              <w:t>Green planning permission</w:t>
            </w:r>
          </w:p>
        </w:tc>
        <w:tc>
          <w:tcPr>
            <w:tcW w:w="350" w:type="dxa"/>
            <w:tcBorders>
              <w:top w:val="nil"/>
              <w:left w:val="nil"/>
              <w:bottom w:val="single" w:sz="4" w:space="0" w:color="auto"/>
              <w:right w:val="single" w:sz="4" w:space="0" w:color="auto"/>
            </w:tcBorders>
            <w:shd w:val="clear" w:color="000000" w:fill="DDDDDD"/>
            <w:vAlign w:val="center"/>
            <w:hideMark/>
          </w:tcPr>
          <w:p w:rsidR="008D06CF" w:rsidRPr="007158AD" w:rsidRDefault="008D06CF" w:rsidP="00FD6D42">
            <w:pPr>
              <w:rPr>
                <w:rFonts w:eastAsia="Times New Roman"/>
                <w:color w:val="000000"/>
                <w:sz w:val="24"/>
                <w:szCs w:val="24"/>
                <w:lang w:eastAsia="en-GB"/>
              </w:rPr>
            </w:pPr>
            <w:r w:rsidRPr="007158AD">
              <w:rPr>
                <w:rFonts w:eastAsia="Times New Roman"/>
                <w:color w:val="000000"/>
                <w:sz w:val="24"/>
                <w:szCs w:val="24"/>
                <w:lang w:val="en-US" w:eastAsia="en-GB"/>
              </w:rPr>
              <w:t> </w:t>
            </w:r>
          </w:p>
        </w:tc>
        <w:tc>
          <w:tcPr>
            <w:tcW w:w="355" w:type="dxa"/>
            <w:tcBorders>
              <w:top w:val="nil"/>
              <w:left w:val="nil"/>
              <w:bottom w:val="single" w:sz="4" w:space="0" w:color="auto"/>
              <w:right w:val="single" w:sz="4" w:space="0" w:color="auto"/>
            </w:tcBorders>
            <w:shd w:val="clear" w:color="auto" w:fill="auto"/>
            <w:vAlign w:val="center"/>
            <w:hideMark/>
          </w:tcPr>
          <w:p w:rsidR="008D06CF" w:rsidRPr="007158AD" w:rsidRDefault="008D06CF" w:rsidP="00FD6D42">
            <w:pPr>
              <w:rPr>
                <w:rFonts w:eastAsia="Times New Roman"/>
                <w:color w:val="000000"/>
                <w:sz w:val="24"/>
                <w:szCs w:val="24"/>
                <w:lang w:eastAsia="en-GB"/>
              </w:rPr>
            </w:pPr>
            <w:r w:rsidRPr="007158AD">
              <w:rPr>
                <w:rFonts w:eastAsia="Times New Roman"/>
                <w:color w:val="000000"/>
                <w:sz w:val="24"/>
                <w:szCs w:val="24"/>
                <w:lang w:val="en-US" w:eastAsia="en-GB"/>
              </w:rPr>
              <w:t> </w:t>
            </w:r>
          </w:p>
        </w:tc>
        <w:tc>
          <w:tcPr>
            <w:tcW w:w="319" w:type="dxa"/>
            <w:tcBorders>
              <w:top w:val="nil"/>
              <w:left w:val="nil"/>
              <w:bottom w:val="single" w:sz="4" w:space="0" w:color="auto"/>
              <w:right w:val="single" w:sz="4" w:space="0" w:color="auto"/>
            </w:tcBorders>
            <w:shd w:val="clear" w:color="000000" w:fill="DDDDDD"/>
            <w:vAlign w:val="center"/>
            <w:hideMark/>
          </w:tcPr>
          <w:p w:rsidR="008D06CF" w:rsidRPr="007158AD" w:rsidRDefault="008D06CF" w:rsidP="00FD6D42">
            <w:pPr>
              <w:rPr>
                <w:rFonts w:eastAsia="Times New Roman"/>
                <w:color w:val="000000"/>
                <w:sz w:val="24"/>
                <w:szCs w:val="24"/>
                <w:lang w:eastAsia="en-GB"/>
              </w:rPr>
            </w:pPr>
            <w:r w:rsidRPr="007158AD">
              <w:rPr>
                <w:rFonts w:eastAsia="Times New Roman"/>
                <w:color w:val="000000"/>
                <w:sz w:val="24"/>
                <w:szCs w:val="24"/>
                <w:lang w:val="en-US" w:eastAsia="en-GB"/>
              </w:rPr>
              <w:t> </w:t>
            </w:r>
          </w:p>
        </w:tc>
        <w:tc>
          <w:tcPr>
            <w:tcW w:w="319" w:type="dxa"/>
            <w:tcBorders>
              <w:top w:val="nil"/>
              <w:left w:val="nil"/>
              <w:bottom w:val="single" w:sz="4" w:space="0" w:color="auto"/>
              <w:right w:val="single" w:sz="4" w:space="0" w:color="auto"/>
            </w:tcBorders>
            <w:shd w:val="clear" w:color="auto" w:fill="auto"/>
            <w:vAlign w:val="center"/>
            <w:hideMark/>
          </w:tcPr>
          <w:p w:rsidR="008D06CF" w:rsidRPr="007158AD" w:rsidRDefault="008D06CF" w:rsidP="00FD6D42">
            <w:pPr>
              <w:rPr>
                <w:rFonts w:eastAsia="Times New Roman"/>
                <w:color w:val="000000"/>
                <w:sz w:val="24"/>
                <w:szCs w:val="24"/>
                <w:lang w:eastAsia="en-GB"/>
              </w:rPr>
            </w:pPr>
            <w:r w:rsidRPr="007158AD">
              <w:rPr>
                <w:rFonts w:eastAsia="Times New Roman"/>
                <w:color w:val="000000"/>
                <w:sz w:val="24"/>
                <w:szCs w:val="24"/>
                <w:lang w:val="en-US" w:eastAsia="en-GB"/>
              </w:rPr>
              <w:t> </w:t>
            </w:r>
          </w:p>
        </w:tc>
        <w:tc>
          <w:tcPr>
            <w:tcW w:w="337" w:type="dxa"/>
            <w:tcBorders>
              <w:top w:val="nil"/>
              <w:left w:val="nil"/>
              <w:bottom w:val="single" w:sz="4" w:space="0" w:color="auto"/>
              <w:right w:val="single" w:sz="4" w:space="0" w:color="auto"/>
            </w:tcBorders>
            <w:shd w:val="clear" w:color="000000" w:fill="DDDDDD"/>
            <w:vAlign w:val="center"/>
            <w:hideMark/>
          </w:tcPr>
          <w:p w:rsidR="008D06CF" w:rsidRPr="007158AD" w:rsidRDefault="008D06CF" w:rsidP="00FD6D42">
            <w:pPr>
              <w:rPr>
                <w:rFonts w:eastAsia="Times New Roman"/>
                <w:color w:val="000000"/>
                <w:sz w:val="24"/>
                <w:szCs w:val="24"/>
                <w:lang w:eastAsia="en-GB"/>
              </w:rPr>
            </w:pPr>
            <w:r w:rsidRPr="007158AD">
              <w:rPr>
                <w:rFonts w:eastAsia="Times New Roman"/>
                <w:color w:val="000000"/>
                <w:sz w:val="24"/>
                <w:szCs w:val="24"/>
                <w:lang w:val="en-US" w:eastAsia="en-GB"/>
              </w:rPr>
              <w:t> </w:t>
            </w:r>
          </w:p>
        </w:tc>
        <w:tc>
          <w:tcPr>
            <w:tcW w:w="319" w:type="dxa"/>
            <w:tcBorders>
              <w:top w:val="nil"/>
              <w:left w:val="nil"/>
              <w:bottom w:val="single" w:sz="4" w:space="0" w:color="auto"/>
              <w:right w:val="single" w:sz="4" w:space="0" w:color="auto"/>
            </w:tcBorders>
            <w:shd w:val="clear" w:color="auto" w:fill="auto"/>
            <w:vAlign w:val="center"/>
            <w:hideMark/>
          </w:tcPr>
          <w:p w:rsidR="008D06CF" w:rsidRPr="007158AD" w:rsidRDefault="008D06CF" w:rsidP="00FD6D42">
            <w:pPr>
              <w:rPr>
                <w:rFonts w:eastAsia="Times New Roman"/>
                <w:color w:val="000000"/>
                <w:sz w:val="24"/>
                <w:szCs w:val="24"/>
                <w:lang w:eastAsia="en-GB"/>
              </w:rPr>
            </w:pPr>
            <w:r w:rsidRPr="007158AD">
              <w:rPr>
                <w:rFonts w:eastAsia="Times New Roman"/>
                <w:color w:val="000000"/>
                <w:sz w:val="24"/>
                <w:szCs w:val="24"/>
                <w:lang w:val="en-US" w:eastAsia="en-GB"/>
              </w:rPr>
              <w:t> </w:t>
            </w:r>
          </w:p>
        </w:tc>
        <w:tc>
          <w:tcPr>
            <w:tcW w:w="409" w:type="dxa"/>
            <w:tcBorders>
              <w:top w:val="nil"/>
              <w:left w:val="nil"/>
              <w:bottom w:val="single" w:sz="4" w:space="0" w:color="auto"/>
              <w:right w:val="single" w:sz="4" w:space="0" w:color="auto"/>
            </w:tcBorders>
            <w:shd w:val="clear" w:color="000000" w:fill="DDDDDD"/>
            <w:vAlign w:val="center"/>
            <w:hideMark/>
          </w:tcPr>
          <w:p w:rsidR="008D06CF" w:rsidRPr="007158AD" w:rsidRDefault="008D06CF" w:rsidP="00FD6D42">
            <w:pPr>
              <w:rPr>
                <w:rFonts w:eastAsia="Times New Roman"/>
                <w:color w:val="000000"/>
                <w:sz w:val="24"/>
                <w:szCs w:val="24"/>
                <w:lang w:eastAsia="en-GB"/>
              </w:rPr>
            </w:pPr>
            <w:r w:rsidRPr="007158AD">
              <w:rPr>
                <w:rFonts w:eastAsia="Times New Roman"/>
                <w:color w:val="000000"/>
                <w:sz w:val="24"/>
                <w:szCs w:val="24"/>
                <w:lang w:val="en-US" w:eastAsia="en-GB"/>
              </w:rPr>
              <w:t> </w:t>
            </w:r>
          </w:p>
        </w:tc>
        <w:tc>
          <w:tcPr>
            <w:tcW w:w="334" w:type="dxa"/>
            <w:tcBorders>
              <w:top w:val="nil"/>
              <w:left w:val="nil"/>
              <w:bottom w:val="single" w:sz="4" w:space="0" w:color="auto"/>
              <w:right w:val="single" w:sz="4" w:space="0" w:color="auto"/>
            </w:tcBorders>
            <w:shd w:val="clear" w:color="auto" w:fill="auto"/>
            <w:vAlign w:val="center"/>
            <w:hideMark/>
          </w:tcPr>
          <w:p w:rsidR="008D06CF" w:rsidRPr="007158AD" w:rsidRDefault="008D06CF" w:rsidP="00FD6D42">
            <w:pPr>
              <w:rPr>
                <w:rFonts w:eastAsia="Times New Roman"/>
                <w:color w:val="000000"/>
                <w:sz w:val="24"/>
                <w:szCs w:val="24"/>
                <w:lang w:eastAsia="en-GB"/>
              </w:rPr>
            </w:pPr>
            <w:r w:rsidRPr="007158AD">
              <w:rPr>
                <w:rFonts w:eastAsia="Times New Roman"/>
                <w:color w:val="000000"/>
                <w:sz w:val="24"/>
                <w:szCs w:val="24"/>
                <w:lang w:val="en-US" w:eastAsia="en-GB"/>
              </w:rPr>
              <w:t>*</w:t>
            </w:r>
          </w:p>
        </w:tc>
        <w:tc>
          <w:tcPr>
            <w:tcW w:w="367" w:type="dxa"/>
            <w:tcBorders>
              <w:top w:val="nil"/>
              <w:left w:val="nil"/>
              <w:bottom w:val="single" w:sz="4" w:space="0" w:color="auto"/>
              <w:right w:val="single" w:sz="4" w:space="0" w:color="auto"/>
            </w:tcBorders>
            <w:shd w:val="clear" w:color="000000" w:fill="DDDDDD"/>
            <w:vAlign w:val="center"/>
            <w:hideMark/>
          </w:tcPr>
          <w:p w:rsidR="008D06CF" w:rsidRPr="007158AD" w:rsidRDefault="008D06CF" w:rsidP="00FD6D42">
            <w:pPr>
              <w:rPr>
                <w:rFonts w:eastAsia="Times New Roman"/>
                <w:color w:val="000000"/>
                <w:sz w:val="24"/>
                <w:szCs w:val="24"/>
                <w:lang w:eastAsia="en-GB"/>
              </w:rPr>
            </w:pPr>
            <w:r w:rsidRPr="007158AD">
              <w:rPr>
                <w:rFonts w:eastAsia="Times New Roman"/>
                <w:color w:val="000000"/>
                <w:sz w:val="24"/>
                <w:szCs w:val="24"/>
                <w:lang w:val="en-US" w:eastAsia="en-GB"/>
              </w:rPr>
              <w:t> </w:t>
            </w:r>
          </w:p>
        </w:tc>
        <w:tc>
          <w:tcPr>
            <w:tcW w:w="340" w:type="dxa"/>
            <w:tcBorders>
              <w:top w:val="nil"/>
              <w:left w:val="nil"/>
              <w:bottom w:val="single" w:sz="4" w:space="0" w:color="auto"/>
              <w:right w:val="single" w:sz="4" w:space="0" w:color="auto"/>
            </w:tcBorders>
            <w:shd w:val="clear" w:color="auto" w:fill="auto"/>
            <w:vAlign w:val="center"/>
            <w:hideMark/>
          </w:tcPr>
          <w:p w:rsidR="008D06CF" w:rsidRPr="007158AD" w:rsidRDefault="008D06CF" w:rsidP="00FD6D42">
            <w:pPr>
              <w:rPr>
                <w:rFonts w:eastAsia="Times New Roman"/>
                <w:color w:val="000000"/>
                <w:sz w:val="24"/>
                <w:szCs w:val="24"/>
                <w:lang w:eastAsia="en-GB"/>
              </w:rPr>
            </w:pPr>
            <w:r w:rsidRPr="007158AD">
              <w:rPr>
                <w:rFonts w:eastAsia="Times New Roman"/>
                <w:color w:val="000000"/>
                <w:sz w:val="24"/>
                <w:szCs w:val="24"/>
                <w:lang w:val="en-US" w:eastAsia="en-GB"/>
              </w:rPr>
              <w:t> </w:t>
            </w:r>
          </w:p>
        </w:tc>
        <w:tc>
          <w:tcPr>
            <w:tcW w:w="320" w:type="dxa"/>
            <w:tcBorders>
              <w:top w:val="nil"/>
              <w:left w:val="nil"/>
              <w:bottom w:val="single" w:sz="4" w:space="0" w:color="auto"/>
              <w:right w:val="single" w:sz="4" w:space="0" w:color="auto"/>
            </w:tcBorders>
            <w:shd w:val="clear" w:color="000000" w:fill="DDDDDD"/>
            <w:vAlign w:val="center"/>
            <w:hideMark/>
          </w:tcPr>
          <w:p w:rsidR="008D06CF" w:rsidRPr="007158AD" w:rsidRDefault="008D06CF" w:rsidP="00FD6D42">
            <w:pPr>
              <w:rPr>
                <w:rFonts w:eastAsia="Times New Roman"/>
                <w:color w:val="000000"/>
                <w:sz w:val="24"/>
                <w:szCs w:val="24"/>
                <w:lang w:eastAsia="en-GB"/>
              </w:rPr>
            </w:pPr>
            <w:r w:rsidRPr="007158AD">
              <w:rPr>
                <w:rFonts w:eastAsia="Times New Roman"/>
                <w:color w:val="000000"/>
                <w:sz w:val="24"/>
                <w:szCs w:val="24"/>
                <w:lang w:val="en-US" w:eastAsia="en-GB"/>
              </w:rPr>
              <w:t> </w:t>
            </w:r>
          </w:p>
        </w:tc>
        <w:tc>
          <w:tcPr>
            <w:tcW w:w="325" w:type="dxa"/>
            <w:tcBorders>
              <w:top w:val="nil"/>
              <w:left w:val="nil"/>
              <w:bottom w:val="single" w:sz="4" w:space="0" w:color="auto"/>
              <w:right w:val="single" w:sz="4" w:space="0" w:color="auto"/>
            </w:tcBorders>
            <w:shd w:val="clear" w:color="auto" w:fill="auto"/>
            <w:vAlign w:val="center"/>
            <w:hideMark/>
          </w:tcPr>
          <w:p w:rsidR="008D06CF" w:rsidRPr="007158AD" w:rsidRDefault="008D06CF" w:rsidP="00FD6D42">
            <w:pPr>
              <w:rPr>
                <w:rFonts w:eastAsia="Times New Roman"/>
                <w:color w:val="000000"/>
                <w:sz w:val="24"/>
                <w:szCs w:val="24"/>
                <w:lang w:eastAsia="en-GB"/>
              </w:rPr>
            </w:pPr>
            <w:r w:rsidRPr="007158AD">
              <w:rPr>
                <w:rFonts w:eastAsia="Times New Roman"/>
                <w:color w:val="000000"/>
                <w:sz w:val="24"/>
                <w:szCs w:val="24"/>
                <w:lang w:val="en-US" w:eastAsia="en-GB"/>
              </w:rPr>
              <w:t> </w:t>
            </w:r>
          </w:p>
        </w:tc>
        <w:tc>
          <w:tcPr>
            <w:tcW w:w="360" w:type="dxa"/>
            <w:tcBorders>
              <w:top w:val="nil"/>
              <w:left w:val="nil"/>
              <w:bottom w:val="single" w:sz="4" w:space="0" w:color="auto"/>
              <w:right w:val="single" w:sz="4" w:space="0" w:color="auto"/>
            </w:tcBorders>
            <w:shd w:val="clear" w:color="000000" w:fill="DDDDDD"/>
            <w:vAlign w:val="center"/>
            <w:hideMark/>
          </w:tcPr>
          <w:p w:rsidR="008D06CF" w:rsidRPr="007158AD" w:rsidRDefault="008D06CF" w:rsidP="00FD6D42">
            <w:pPr>
              <w:rPr>
                <w:rFonts w:eastAsia="Times New Roman"/>
                <w:color w:val="000000"/>
                <w:sz w:val="24"/>
                <w:szCs w:val="24"/>
                <w:lang w:eastAsia="en-GB"/>
              </w:rPr>
            </w:pPr>
            <w:r w:rsidRPr="007158AD">
              <w:rPr>
                <w:rFonts w:eastAsia="Times New Roman"/>
                <w:color w:val="000000"/>
                <w:sz w:val="24"/>
                <w:szCs w:val="24"/>
                <w:lang w:val="en-US" w:eastAsia="en-GB"/>
              </w:rPr>
              <w:t> </w:t>
            </w:r>
          </w:p>
        </w:tc>
        <w:tc>
          <w:tcPr>
            <w:tcW w:w="338" w:type="dxa"/>
            <w:tcBorders>
              <w:top w:val="nil"/>
              <w:left w:val="nil"/>
              <w:bottom w:val="single" w:sz="4" w:space="0" w:color="auto"/>
              <w:right w:val="single" w:sz="4" w:space="0" w:color="auto"/>
            </w:tcBorders>
            <w:shd w:val="clear" w:color="auto" w:fill="auto"/>
            <w:vAlign w:val="center"/>
            <w:hideMark/>
          </w:tcPr>
          <w:p w:rsidR="008D06CF" w:rsidRPr="007158AD" w:rsidRDefault="008D06CF" w:rsidP="00FD6D42">
            <w:pPr>
              <w:rPr>
                <w:rFonts w:eastAsia="Times New Roman"/>
                <w:color w:val="000000"/>
                <w:sz w:val="24"/>
                <w:szCs w:val="24"/>
                <w:lang w:eastAsia="en-GB"/>
              </w:rPr>
            </w:pPr>
            <w:r w:rsidRPr="007158AD">
              <w:rPr>
                <w:rFonts w:eastAsia="Times New Roman"/>
                <w:color w:val="000000"/>
                <w:sz w:val="24"/>
                <w:szCs w:val="24"/>
                <w:lang w:val="en-US" w:eastAsia="en-GB"/>
              </w:rPr>
              <w:t> </w:t>
            </w:r>
          </w:p>
        </w:tc>
        <w:tc>
          <w:tcPr>
            <w:tcW w:w="331" w:type="dxa"/>
            <w:tcBorders>
              <w:top w:val="nil"/>
              <w:left w:val="nil"/>
              <w:bottom w:val="single" w:sz="4" w:space="0" w:color="auto"/>
              <w:right w:val="single" w:sz="4" w:space="0" w:color="auto"/>
            </w:tcBorders>
            <w:shd w:val="clear" w:color="000000" w:fill="DDDDDD"/>
            <w:vAlign w:val="center"/>
            <w:hideMark/>
          </w:tcPr>
          <w:p w:rsidR="008D06CF" w:rsidRPr="007158AD" w:rsidRDefault="008D06CF" w:rsidP="00FD6D42">
            <w:pPr>
              <w:rPr>
                <w:rFonts w:eastAsia="Times New Roman"/>
                <w:color w:val="000000"/>
                <w:sz w:val="24"/>
                <w:szCs w:val="24"/>
                <w:lang w:eastAsia="en-GB"/>
              </w:rPr>
            </w:pPr>
            <w:r w:rsidRPr="007158AD">
              <w:rPr>
                <w:rFonts w:eastAsia="Times New Roman"/>
                <w:color w:val="000000"/>
                <w:sz w:val="24"/>
                <w:szCs w:val="24"/>
                <w:lang w:val="en-US" w:eastAsia="en-GB"/>
              </w:rPr>
              <w:t> </w:t>
            </w:r>
          </w:p>
        </w:tc>
        <w:tc>
          <w:tcPr>
            <w:tcW w:w="322" w:type="dxa"/>
            <w:tcBorders>
              <w:top w:val="nil"/>
              <w:left w:val="nil"/>
              <w:bottom w:val="single" w:sz="4" w:space="0" w:color="auto"/>
              <w:right w:val="single" w:sz="4" w:space="0" w:color="auto"/>
            </w:tcBorders>
            <w:shd w:val="clear" w:color="auto" w:fill="auto"/>
            <w:vAlign w:val="center"/>
            <w:hideMark/>
          </w:tcPr>
          <w:p w:rsidR="008D06CF" w:rsidRPr="007158AD" w:rsidRDefault="008D06CF" w:rsidP="00FD6D42">
            <w:pPr>
              <w:rPr>
                <w:rFonts w:eastAsia="Times New Roman"/>
                <w:color w:val="000000"/>
                <w:sz w:val="24"/>
                <w:szCs w:val="24"/>
                <w:lang w:eastAsia="en-GB"/>
              </w:rPr>
            </w:pPr>
            <w:r w:rsidRPr="007158AD">
              <w:rPr>
                <w:rFonts w:eastAsia="Times New Roman"/>
                <w:color w:val="000000"/>
                <w:sz w:val="24"/>
                <w:szCs w:val="24"/>
                <w:lang w:val="en-US" w:eastAsia="en-GB"/>
              </w:rPr>
              <w:t> </w:t>
            </w:r>
          </w:p>
        </w:tc>
        <w:tc>
          <w:tcPr>
            <w:tcW w:w="458" w:type="dxa"/>
            <w:tcBorders>
              <w:top w:val="nil"/>
              <w:left w:val="nil"/>
              <w:bottom w:val="single" w:sz="4" w:space="0" w:color="auto"/>
              <w:right w:val="single" w:sz="4" w:space="0" w:color="auto"/>
            </w:tcBorders>
            <w:shd w:val="clear" w:color="000000" w:fill="DDDDDD"/>
            <w:vAlign w:val="center"/>
            <w:hideMark/>
          </w:tcPr>
          <w:p w:rsidR="008D06CF" w:rsidRPr="007158AD" w:rsidRDefault="008D06CF" w:rsidP="00FD6D42">
            <w:pPr>
              <w:rPr>
                <w:rFonts w:eastAsia="Times New Roman"/>
                <w:color w:val="000000"/>
                <w:sz w:val="24"/>
                <w:szCs w:val="24"/>
                <w:lang w:eastAsia="en-GB"/>
              </w:rPr>
            </w:pPr>
            <w:r w:rsidRPr="007158AD">
              <w:rPr>
                <w:rFonts w:eastAsia="Times New Roman"/>
                <w:color w:val="000000"/>
                <w:sz w:val="24"/>
                <w:szCs w:val="24"/>
                <w:lang w:val="en-US" w:eastAsia="en-GB"/>
              </w:rPr>
              <w:t>*</w:t>
            </w:r>
          </w:p>
        </w:tc>
        <w:tc>
          <w:tcPr>
            <w:tcW w:w="458" w:type="dxa"/>
            <w:tcBorders>
              <w:top w:val="nil"/>
              <w:left w:val="nil"/>
              <w:bottom w:val="single" w:sz="4" w:space="0" w:color="auto"/>
              <w:right w:val="single" w:sz="4" w:space="0" w:color="auto"/>
            </w:tcBorders>
            <w:shd w:val="clear" w:color="auto" w:fill="auto"/>
            <w:vAlign w:val="center"/>
            <w:hideMark/>
          </w:tcPr>
          <w:p w:rsidR="008D06CF" w:rsidRPr="007158AD" w:rsidRDefault="008D06CF" w:rsidP="00FD6D42">
            <w:pPr>
              <w:rPr>
                <w:rFonts w:eastAsia="Times New Roman"/>
                <w:color w:val="000000"/>
                <w:sz w:val="24"/>
                <w:szCs w:val="24"/>
                <w:lang w:eastAsia="en-GB"/>
              </w:rPr>
            </w:pPr>
            <w:r w:rsidRPr="007158AD">
              <w:rPr>
                <w:rFonts w:eastAsia="Times New Roman"/>
                <w:color w:val="000000"/>
                <w:sz w:val="24"/>
                <w:szCs w:val="24"/>
                <w:lang w:val="en-US" w:eastAsia="en-GB"/>
              </w:rPr>
              <w:t>*</w:t>
            </w:r>
          </w:p>
        </w:tc>
      </w:tr>
      <w:tr w:rsidR="008D06CF" w:rsidRPr="007158AD" w:rsidTr="00FD6D42">
        <w:trPr>
          <w:trHeight w:val="705"/>
        </w:trPr>
        <w:tc>
          <w:tcPr>
            <w:tcW w:w="2080" w:type="dxa"/>
            <w:tcBorders>
              <w:top w:val="nil"/>
              <w:left w:val="single" w:sz="4" w:space="0" w:color="auto"/>
              <w:bottom w:val="single" w:sz="4" w:space="0" w:color="auto"/>
              <w:right w:val="single" w:sz="4" w:space="0" w:color="auto"/>
            </w:tcBorders>
            <w:shd w:val="clear" w:color="auto" w:fill="auto"/>
            <w:vAlign w:val="center"/>
            <w:hideMark/>
          </w:tcPr>
          <w:p w:rsidR="008D06CF" w:rsidRPr="007158AD" w:rsidRDefault="008D06CF" w:rsidP="00FD6D42">
            <w:pPr>
              <w:rPr>
                <w:rFonts w:eastAsia="Times New Roman"/>
                <w:b/>
                <w:bCs/>
                <w:color w:val="000000"/>
                <w:sz w:val="24"/>
                <w:szCs w:val="24"/>
                <w:lang w:eastAsia="en-GB"/>
              </w:rPr>
            </w:pPr>
            <w:r w:rsidRPr="007158AD">
              <w:rPr>
                <w:rFonts w:eastAsia="Times New Roman"/>
                <w:b/>
                <w:bCs/>
                <w:color w:val="000000"/>
                <w:sz w:val="24"/>
                <w:szCs w:val="24"/>
                <w:lang w:val="en-US" w:eastAsia="en-GB"/>
              </w:rPr>
              <w:t>GREEN REFERENCE CLAUSES</w:t>
            </w:r>
          </w:p>
        </w:tc>
        <w:tc>
          <w:tcPr>
            <w:tcW w:w="6361" w:type="dxa"/>
            <w:gridSpan w:val="18"/>
            <w:tcBorders>
              <w:top w:val="single" w:sz="4" w:space="0" w:color="auto"/>
              <w:left w:val="nil"/>
              <w:bottom w:val="single" w:sz="4" w:space="0" w:color="auto"/>
              <w:right w:val="single" w:sz="4" w:space="0" w:color="auto"/>
            </w:tcBorders>
            <w:shd w:val="clear" w:color="auto" w:fill="auto"/>
            <w:vAlign w:val="center"/>
            <w:hideMark/>
          </w:tcPr>
          <w:p w:rsidR="008D06CF" w:rsidRPr="007158AD" w:rsidRDefault="008D06CF" w:rsidP="00FD6D42">
            <w:pPr>
              <w:rPr>
                <w:rFonts w:eastAsia="Times New Roman"/>
                <w:color w:val="000000"/>
                <w:sz w:val="24"/>
                <w:szCs w:val="24"/>
                <w:lang w:eastAsia="en-GB"/>
              </w:rPr>
            </w:pPr>
            <w:r w:rsidRPr="007158AD">
              <w:rPr>
                <w:rFonts w:eastAsia="Times New Roman"/>
                <w:color w:val="000000"/>
                <w:sz w:val="24"/>
                <w:szCs w:val="24"/>
                <w:lang w:val="en-US" w:eastAsia="en-GB"/>
              </w:rPr>
              <w:t> </w:t>
            </w:r>
          </w:p>
        </w:tc>
      </w:tr>
      <w:tr w:rsidR="008D06CF" w:rsidRPr="007158AD" w:rsidTr="00FD6D42">
        <w:trPr>
          <w:trHeight w:val="945"/>
        </w:trPr>
        <w:tc>
          <w:tcPr>
            <w:tcW w:w="2080" w:type="dxa"/>
            <w:tcBorders>
              <w:top w:val="nil"/>
              <w:left w:val="single" w:sz="4" w:space="0" w:color="auto"/>
              <w:bottom w:val="single" w:sz="4" w:space="0" w:color="auto"/>
              <w:right w:val="single" w:sz="4" w:space="0" w:color="auto"/>
            </w:tcBorders>
            <w:shd w:val="clear" w:color="000000" w:fill="CDFFCD"/>
            <w:vAlign w:val="center"/>
            <w:hideMark/>
          </w:tcPr>
          <w:p w:rsidR="008D06CF" w:rsidRPr="007158AD" w:rsidRDefault="008D06CF" w:rsidP="00FD6D42">
            <w:pPr>
              <w:rPr>
                <w:rFonts w:eastAsia="Times New Roman"/>
                <w:color w:val="000000"/>
                <w:sz w:val="24"/>
                <w:szCs w:val="24"/>
                <w:lang w:eastAsia="en-GB"/>
              </w:rPr>
            </w:pPr>
            <w:r w:rsidRPr="007158AD">
              <w:rPr>
                <w:rFonts w:eastAsia="Times New Roman"/>
                <w:color w:val="000000"/>
                <w:sz w:val="24"/>
                <w:szCs w:val="24"/>
                <w:lang w:val="en-US" w:eastAsia="en-GB"/>
              </w:rPr>
              <w:t>Carbon Reduction Costs</w:t>
            </w:r>
          </w:p>
        </w:tc>
        <w:tc>
          <w:tcPr>
            <w:tcW w:w="350" w:type="dxa"/>
            <w:tcBorders>
              <w:top w:val="nil"/>
              <w:left w:val="nil"/>
              <w:bottom w:val="single" w:sz="4" w:space="0" w:color="auto"/>
              <w:right w:val="single" w:sz="4" w:space="0" w:color="auto"/>
            </w:tcBorders>
            <w:shd w:val="clear" w:color="000000" w:fill="DDDDDD"/>
            <w:vAlign w:val="center"/>
            <w:hideMark/>
          </w:tcPr>
          <w:p w:rsidR="008D06CF" w:rsidRPr="007158AD" w:rsidRDefault="008D06CF" w:rsidP="00FD6D42">
            <w:pPr>
              <w:rPr>
                <w:rFonts w:eastAsia="Times New Roman"/>
                <w:color w:val="000000"/>
                <w:sz w:val="24"/>
                <w:szCs w:val="24"/>
                <w:lang w:eastAsia="en-GB"/>
              </w:rPr>
            </w:pPr>
            <w:r w:rsidRPr="007158AD">
              <w:rPr>
                <w:rFonts w:eastAsia="Times New Roman"/>
                <w:color w:val="000000"/>
                <w:sz w:val="24"/>
                <w:szCs w:val="24"/>
                <w:lang w:val="en-US" w:eastAsia="en-GB"/>
              </w:rPr>
              <w:t> </w:t>
            </w:r>
          </w:p>
        </w:tc>
        <w:tc>
          <w:tcPr>
            <w:tcW w:w="355" w:type="dxa"/>
            <w:tcBorders>
              <w:top w:val="nil"/>
              <w:left w:val="nil"/>
              <w:bottom w:val="single" w:sz="4" w:space="0" w:color="auto"/>
              <w:right w:val="single" w:sz="4" w:space="0" w:color="auto"/>
            </w:tcBorders>
            <w:shd w:val="clear" w:color="auto" w:fill="auto"/>
            <w:vAlign w:val="center"/>
            <w:hideMark/>
          </w:tcPr>
          <w:p w:rsidR="008D06CF" w:rsidRPr="007158AD" w:rsidRDefault="008D06CF" w:rsidP="00FD6D42">
            <w:pPr>
              <w:rPr>
                <w:rFonts w:eastAsia="Times New Roman"/>
                <w:color w:val="000000"/>
                <w:sz w:val="24"/>
                <w:szCs w:val="24"/>
                <w:lang w:eastAsia="en-GB"/>
              </w:rPr>
            </w:pPr>
            <w:r w:rsidRPr="007158AD">
              <w:rPr>
                <w:rFonts w:eastAsia="Times New Roman"/>
                <w:color w:val="000000"/>
                <w:sz w:val="24"/>
                <w:szCs w:val="24"/>
                <w:lang w:val="en-US" w:eastAsia="en-GB"/>
              </w:rPr>
              <w:t> </w:t>
            </w:r>
          </w:p>
        </w:tc>
        <w:tc>
          <w:tcPr>
            <w:tcW w:w="319" w:type="dxa"/>
            <w:tcBorders>
              <w:top w:val="nil"/>
              <w:left w:val="nil"/>
              <w:bottom w:val="single" w:sz="4" w:space="0" w:color="auto"/>
              <w:right w:val="single" w:sz="4" w:space="0" w:color="auto"/>
            </w:tcBorders>
            <w:shd w:val="clear" w:color="000000" w:fill="DDDDDD"/>
            <w:vAlign w:val="center"/>
            <w:hideMark/>
          </w:tcPr>
          <w:p w:rsidR="008D06CF" w:rsidRPr="007158AD" w:rsidRDefault="008D06CF" w:rsidP="00FD6D42">
            <w:pPr>
              <w:rPr>
                <w:rFonts w:eastAsia="Times New Roman"/>
                <w:color w:val="000000"/>
                <w:sz w:val="24"/>
                <w:szCs w:val="24"/>
                <w:lang w:eastAsia="en-GB"/>
              </w:rPr>
            </w:pPr>
            <w:r w:rsidRPr="007158AD">
              <w:rPr>
                <w:rFonts w:eastAsia="Times New Roman"/>
                <w:color w:val="000000"/>
                <w:sz w:val="24"/>
                <w:szCs w:val="24"/>
                <w:lang w:val="en-US" w:eastAsia="en-GB"/>
              </w:rPr>
              <w:t>*</w:t>
            </w:r>
          </w:p>
        </w:tc>
        <w:tc>
          <w:tcPr>
            <w:tcW w:w="319" w:type="dxa"/>
            <w:tcBorders>
              <w:top w:val="nil"/>
              <w:left w:val="nil"/>
              <w:bottom w:val="single" w:sz="4" w:space="0" w:color="auto"/>
              <w:right w:val="single" w:sz="4" w:space="0" w:color="auto"/>
            </w:tcBorders>
            <w:shd w:val="clear" w:color="auto" w:fill="auto"/>
            <w:vAlign w:val="center"/>
            <w:hideMark/>
          </w:tcPr>
          <w:p w:rsidR="008D06CF" w:rsidRPr="007158AD" w:rsidRDefault="008D06CF" w:rsidP="00FD6D42">
            <w:pPr>
              <w:rPr>
                <w:rFonts w:eastAsia="Times New Roman"/>
                <w:color w:val="000000"/>
                <w:sz w:val="24"/>
                <w:szCs w:val="24"/>
                <w:lang w:eastAsia="en-GB"/>
              </w:rPr>
            </w:pPr>
            <w:r w:rsidRPr="007158AD">
              <w:rPr>
                <w:rFonts w:eastAsia="Times New Roman"/>
                <w:color w:val="000000"/>
                <w:sz w:val="24"/>
                <w:szCs w:val="24"/>
                <w:lang w:val="en-US" w:eastAsia="en-GB"/>
              </w:rPr>
              <w:t> </w:t>
            </w:r>
          </w:p>
        </w:tc>
        <w:tc>
          <w:tcPr>
            <w:tcW w:w="337" w:type="dxa"/>
            <w:tcBorders>
              <w:top w:val="nil"/>
              <w:left w:val="nil"/>
              <w:bottom w:val="single" w:sz="4" w:space="0" w:color="auto"/>
              <w:right w:val="single" w:sz="4" w:space="0" w:color="auto"/>
            </w:tcBorders>
            <w:shd w:val="clear" w:color="000000" w:fill="DDDDDD"/>
            <w:vAlign w:val="center"/>
            <w:hideMark/>
          </w:tcPr>
          <w:p w:rsidR="008D06CF" w:rsidRPr="007158AD" w:rsidRDefault="008D06CF" w:rsidP="00FD6D42">
            <w:pPr>
              <w:rPr>
                <w:rFonts w:eastAsia="Times New Roman"/>
                <w:color w:val="000000"/>
                <w:sz w:val="24"/>
                <w:szCs w:val="24"/>
                <w:lang w:eastAsia="en-GB"/>
              </w:rPr>
            </w:pPr>
            <w:r w:rsidRPr="007158AD">
              <w:rPr>
                <w:rFonts w:eastAsia="Times New Roman"/>
                <w:color w:val="000000"/>
                <w:sz w:val="24"/>
                <w:szCs w:val="24"/>
                <w:lang w:val="en-US" w:eastAsia="en-GB"/>
              </w:rPr>
              <w:t> </w:t>
            </w:r>
          </w:p>
        </w:tc>
        <w:tc>
          <w:tcPr>
            <w:tcW w:w="319" w:type="dxa"/>
            <w:tcBorders>
              <w:top w:val="nil"/>
              <w:left w:val="nil"/>
              <w:bottom w:val="single" w:sz="4" w:space="0" w:color="auto"/>
              <w:right w:val="single" w:sz="4" w:space="0" w:color="auto"/>
            </w:tcBorders>
            <w:shd w:val="clear" w:color="auto" w:fill="auto"/>
            <w:vAlign w:val="center"/>
            <w:hideMark/>
          </w:tcPr>
          <w:p w:rsidR="008D06CF" w:rsidRPr="007158AD" w:rsidRDefault="008D06CF" w:rsidP="00FD6D42">
            <w:pPr>
              <w:rPr>
                <w:rFonts w:eastAsia="Times New Roman"/>
                <w:color w:val="000000"/>
                <w:sz w:val="24"/>
                <w:szCs w:val="24"/>
                <w:lang w:eastAsia="en-GB"/>
              </w:rPr>
            </w:pPr>
            <w:r w:rsidRPr="007158AD">
              <w:rPr>
                <w:rFonts w:eastAsia="Times New Roman"/>
                <w:color w:val="000000"/>
                <w:sz w:val="24"/>
                <w:szCs w:val="24"/>
                <w:lang w:val="en-US" w:eastAsia="en-GB"/>
              </w:rPr>
              <w:t>*</w:t>
            </w:r>
          </w:p>
        </w:tc>
        <w:tc>
          <w:tcPr>
            <w:tcW w:w="409" w:type="dxa"/>
            <w:tcBorders>
              <w:top w:val="nil"/>
              <w:left w:val="nil"/>
              <w:bottom w:val="single" w:sz="4" w:space="0" w:color="auto"/>
              <w:right w:val="single" w:sz="4" w:space="0" w:color="auto"/>
            </w:tcBorders>
            <w:shd w:val="clear" w:color="000000" w:fill="DDDDDD"/>
            <w:vAlign w:val="center"/>
            <w:hideMark/>
          </w:tcPr>
          <w:p w:rsidR="008D06CF" w:rsidRPr="007158AD" w:rsidRDefault="008D06CF" w:rsidP="00FD6D42">
            <w:pPr>
              <w:rPr>
                <w:rFonts w:eastAsia="Times New Roman"/>
                <w:color w:val="000000"/>
                <w:sz w:val="24"/>
                <w:szCs w:val="24"/>
                <w:lang w:eastAsia="en-GB"/>
              </w:rPr>
            </w:pPr>
            <w:r w:rsidRPr="007158AD">
              <w:rPr>
                <w:rFonts w:eastAsia="Times New Roman"/>
                <w:color w:val="000000"/>
                <w:sz w:val="24"/>
                <w:szCs w:val="24"/>
                <w:lang w:val="en-US" w:eastAsia="en-GB"/>
              </w:rPr>
              <w:t> </w:t>
            </w:r>
          </w:p>
        </w:tc>
        <w:tc>
          <w:tcPr>
            <w:tcW w:w="334" w:type="dxa"/>
            <w:tcBorders>
              <w:top w:val="nil"/>
              <w:left w:val="nil"/>
              <w:bottom w:val="single" w:sz="4" w:space="0" w:color="auto"/>
              <w:right w:val="single" w:sz="4" w:space="0" w:color="auto"/>
            </w:tcBorders>
            <w:shd w:val="clear" w:color="auto" w:fill="auto"/>
            <w:vAlign w:val="center"/>
            <w:hideMark/>
          </w:tcPr>
          <w:p w:rsidR="008D06CF" w:rsidRPr="007158AD" w:rsidRDefault="008D06CF" w:rsidP="00FD6D42">
            <w:pPr>
              <w:rPr>
                <w:rFonts w:eastAsia="Times New Roman"/>
                <w:color w:val="000000"/>
                <w:sz w:val="24"/>
                <w:szCs w:val="24"/>
                <w:lang w:eastAsia="en-GB"/>
              </w:rPr>
            </w:pPr>
            <w:r w:rsidRPr="007158AD">
              <w:rPr>
                <w:rFonts w:eastAsia="Times New Roman"/>
                <w:color w:val="000000"/>
                <w:sz w:val="24"/>
                <w:szCs w:val="24"/>
                <w:lang w:val="en-US" w:eastAsia="en-GB"/>
              </w:rPr>
              <w:t> </w:t>
            </w:r>
          </w:p>
        </w:tc>
        <w:tc>
          <w:tcPr>
            <w:tcW w:w="367" w:type="dxa"/>
            <w:tcBorders>
              <w:top w:val="nil"/>
              <w:left w:val="nil"/>
              <w:bottom w:val="single" w:sz="4" w:space="0" w:color="auto"/>
              <w:right w:val="single" w:sz="4" w:space="0" w:color="auto"/>
            </w:tcBorders>
            <w:shd w:val="clear" w:color="000000" w:fill="DDDDDD"/>
            <w:vAlign w:val="center"/>
            <w:hideMark/>
          </w:tcPr>
          <w:p w:rsidR="008D06CF" w:rsidRPr="007158AD" w:rsidRDefault="008D06CF" w:rsidP="00FD6D42">
            <w:pPr>
              <w:rPr>
                <w:rFonts w:eastAsia="Times New Roman"/>
                <w:color w:val="000000"/>
                <w:sz w:val="24"/>
                <w:szCs w:val="24"/>
                <w:lang w:eastAsia="en-GB"/>
              </w:rPr>
            </w:pPr>
            <w:r w:rsidRPr="007158AD">
              <w:rPr>
                <w:rFonts w:eastAsia="Times New Roman"/>
                <w:color w:val="000000"/>
                <w:sz w:val="24"/>
                <w:szCs w:val="24"/>
                <w:lang w:val="en-US" w:eastAsia="en-GB"/>
              </w:rPr>
              <w:t> </w:t>
            </w:r>
          </w:p>
        </w:tc>
        <w:tc>
          <w:tcPr>
            <w:tcW w:w="340" w:type="dxa"/>
            <w:tcBorders>
              <w:top w:val="nil"/>
              <w:left w:val="nil"/>
              <w:bottom w:val="single" w:sz="4" w:space="0" w:color="auto"/>
              <w:right w:val="single" w:sz="4" w:space="0" w:color="auto"/>
            </w:tcBorders>
            <w:shd w:val="clear" w:color="auto" w:fill="auto"/>
            <w:vAlign w:val="center"/>
            <w:hideMark/>
          </w:tcPr>
          <w:p w:rsidR="008D06CF" w:rsidRPr="007158AD" w:rsidRDefault="008D06CF" w:rsidP="00FD6D42">
            <w:pPr>
              <w:rPr>
                <w:rFonts w:eastAsia="Times New Roman"/>
                <w:color w:val="000000"/>
                <w:sz w:val="24"/>
                <w:szCs w:val="24"/>
                <w:lang w:eastAsia="en-GB"/>
              </w:rPr>
            </w:pPr>
            <w:r w:rsidRPr="007158AD">
              <w:rPr>
                <w:rFonts w:eastAsia="Times New Roman"/>
                <w:color w:val="000000"/>
                <w:sz w:val="24"/>
                <w:szCs w:val="24"/>
                <w:lang w:val="en-US" w:eastAsia="en-GB"/>
              </w:rPr>
              <w:t>*</w:t>
            </w:r>
          </w:p>
        </w:tc>
        <w:tc>
          <w:tcPr>
            <w:tcW w:w="320" w:type="dxa"/>
            <w:tcBorders>
              <w:top w:val="nil"/>
              <w:left w:val="nil"/>
              <w:bottom w:val="single" w:sz="4" w:space="0" w:color="auto"/>
              <w:right w:val="single" w:sz="4" w:space="0" w:color="auto"/>
            </w:tcBorders>
            <w:shd w:val="clear" w:color="000000" w:fill="DDDDDD"/>
            <w:vAlign w:val="center"/>
            <w:hideMark/>
          </w:tcPr>
          <w:p w:rsidR="008D06CF" w:rsidRPr="007158AD" w:rsidRDefault="008D06CF" w:rsidP="00FD6D42">
            <w:pPr>
              <w:rPr>
                <w:rFonts w:eastAsia="Times New Roman"/>
                <w:color w:val="000000"/>
                <w:sz w:val="24"/>
                <w:szCs w:val="24"/>
                <w:lang w:eastAsia="en-GB"/>
              </w:rPr>
            </w:pPr>
            <w:r w:rsidRPr="007158AD">
              <w:rPr>
                <w:rFonts w:eastAsia="Times New Roman"/>
                <w:color w:val="000000"/>
                <w:sz w:val="24"/>
                <w:szCs w:val="24"/>
                <w:lang w:val="en-US" w:eastAsia="en-GB"/>
              </w:rPr>
              <w:t> </w:t>
            </w:r>
          </w:p>
        </w:tc>
        <w:tc>
          <w:tcPr>
            <w:tcW w:w="325" w:type="dxa"/>
            <w:tcBorders>
              <w:top w:val="nil"/>
              <w:left w:val="nil"/>
              <w:bottom w:val="single" w:sz="4" w:space="0" w:color="auto"/>
              <w:right w:val="single" w:sz="4" w:space="0" w:color="auto"/>
            </w:tcBorders>
            <w:shd w:val="clear" w:color="auto" w:fill="auto"/>
            <w:vAlign w:val="center"/>
            <w:hideMark/>
          </w:tcPr>
          <w:p w:rsidR="008D06CF" w:rsidRPr="007158AD" w:rsidRDefault="008D06CF" w:rsidP="00FD6D42">
            <w:pPr>
              <w:rPr>
                <w:rFonts w:eastAsia="Times New Roman"/>
                <w:color w:val="000000"/>
                <w:sz w:val="24"/>
                <w:szCs w:val="24"/>
                <w:lang w:eastAsia="en-GB"/>
              </w:rPr>
            </w:pPr>
            <w:r w:rsidRPr="007158AD">
              <w:rPr>
                <w:rFonts w:eastAsia="Times New Roman"/>
                <w:color w:val="000000"/>
                <w:sz w:val="24"/>
                <w:szCs w:val="24"/>
                <w:lang w:val="en-US" w:eastAsia="en-GB"/>
              </w:rPr>
              <w:t>*</w:t>
            </w:r>
          </w:p>
        </w:tc>
        <w:tc>
          <w:tcPr>
            <w:tcW w:w="360" w:type="dxa"/>
            <w:tcBorders>
              <w:top w:val="nil"/>
              <w:left w:val="nil"/>
              <w:bottom w:val="single" w:sz="4" w:space="0" w:color="auto"/>
              <w:right w:val="single" w:sz="4" w:space="0" w:color="auto"/>
            </w:tcBorders>
            <w:shd w:val="clear" w:color="000000" w:fill="DDDDDD"/>
            <w:vAlign w:val="center"/>
            <w:hideMark/>
          </w:tcPr>
          <w:p w:rsidR="008D06CF" w:rsidRPr="007158AD" w:rsidRDefault="008D06CF" w:rsidP="00FD6D42">
            <w:pPr>
              <w:rPr>
                <w:rFonts w:eastAsia="Times New Roman"/>
                <w:color w:val="000000"/>
                <w:sz w:val="24"/>
                <w:szCs w:val="24"/>
                <w:lang w:eastAsia="en-GB"/>
              </w:rPr>
            </w:pPr>
            <w:r w:rsidRPr="007158AD">
              <w:rPr>
                <w:rFonts w:eastAsia="Times New Roman"/>
                <w:color w:val="000000"/>
                <w:sz w:val="24"/>
                <w:szCs w:val="24"/>
                <w:lang w:val="en-US" w:eastAsia="en-GB"/>
              </w:rPr>
              <w:t>*</w:t>
            </w:r>
          </w:p>
        </w:tc>
        <w:tc>
          <w:tcPr>
            <w:tcW w:w="338" w:type="dxa"/>
            <w:tcBorders>
              <w:top w:val="nil"/>
              <w:left w:val="nil"/>
              <w:bottom w:val="single" w:sz="4" w:space="0" w:color="auto"/>
              <w:right w:val="single" w:sz="4" w:space="0" w:color="auto"/>
            </w:tcBorders>
            <w:shd w:val="clear" w:color="auto" w:fill="auto"/>
            <w:vAlign w:val="center"/>
            <w:hideMark/>
          </w:tcPr>
          <w:p w:rsidR="008D06CF" w:rsidRPr="007158AD" w:rsidRDefault="008D06CF" w:rsidP="00FD6D42">
            <w:pPr>
              <w:rPr>
                <w:rFonts w:eastAsia="Times New Roman"/>
                <w:color w:val="000000"/>
                <w:sz w:val="24"/>
                <w:szCs w:val="24"/>
                <w:lang w:eastAsia="en-GB"/>
              </w:rPr>
            </w:pPr>
            <w:r w:rsidRPr="007158AD">
              <w:rPr>
                <w:rFonts w:eastAsia="Times New Roman"/>
                <w:color w:val="000000"/>
                <w:sz w:val="24"/>
                <w:szCs w:val="24"/>
                <w:lang w:val="en-US" w:eastAsia="en-GB"/>
              </w:rPr>
              <w:t>*</w:t>
            </w:r>
          </w:p>
        </w:tc>
        <w:tc>
          <w:tcPr>
            <w:tcW w:w="331" w:type="dxa"/>
            <w:tcBorders>
              <w:top w:val="nil"/>
              <w:left w:val="nil"/>
              <w:bottom w:val="single" w:sz="4" w:space="0" w:color="auto"/>
              <w:right w:val="single" w:sz="4" w:space="0" w:color="auto"/>
            </w:tcBorders>
            <w:shd w:val="clear" w:color="000000" w:fill="DDDDDD"/>
            <w:vAlign w:val="center"/>
            <w:hideMark/>
          </w:tcPr>
          <w:p w:rsidR="008D06CF" w:rsidRPr="007158AD" w:rsidRDefault="008D06CF" w:rsidP="00FD6D42">
            <w:pPr>
              <w:rPr>
                <w:rFonts w:eastAsia="Times New Roman"/>
                <w:color w:val="000000"/>
                <w:sz w:val="24"/>
                <w:szCs w:val="24"/>
                <w:lang w:eastAsia="en-GB"/>
              </w:rPr>
            </w:pPr>
            <w:r w:rsidRPr="007158AD">
              <w:rPr>
                <w:rFonts w:eastAsia="Times New Roman"/>
                <w:color w:val="000000"/>
                <w:sz w:val="24"/>
                <w:szCs w:val="24"/>
                <w:lang w:val="en-US" w:eastAsia="en-GB"/>
              </w:rPr>
              <w:t> </w:t>
            </w:r>
          </w:p>
        </w:tc>
        <w:tc>
          <w:tcPr>
            <w:tcW w:w="322" w:type="dxa"/>
            <w:tcBorders>
              <w:top w:val="nil"/>
              <w:left w:val="nil"/>
              <w:bottom w:val="single" w:sz="4" w:space="0" w:color="auto"/>
              <w:right w:val="single" w:sz="4" w:space="0" w:color="auto"/>
            </w:tcBorders>
            <w:shd w:val="clear" w:color="auto" w:fill="auto"/>
            <w:vAlign w:val="center"/>
            <w:hideMark/>
          </w:tcPr>
          <w:p w:rsidR="008D06CF" w:rsidRPr="007158AD" w:rsidRDefault="008D06CF" w:rsidP="00FD6D42">
            <w:pPr>
              <w:rPr>
                <w:rFonts w:eastAsia="Times New Roman"/>
                <w:color w:val="000000"/>
                <w:sz w:val="24"/>
                <w:szCs w:val="24"/>
                <w:lang w:eastAsia="en-GB"/>
              </w:rPr>
            </w:pPr>
            <w:r w:rsidRPr="007158AD">
              <w:rPr>
                <w:rFonts w:eastAsia="Times New Roman"/>
                <w:color w:val="000000"/>
                <w:sz w:val="24"/>
                <w:szCs w:val="24"/>
                <w:lang w:val="en-US" w:eastAsia="en-GB"/>
              </w:rPr>
              <w:t> </w:t>
            </w:r>
          </w:p>
        </w:tc>
        <w:tc>
          <w:tcPr>
            <w:tcW w:w="458" w:type="dxa"/>
            <w:tcBorders>
              <w:top w:val="nil"/>
              <w:left w:val="nil"/>
              <w:bottom w:val="single" w:sz="4" w:space="0" w:color="auto"/>
              <w:right w:val="single" w:sz="4" w:space="0" w:color="auto"/>
            </w:tcBorders>
            <w:shd w:val="clear" w:color="000000" w:fill="DDDDDD"/>
            <w:vAlign w:val="center"/>
            <w:hideMark/>
          </w:tcPr>
          <w:p w:rsidR="008D06CF" w:rsidRPr="007158AD" w:rsidRDefault="008D06CF" w:rsidP="00FD6D42">
            <w:pPr>
              <w:rPr>
                <w:rFonts w:eastAsia="Times New Roman"/>
                <w:color w:val="000000"/>
                <w:sz w:val="24"/>
                <w:szCs w:val="24"/>
                <w:lang w:eastAsia="en-GB"/>
              </w:rPr>
            </w:pPr>
            <w:r w:rsidRPr="007158AD">
              <w:rPr>
                <w:rFonts w:eastAsia="Times New Roman"/>
                <w:color w:val="000000"/>
                <w:sz w:val="24"/>
                <w:szCs w:val="24"/>
                <w:lang w:val="en-US" w:eastAsia="en-GB"/>
              </w:rPr>
              <w:t>*</w:t>
            </w:r>
          </w:p>
        </w:tc>
        <w:tc>
          <w:tcPr>
            <w:tcW w:w="458" w:type="dxa"/>
            <w:tcBorders>
              <w:top w:val="nil"/>
              <w:left w:val="nil"/>
              <w:bottom w:val="single" w:sz="4" w:space="0" w:color="auto"/>
              <w:right w:val="single" w:sz="4" w:space="0" w:color="auto"/>
            </w:tcBorders>
            <w:shd w:val="clear" w:color="auto" w:fill="auto"/>
            <w:vAlign w:val="center"/>
            <w:hideMark/>
          </w:tcPr>
          <w:p w:rsidR="008D06CF" w:rsidRPr="007158AD" w:rsidRDefault="008D06CF" w:rsidP="00FD6D42">
            <w:pPr>
              <w:rPr>
                <w:rFonts w:eastAsia="Times New Roman"/>
                <w:color w:val="000000"/>
                <w:sz w:val="24"/>
                <w:szCs w:val="24"/>
                <w:lang w:eastAsia="en-GB"/>
              </w:rPr>
            </w:pPr>
            <w:r w:rsidRPr="007158AD">
              <w:rPr>
                <w:rFonts w:eastAsia="Times New Roman"/>
                <w:color w:val="000000"/>
                <w:sz w:val="24"/>
                <w:szCs w:val="24"/>
                <w:lang w:val="en-US" w:eastAsia="en-GB"/>
              </w:rPr>
              <w:t> </w:t>
            </w:r>
          </w:p>
        </w:tc>
      </w:tr>
      <w:tr w:rsidR="008D06CF" w:rsidRPr="007158AD" w:rsidTr="00FD6D42">
        <w:trPr>
          <w:trHeight w:val="945"/>
        </w:trPr>
        <w:tc>
          <w:tcPr>
            <w:tcW w:w="2080" w:type="dxa"/>
            <w:tcBorders>
              <w:top w:val="nil"/>
              <w:left w:val="single" w:sz="4" w:space="0" w:color="auto"/>
              <w:bottom w:val="single" w:sz="4" w:space="0" w:color="auto"/>
              <w:right w:val="single" w:sz="4" w:space="0" w:color="auto"/>
            </w:tcBorders>
            <w:shd w:val="clear" w:color="000000" w:fill="CDFFCD"/>
            <w:vAlign w:val="center"/>
            <w:hideMark/>
          </w:tcPr>
          <w:p w:rsidR="008D06CF" w:rsidRPr="007158AD" w:rsidRDefault="008D06CF" w:rsidP="00FD6D42">
            <w:pPr>
              <w:rPr>
                <w:rFonts w:eastAsia="Times New Roman"/>
                <w:color w:val="000000"/>
                <w:sz w:val="24"/>
                <w:szCs w:val="24"/>
                <w:lang w:eastAsia="en-GB"/>
              </w:rPr>
            </w:pPr>
            <w:r w:rsidRPr="007158AD">
              <w:rPr>
                <w:rFonts w:eastAsia="Times New Roman"/>
                <w:color w:val="000000"/>
                <w:sz w:val="24"/>
                <w:szCs w:val="24"/>
                <w:lang w:val="en-US" w:eastAsia="en-GB"/>
              </w:rPr>
              <w:t>Energy Performance Certificate</w:t>
            </w:r>
          </w:p>
        </w:tc>
        <w:tc>
          <w:tcPr>
            <w:tcW w:w="350" w:type="dxa"/>
            <w:tcBorders>
              <w:top w:val="nil"/>
              <w:left w:val="nil"/>
              <w:bottom w:val="single" w:sz="4" w:space="0" w:color="auto"/>
              <w:right w:val="single" w:sz="4" w:space="0" w:color="auto"/>
            </w:tcBorders>
            <w:shd w:val="clear" w:color="000000" w:fill="DDDDDD"/>
            <w:vAlign w:val="center"/>
            <w:hideMark/>
          </w:tcPr>
          <w:p w:rsidR="008D06CF" w:rsidRPr="007158AD" w:rsidRDefault="008D06CF" w:rsidP="00FD6D42">
            <w:pPr>
              <w:rPr>
                <w:rFonts w:eastAsia="Times New Roman"/>
                <w:color w:val="000000"/>
                <w:sz w:val="24"/>
                <w:szCs w:val="24"/>
                <w:lang w:eastAsia="en-GB"/>
              </w:rPr>
            </w:pPr>
            <w:r w:rsidRPr="007158AD">
              <w:rPr>
                <w:rFonts w:eastAsia="Times New Roman"/>
                <w:color w:val="000000"/>
                <w:sz w:val="24"/>
                <w:szCs w:val="24"/>
                <w:lang w:val="en-US" w:eastAsia="en-GB"/>
              </w:rPr>
              <w:t> </w:t>
            </w:r>
          </w:p>
        </w:tc>
        <w:tc>
          <w:tcPr>
            <w:tcW w:w="355" w:type="dxa"/>
            <w:tcBorders>
              <w:top w:val="nil"/>
              <w:left w:val="nil"/>
              <w:bottom w:val="single" w:sz="4" w:space="0" w:color="auto"/>
              <w:right w:val="single" w:sz="4" w:space="0" w:color="auto"/>
            </w:tcBorders>
            <w:shd w:val="clear" w:color="auto" w:fill="auto"/>
            <w:vAlign w:val="center"/>
            <w:hideMark/>
          </w:tcPr>
          <w:p w:rsidR="008D06CF" w:rsidRPr="007158AD" w:rsidRDefault="008D06CF" w:rsidP="00FD6D42">
            <w:pPr>
              <w:rPr>
                <w:rFonts w:eastAsia="Times New Roman"/>
                <w:color w:val="000000"/>
                <w:sz w:val="24"/>
                <w:szCs w:val="24"/>
                <w:lang w:eastAsia="en-GB"/>
              </w:rPr>
            </w:pPr>
            <w:r w:rsidRPr="007158AD">
              <w:rPr>
                <w:rFonts w:eastAsia="Times New Roman"/>
                <w:color w:val="000000"/>
                <w:sz w:val="24"/>
                <w:szCs w:val="24"/>
                <w:lang w:val="en-US" w:eastAsia="en-GB"/>
              </w:rPr>
              <w:t> </w:t>
            </w:r>
          </w:p>
        </w:tc>
        <w:tc>
          <w:tcPr>
            <w:tcW w:w="319" w:type="dxa"/>
            <w:tcBorders>
              <w:top w:val="nil"/>
              <w:left w:val="nil"/>
              <w:bottom w:val="single" w:sz="4" w:space="0" w:color="auto"/>
              <w:right w:val="single" w:sz="4" w:space="0" w:color="auto"/>
            </w:tcBorders>
            <w:shd w:val="clear" w:color="000000" w:fill="DDDDDD"/>
            <w:vAlign w:val="center"/>
            <w:hideMark/>
          </w:tcPr>
          <w:p w:rsidR="008D06CF" w:rsidRPr="007158AD" w:rsidRDefault="008D06CF" w:rsidP="00FD6D42">
            <w:pPr>
              <w:rPr>
                <w:rFonts w:eastAsia="Times New Roman"/>
                <w:color w:val="000000"/>
                <w:sz w:val="24"/>
                <w:szCs w:val="24"/>
                <w:lang w:eastAsia="en-GB"/>
              </w:rPr>
            </w:pPr>
            <w:r w:rsidRPr="007158AD">
              <w:rPr>
                <w:rFonts w:eastAsia="Times New Roman"/>
                <w:color w:val="000000"/>
                <w:sz w:val="24"/>
                <w:szCs w:val="24"/>
                <w:lang w:val="en-US" w:eastAsia="en-GB"/>
              </w:rPr>
              <w:t>*</w:t>
            </w:r>
          </w:p>
        </w:tc>
        <w:tc>
          <w:tcPr>
            <w:tcW w:w="319" w:type="dxa"/>
            <w:tcBorders>
              <w:top w:val="nil"/>
              <w:left w:val="nil"/>
              <w:bottom w:val="single" w:sz="4" w:space="0" w:color="auto"/>
              <w:right w:val="single" w:sz="4" w:space="0" w:color="auto"/>
            </w:tcBorders>
            <w:shd w:val="clear" w:color="auto" w:fill="auto"/>
            <w:vAlign w:val="center"/>
            <w:hideMark/>
          </w:tcPr>
          <w:p w:rsidR="008D06CF" w:rsidRPr="007158AD" w:rsidRDefault="008D06CF" w:rsidP="00FD6D42">
            <w:pPr>
              <w:rPr>
                <w:rFonts w:eastAsia="Times New Roman"/>
                <w:color w:val="000000"/>
                <w:sz w:val="24"/>
                <w:szCs w:val="24"/>
                <w:lang w:eastAsia="en-GB"/>
              </w:rPr>
            </w:pPr>
            <w:r w:rsidRPr="007158AD">
              <w:rPr>
                <w:rFonts w:eastAsia="Times New Roman"/>
                <w:color w:val="000000"/>
                <w:sz w:val="24"/>
                <w:szCs w:val="24"/>
                <w:lang w:val="en-US" w:eastAsia="en-GB"/>
              </w:rPr>
              <w:t> </w:t>
            </w:r>
          </w:p>
        </w:tc>
        <w:tc>
          <w:tcPr>
            <w:tcW w:w="337" w:type="dxa"/>
            <w:tcBorders>
              <w:top w:val="nil"/>
              <w:left w:val="nil"/>
              <w:bottom w:val="single" w:sz="4" w:space="0" w:color="auto"/>
              <w:right w:val="single" w:sz="4" w:space="0" w:color="auto"/>
            </w:tcBorders>
            <w:shd w:val="clear" w:color="000000" w:fill="DDDDDD"/>
            <w:vAlign w:val="center"/>
            <w:hideMark/>
          </w:tcPr>
          <w:p w:rsidR="008D06CF" w:rsidRPr="007158AD" w:rsidRDefault="008D06CF" w:rsidP="00FD6D42">
            <w:pPr>
              <w:rPr>
                <w:rFonts w:eastAsia="Times New Roman"/>
                <w:color w:val="000000"/>
                <w:sz w:val="24"/>
                <w:szCs w:val="24"/>
                <w:lang w:eastAsia="en-GB"/>
              </w:rPr>
            </w:pPr>
            <w:r w:rsidRPr="007158AD">
              <w:rPr>
                <w:rFonts w:eastAsia="Times New Roman"/>
                <w:color w:val="000000"/>
                <w:sz w:val="24"/>
                <w:szCs w:val="24"/>
                <w:lang w:val="en-US" w:eastAsia="en-GB"/>
              </w:rPr>
              <w:t> </w:t>
            </w:r>
          </w:p>
        </w:tc>
        <w:tc>
          <w:tcPr>
            <w:tcW w:w="319" w:type="dxa"/>
            <w:tcBorders>
              <w:top w:val="nil"/>
              <w:left w:val="nil"/>
              <w:bottom w:val="single" w:sz="4" w:space="0" w:color="auto"/>
              <w:right w:val="single" w:sz="4" w:space="0" w:color="auto"/>
            </w:tcBorders>
            <w:shd w:val="clear" w:color="auto" w:fill="auto"/>
            <w:vAlign w:val="center"/>
            <w:hideMark/>
          </w:tcPr>
          <w:p w:rsidR="008D06CF" w:rsidRPr="007158AD" w:rsidRDefault="008D06CF" w:rsidP="00FD6D42">
            <w:pPr>
              <w:rPr>
                <w:rFonts w:eastAsia="Times New Roman"/>
                <w:color w:val="000000"/>
                <w:sz w:val="24"/>
                <w:szCs w:val="24"/>
                <w:lang w:eastAsia="en-GB"/>
              </w:rPr>
            </w:pPr>
            <w:r w:rsidRPr="007158AD">
              <w:rPr>
                <w:rFonts w:eastAsia="Times New Roman"/>
                <w:color w:val="000000"/>
                <w:sz w:val="24"/>
                <w:szCs w:val="24"/>
                <w:lang w:val="en-US" w:eastAsia="en-GB"/>
              </w:rPr>
              <w:t>*</w:t>
            </w:r>
          </w:p>
        </w:tc>
        <w:tc>
          <w:tcPr>
            <w:tcW w:w="409" w:type="dxa"/>
            <w:tcBorders>
              <w:top w:val="nil"/>
              <w:left w:val="nil"/>
              <w:bottom w:val="single" w:sz="4" w:space="0" w:color="auto"/>
              <w:right w:val="single" w:sz="4" w:space="0" w:color="auto"/>
            </w:tcBorders>
            <w:shd w:val="clear" w:color="000000" w:fill="DDDDDD"/>
            <w:vAlign w:val="center"/>
            <w:hideMark/>
          </w:tcPr>
          <w:p w:rsidR="008D06CF" w:rsidRPr="007158AD" w:rsidRDefault="008D06CF" w:rsidP="00FD6D42">
            <w:pPr>
              <w:rPr>
                <w:rFonts w:eastAsia="Times New Roman"/>
                <w:color w:val="000000"/>
                <w:sz w:val="24"/>
                <w:szCs w:val="24"/>
                <w:lang w:eastAsia="en-GB"/>
              </w:rPr>
            </w:pPr>
            <w:r w:rsidRPr="007158AD">
              <w:rPr>
                <w:rFonts w:eastAsia="Times New Roman"/>
                <w:color w:val="000000"/>
                <w:sz w:val="24"/>
                <w:szCs w:val="24"/>
                <w:lang w:val="en-US" w:eastAsia="en-GB"/>
              </w:rPr>
              <w:t>*</w:t>
            </w:r>
          </w:p>
        </w:tc>
        <w:tc>
          <w:tcPr>
            <w:tcW w:w="334" w:type="dxa"/>
            <w:tcBorders>
              <w:top w:val="nil"/>
              <w:left w:val="nil"/>
              <w:bottom w:val="single" w:sz="4" w:space="0" w:color="auto"/>
              <w:right w:val="single" w:sz="4" w:space="0" w:color="auto"/>
            </w:tcBorders>
            <w:shd w:val="clear" w:color="auto" w:fill="auto"/>
            <w:vAlign w:val="center"/>
            <w:hideMark/>
          </w:tcPr>
          <w:p w:rsidR="008D06CF" w:rsidRPr="007158AD" w:rsidRDefault="008D06CF" w:rsidP="00FD6D42">
            <w:pPr>
              <w:rPr>
                <w:rFonts w:eastAsia="Times New Roman"/>
                <w:color w:val="000000"/>
                <w:sz w:val="24"/>
                <w:szCs w:val="24"/>
                <w:lang w:eastAsia="en-GB"/>
              </w:rPr>
            </w:pPr>
            <w:r w:rsidRPr="007158AD">
              <w:rPr>
                <w:rFonts w:eastAsia="Times New Roman"/>
                <w:color w:val="000000"/>
                <w:sz w:val="24"/>
                <w:szCs w:val="24"/>
                <w:lang w:val="en-US" w:eastAsia="en-GB"/>
              </w:rPr>
              <w:t> </w:t>
            </w:r>
          </w:p>
        </w:tc>
        <w:tc>
          <w:tcPr>
            <w:tcW w:w="367" w:type="dxa"/>
            <w:tcBorders>
              <w:top w:val="nil"/>
              <w:left w:val="nil"/>
              <w:bottom w:val="single" w:sz="4" w:space="0" w:color="auto"/>
              <w:right w:val="single" w:sz="4" w:space="0" w:color="auto"/>
            </w:tcBorders>
            <w:shd w:val="clear" w:color="000000" w:fill="DDDDDD"/>
            <w:vAlign w:val="center"/>
            <w:hideMark/>
          </w:tcPr>
          <w:p w:rsidR="008D06CF" w:rsidRPr="007158AD" w:rsidRDefault="008D06CF" w:rsidP="00FD6D42">
            <w:pPr>
              <w:rPr>
                <w:rFonts w:eastAsia="Times New Roman"/>
                <w:color w:val="000000"/>
                <w:sz w:val="24"/>
                <w:szCs w:val="24"/>
                <w:lang w:eastAsia="en-GB"/>
              </w:rPr>
            </w:pPr>
            <w:r w:rsidRPr="007158AD">
              <w:rPr>
                <w:rFonts w:eastAsia="Times New Roman"/>
                <w:color w:val="000000"/>
                <w:sz w:val="24"/>
                <w:szCs w:val="24"/>
                <w:lang w:val="en-US" w:eastAsia="en-GB"/>
              </w:rPr>
              <w:t>*</w:t>
            </w:r>
          </w:p>
        </w:tc>
        <w:tc>
          <w:tcPr>
            <w:tcW w:w="340" w:type="dxa"/>
            <w:tcBorders>
              <w:top w:val="nil"/>
              <w:left w:val="nil"/>
              <w:bottom w:val="single" w:sz="4" w:space="0" w:color="auto"/>
              <w:right w:val="single" w:sz="4" w:space="0" w:color="auto"/>
            </w:tcBorders>
            <w:shd w:val="clear" w:color="auto" w:fill="auto"/>
            <w:vAlign w:val="center"/>
            <w:hideMark/>
          </w:tcPr>
          <w:p w:rsidR="008D06CF" w:rsidRPr="007158AD" w:rsidRDefault="008D06CF" w:rsidP="00FD6D42">
            <w:pPr>
              <w:rPr>
                <w:rFonts w:eastAsia="Times New Roman"/>
                <w:color w:val="000000"/>
                <w:sz w:val="24"/>
                <w:szCs w:val="24"/>
                <w:lang w:eastAsia="en-GB"/>
              </w:rPr>
            </w:pPr>
            <w:r w:rsidRPr="007158AD">
              <w:rPr>
                <w:rFonts w:eastAsia="Times New Roman"/>
                <w:color w:val="000000"/>
                <w:sz w:val="24"/>
                <w:szCs w:val="24"/>
                <w:lang w:val="en-US" w:eastAsia="en-GB"/>
              </w:rPr>
              <w:t>*</w:t>
            </w:r>
          </w:p>
        </w:tc>
        <w:tc>
          <w:tcPr>
            <w:tcW w:w="320" w:type="dxa"/>
            <w:tcBorders>
              <w:top w:val="nil"/>
              <w:left w:val="nil"/>
              <w:bottom w:val="single" w:sz="4" w:space="0" w:color="auto"/>
              <w:right w:val="single" w:sz="4" w:space="0" w:color="auto"/>
            </w:tcBorders>
            <w:shd w:val="clear" w:color="000000" w:fill="DDDDDD"/>
            <w:vAlign w:val="center"/>
            <w:hideMark/>
          </w:tcPr>
          <w:p w:rsidR="008D06CF" w:rsidRPr="007158AD" w:rsidRDefault="008D06CF" w:rsidP="00FD6D42">
            <w:pPr>
              <w:rPr>
                <w:rFonts w:eastAsia="Times New Roman"/>
                <w:color w:val="000000"/>
                <w:sz w:val="24"/>
                <w:szCs w:val="24"/>
                <w:lang w:eastAsia="en-GB"/>
              </w:rPr>
            </w:pPr>
            <w:r w:rsidRPr="007158AD">
              <w:rPr>
                <w:rFonts w:eastAsia="Times New Roman"/>
                <w:color w:val="000000"/>
                <w:sz w:val="24"/>
                <w:szCs w:val="24"/>
                <w:lang w:val="en-US" w:eastAsia="en-GB"/>
              </w:rPr>
              <w:t> </w:t>
            </w:r>
          </w:p>
        </w:tc>
        <w:tc>
          <w:tcPr>
            <w:tcW w:w="325" w:type="dxa"/>
            <w:tcBorders>
              <w:top w:val="nil"/>
              <w:left w:val="nil"/>
              <w:bottom w:val="single" w:sz="4" w:space="0" w:color="auto"/>
              <w:right w:val="single" w:sz="4" w:space="0" w:color="auto"/>
            </w:tcBorders>
            <w:shd w:val="clear" w:color="auto" w:fill="auto"/>
            <w:vAlign w:val="center"/>
            <w:hideMark/>
          </w:tcPr>
          <w:p w:rsidR="008D06CF" w:rsidRPr="007158AD" w:rsidRDefault="008D06CF" w:rsidP="00FD6D42">
            <w:pPr>
              <w:rPr>
                <w:rFonts w:eastAsia="Times New Roman"/>
                <w:color w:val="000000"/>
                <w:sz w:val="24"/>
                <w:szCs w:val="24"/>
                <w:lang w:eastAsia="en-GB"/>
              </w:rPr>
            </w:pPr>
            <w:r w:rsidRPr="007158AD">
              <w:rPr>
                <w:rFonts w:eastAsia="Times New Roman"/>
                <w:color w:val="000000"/>
                <w:sz w:val="24"/>
                <w:szCs w:val="24"/>
                <w:lang w:val="en-US" w:eastAsia="en-GB"/>
              </w:rPr>
              <w:t>*</w:t>
            </w:r>
          </w:p>
        </w:tc>
        <w:tc>
          <w:tcPr>
            <w:tcW w:w="360" w:type="dxa"/>
            <w:tcBorders>
              <w:top w:val="nil"/>
              <w:left w:val="nil"/>
              <w:bottom w:val="single" w:sz="4" w:space="0" w:color="auto"/>
              <w:right w:val="single" w:sz="4" w:space="0" w:color="auto"/>
            </w:tcBorders>
            <w:shd w:val="clear" w:color="000000" w:fill="DDDDDD"/>
            <w:vAlign w:val="center"/>
            <w:hideMark/>
          </w:tcPr>
          <w:p w:rsidR="008D06CF" w:rsidRPr="007158AD" w:rsidRDefault="008D06CF" w:rsidP="00FD6D42">
            <w:pPr>
              <w:rPr>
                <w:rFonts w:eastAsia="Times New Roman"/>
                <w:color w:val="000000"/>
                <w:sz w:val="24"/>
                <w:szCs w:val="24"/>
                <w:lang w:eastAsia="en-GB"/>
              </w:rPr>
            </w:pPr>
            <w:r w:rsidRPr="007158AD">
              <w:rPr>
                <w:rFonts w:eastAsia="Times New Roman"/>
                <w:color w:val="000000"/>
                <w:sz w:val="24"/>
                <w:szCs w:val="24"/>
                <w:lang w:val="en-US" w:eastAsia="en-GB"/>
              </w:rPr>
              <w:t>*</w:t>
            </w:r>
          </w:p>
        </w:tc>
        <w:tc>
          <w:tcPr>
            <w:tcW w:w="338" w:type="dxa"/>
            <w:tcBorders>
              <w:top w:val="nil"/>
              <w:left w:val="nil"/>
              <w:bottom w:val="single" w:sz="4" w:space="0" w:color="auto"/>
              <w:right w:val="single" w:sz="4" w:space="0" w:color="auto"/>
            </w:tcBorders>
            <w:shd w:val="clear" w:color="auto" w:fill="auto"/>
            <w:vAlign w:val="center"/>
            <w:hideMark/>
          </w:tcPr>
          <w:p w:rsidR="008D06CF" w:rsidRPr="007158AD" w:rsidRDefault="008D06CF" w:rsidP="00FD6D42">
            <w:pPr>
              <w:rPr>
                <w:rFonts w:eastAsia="Times New Roman"/>
                <w:color w:val="000000"/>
                <w:sz w:val="24"/>
                <w:szCs w:val="24"/>
                <w:lang w:eastAsia="en-GB"/>
              </w:rPr>
            </w:pPr>
            <w:r w:rsidRPr="007158AD">
              <w:rPr>
                <w:rFonts w:eastAsia="Times New Roman"/>
                <w:color w:val="000000"/>
                <w:sz w:val="24"/>
                <w:szCs w:val="24"/>
                <w:lang w:val="en-US" w:eastAsia="en-GB"/>
              </w:rPr>
              <w:t> </w:t>
            </w:r>
          </w:p>
        </w:tc>
        <w:tc>
          <w:tcPr>
            <w:tcW w:w="331" w:type="dxa"/>
            <w:tcBorders>
              <w:top w:val="nil"/>
              <w:left w:val="nil"/>
              <w:bottom w:val="single" w:sz="4" w:space="0" w:color="auto"/>
              <w:right w:val="single" w:sz="4" w:space="0" w:color="auto"/>
            </w:tcBorders>
            <w:shd w:val="clear" w:color="000000" w:fill="DDDDDD"/>
            <w:vAlign w:val="center"/>
            <w:hideMark/>
          </w:tcPr>
          <w:p w:rsidR="008D06CF" w:rsidRPr="007158AD" w:rsidRDefault="008D06CF" w:rsidP="00FD6D42">
            <w:pPr>
              <w:rPr>
                <w:rFonts w:eastAsia="Times New Roman"/>
                <w:color w:val="000000"/>
                <w:sz w:val="24"/>
                <w:szCs w:val="24"/>
                <w:lang w:eastAsia="en-GB"/>
              </w:rPr>
            </w:pPr>
            <w:r w:rsidRPr="007158AD">
              <w:rPr>
                <w:rFonts w:eastAsia="Times New Roman"/>
                <w:color w:val="000000"/>
                <w:sz w:val="24"/>
                <w:szCs w:val="24"/>
                <w:lang w:val="en-US" w:eastAsia="en-GB"/>
              </w:rPr>
              <w:t>*</w:t>
            </w:r>
          </w:p>
        </w:tc>
        <w:tc>
          <w:tcPr>
            <w:tcW w:w="322" w:type="dxa"/>
            <w:tcBorders>
              <w:top w:val="nil"/>
              <w:left w:val="nil"/>
              <w:bottom w:val="single" w:sz="4" w:space="0" w:color="auto"/>
              <w:right w:val="single" w:sz="4" w:space="0" w:color="auto"/>
            </w:tcBorders>
            <w:shd w:val="clear" w:color="auto" w:fill="auto"/>
            <w:vAlign w:val="center"/>
            <w:hideMark/>
          </w:tcPr>
          <w:p w:rsidR="008D06CF" w:rsidRPr="007158AD" w:rsidRDefault="008D06CF" w:rsidP="00FD6D42">
            <w:pPr>
              <w:rPr>
                <w:rFonts w:eastAsia="Times New Roman"/>
                <w:color w:val="000000"/>
                <w:sz w:val="24"/>
                <w:szCs w:val="24"/>
                <w:lang w:eastAsia="en-GB"/>
              </w:rPr>
            </w:pPr>
            <w:r w:rsidRPr="007158AD">
              <w:rPr>
                <w:rFonts w:eastAsia="Times New Roman"/>
                <w:color w:val="000000"/>
                <w:sz w:val="24"/>
                <w:szCs w:val="24"/>
                <w:lang w:val="en-US" w:eastAsia="en-GB"/>
              </w:rPr>
              <w:t> </w:t>
            </w:r>
          </w:p>
        </w:tc>
        <w:tc>
          <w:tcPr>
            <w:tcW w:w="458" w:type="dxa"/>
            <w:tcBorders>
              <w:top w:val="nil"/>
              <w:left w:val="nil"/>
              <w:bottom w:val="single" w:sz="4" w:space="0" w:color="auto"/>
              <w:right w:val="single" w:sz="4" w:space="0" w:color="auto"/>
            </w:tcBorders>
            <w:shd w:val="clear" w:color="000000" w:fill="DDDDDD"/>
            <w:vAlign w:val="center"/>
            <w:hideMark/>
          </w:tcPr>
          <w:p w:rsidR="008D06CF" w:rsidRPr="007158AD" w:rsidRDefault="008D06CF" w:rsidP="00FD6D42">
            <w:pPr>
              <w:rPr>
                <w:rFonts w:eastAsia="Times New Roman"/>
                <w:color w:val="000000"/>
                <w:sz w:val="24"/>
                <w:szCs w:val="24"/>
                <w:lang w:eastAsia="en-GB"/>
              </w:rPr>
            </w:pPr>
            <w:r w:rsidRPr="007158AD">
              <w:rPr>
                <w:rFonts w:eastAsia="Times New Roman"/>
                <w:color w:val="000000"/>
                <w:sz w:val="24"/>
                <w:szCs w:val="24"/>
                <w:lang w:val="en-US" w:eastAsia="en-GB"/>
              </w:rPr>
              <w:t>*</w:t>
            </w:r>
          </w:p>
        </w:tc>
        <w:tc>
          <w:tcPr>
            <w:tcW w:w="458" w:type="dxa"/>
            <w:tcBorders>
              <w:top w:val="nil"/>
              <w:left w:val="nil"/>
              <w:bottom w:val="single" w:sz="4" w:space="0" w:color="auto"/>
              <w:right w:val="single" w:sz="4" w:space="0" w:color="auto"/>
            </w:tcBorders>
            <w:shd w:val="clear" w:color="auto" w:fill="auto"/>
            <w:vAlign w:val="center"/>
            <w:hideMark/>
          </w:tcPr>
          <w:p w:rsidR="008D06CF" w:rsidRPr="007158AD" w:rsidRDefault="008D06CF" w:rsidP="00FD6D42">
            <w:pPr>
              <w:rPr>
                <w:rFonts w:eastAsia="Times New Roman"/>
                <w:color w:val="000000"/>
                <w:sz w:val="24"/>
                <w:szCs w:val="24"/>
                <w:lang w:eastAsia="en-GB"/>
              </w:rPr>
            </w:pPr>
            <w:r w:rsidRPr="007158AD">
              <w:rPr>
                <w:rFonts w:eastAsia="Times New Roman"/>
                <w:color w:val="000000"/>
                <w:sz w:val="24"/>
                <w:szCs w:val="24"/>
                <w:lang w:val="en-US" w:eastAsia="en-GB"/>
              </w:rPr>
              <w:t> </w:t>
            </w:r>
          </w:p>
        </w:tc>
      </w:tr>
    </w:tbl>
    <w:p w:rsidR="008D06CF" w:rsidRPr="007158AD" w:rsidRDefault="008D06CF" w:rsidP="008D06CF"/>
    <w:p w:rsidR="00D37D8B" w:rsidRDefault="003E2808" w:rsidP="00657333">
      <w:r>
        <w:t>Looking only at clauses designed to promote better environmental behaviour, the most common clause found is one that provides for data sharing between the parties</w:t>
      </w:r>
      <w:r w:rsidR="00D37D8B">
        <w:t xml:space="preserve"> (found in 12 leases), </w:t>
      </w:r>
      <w:r w:rsidR="00140A80">
        <w:t>followed by</w:t>
      </w:r>
      <w:r w:rsidR="00D37D8B">
        <w:t xml:space="preserve"> </w:t>
      </w:r>
      <w:r w:rsidR="003B7C06">
        <w:t xml:space="preserve">clauses that require environmental considerations to be taken into account in relation to alterations and/or repairs (10 leases), and recognition that service provision can take account of environmental considerations (10 leases). </w:t>
      </w:r>
    </w:p>
    <w:p w:rsidR="003B7C06" w:rsidRPr="004579B8" w:rsidRDefault="004579B8" w:rsidP="00657333">
      <w:pPr>
        <w:rPr>
          <w:i/>
        </w:rPr>
      </w:pPr>
      <w:r>
        <w:rPr>
          <w:i/>
        </w:rPr>
        <w:t xml:space="preserve">4.3 </w:t>
      </w:r>
      <w:r w:rsidR="003B7C06" w:rsidRPr="004579B8">
        <w:rPr>
          <w:i/>
        </w:rPr>
        <w:t>Less Common Green Provisions</w:t>
      </w:r>
      <w:r w:rsidR="00484C48" w:rsidRPr="004579B8">
        <w:rPr>
          <w:i/>
        </w:rPr>
        <w:t xml:space="preserve"> Found</w:t>
      </w:r>
    </w:p>
    <w:p w:rsidR="003B7C06" w:rsidRDefault="003B7C06" w:rsidP="00657333">
      <w:r>
        <w:t xml:space="preserve">Amongst our sample leases were some clauses that were ‘one-offs’ and that could not be easily classified. </w:t>
      </w:r>
    </w:p>
    <w:p w:rsidR="003B7C06" w:rsidRDefault="003B7C06" w:rsidP="00657333">
      <w:r>
        <w:t>Here are some examples.</w:t>
      </w:r>
    </w:p>
    <w:p w:rsidR="003B7C06" w:rsidRDefault="003B7C06" w:rsidP="003B7C06">
      <w:pPr>
        <w:numPr>
          <w:ilvl w:val="0"/>
          <w:numId w:val="6"/>
        </w:numPr>
      </w:pPr>
      <w:r>
        <w:lastRenderedPageBreak/>
        <w:t>A clause that referred to green works carried out and financed by the tenant and which contained an express disregard for the effect of t</w:t>
      </w:r>
      <w:r w:rsidR="00957621">
        <w:t>hese green works on rent review.</w:t>
      </w:r>
    </w:p>
    <w:p w:rsidR="003B7C06" w:rsidRDefault="003B7C06" w:rsidP="003B7C06">
      <w:pPr>
        <w:numPr>
          <w:ilvl w:val="0"/>
          <w:numId w:val="6"/>
        </w:numPr>
      </w:pPr>
      <w:r>
        <w:t>The lease refers to a legally binding MoU, to include an environmental management plan which contains measurable targets, and which will be binding on successors.</w:t>
      </w:r>
    </w:p>
    <w:p w:rsidR="003B7C06" w:rsidRDefault="003B7C06" w:rsidP="003B7C06">
      <w:pPr>
        <w:numPr>
          <w:ilvl w:val="0"/>
          <w:numId w:val="6"/>
        </w:numPr>
      </w:pPr>
      <w:r>
        <w:t>Reference to setting measurable targets</w:t>
      </w:r>
      <w:r w:rsidR="00957621">
        <w:t>.</w:t>
      </w:r>
      <w:r>
        <w:t xml:space="preserve"> </w:t>
      </w:r>
    </w:p>
    <w:p w:rsidR="003B7C06" w:rsidRDefault="003B7C06" w:rsidP="003B7C06">
      <w:pPr>
        <w:numPr>
          <w:ilvl w:val="0"/>
          <w:numId w:val="6"/>
        </w:numPr>
      </w:pPr>
      <w:r>
        <w:t>The landlord is to use reasonable endeavours to minimise the carbon levy (effectively, to reduce the CRC costs: this is in two leases).</w:t>
      </w:r>
    </w:p>
    <w:p w:rsidR="003B7C06" w:rsidRDefault="00F034EC" w:rsidP="003B7C06">
      <w:pPr>
        <w:numPr>
          <w:ilvl w:val="0"/>
          <w:numId w:val="6"/>
        </w:numPr>
      </w:pPr>
      <w:r>
        <w:t>On rent review, not to disregard any works done by the landlord which would reduce utility charges or improve environmental performance.</w:t>
      </w:r>
    </w:p>
    <w:p w:rsidR="0051304D" w:rsidRPr="00ED05DB" w:rsidRDefault="005A47AB" w:rsidP="002431E6">
      <w:r>
        <w:rPr>
          <w:b/>
        </w:rPr>
        <w:t xml:space="preserve">5. </w:t>
      </w:r>
      <w:r w:rsidR="00484C48" w:rsidRPr="00ED05DB">
        <w:rPr>
          <w:b/>
        </w:rPr>
        <w:t>Comparing Findings to the BBP Green Lease Toolkit</w:t>
      </w:r>
      <w:r w:rsidR="00CD0043">
        <w:rPr>
          <w:b/>
        </w:rPr>
        <w:t xml:space="preserve"> (2009)</w:t>
      </w:r>
    </w:p>
    <w:p w:rsidR="00484C48" w:rsidRPr="00ED05DB" w:rsidRDefault="00484C48" w:rsidP="00B76013">
      <w:r w:rsidRPr="00ED05DB">
        <w:t xml:space="preserve">The BBP Green Lease Toolkit was </w:t>
      </w:r>
      <w:r w:rsidR="00B76013" w:rsidRPr="00ED05DB">
        <w:t xml:space="preserve">released in 2009 as an aide to help </w:t>
      </w:r>
      <w:r w:rsidRPr="00ED05DB">
        <w:t>owners and occupiers of commercial buildings to work together to reduce the environmental impact of their buildings.</w:t>
      </w:r>
      <w:r w:rsidR="00B76013" w:rsidRPr="00ED05DB">
        <w:t xml:space="preserve"> In addition to guidance on best practice green lea</w:t>
      </w:r>
      <w:r w:rsidR="00957621">
        <w:t>se principles, and a model form</w:t>
      </w:r>
      <w:r w:rsidR="00B76013" w:rsidRPr="00ED05DB">
        <w:t xml:space="preserve"> </w:t>
      </w:r>
      <w:r w:rsidR="00957621">
        <w:t>MoU</w:t>
      </w:r>
      <w:r w:rsidR="00B76013" w:rsidRPr="00ED05DB">
        <w:t xml:space="preserve"> (particularly geared for use alongside existing leases), it contains a suite of Model Form clauses for inclusion in new and renewal leases. The intention was not to provide a rigid framework but to offer non-contentious light green, and flexible, draft clauses </w:t>
      </w:r>
      <w:r w:rsidR="00D91353" w:rsidRPr="00ED05DB">
        <w:t>available for use</w:t>
      </w:r>
      <w:r w:rsidR="00B76013" w:rsidRPr="00ED05DB">
        <w:t xml:space="preserve"> by parties seeking to implement green lease principles</w:t>
      </w:r>
      <w:r w:rsidR="00957621">
        <w:t>,</w:t>
      </w:r>
      <w:r w:rsidR="00957621" w:rsidRPr="00957621">
        <w:t xml:space="preserve"> </w:t>
      </w:r>
      <w:r w:rsidR="00957621" w:rsidRPr="00ED05DB">
        <w:t>adapted as a</w:t>
      </w:r>
      <w:r w:rsidR="00957621">
        <w:t>ppropriate to the circumstances</w:t>
      </w:r>
      <w:r w:rsidR="00B76013" w:rsidRPr="00ED05DB">
        <w:t xml:space="preserve">. </w:t>
      </w:r>
      <w:r w:rsidR="00D91353" w:rsidRPr="00ED05DB">
        <w:t xml:space="preserve">The idea was that it would provide a kind of ‘minimum kit’ of issues to be addressed and as such provides a useful reference point to see how the clauses found in our sample compare. The following headings are those found in section 4 of the BBP Guide </w:t>
      </w:r>
      <w:r w:rsidR="00CD0043">
        <w:t xml:space="preserve">(2009) </w:t>
      </w:r>
      <w:r w:rsidR="00D91353" w:rsidRPr="00ED05DB">
        <w:t xml:space="preserve">as the issues to be covered by model form green lease clauses. </w:t>
      </w:r>
    </w:p>
    <w:p w:rsidR="00D91353" w:rsidRPr="004579B8" w:rsidRDefault="004579B8" w:rsidP="00B76013">
      <w:pPr>
        <w:rPr>
          <w:i/>
        </w:rPr>
      </w:pPr>
      <w:r>
        <w:rPr>
          <w:i/>
        </w:rPr>
        <w:t xml:space="preserve">5.1 </w:t>
      </w:r>
      <w:r w:rsidR="00D91353" w:rsidRPr="004579B8">
        <w:rPr>
          <w:i/>
        </w:rPr>
        <w:t>Co-operation obligation</w:t>
      </w:r>
    </w:p>
    <w:p w:rsidR="00484C48" w:rsidRDefault="00D91353" w:rsidP="002431E6">
      <w:r>
        <w:t xml:space="preserve">The BBP </w:t>
      </w:r>
      <w:r w:rsidR="00FF71D4">
        <w:t>G</w:t>
      </w:r>
      <w:r w:rsidR="00ED05DB">
        <w:t xml:space="preserve">uide </w:t>
      </w:r>
      <w:r w:rsidR="00FF71D4">
        <w:t xml:space="preserve">(2009) </w:t>
      </w:r>
      <w:r w:rsidR="00ED05DB">
        <w:t xml:space="preserve">encourages the parties to co-operate in the pursuit of sustainability and efficiency goals, and the suggested wording is that ‘in good faith and without legal obligation’ they agree and implement </w:t>
      </w:r>
      <w:proofErr w:type="gramStart"/>
      <w:r w:rsidR="00ED05DB">
        <w:t>an</w:t>
      </w:r>
      <w:proofErr w:type="gramEnd"/>
      <w:r w:rsidR="00ED05DB">
        <w:t xml:space="preserve"> MoU. Only </w:t>
      </w:r>
      <w:r w:rsidR="00957621">
        <w:t>five</w:t>
      </w:r>
      <w:r w:rsidR="00ED05DB">
        <w:t xml:space="preserve"> of our sample leases contained a similar provision</w:t>
      </w:r>
      <w:r w:rsidR="00957621">
        <w:t xml:space="preserve">. As with the BBP clause they usually do not </w:t>
      </w:r>
      <w:r w:rsidR="00ED05DB">
        <w:t xml:space="preserve">create </w:t>
      </w:r>
      <w:r w:rsidR="004579B8">
        <w:t xml:space="preserve">enforceable </w:t>
      </w:r>
      <w:r w:rsidR="00ED05DB">
        <w:t>legal obligations, but the wording found was usually closer in style to the Hammerson’s clause rather than</w:t>
      </w:r>
      <w:r w:rsidR="00957621">
        <w:t>, as with BBP,</w:t>
      </w:r>
      <w:r w:rsidR="00ED05DB">
        <w:t xml:space="preserve"> linking to an MoU. Of course, we have no way of knowing whether the parties had separately agreed to </w:t>
      </w:r>
      <w:proofErr w:type="gramStart"/>
      <w:r w:rsidR="00ED05DB">
        <w:t>an</w:t>
      </w:r>
      <w:proofErr w:type="gramEnd"/>
      <w:r w:rsidR="00ED05DB">
        <w:t xml:space="preserve"> MoU outside the lease. There </w:t>
      </w:r>
      <w:r w:rsidR="005754F7">
        <w:t>i</w:t>
      </w:r>
      <w:r w:rsidR="00ED05DB">
        <w:t>s one exceptional lease</w:t>
      </w:r>
      <w:r w:rsidR="005754F7">
        <w:t xml:space="preserve"> that refers to a detailed and legally binding MoU</w:t>
      </w:r>
      <w:r w:rsidR="006A0BF2">
        <w:t xml:space="preserve"> (Lease R)</w:t>
      </w:r>
      <w:r w:rsidR="005754F7">
        <w:t>.</w:t>
      </w:r>
    </w:p>
    <w:p w:rsidR="005754F7" w:rsidRPr="004579B8" w:rsidRDefault="004579B8" w:rsidP="002431E6">
      <w:pPr>
        <w:rPr>
          <w:i/>
        </w:rPr>
      </w:pPr>
      <w:r>
        <w:rPr>
          <w:i/>
        </w:rPr>
        <w:t xml:space="preserve">5.2 </w:t>
      </w:r>
      <w:r w:rsidR="005754F7" w:rsidRPr="004579B8">
        <w:rPr>
          <w:i/>
        </w:rPr>
        <w:t>Environmental Management Plan (EMP)</w:t>
      </w:r>
    </w:p>
    <w:p w:rsidR="005754F7" w:rsidRPr="00484C48" w:rsidRDefault="00FF71D4" w:rsidP="002431E6">
      <w:r>
        <w:t>The BBP G</w:t>
      </w:r>
      <w:r w:rsidR="005754F7">
        <w:t xml:space="preserve">uide </w:t>
      </w:r>
      <w:r>
        <w:t xml:space="preserve">(2009) </w:t>
      </w:r>
      <w:r w:rsidR="005754F7">
        <w:t xml:space="preserve">refers to the EMP </w:t>
      </w:r>
      <w:r w:rsidR="006A0BF2">
        <w:t xml:space="preserve">being </w:t>
      </w:r>
      <w:r w:rsidR="005754F7">
        <w:t>developed either by the managing agent (or other party responsible for the operation and management of the building) or the Building Management Committee (see next heading). The</w:t>
      </w:r>
      <w:r w:rsidR="006A0BF2">
        <w:t xml:space="preserve"> particular </w:t>
      </w:r>
      <w:r w:rsidR="005754F7">
        <w:t xml:space="preserve">form of wording used was not found in any of our </w:t>
      </w:r>
      <w:r w:rsidR="006A0BF2">
        <w:t>sample leases as the BBP clause</w:t>
      </w:r>
      <w:r w:rsidR="005754F7">
        <w:t xml:space="preserve"> focuses on the role of the managing agent</w:t>
      </w:r>
      <w:r w:rsidR="006A0BF2">
        <w:t xml:space="preserve">, but the commitment to developing some form of EMP was relatively common, being found in </w:t>
      </w:r>
      <w:r w:rsidR="00957621">
        <w:t>eight</w:t>
      </w:r>
      <w:r w:rsidR="006A0BF2">
        <w:t xml:space="preserve"> of our sample leases</w:t>
      </w:r>
      <w:r w:rsidR="005754F7">
        <w:t xml:space="preserve">. </w:t>
      </w:r>
    </w:p>
    <w:p w:rsidR="00187A7B" w:rsidRPr="00B60523" w:rsidRDefault="00B60523" w:rsidP="00864941">
      <w:pPr>
        <w:tabs>
          <w:tab w:val="left" w:pos="2160"/>
        </w:tabs>
        <w:rPr>
          <w:i/>
        </w:rPr>
      </w:pPr>
      <w:r>
        <w:rPr>
          <w:i/>
        </w:rPr>
        <w:t xml:space="preserve">5.3 </w:t>
      </w:r>
      <w:r w:rsidR="006A0BF2" w:rsidRPr="00B60523">
        <w:rPr>
          <w:i/>
        </w:rPr>
        <w:t>Building Management Committee (BMC)</w:t>
      </w:r>
    </w:p>
    <w:p w:rsidR="006A0BF2" w:rsidRDefault="00FF71D4" w:rsidP="006A0BF2">
      <w:pPr>
        <w:tabs>
          <w:tab w:val="left" w:pos="2160"/>
        </w:tabs>
      </w:pPr>
      <w:r>
        <w:t>The BBP G</w:t>
      </w:r>
      <w:r w:rsidR="006A0BF2">
        <w:t xml:space="preserve">uide </w:t>
      </w:r>
      <w:r>
        <w:t xml:space="preserve">(2009) </w:t>
      </w:r>
      <w:r w:rsidR="006A0BF2">
        <w:t xml:space="preserve">contains drafting for establishing a BMC that will consider the adequacy and improvement of data sharing on energy and water use and waste production/recycling; as well as </w:t>
      </w:r>
      <w:r w:rsidR="006A0BF2">
        <w:lastRenderedPageBreak/>
        <w:t xml:space="preserve">agreeing targets and strategies to reduce energy use and water consumption etc. </w:t>
      </w:r>
      <w:r w:rsidR="005302DB">
        <w:t>Only one of</w:t>
      </w:r>
      <w:r w:rsidR="006A0BF2">
        <w:t xml:space="preserve"> our sample leases had a process for setting up a BMC</w:t>
      </w:r>
      <w:r w:rsidR="005302DB">
        <w:t xml:space="preserve"> (Lease R)</w:t>
      </w:r>
      <w:r w:rsidR="006A0BF2">
        <w:t xml:space="preserve">, although, of course, </w:t>
      </w:r>
      <w:r w:rsidR="005302DB">
        <w:t>it may be that</w:t>
      </w:r>
      <w:r w:rsidR="00DF7DCC">
        <w:t xml:space="preserve"> with others</w:t>
      </w:r>
      <w:r w:rsidR="005302DB">
        <w:t xml:space="preserve"> there is a process for regular communications and discussion set up through the EMP, or outside of the formal lease arrangements.  </w:t>
      </w:r>
      <w:r w:rsidR="00DF7DCC">
        <w:t xml:space="preserve">It </w:t>
      </w:r>
      <w:r w:rsidR="005302DB">
        <w:t xml:space="preserve">may be the case that </w:t>
      </w:r>
      <w:r w:rsidR="00DF7DCC">
        <w:t>BMCs are best suited for larger, multi-let buildings: most of ours were multi-let although we do not know the number of other tenants sharing the space, or the size of the buildings.</w:t>
      </w:r>
    </w:p>
    <w:p w:rsidR="00DF7DCC" w:rsidRPr="00B60523" w:rsidRDefault="00B60523" w:rsidP="006A0BF2">
      <w:pPr>
        <w:tabs>
          <w:tab w:val="left" w:pos="2160"/>
        </w:tabs>
        <w:rPr>
          <w:i/>
        </w:rPr>
      </w:pPr>
      <w:r>
        <w:rPr>
          <w:i/>
        </w:rPr>
        <w:t xml:space="preserve">5.4 </w:t>
      </w:r>
      <w:r w:rsidR="00DF7DCC" w:rsidRPr="00B60523">
        <w:rPr>
          <w:i/>
        </w:rPr>
        <w:t>Data sharing and metering</w:t>
      </w:r>
    </w:p>
    <w:p w:rsidR="00DF7DCC" w:rsidRDefault="00DF7DCC" w:rsidP="006A0BF2">
      <w:pPr>
        <w:tabs>
          <w:tab w:val="left" w:pos="2160"/>
        </w:tabs>
      </w:pPr>
      <w:r>
        <w:t>Sharing data is seen as crucial to gree</w:t>
      </w:r>
      <w:r w:rsidR="00FF71D4">
        <w:t>n lease principles and the BBP G</w:t>
      </w:r>
      <w:r>
        <w:t xml:space="preserve">uide </w:t>
      </w:r>
      <w:r w:rsidR="00FF71D4">
        <w:t xml:space="preserve">(2009) </w:t>
      </w:r>
      <w:r>
        <w:t xml:space="preserve">provides for confidential sharing of data (and alternative wording for the </w:t>
      </w:r>
      <w:r w:rsidR="00D931BE">
        <w:t>installation</w:t>
      </w:r>
      <w:r>
        <w:t xml:space="preserve"> of sub-meters).</w:t>
      </w:r>
      <w:r w:rsidR="00D931BE">
        <w:t xml:space="preserve"> We do not know what </w:t>
      </w:r>
      <w:proofErr w:type="gramStart"/>
      <w:r w:rsidR="00D931BE">
        <w:t>proportion of our buildings are</w:t>
      </w:r>
      <w:proofErr w:type="gramEnd"/>
      <w:r w:rsidR="00D931BE">
        <w:t xml:space="preserve"> sub-metered, but given that we sought to focus on quality green buildings we assume that all, or nearly all, are. This would mean that data sharing is technically possible, yet although t</w:t>
      </w:r>
      <w:r>
        <w:t>his was the most frequent cla</w:t>
      </w:r>
      <w:r w:rsidR="00D931BE">
        <w:t xml:space="preserve">use found in our sample leases a majority of our sample leases still </w:t>
      </w:r>
      <w:r w:rsidR="00B60523">
        <w:t xml:space="preserve">did </w:t>
      </w:r>
      <w:r w:rsidR="00D931BE">
        <w:t>not contain an express commitment to share data. Further, not all of the data-sharing provisions were expressed as clearly binding legal obligations. Lease Bb, for example, states: ‘The parties agree to co-operate with each other in providing such information as either party shall reasonably require relating to energy and water usage…</w:t>
      </w:r>
      <w:proofErr w:type="gramStart"/>
      <w:r w:rsidR="00D931BE">
        <w:t>’.</w:t>
      </w:r>
      <w:proofErr w:type="gramEnd"/>
    </w:p>
    <w:p w:rsidR="00AA0BCF" w:rsidRPr="00B60523" w:rsidRDefault="00B60523" w:rsidP="006A0BF2">
      <w:pPr>
        <w:tabs>
          <w:tab w:val="left" w:pos="2160"/>
        </w:tabs>
        <w:rPr>
          <w:i/>
        </w:rPr>
      </w:pPr>
      <w:r>
        <w:rPr>
          <w:i/>
        </w:rPr>
        <w:t xml:space="preserve">5.5 </w:t>
      </w:r>
      <w:r w:rsidR="00AA0BCF" w:rsidRPr="00B60523">
        <w:rPr>
          <w:i/>
        </w:rPr>
        <w:t>Flexibility/Improvements</w:t>
      </w:r>
    </w:p>
    <w:p w:rsidR="00AA0BCF" w:rsidRDefault="00AA0BCF" w:rsidP="006A0BF2">
      <w:pPr>
        <w:tabs>
          <w:tab w:val="left" w:pos="2160"/>
        </w:tabs>
      </w:pPr>
      <w:r>
        <w:t xml:space="preserve">The </w:t>
      </w:r>
      <w:r w:rsidR="00FF71D4">
        <w:t xml:space="preserve">BBP </w:t>
      </w:r>
      <w:r>
        <w:t>Guide</w:t>
      </w:r>
      <w:r w:rsidR="00FF71D4">
        <w:t xml:space="preserve"> (2009)</w:t>
      </w:r>
      <w:r>
        <w:t xml:space="preserve"> rec</w:t>
      </w:r>
      <w:r w:rsidR="00DF3F56">
        <w:t>ommends that the lease allow</w:t>
      </w:r>
      <w:r>
        <w:t xml:space="preserve"> unilateral action to be taken (should the parties fail to reach agreement) so that the parties can implement measures aimed at reducing energy or water use or improving waste management. </w:t>
      </w:r>
      <w:r w:rsidR="00DF3F56">
        <w:t>The draft BBP wording refers to the landlord carrying out works with the tenant’s agreement (but a footnote suggests that this might be deleted, enabling the landlord to take un</w:t>
      </w:r>
      <w:r w:rsidR="00D22A1F">
        <w:t xml:space="preserve">ilateral action) subject to the </w:t>
      </w:r>
      <w:r w:rsidR="00E3479A">
        <w:t xml:space="preserve">finished </w:t>
      </w:r>
      <w:r w:rsidR="00D22A1F">
        <w:t>works</w:t>
      </w:r>
      <w:r w:rsidR="00DF3F56">
        <w:t xml:space="preserve"> not adversely </w:t>
      </w:r>
      <w:r w:rsidR="00D22A1F">
        <w:t xml:space="preserve">impacting </w:t>
      </w:r>
      <w:r w:rsidR="00DF3F56">
        <w:t>t</w:t>
      </w:r>
      <w:r w:rsidR="00E3479A">
        <w:t>he tenant’s use of the property</w:t>
      </w:r>
      <w:r w:rsidR="00DF3F56">
        <w:t>. It also enables the tenan</w:t>
      </w:r>
      <w:r w:rsidR="00D22A1F">
        <w:t xml:space="preserve">t, with the landlord’s consent </w:t>
      </w:r>
      <w:r w:rsidR="00DF3F56">
        <w:t xml:space="preserve">not to be unreasonably </w:t>
      </w:r>
      <w:r w:rsidR="00EF01D1">
        <w:t>withhe</w:t>
      </w:r>
      <w:r w:rsidR="00DF3F56">
        <w:t>ld, to carry out alterations which improve resource efficiency.</w:t>
      </w:r>
      <w:r w:rsidR="00EF01D1">
        <w:t xml:space="preserve"> S</w:t>
      </w:r>
      <w:r w:rsidR="00146D76">
        <w:t>even</w:t>
      </w:r>
      <w:r w:rsidR="00EF01D1">
        <w:t xml:space="preserve"> of our sample leases made some kind of provision along these lines, but there is considerable variation in the wording used. Lease A, for example, uses a form of wording quit</w:t>
      </w:r>
      <w:r w:rsidR="00FF71D4">
        <w:t>e different to that of the BBP G</w:t>
      </w:r>
      <w:r w:rsidR="00EF01D1">
        <w:t>uide</w:t>
      </w:r>
      <w:r w:rsidR="00FF71D4">
        <w:t xml:space="preserve"> (2009)</w:t>
      </w:r>
      <w:r w:rsidR="00EF01D1">
        <w:t>:</w:t>
      </w:r>
    </w:p>
    <w:p w:rsidR="00EF01D1" w:rsidRPr="0016445B" w:rsidRDefault="00EF01D1" w:rsidP="00EF01D1">
      <w:pPr>
        <w:tabs>
          <w:tab w:val="right" w:pos="8280"/>
        </w:tabs>
        <w:kinsoku w:val="0"/>
        <w:overflowPunct w:val="0"/>
        <w:spacing w:before="284" w:line="218" w:lineRule="exact"/>
        <w:ind w:left="1224"/>
        <w:textAlignment w:val="baseline"/>
        <w:rPr>
          <w:rFonts w:ascii="Cambria" w:hAnsi="Cambria" w:cs="Arial"/>
          <w:sz w:val="20"/>
          <w:szCs w:val="20"/>
        </w:rPr>
      </w:pPr>
      <w:r w:rsidRPr="0016445B">
        <w:rPr>
          <w:rFonts w:ascii="Cambria" w:hAnsi="Cambria" w:cs="Arial"/>
          <w:sz w:val="20"/>
          <w:szCs w:val="20"/>
        </w:rPr>
        <w:t>The owner and the occupier shall each co-operate with the other…in a reasonable manner in respect of any energy saving or carbon reduction initiative that the Owner may acting reasonably with regard to the cost thereof choose to implement in relation to the Building and the Occupier may choose to implement (but not so as to breach any of the Occupier's Covenants) in relation to its use of the Property</w:t>
      </w:r>
      <w:r w:rsidR="00146D76" w:rsidRPr="0016445B">
        <w:rPr>
          <w:rFonts w:ascii="Cambria" w:hAnsi="Cambria" w:cs="Arial"/>
          <w:sz w:val="20"/>
          <w:szCs w:val="20"/>
        </w:rPr>
        <w:t xml:space="preserve"> (Lease L has a similarly worded clause)</w:t>
      </w:r>
      <w:r w:rsidR="00E3479A" w:rsidRPr="0016445B">
        <w:rPr>
          <w:rFonts w:ascii="Cambria" w:hAnsi="Cambria" w:cs="Arial"/>
          <w:sz w:val="20"/>
          <w:szCs w:val="20"/>
        </w:rPr>
        <w:t>.</w:t>
      </w:r>
    </w:p>
    <w:p w:rsidR="000E1668" w:rsidRDefault="00EF01D1" w:rsidP="006A0BF2">
      <w:pPr>
        <w:tabs>
          <w:tab w:val="left" w:pos="2160"/>
        </w:tabs>
      </w:pPr>
      <w:r>
        <w:t>The clause in Lease A is contained within the service charge schedule</w:t>
      </w:r>
      <w:r w:rsidR="00146D76">
        <w:t xml:space="preserve">, but the wording is somewhat awkward, especially as it refers to occupier initiatives as well as </w:t>
      </w:r>
      <w:r w:rsidR="00FF71D4">
        <w:t>owner initiatives. The BBP G</w:t>
      </w:r>
      <w:r w:rsidR="00146D76">
        <w:t xml:space="preserve">uide </w:t>
      </w:r>
      <w:r w:rsidR="00FF71D4">
        <w:t xml:space="preserve">(2009) </w:t>
      </w:r>
      <w:r w:rsidR="00146D76">
        <w:t xml:space="preserve">clearly states that it makes no recommendations as to how the cost of installing any equipment or marking other physical changes in order to improve sustainability will be borne, or how any associated savings will be allocated. </w:t>
      </w:r>
      <w:r w:rsidR="00D22A1F">
        <w:t>Not all of the clauses in our sample leases are worded the same way</w:t>
      </w:r>
      <w:r w:rsidR="000E1668">
        <w:t xml:space="preserve">, but several implicitly or expressly enable the landlord to recover the cost through service charges. It would be interesting to monitor how these clauses work in practice, </w:t>
      </w:r>
      <w:r w:rsidR="00D22A1F">
        <w:t xml:space="preserve">both </w:t>
      </w:r>
      <w:r w:rsidR="000E1668">
        <w:t xml:space="preserve">as to the kind of works </w:t>
      </w:r>
      <w:r w:rsidR="00D22A1F">
        <w:t>installed pursuant to them</w:t>
      </w:r>
      <w:r w:rsidR="000E1668">
        <w:t xml:space="preserve"> and as to recovery of costs.</w:t>
      </w:r>
    </w:p>
    <w:p w:rsidR="00897585" w:rsidRDefault="00D96AA3" w:rsidP="006A0BF2">
      <w:pPr>
        <w:tabs>
          <w:tab w:val="left" w:pos="2160"/>
        </w:tabs>
      </w:pPr>
      <w:r>
        <w:lastRenderedPageBreak/>
        <w:t>Lease Bb has</w:t>
      </w:r>
      <w:r w:rsidR="00897585">
        <w:t xml:space="preserve"> an interesting variation on such a green improvement clause. In this lease, there </w:t>
      </w:r>
      <w:r>
        <w:t>i</w:t>
      </w:r>
      <w:r w:rsidR="00897585">
        <w:t xml:space="preserve">s a mechanism whereby </w:t>
      </w:r>
      <w:r>
        <w:t>the landlord is able to replace plant and equipment that is beyond economic repair with more efficient equipment (that is, even if this would constitute an ‘improvement’ rather than ‘repair’), and potentially (the wording is complex and qualified) pass the excess cost on to tenants.</w:t>
      </w:r>
    </w:p>
    <w:p w:rsidR="00056CC0" w:rsidRDefault="000E1668" w:rsidP="00056CC0">
      <w:r>
        <w:t xml:space="preserve">The problem of the ‘split-incentive’ is a notorious obstacle to improving the environmental performance of tenanted commercial space; the landlord has limited financial incentive to install eco-efficient plant and machinery because the cost of servicing the building is borne by its tenants.  </w:t>
      </w:r>
      <w:r w:rsidR="00D22A1F">
        <w:t xml:space="preserve">Outside of the UK there are instances of leases being drafted to permit recovery of </w:t>
      </w:r>
      <w:r w:rsidR="00B60523">
        <w:t xml:space="preserve">environmental upgrade </w:t>
      </w:r>
      <w:r w:rsidR="00D22A1F">
        <w:t>costs associated with capital works directly benefiting the tenants through a special amortisation charge applied to the tenant. The Australian property company, Investa, has such a ‘green improvement’ clause in its precedent lease and since 2009 this has been agreed to in approximat</w:t>
      </w:r>
      <w:r w:rsidR="00FE5378">
        <w:t>ely 50 per cent of negotiations.</w:t>
      </w:r>
      <w:r w:rsidR="00FE5378">
        <w:rPr>
          <w:rStyle w:val="FootnoteReference"/>
        </w:rPr>
        <w:footnoteReference w:id="18"/>
      </w:r>
      <w:r w:rsidR="00FE5378">
        <w:t xml:space="preserve"> </w:t>
      </w:r>
      <w:r w:rsidR="00056CC0">
        <w:t>As part of PlaNYC (an initiative to promote a greener New York City) an energy aligned lease has been developed which similarly enables the building owner to pass through capital expenses set against the predicted savings</w:t>
      </w:r>
      <w:r w:rsidR="00E3479A">
        <w:t xml:space="preserve"> to tenants</w:t>
      </w:r>
      <w:r w:rsidR="00056CC0">
        <w:t>.</w:t>
      </w:r>
      <w:r w:rsidR="00B75633">
        <w:rPr>
          <w:rStyle w:val="FootnoteReference"/>
        </w:rPr>
        <w:footnoteReference w:id="19"/>
      </w:r>
      <w:r w:rsidR="00056CC0">
        <w:t xml:space="preserve"> </w:t>
      </w:r>
      <w:r w:rsidR="00B75633">
        <w:t>The PlaNYC website reports that s</w:t>
      </w:r>
      <w:r w:rsidR="00B75633" w:rsidRPr="00B75633">
        <w:rPr>
          <w:rStyle w:val="Hyperlink"/>
          <w:color w:val="auto"/>
          <w:u w:val="none"/>
        </w:rPr>
        <w:t xml:space="preserve">ince </w:t>
      </w:r>
      <w:r w:rsidR="00056CC0" w:rsidRPr="00B75633">
        <w:rPr>
          <w:rStyle w:val="bodytext"/>
          <w:rFonts w:eastAsia="Times New Roman"/>
        </w:rPr>
        <w:t>J</w:t>
      </w:r>
      <w:r w:rsidR="00B75633">
        <w:rPr>
          <w:rStyle w:val="bodytext"/>
          <w:rFonts w:eastAsia="Times New Roman"/>
        </w:rPr>
        <w:t>une 2012</w:t>
      </w:r>
      <w:r w:rsidR="00056CC0">
        <w:rPr>
          <w:rStyle w:val="bodytext"/>
          <w:rFonts w:eastAsia="Times New Roman"/>
        </w:rPr>
        <w:t xml:space="preserve"> the City of New York has signed 3 leases for over 400,000 square feet using the Energy Aligned Clause. None of our sample leases contained any provisions designed to enable the landlord to amortise capital spent on energy efficiency improvements in this kind of manner.</w:t>
      </w:r>
    </w:p>
    <w:p w:rsidR="00EF01D1" w:rsidRPr="00B60523" w:rsidRDefault="00B60523" w:rsidP="006A0BF2">
      <w:pPr>
        <w:tabs>
          <w:tab w:val="left" w:pos="2160"/>
        </w:tabs>
        <w:rPr>
          <w:i/>
        </w:rPr>
      </w:pPr>
      <w:r>
        <w:rPr>
          <w:i/>
        </w:rPr>
        <w:t xml:space="preserve">5.6 </w:t>
      </w:r>
      <w:r w:rsidR="00056CC0" w:rsidRPr="00B60523">
        <w:rPr>
          <w:i/>
        </w:rPr>
        <w:t>Restrictions on tenant’s alterations and landlord’s works</w:t>
      </w:r>
    </w:p>
    <w:p w:rsidR="000E1668" w:rsidRDefault="00056CC0" w:rsidP="006A0BF2">
      <w:pPr>
        <w:tabs>
          <w:tab w:val="left" w:pos="2160"/>
        </w:tabs>
      </w:pPr>
      <w:r>
        <w:t>Unde</w:t>
      </w:r>
      <w:r w:rsidR="00FF71D4">
        <w:t>r the draft wording in the BBP G</w:t>
      </w:r>
      <w:r>
        <w:t>uide</w:t>
      </w:r>
      <w:r w:rsidR="00FF71D4">
        <w:t xml:space="preserve"> (2009)</w:t>
      </w:r>
      <w:r>
        <w:t xml:space="preserve">, if a tenant’s proposed alterations will adversely affect an EPC </w:t>
      </w:r>
      <w:r w:rsidR="003E4D4F">
        <w:t>rating or energy or water efficiency, the tenant has to provide information to the landlord and to ‘consider [and, where reasonable implement]’ any suggestions the ‘landlord makes to [avoid/minimise] any such adverse effect’. A footnote suggests that parties could go further and require the landlord’s suggestions to be adopted, possibly limited by caveats as to their economic or practical feasibility. Ten of our sample leases had clauses requiring that any altera</w:t>
      </w:r>
      <w:r w:rsidR="00B60523">
        <w:t>tions and/or repairs undertaken</w:t>
      </w:r>
      <w:r w:rsidR="003E4D4F">
        <w:t xml:space="preserve"> by the tenant should take account of the environmental impact, but the wording varied considerably between the clauses.</w:t>
      </w:r>
    </w:p>
    <w:p w:rsidR="00897585" w:rsidRDefault="00897585" w:rsidP="006A0BF2">
      <w:pPr>
        <w:tabs>
          <w:tab w:val="left" w:pos="2160"/>
        </w:tabs>
      </w:pPr>
      <w:r>
        <w:t>In relation to proposed landlord works, the BBP draft provides that the landlord will consider reasonable suggestions made by the tenant to ‘[avoid/minimise] so far as reasonably possible, any adverse impact on an existing EPC [or DEC] rating or the efficiency of the use or water’. Our sample leases did not contain similar wording.</w:t>
      </w:r>
    </w:p>
    <w:p w:rsidR="00AA0BCF" w:rsidRPr="00B60523" w:rsidRDefault="00B60523" w:rsidP="006A0BF2">
      <w:pPr>
        <w:tabs>
          <w:tab w:val="left" w:pos="2160"/>
        </w:tabs>
        <w:rPr>
          <w:i/>
        </w:rPr>
      </w:pPr>
      <w:r>
        <w:rPr>
          <w:i/>
        </w:rPr>
        <w:t xml:space="preserve">5.7 </w:t>
      </w:r>
      <w:r w:rsidR="00D96AA3" w:rsidRPr="00B60523">
        <w:rPr>
          <w:i/>
        </w:rPr>
        <w:t>Dilapidations clause</w:t>
      </w:r>
    </w:p>
    <w:p w:rsidR="00D96AA3" w:rsidRPr="00D96AA3" w:rsidRDefault="00D96AA3" w:rsidP="006A0BF2">
      <w:pPr>
        <w:tabs>
          <w:tab w:val="left" w:pos="2160"/>
        </w:tabs>
      </w:pPr>
      <w:r>
        <w:t>Acknowledging that removal of tenant’s alterations at lease termination can lead to unnecessary waste and inefficiencies, the</w:t>
      </w:r>
      <w:r w:rsidR="00FF71D4">
        <w:t xml:space="preserve"> BBP G</w:t>
      </w:r>
      <w:r w:rsidR="00B60523">
        <w:t xml:space="preserve">uide </w:t>
      </w:r>
      <w:r w:rsidR="00FF71D4">
        <w:t xml:space="preserve">(2009) </w:t>
      </w:r>
      <w:r>
        <w:t>suggest</w:t>
      </w:r>
      <w:r w:rsidR="00B60523">
        <w:t>s a</w:t>
      </w:r>
      <w:r>
        <w:t xml:space="preserve"> clause providing that the tenant </w:t>
      </w:r>
      <w:r w:rsidR="00F20C97">
        <w:t>is not required to remove tenant’s environmental improvements unless this is reasonably required by the landlord having regard to its intended future use/re</w:t>
      </w:r>
      <w:r w:rsidR="00E3479A">
        <w:t>-</w:t>
      </w:r>
      <w:r w:rsidR="00F20C97">
        <w:t xml:space="preserve">letting of the property. Only two of our sample </w:t>
      </w:r>
      <w:r w:rsidR="00F20C97">
        <w:lastRenderedPageBreak/>
        <w:t>had clauses addressing this issue. Lease S had such a clause without the qualification</w:t>
      </w:r>
      <w:r w:rsidR="00B60523">
        <w:t xml:space="preserve"> relating to the landlord’s future intentions</w:t>
      </w:r>
      <w:r w:rsidR="00F20C97">
        <w:t>.</w:t>
      </w:r>
    </w:p>
    <w:p w:rsidR="00AA0BCF" w:rsidRPr="00B60523" w:rsidRDefault="00B60523" w:rsidP="006A0BF2">
      <w:pPr>
        <w:tabs>
          <w:tab w:val="left" w:pos="2160"/>
        </w:tabs>
        <w:rPr>
          <w:i/>
        </w:rPr>
      </w:pPr>
      <w:r>
        <w:rPr>
          <w:i/>
        </w:rPr>
        <w:t xml:space="preserve">5.8 </w:t>
      </w:r>
      <w:r w:rsidR="00F20C97" w:rsidRPr="00B60523">
        <w:rPr>
          <w:i/>
        </w:rPr>
        <w:t>Rent Review</w:t>
      </w:r>
    </w:p>
    <w:p w:rsidR="00F20C97" w:rsidRDefault="00FF71D4" w:rsidP="00F20C97">
      <w:r>
        <w:t>The BBP G</w:t>
      </w:r>
      <w:r w:rsidR="00F20C97">
        <w:t xml:space="preserve">uide </w:t>
      </w:r>
      <w:r>
        <w:t xml:space="preserve">(2009) </w:t>
      </w:r>
      <w:r w:rsidR="00F20C97">
        <w:t>discusses how environmental improvements should be treated on rent review and suggests principles</w:t>
      </w:r>
      <w:r w:rsidR="00E3479A">
        <w:t xml:space="preserve"> for adoption</w:t>
      </w:r>
      <w:r w:rsidR="00F20C97">
        <w:t>. Only two sample leases refer to the relationship between environmental performance and rent review; both clauses are mentioned under the previous heading ‘</w:t>
      </w:r>
      <w:r w:rsidR="00F20C97" w:rsidRPr="00F20C97">
        <w:t>Less Common Green Provisions Found’</w:t>
      </w:r>
      <w:r w:rsidR="00F20C97">
        <w:t>.</w:t>
      </w:r>
    </w:p>
    <w:p w:rsidR="00F20C97" w:rsidRPr="00B60523" w:rsidRDefault="00B60523" w:rsidP="00F20C97">
      <w:pPr>
        <w:rPr>
          <w:i/>
        </w:rPr>
      </w:pPr>
      <w:r>
        <w:rPr>
          <w:i/>
        </w:rPr>
        <w:t xml:space="preserve">5.9 </w:t>
      </w:r>
      <w:r w:rsidR="00F20C97" w:rsidRPr="00B60523">
        <w:rPr>
          <w:i/>
        </w:rPr>
        <w:t>Dispute Resolution</w:t>
      </w:r>
    </w:p>
    <w:p w:rsidR="00F20C97" w:rsidRPr="00F20C97" w:rsidRDefault="00E917BF" w:rsidP="00F20C97">
      <w:r>
        <w:t xml:space="preserve">The BBP Guide </w:t>
      </w:r>
      <w:r w:rsidR="00FF71D4">
        <w:t xml:space="preserve">(2009) </w:t>
      </w:r>
      <w:r>
        <w:t>notes that the parties might wish to consider the interaction between usual remedies for breach of a lease and any green clauses. None of our sample leases do so.</w:t>
      </w:r>
    </w:p>
    <w:p w:rsidR="00F20C97" w:rsidRPr="00B60523" w:rsidRDefault="00B60523" w:rsidP="006A0BF2">
      <w:pPr>
        <w:tabs>
          <w:tab w:val="left" w:pos="2160"/>
        </w:tabs>
        <w:rPr>
          <w:i/>
        </w:rPr>
      </w:pPr>
      <w:r>
        <w:rPr>
          <w:i/>
        </w:rPr>
        <w:t xml:space="preserve">5.10 </w:t>
      </w:r>
      <w:r w:rsidR="00095865" w:rsidRPr="00B60523">
        <w:rPr>
          <w:i/>
        </w:rPr>
        <w:t>Omissions</w:t>
      </w:r>
    </w:p>
    <w:p w:rsidR="00095865" w:rsidRDefault="00095865" w:rsidP="006A0BF2">
      <w:pPr>
        <w:tabs>
          <w:tab w:val="left" w:pos="2160"/>
        </w:tabs>
      </w:pPr>
      <w:r>
        <w:t>A clause commonly found in our sample leases</w:t>
      </w:r>
      <w:r w:rsidR="007032DD">
        <w:t xml:space="preserve"> (10 leases)</w:t>
      </w:r>
      <w:r>
        <w:t>, but not within the BBP model form green lease clauses, was one which enables (or requires) the landlord to take account of environmental issues in service provision. An example is found in Lease Bb:</w:t>
      </w:r>
    </w:p>
    <w:p w:rsidR="00DD7CA8" w:rsidRPr="0016445B" w:rsidRDefault="007032DD" w:rsidP="007032DD">
      <w:pPr>
        <w:tabs>
          <w:tab w:val="left" w:pos="2160"/>
        </w:tabs>
        <w:ind w:left="720"/>
        <w:rPr>
          <w:rFonts w:ascii="Cambria" w:hAnsi="Cambria"/>
          <w:sz w:val="20"/>
          <w:szCs w:val="20"/>
        </w:rPr>
      </w:pPr>
      <w:r w:rsidRPr="0016445B">
        <w:rPr>
          <w:rFonts w:ascii="Cambria" w:hAnsi="Cambria"/>
          <w:sz w:val="20"/>
          <w:szCs w:val="20"/>
        </w:rPr>
        <w:t>In providing the services and carrying out the works….the Landlord shall have regard to environmental good practice and energy and water efficiency…</w:t>
      </w:r>
    </w:p>
    <w:p w:rsidR="00DD7CA8" w:rsidRPr="007032DD" w:rsidRDefault="005A47AB" w:rsidP="00DD7CA8">
      <w:pPr>
        <w:rPr>
          <w:b/>
        </w:rPr>
      </w:pPr>
      <w:r>
        <w:rPr>
          <w:b/>
        </w:rPr>
        <w:t xml:space="preserve">6. </w:t>
      </w:r>
      <w:r w:rsidR="00DD7CA8" w:rsidRPr="007032DD">
        <w:rPr>
          <w:b/>
        </w:rPr>
        <w:t>Conclusion</w:t>
      </w:r>
    </w:p>
    <w:p w:rsidR="008173F3" w:rsidRDefault="00ED20DB" w:rsidP="00ED20DB">
      <w:pPr>
        <w:widowControl w:val="0"/>
        <w:autoSpaceDE w:val="0"/>
        <w:autoSpaceDN w:val="0"/>
        <w:adjustRightInd w:val="0"/>
        <w:spacing w:after="240"/>
        <w:rPr>
          <w:rFonts w:cs="Times"/>
          <w:lang w:val="en-US"/>
        </w:rPr>
      </w:pPr>
      <w:r>
        <w:rPr>
          <w:rFonts w:cs="Times"/>
          <w:lang w:val="en-US"/>
        </w:rPr>
        <w:t xml:space="preserve">The challenge of developing leases to facilitate improved environmental performance of commercial properties is an international one. There are occasional news reports of green leases being signed in other European countries (particularly France and Germany), in the USA and Canada, in Australia and in South Africa. There is, however, no international database that contains illustrations of green leases clauses that are used. </w:t>
      </w:r>
    </w:p>
    <w:p w:rsidR="001652F4" w:rsidRDefault="00ED20DB" w:rsidP="008173F3">
      <w:pPr>
        <w:widowControl w:val="0"/>
        <w:autoSpaceDE w:val="0"/>
        <w:autoSpaceDN w:val="0"/>
        <w:adjustRightInd w:val="0"/>
        <w:spacing w:after="240"/>
        <w:rPr>
          <w:rFonts w:cs="Times"/>
          <w:lang w:val="en-US"/>
        </w:rPr>
      </w:pPr>
      <w:r>
        <w:rPr>
          <w:rFonts w:cs="Times"/>
          <w:lang w:val="en-US"/>
        </w:rPr>
        <w:t xml:space="preserve">This study has, however, developed a methodology that could be used to track the use of green leasing internationally. </w:t>
      </w:r>
      <w:r w:rsidR="008173F3">
        <w:rPr>
          <w:rFonts w:cs="Times"/>
          <w:lang w:val="en-US"/>
        </w:rPr>
        <w:t xml:space="preserve"> It is, however, very labour intensive. There is no easy way of obtaining copies of agreed leases and trawling through them for evidence of green provisions. As the method does not rely on the disclosure of lease contents by the parties it would be possible, with a large enough sample group, to make claims that are statistically relevant. </w:t>
      </w:r>
      <w:r w:rsidR="003B66AB">
        <w:rPr>
          <w:rFonts w:cs="Times"/>
          <w:lang w:val="en-US"/>
        </w:rPr>
        <w:t>Rolled out internationally, t</w:t>
      </w:r>
      <w:r w:rsidR="008173F3">
        <w:rPr>
          <w:rFonts w:cs="Times"/>
          <w:lang w:val="en-US"/>
        </w:rPr>
        <w:t xml:space="preserve">he details of how this </w:t>
      </w:r>
      <w:r w:rsidR="003B66AB">
        <w:rPr>
          <w:rFonts w:cs="Times"/>
          <w:lang w:val="en-US"/>
        </w:rPr>
        <w:t xml:space="preserve">can be </w:t>
      </w:r>
      <w:r w:rsidR="008173F3">
        <w:rPr>
          <w:rFonts w:cs="Times"/>
          <w:lang w:val="en-US"/>
        </w:rPr>
        <w:t xml:space="preserve">done will vary according to different national means of recording land titles.  There will </w:t>
      </w:r>
      <w:r w:rsidR="003B66AB">
        <w:rPr>
          <w:rFonts w:cs="Times"/>
          <w:lang w:val="en-US"/>
        </w:rPr>
        <w:t xml:space="preserve">always </w:t>
      </w:r>
      <w:r w:rsidR="008173F3">
        <w:rPr>
          <w:rFonts w:cs="Times"/>
          <w:lang w:val="en-US"/>
        </w:rPr>
        <w:t xml:space="preserve">remain some kind of selection bias; in England and Wales this is because of the exclusion of short leases from the land register. </w:t>
      </w:r>
    </w:p>
    <w:p w:rsidR="003B66AB" w:rsidRDefault="003B66AB" w:rsidP="003B66AB">
      <w:r>
        <w:rPr>
          <w:rFonts w:cs="Times"/>
          <w:lang w:val="en-US"/>
        </w:rPr>
        <w:t>Our</w:t>
      </w:r>
      <w:r>
        <w:t xml:space="preserve"> sample leases show that green lease principles have been used in commercial leases entered into in England and Wales during the years 2008-2013. The sample is not large enough, nor representative enough, to suggest any trends. The most frequently used green clauses in our sample are a commitment to data sharing, and to take account of environmental impact in both tenant alterations/repair clauses and in servicing commercial property. Almost a third of leases have a process in place for adopting an environmental management plan. A number of the ideas within the BBP Green Lease Toolkit </w:t>
      </w:r>
      <w:r w:rsidR="00CD0043">
        <w:t xml:space="preserve">(2009) </w:t>
      </w:r>
      <w:r>
        <w:t>are reflected in the clauses seen, and it appears also that the wording of the Hammerson sustainability clause has been influential.</w:t>
      </w:r>
    </w:p>
    <w:p w:rsidR="008173F3" w:rsidRDefault="007553B5" w:rsidP="008173F3">
      <w:pPr>
        <w:widowControl w:val="0"/>
        <w:autoSpaceDE w:val="0"/>
        <w:autoSpaceDN w:val="0"/>
        <w:adjustRightInd w:val="0"/>
        <w:spacing w:after="240"/>
      </w:pPr>
      <w:r>
        <w:lastRenderedPageBreak/>
        <w:t xml:space="preserve">The flip side of our findings is that </w:t>
      </w:r>
      <w:r w:rsidR="008173F3" w:rsidRPr="007A2449">
        <w:t xml:space="preserve">long term leases </w:t>
      </w:r>
      <w:r w:rsidR="008173F3">
        <w:t xml:space="preserve">are still </w:t>
      </w:r>
      <w:r w:rsidR="008173F3" w:rsidRPr="007A2449">
        <w:t xml:space="preserve">being entered into for green </w:t>
      </w:r>
      <w:r w:rsidR="008173F3" w:rsidRPr="00E3479A">
        <w:t>buildings which pay no attention to environmental issues</w:t>
      </w:r>
      <w:r w:rsidRPr="007553B5">
        <w:rPr>
          <w:rFonts w:cs="Times"/>
          <w:lang w:val="en-US"/>
        </w:rPr>
        <w:t xml:space="preserve"> </w:t>
      </w:r>
      <w:r>
        <w:rPr>
          <w:rFonts w:cs="Times"/>
          <w:lang w:val="en-US"/>
        </w:rPr>
        <w:t>Although</w:t>
      </w:r>
      <w:r w:rsidRPr="00E3479A">
        <w:t xml:space="preserve"> the limited scope of this study means that we can only speculate, there is unlikely to be significant penetration of green lease principles outside green buildings. </w:t>
      </w:r>
      <w:r>
        <w:t xml:space="preserve">It is also much less likely that small landlords will </w:t>
      </w:r>
      <w:r w:rsidRPr="00103024">
        <w:t>promote green lease principles</w:t>
      </w:r>
      <w:r>
        <w:t>.</w:t>
      </w:r>
      <w:r>
        <w:rPr>
          <w:rStyle w:val="FootnoteReference"/>
        </w:rPr>
        <w:footnoteReference w:id="20"/>
      </w:r>
      <w:r w:rsidR="003B66AB">
        <w:t xml:space="preserve"> </w:t>
      </w:r>
      <w:r w:rsidR="004A7F39" w:rsidRPr="00103024">
        <w:rPr>
          <w:rFonts w:cs="Times"/>
          <w:lang w:val="en-US"/>
        </w:rPr>
        <w:t xml:space="preserve">Carbon emissions from the UK’s non-domestic buildings are responsible for 18% of the UK’s total. These emissions need to reduce by at least 80% by 2050 </w:t>
      </w:r>
      <w:r w:rsidR="004A7F39">
        <w:rPr>
          <w:rFonts w:cs="Times"/>
          <w:lang w:val="en-US"/>
        </w:rPr>
        <w:t xml:space="preserve">in order </w:t>
      </w:r>
      <w:r w:rsidR="004A7F39" w:rsidRPr="00103024">
        <w:rPr>
          <w:rFonts w:cs="Times"/>
          <w:lang w:val="en-US"/>
        </w:rPr>
        <w:t>to assist UK’s carbon reduction targets</w:t>
      </w:r>
      <w:r w:rsidR="004A7F39">
        <w:rPr>
          <w:rFonts w:cs="Times"/>
          <w:lang w:val="en-US"/>
        </w:rPr>
        <w:t>.</w:t>
      </w:r>
      <w:r w:rsidR="004A7F39">
        <w:rPr>
          <w:rStyle w:val="FootnoteReference"/>
          <w:rFonts w:cs="Times"/>
          <w:lang w:val="en-US"/>
        </w:rPr>
        <w:footnoteReference w:id="21"/>
      </w:r>
      <w:r w:rsidR="004A7F39">
        <w:rPr>
          <w:rFonts w:cs="Times"/>
          <w:lang w:val="en-US"/>
        </w:rPr>
        <w:t xml:space="preserve"> </w:t>
      </w:r>
      <w:r w:rsidR="003B66AB">
        <w:rPr>
          <w:rFonts w:cs="Times"/>
          <w:lang w:val="en-US"/>
        </w:rPr>
        <w:t xml:space="preserve">The </w:t>
      </w:r>
      <w:r w:rsidR="003B66AB" w:rsidRPr="00103024">
        <w:rPr>
          <w:rFonts w:cs="Times"/>
          <w:lang w:val="en-US"/>
        </w:rPr>
        <w:t>EU Energy Efficiency Plan acknowledges that there is a large untapped energy saving potential with exi</w:t>
      </w:r>
      <w:r w:rsidR="003B66AB">
        <w:rPr>
          <w:rFonts w:cs="Times"/>
          <w:lang w:val="en-US"/>
        </w:rPr>
        <w:t>sting buildings.</w:t>
      </w:r>
      <w:r w:rsidR="004A7F39">
        <w:rPr>
          <w:rStyle w:val="FootnoteReference"/>
          <w:rFonts w:cs="Times"/>
          <w:lang w:val="en-US"/>
        </w:rPr>
        <w:footnoteReference w:id="22"/>
      </w:r>
      <w:r w:rsidR="003B66AB">
        <w:rPr>
          <w:rFonts w:cs="Times"/>
          <w:lang w:val="en-US"/>
        </w:rPr>
        <w:t xml:space="preserve"> Lease terms must support initiatives that facilitate improved environmental performance if this potential is to be realised. Progress is being made on a voluntary basis, but it is slow and piecemeal. </w:t>
      </w:r>
      <w:r w:rsidR="008173F3">
        <w:rPr>
          <w:rFonts w:cs="Times"/>
          <w:lang w:val="en-US"/>
        </w:rPr>
        <w:t xml:space="preserve">Much good work is being done through landlord-tenant engagement outside of the formal leasehold documentation and which is not visible from the public record, but this does need to be underpinned by the contractual relationships.  </w:t>
      </w:r>
      <w:r w:rsidR="008173F3">
        <w:t>It</w:t>
      </w:r>
      <w:r w:rsidR="008173F3" w:rsidRPr="00103024">
        <w:t xml:space="preserve"> is a </w:t>
      </w:r>
      <w:r w:rsidR="008173F3">
        <w:t xml:space="preserve">serious </w:t>
      </w:r>
      <w:r w:rsidR="008173F3" w:rsidRPr="00103024">
        <w:t>concern</w:t>
      </w:r>
      <w:r w:rsidR="008173F3">
        <w:t xml:space="preserve"> that green leases are not being more widely used, and are far from being the norm</w:t>
      </w:r>
      <w:r w:rsidR="008173F3" w:rsidRPr="00103024">
        <w:t xml:space="preserve">. </w:t>
      </w:r>
      <w:r w:rsidR="003B66AB">
        <w:rPr>
          <w:rFonts w:cs="Times"/>
          <w:lang w:val="en-US"/>
        </w:rPr>
        <w:t>It is important that market leaders demonstrate strong commitment to move the green lease agenda forward. It is hoped that the findings of t</w:t>
      </w:r>
      <w:r>
        <w:rPr>
          <w:rFonts w:cs="Times"/>
          <w:lang w:val="en-US"/>
        </w:rPr>
        <w:t xml:space="preserve">his study </w:t>
      </w:r>
      <w:r w:rsidR="003B66AB">
        <w:rPr>
          <w:rFonts w:cs="Times"/>
          <w:lang w:val="en-US"/>
        </w:rPr>
        <w:t>- t</w:t>
      </w:r>
      <w:r>
        <w:rPr>
          <w:rFonts w:cs="Times"/>
          <w:lang w:val="en-US"/>
        </w:rPr>
        <w:t>hat green clauses are not simply idealistic models</w:t>
      </w:r>
      <w:r w:rsidR="003B66AB">
        <w:rPr>
          <w:rFonts w:cs="Times"/>
          <w:lang w:val="en-US"/>
        </w:rPr>
        <w:t xml:space="preserve"> but are being used in practice – will help to build the momentum towards wider adoption of green leases.</w:t>
      </w:r>
    </w:p>
    <w:p w:rsidR="007553B5" w:rsidRDefault="007553B5" w:rsidP="008173F3">
      <w:pPr>
        <w:widowControl w:val="0"/>
        <w:autoSpaceDE w:val="0"/>
        <w:autoSpaceDN w:val="0"/>
        <w:adjustRightInd w:val="0"/>
        <w:spacing w:after="240"/>
        <w:rPr>
          <w:rFonts w:cs="Times"/>
          <w:lang w:val="en-US"/>
        </w:rPr>
      </w:pPr>
    </w:p>
    <w:p w:rsidR="00ED20DB" w:rsidRDefault="00ED20DB">
      <w:pPr>
        <w:rPr>
          <w:sz w:val="20"/>
          <w:szCs w:val="20"/>
        </w:rPr>
      </w:pPr>
    </w:p>
    <w:sectPr w:rsidR="00ED20DB" w:rsidSect="00907A6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1F70" w:rsidRDefault="003D1F70" w:rsidP="00187A7B">
      <w:pPr>
        <w:spacing w:after="0" w:line="240" w:lineRule="auto"/>
      </w:pPr>
      <w:r>
        <w:separator/>
      </w:r>
    </w:p>
  </w:endnote>
  <w:endnote w:type="continuationSeparator" w:id="0">
    <w:p w:rsidR="003D1F70" w:rsidRDefault="003D1F70" w:rsidP="00187A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1F70" w:rsidRDefault="003D1F70" w:rsidP="00187A7B">
      <w:pPr>
        <w:spacing w:after="0" w:line="240" w:lineRule="auto"/>
      </w:pPr>
      <w:r>
        <w:separator/>
      </w:r>
    </w:p>
  </w:footnote>
  <w:footnote w:type="continuationSeparator" w:id="0">
    <w:p w:rsidR="003D1F70" w:rsidRDefault="003D1F70" w:rsidP="00187A7B">
      <w:pPr>
        <w:spacing w:after="0" w:line="240" w:lineRule="auto"/>
      </w:pPr>
      <w:r>
        <w:continuationSeparator/>
      </w:r>
    </w:p>
  </w:footnote>
  <w:footnote w:id="1">
    <w:p w:rsidR="00CD0043" w:rsidRPr="003D1F70" w:rsidRDefault="00CD0043" w:rsidP="00D861CE">
      <w:pPr>
        <w:widowControl w:val="0"/>
        <w:autoSpaceDE w:val="0"/>
        <w:autoSpaceDN w:val="0"/>
        <w:adjustRightInd w:val="0"/>
        <w:spacing w:after="0" w:line="240" w:lineRule="auto"/>
        <w:rPr>
          <w:sz w:val="20"/>
          <w:szCs w:val="20"/>
        </w:rPr>
      </w:pPr>
      <w:r w:rsidRPr="00D861CE">
        <w:rPr>
          <w:rStyle w:val="FootnoteReference"/>
          <w:sz w:val="20"/>
          <w:szCs w:val="20"/>
        </w:rPr>
        <w:footnoteRef/>
      </w:r>
      <w:r w:rsidRPr="00D861CE">
        <w:rPr>
          <w:sz w:val="20"/>
          <w:szCs w:val="20"/>
        </w:rPr>
        <w:t xml:space="preserve"> </w:t>
      </w:r>
      <w:r>
        <w:rPr>
          <w:sz w:val="20"/>
          <w:szCs w:val="20"/>
        </w:rPr>
        <w:t xml:space="preserve">The Toolkit was first introduced in 2009. The Toolkit was revised in 2013 and this latest version is available on line at </w:t>
      </w:r>
      <w:r w:rsidRPr="00D861CE">
        <w:rPr>
          <w:sz w:val="20"/>
          <w:szCs w:val="20"/>
        </w:rPr>
        <w:t>available at &lt;</w:t>
      </w:r>
      <w:hyperlink r:id="rId1" w:history="1">
        <w:r w:rsidRPr="00D861CE">
          <w:rPr>
            <w:rStyle w:val="Hyperlink"/>
            <w:sz w:val="20"/>
            <w:szCs w:val="20"/>
          </w:rPr>
          <w:t>www.betterbuildingspartnership.co.uk/working-groups/green-leases/green-lease-toolkit/</w:t>
        </w:r>
      </w:hyperlink>
      <w:r w:rsidRPr="00D861CE">
        <w:rPr>
          <w:sz w:val="20"/>
          <w:szCs w:val="20"/>
        </w:rPr>
        <w:t xml:space="preserve">&gt; accessed </w:t>
      </w:r>
      <w:r>
        <w:rPr>
          <w:sz w:val="20"/>
          <w:szCs w:val="20"/>
        </w:rPr>
        <w:t>12 September</w:t>
      </w:r>
      <w:r w:rsidRPr="00D861CE">
        <w:rPr>
          <w:sz w:val="20"/>
          <w:szCs w:val="20"/>
        </w:rPr>
        <w:t xml:space="preserve"> 2013</w:t>
      </w:r>
      <w:r>
        <w:rPr>
          <w:sz w:val="20"/>
          <w:szCs w:val="20"/>
        </w:rPr>
        <w:t>. The 2009 version is used as the comparator in this article as it is the 2009 version that was current at the time most sample leases were entered (some sample leases pre-date the 2009 version).</w:t>
      </w:r>
      <w:r w:rsidR="0049773C">
        <w:rPr>
          <w:sz w:val="20"/>
          <w:szCs w:val="20"/>
        </w:rPr>
        <w:t xml:space="preserve"> The 2009 version is available at &lt;</w:t>
      </w:r>
      <w:r w:rsidR="0049773C" w:rsidRPr="0049773C">
        <w:rPr>
          <w:rFonts w:ascii="Times New Roman" w:hAnsi="Times New Roman"/>
          <w:sz w:val="24"/>
          <w:szCs w:val="24"/>
          <w:lang w:val="en-US"/>
        </w:rPr>
        <w:t xml:space="preserve"> </w:t>
      </w:r>
      <w:hyperlink r:id="rId2" w:history="1">
        <w:r w:rsidR="0049773C" w:rsidRPr="003D1F70">
          <w:rPr>
            <w:color w:val="0500FF"/>
            <w:sz w:val="20"/>
            <w:szCs w:val="20"/>
            <w:u w:val="single" w:color="0500FF"/>
            <w:lang w:val="en-US"/>
          </w:rPr>
          <w:t>http://www.betterbuildingspartnership.co.uk/download/bbp-green-lease-toolkit-1.pdf</w:t>
        </w:r>
      </w:hyperlink>
      <w:r w:rsidR="0049773C" w:rsidRPr="003D1F70">
        <w:rPr>
          <w:sz w:val="20"/>
          <w:szCs w:val="20"/>
          <w:lang w:val="en-US"/>
        </w:rPr>
        <w:t>&gt; accessed 12 September 2013.</w:t>
      </w:r>
    </w:p>
  </w:footnote>
  <w:footnote w:id="2">
    <w:p w:rsidR="00CD0043" w:rsidRPr="007A532E" w:rsidRDefault="00CD0043">
      <w:pPr>
        <w:pStyle w:val="FootnoteText"/>
        <w:rPr>
          <w:lang w:val="en-US"/>
        </w:rPr>
      </w:pPr>
      <w:r>
        <w:rPr>
          <w:rStyle w:val="FootnoteReference"/>
        </w:rPr>
        <w:footnoteRef/>
      </w:r>
      <w:r>
        <w:t xml:space="preserve"> </w:t>
      </w:r>
      <w:r>
        <w:rPr>
          <w:lang w:val="en-US"/>
        </w:rPr>
        <w:t>See &lt;</w:t>
      </w:r>
      <w:r w:rsidRPr="007A532E">
        <w:rPr>
          <w:lang w:val="en-US"/>
        </w:rPr>
        <w:t>www.hammerson.com/about/responsibility/sustainability/</w:t>
      </w:r>
      <w:proofErr w:type="gramStart"/>
      <w:r>
        <w:rPr>
          <w:lang w:val="en-US"/>
        </w:rPr>
        <w:t>&gt;  accessed</w:t>
      </w:r>
      <w:proofErr w:type="gramEnd"/>
      <w:r>
        <w:rPr>
          <w:lang w:val="en-US"/>
        </w:rPr>
        <w:t xml:space="preserve"> 22 July 2013; &lt;</w:t>
      </w:r>
      <w:r w:rsidRPr="007A532E">
        <w:rPr>
          <w:lang w:val="en-US"/>
        </w:rPr>
        <w:t>www.legalandgeneralgroup.com/media-centre/press-releases/2011/group-news-release-986.html</w:t>
      </w:r>
      <w:r>
        <w:rPr>
          <w:lang w:val="en-US"/>
        </w:rPr>
        <w:t>&gt;  accessed 22 July 2013.</w:t>
      </w:r>
    </w:p>
  </w:footnote>
  <w:footnote w:id="3">
    <w:p w:rsidR="00CD0043" w:rsidRPr="007A532E" w:rsidRDefault="00CD0043">
      <w:pPr>
        <w:pStyle w:val="FootnoteText"/>
        <w:rPr>
          <w:lang w:val="en-US"/>
        </w:rPr>
      </w:pPr>
      <w:r>
        <w:rPr>
          <w:rStyle w:val="FootnoteReference"/>
        </w:rPr>
        <w:footnoteRef/>
      </w:r>
      <w:r>
        <w:t xml:space="preserve"> </w:t>
      </w:r>
      <w:r>
        <w:rPr>
          <w:lang w:val="en-US"/>
        </w:rPr>
        <w:t>See &lt;</w:t>
      </w:r>
      <w:r w:rsidRPr="007A532E">
        <w:rPr>
          <w:lang w:val="en-US"/>
        </w:rPr>
        <w:t>corporate.marksandspencer.com/page.aspx?pointerid=8beddfecd4c24a04ac2d41728eb3dcd4</w:t>
      </w:r>
      <w:r>
        <w:rPr>
          <w:lang w:val="en-US"/>
        </w:rPr>
        <w:t>&gt; accessed 22 July 2013</w:t>
      </w:r>
    </w:p>
  </w:footnote>
  <w:footnote w:id="4">
    <w:p w:rsidR="00CD0043" w:rsidRPr="00D861CE" w:rsidRDefault="00CD0043" w:rsidP="00D861CE">
      <w:pPr>
        <w:widowControl w:val="0"/>
        <w:autoSpaceDE w:val="0"/>
        <w:autoSpaceDN w:val="0"/>
        <w:adjustRightInd w:val="0"/>
        <w:spacing w:after="0" w:line="240" w:lineRule="auto"/>
        <w:rPr>
          <w:rFonts w:cs="Times"/>
          <w:b/>
          <w:sz w:val="20"/>
          <w:szCs w:val="20"/>
          <w:lang w:val="en-US"/>
        </w:rPr>
      </w:pPr>
      <w:r w:rsidRPr="00D861CE">
        <w:rPr>
          <w:rStyle w:val="FootnoteReference"/>
          <w:sz w:val="20"/>
          <w:szCs w:val="20"/>
        </w:rPr>
        <w:footnoteRef/>
      </w:r>
      <w:r w:rsidRPr="00D861CE">
        <w:rPr>
          <w:sz w:val="20"/>
          <w:szCs w:val="20"/>
        </w:rPr>
        <w:t xml:space="preserve"> Roundtable, ‘Green Leases: a war of attrition’ (2010) 1023 Estates</w:t>
      </w:r>
      <w:r w:rsidRPr="00D861CE">
        <w:rPr>
          <w:i/>
          <w:sz w:val="20"/>
          <w:szCs w:val="20"/>
        </w:rPr>
        <w:t xml:space="preserve"> </w:t>
      </w:r>
      <w:r w:rsidRPr="00D861CE">
        <w:rPr>
          <w:sz w:val="20"/>
          <w:szCs w:val="20"/>
        </w:rPr>
        <w:t xml:space="preserve">Gazette 102; Taylor Wessing (2010), </w:t>
      </w:r>
      <w:r w:rsidRPr="00D861CE">
        <w:rPr>
          <w:i/>
          <w:sz w:val="20"/>
          <w:szCs w:val="20"/>
        </w:rPr>
        <w:t>Hitting the Green Wall... and beyond</w:t>
      </w:r>
      <w:r w:rsidRPr="00D861CE">
        <w:rPr>
          <w:sz w:val="20"/>
          <w:szCs w:val="20"/>
        </w:rPr>
        <w:t xml:space="preserve"> available at &lt;</w:t>
      </w:r>
      <w:hyperlink r:id="rId3" w:history="1">
        <w:r w:rsidRPr="00D861CE">
          <w:rPr>
            <w:rStyle w:val="Hyperlink"/>
            <w:sz w:val="20"/>
            <w:szCs w:val="20"/>
          </w:rPr>
          <w:t>www.taylorwessing.com/hittingthegreenwall/</w:t>
        </w:r>
      </w:hyperlink>
      <w:r w:rsidRPr="00D861CE">
        <w:rPr>
          <w:sz w:val="20"/>
          <w:szCs w:val="20"/>
        </w:rPr>
        <w:t xml:space="preserve"> accessed 18 July 2013&gt;; Rachel Orton, ‘</w:t>
      </w:r>
      <w:r w:rsidRPr="00D861CE">
        <w:rPr>
          <w:bCs/>
          <w:kern w:val="36"/>
          <w:sz w:val="20"/>
          <w:szCs w:val="20"/>
        </w:rPr>
        <w:t>Did the economy kill the green lease?’</w:t>
      </w:r>
      <w:r w:rsidRPr="00D861CE">
        <w:rPr>
          <w:bCs/>
          <w:i/>
          <w:kern w:val="36"/>
          <w:sz w:val="20"/>
          <w:szCs w:val="20"/>
        </w:rPr>
        <w:t xml:space="preserve"> </w:t>
      </w:r>
      <w:r w:rsidRPr="00D861CE">
        <w:rPr>
          <w:sz w:val="20"/>
          <w:szCs w:val="20"/>
        </w:rPr>
        <w:t xml:space="preserve">20 Jul 2012 </w:t>
      </w:r>
      <w:r w:rsidRPr="00D861CE">
        <w:rPr>
          <w:rStyle w:val="Emphasis"/>
          <w:i w:val="0"/>
          <w:sz w:val="20"/>
          <w:szCs w:val="20"/>
        </w:rPr>
        <w:t>Legalweek</w:t>
      </w:r>
      <w:r w:rsidRPr="00D861CE">
        <w:rPr>
          <w:sz w:val="20"/>
          <w:szCs w:val="20"/>
        </w:rPr>
        <w:t xml:space="preserve"> available at &lt;</w:t>
      </w:r>
      <w:hyperlink r:id="rId4" w:history="1">
        <w:r w:rsidRPr="00D861CE">
          <w:rPr>
            <w:rStyle w:val="Hyperlink"/>
            <w:sz w:val="20"/>
            <w:szCs w:val="20"/>
          </w:rPr>
          <w:t>www.legalweek.com</w:t>
        </w:r>
      </w:hyperlink>
      <w:r w:rsidRPr="00D861CE">
        <w:rPr>
          <w:sz w:val="20"/>
          <w:szCs w:val="20"/>
        </w:rPr>
        <w:t xml:space="preserve">&gt; accessed 18 July 2013; College of Estate Management, </w:t>
      </w:r>
      <w:r w:rsidRPr="00D861CE">
        <w:rPr>
          <w:i/>
          <w:sz w:val="20"/>
          <w:szCs w:val="20"/>
        </w:rPr>
        <w:t xml:space="preserve">UK Shopping Centres and the Sustainability Agenda: Are Retailers Buying? </w:t>
      </w:r>
      <w:r w:rsidRPr="00D861CE">
        <w:rPr>
          <w:sz w:val="20"/>
          <w:szCs w:val="20"/>
        </w:rPr>
        <w:t>CEM Occasional Paper Series May 2013</w:t>
      </w:r>
    </w:p>
  </w:footnote>
  <w:footnote w:id="5">
    <w:p w:rsidR="00CD0043" w:rsidRPr="00D861CE" w:rsidRDefault="00CD0043" w:rsidP="00D861CE">
      <w:pPr>
        <w:pStyle w:val="FootnoteText"/>
        <w:rPr>
          <w:lang w:val="en-US"/>
        </w:rPr>
      </w:pPr>
      <w:r w:rsidRPr="00D861CE">
        <w:rPr>
          <w:rStyle w:val="FootnoteReference"/>
        </w:rPr>
        <w:footnoteRef/>
      </w:r>
      <w:r w:rsidRPr="00D861CE">
        <w:t xml:space="preserve"> </w:t>
      </w:r>
      <w:r w:rsidRPr="00D861CE">
        <w:rPr>
          <w:rFonts w:cs="Times"/>
          <w:lang w:val="en-US"/>
        </w:rPr>
        <w:t>Australian Government, ‘Energy Effıciency in Government Operations’ at &lt;</w:t>
      </w:r>
      <w:hyperlink r:id="rId5" w:history="1">
        <w:r w:rsidRPr="00D861CE">
          <w:rPr>
            <w:rStyle w:val="Hyperlink"/>
            <w:rFonts w:cs="Times"/>
            <w:lang w:val="en-US"/>
          </w:rPr>
          <w:t>http://ee.ret.gov.au/green-lease-schedules-gls-government-buildings</w:t>
        </w:r>
      </w:hyperlink>
      <w:r w:rsidRPr="00D861CE">
        <w:rPr>
          <w:rFonts w:cs="Times"/>
          <w:lang w:val="en-US"/>
        </w:rPr>
        <w:t>&gt;  accessed 18 July 2013</w:t>
      </w:r>
    </w:p>
  </w:footnote>
  <w:footnote w:id="6">
    <w:p w:rsidR="00CD0043" w:rsidRPr="00D861CE" w:rsidRDefault="00CD0043" w:rsidP="00D861CE">
      <w:pPr>
        <w:widowControl w:val="0"/>
        <w:autoSpaceDE w:val="0"/>
        <w:autoSpaceDN w:val="0"/>
        <w:adjustRightInd w:val="0"/>
        <w:spacing w:after="0" w:line="240" w:lineRule="auto"/>
        <w:rPr>
          <w:rFonts w:cs="Times"/>
          <w:sz w:val="20"/>
          <w:szCs w:val="20"/>
          <w:lang w:val="en-US"/>
        </w:rPr>
      </w:pPr>
      <w:r w:rsidRPr="00D861CE">
        <w:rPr>
          <w:rStyle w:val="FootnoteReference"/>
          <w:sz w:val="20"/>
          <w:szCs w:val="20"/>
        </w:rPr>
        <w:footnoteRef/>
      </w:r>
      <w:r w:rsidRPr="00D861CE">
        <w:rPr>
          <w:sz w:val="20"/>
          <w:szCs w:val="20"/>
        </w:rPr>
        <w:t xml:space="preserve"> Natalie </w:t>
      </w:r>
      <w:r w:rsidRPr="00D861CE">
        <w:rPr>
          <w:rFonts w:cs="Times"/>
          <w:sz w:val="20"/>
          <w:szCs w:val="20"/>
          <w:lang w:val="en-US"/>
        </w:rPr>
        <w:t xml:space="preserve">Byrne, ‘Enforcing compliance with the EMP: Feasibility of employing sanctions in a green lease’ (2012) 21 Australian Property Law Journal 147, 150-151. </w:t>
      </w:r>
    </w:p>
  </w:footnote>
  <w:footnote w:id="7">
    <w:p w:rsidR="00CD0043" w:rsidRPr="00D861CE" w:rsidRDefault="00CD0043" w:rsidP="00D861CE">
      <w:pPr>
        <w:pStyle w:val="NormalWeb"/>
        <w:spacing w:before="0" w:beforeAutospacing="0" w:after="0" w:afterAutospacing="0"/>
        <w:rPr>
          <w:rFonts w:ascii="Calibri" w:hAnsi="Calibri" w:cs="Times"/>
          <w:sz w:val="20"/>
          <w:szCs w:val="20"/>
          <w:lang w:val="en-US"/>
        </w:rPr>
      </w:pPr>
      <w:r w:rsidRPr="00D861CE">
        <w:rPr>
          <w:rStyle w:val="FootnoteReference"/>
          <w:rFonts w:ascii="Calibri" w:hAnsi="Calibri"/>
          <w:sz w:val="20"/>
          <w:szCs w:val="20"/>
        </w:rPr>
        <w:footnoteRef/>
      </w:r>
      <w:r w:rsidRPr="00D861CE">
        <w:rPr>
          <w:rFonts w:ascii="Calibri" w:hAnsi="Calibri"/>
          <w:sz w:val="20"/>
          <w:szCs w:val="20"/>
        </w:rPr>
        <w:t xml:space="preserve"> </w:t>
      </w:r>
      <w:r w:rsidRPr="00D861CE">
        <w:rPr>
          <w:rFonts w:ascii="Calibri" w:hAnsi="Calibri" w:cs="Times"/>
          <w:sz w:val="20"/>
          <w:szCs w:val="20"/>
          <w:lang w:val="en-US"/>
        </w:rPr>
        <w:t xml:space="preserve">But see, </w:t>
      </w:r>
      <w:r w:rsidRPr="00D861CE">
        <w:rPr>
          <w:rFonts w:ascii="Calibri" w:hAnsi="Calibri"/>
          <w:sz w:val="20"/>
          <w:szCs w:val="20"/>
        </w:rPr>
        <w:t xml:space="preserve">Susan Bright and A Craig Roussac,‘Improving environmental performance through innovative commercial leasing: An Australian case study’ (2012) 4 International Journal of Law in the Built Environment 6 </w:t>
      </w:r>
    </w:p>
    <w:p w:rsidR="00CD0043" w:rsidRPr="00D861CE" w:rsidRDefault="00CD0043" w:rsidP="00D861CE">
      <w:pPr>
        <w:pStyle w:val="FootnoteText"/>
        <w:rPr>
          <w:lang w:val="en-US"/>
        </w:rPr>
      </w:pPr>
    </w:p>
  </w:footnote>
  <w:footnote w:id="8">
    <w:p w:rsidR="00CD0043" w:rsidRPr="00D861CE" w:rsidRDefault="00CD0043" w:rsidP="00D861CE">
      <w:pPr>
        <w:spacing w:after="0" w:line="240" w:lineRule="auto"/>
        <w:rPr>
          <w:sz w:val="20"/>
          <w:szCs w:val="20"/>
        </w:rPr>
      </w:pPr>
      <w:r w:rsidRPr="00D861CE">
        <w:rPr>
          <w:rStyle w:val="FootnoteReference"/>
          <w:sz w:val="20"/>
          <w:szCs w:val="20"/>
        </w:rPr>
        <w:footnoteRef/>
      </w:r>
      <w:r w:rsidRPr="00D861CE">
        <w:rPr>
          <w:sz w:val="20"/>
          <w:szCs w:val="20"/>
        </w:rPr>
        <w:t xml:space="preserve"> IPD </w:t>
      </w:r>
      <w:r w:rsidRPr="00D861CE">
        <w:rPr>
          <w:i/>
          <w:sz w:val="20"/>
          <w:szCs w:val="20"/>
        </w:rPr>
        <w:t>BPF IPD Annual Lease Review</w:t>
      </w:r>
      <w:r w:rsidRPr="00D861CE">
        <w:rPr>
          <w:sz w:val="20"/>
          <w:szCs w:val="20"/>
        </w:rPr>
        <w:t xml:space="preserve"> 2012 British Property Federation/IPD Ltd available at &lt; </w:t>
      </w:r>
      <w:hyperlink r:id="rId6" w:history="1">
        <w:r w:rsidRPr="00D861CE">
          <w:rPr>
            <w:rStyle w:val="Hyperlink"/>
            <w:sz w:val="20"/>
            <w:szCs w:val="20"/>
          </w:rPr>
          <w:t>http://www1.ipd.com/Pages/DNNPage.aspx?DestUrl=http%3a%2f%2fwww.ipd.com%2fsharepoint.aspx%3fTabId%3d1168</w:t>
        </w:r>
      </w:hyperlink>
      <w:r w:rsidRPr="00D861CE">
        <w:rPr>
          <w:sz w:val="20"/>
          <w:szCs w:val="20"/>
        </w:rPr>
        <w:t>&gt; accessed 18 July 2013</w:t>
      </w:r>
    </w:p>
  </w:footnote>
  <w:footnote w:id="9">
    <w:p w:rsidR="00CD0043" w:rsidRPr="00BE5D62" w:rsidRDefault="00CD0043">
      <w:pPr>
        <w:pStyle w:val="FootnoteText"/>
        <w:rPr>
          <w:lang w:val="en-US"/>
        </w:rPr>
      </w:pPr>
      <w:r>
        <w:rPr>
          <w:rStyle w:val="FootnoteReference"/>
        </w:rPr>
        <w:footnoteRef/>
      </w:r>
      <w:r>
        <w:t xml:space="preserve"> Although they closed in 2011, the regions are still available on ons.gov.uk for statistical use</w:t>
      </w:r>
    </w:p>
  </w:footnote>
  <w:footnote w:id="10">
    <w:p w:rsidR="00CD0043" w:rsidRPr="00D861CE" w:rsidRDefault="00CD0043" w:rsidP="00D861CE">
      <w:pPr>
        <w:pStyle w:val="FootnoteText"/>
        <w:rPr>
          <w:lang w:val="en-US"/>
        </w:rPr>
      </w:pPr>
      <w:r w:rsidRPr="00D861CE">
        <w:rPr>
          <w:rStyle w:val="FootnoteReference"/>
        </w:rPr>
        <w:footnoteRef/>
      </w:r>
      <w:r w:rsidRPr="00D861CE">
        <w:t xml:space="preserve"> Available at </w:t>
      </w:r>
      <w:hyperlink r:id="rId7" w:history="1">
        <w:r w:rsidRPr="00D861CE">
          <w:rPr>
            <w:rStyle w:val="Hyperlink"/>
          </w:rPr>
          <w:t>www.betterbuildingspartnership.co.uk/media/case-studies/</w:t>
        </w:r>
      </w:hyperlink>
      <w:r w:rsidRPr="00D861CE">
        <w:t xml:space="preserve"> accessed </w:t>
      </w:r>
      <w:r>
        <w:t>12 September</w:t>
      </w:r>
      <w:r w:rsidRPr="00D861CE">
        <w:t xml:space="preserve"> 2013</w:t>
      </w:r>
    </w:p>
  </w:footnote>
  <w:footnote w:id="11">
    <w:p w:rsidR="00CD0043" w:rsidRPr="00BE5D62" w:rsidRDefault="00CD0043">
      <w:pPr>
        <w:pStyle w:val="FootnoteText"/>
        <w:rPr>
          <w:lang w:val="en-US"/>
        </w:rPr>
      </w:pPr>
      <w:r>
        <w:rPr>
          <w:rStyle w:val="FootnoteReference"/>
        </w:rPr>
        <w:footnoteRef/>
      </w:r>
      <w:r>
        <w:t xml:space="preserve"> </w:t>
      </w:r>
      <w:r>
        <w:rPr>
          <w:lang w:val="en-US"/>
        </w:rPr>
        <w:t>For example, for one property we identified there were 21 leasehold titles registered. The lease we selected from this property is Lease L in our sample.</w:t>
      </w:r>
    </w:p>
  </w:footnote>
  <w:footnote w:id="12">
    <w:p w:rsidR="00CD0043" w:rsidRPr="00D861CE" w:rsidRDefault="00CD0043" w:rsidP="00D861CE">
      <w:pPr>
        <w:widowControl w:val="0"/>
        <w:autoSpaceDE w:val="0"/>
        <w:autoSpaceDN w:val="0"/>
        <w:adjustRightInd w:val="0"/>
        <w:spacing w:after="0" w:line="240" w:lineRule="auto"/>
        <w:rPr>
          <w:rFonts w:cs="Times"/>
          <w:sz w:val="20"/>
          <w:szCs w:val="20"/>
          <w:lang w:val="en-US"/>
        </w:rPr>
      </w:pPr>
      <w:r w:rsidRPr="00D861CE">
        <w:rPr>
          <w:rStyle w:val="FootnoteReference"/>
          <w:sz w:val="20"/>
          <w:szCs w:val="20"/>
        </w:rPr>
        <w:footnoteRef/>
      </w:r>
      <w:r w:rsidRPr="00D861CE">
        <w:rPr>
          <w:sz w:val="20"/>
          <w:szCs w:val="20"/>
        </w:rPr>
        <w:t xml:space="preserve"> Susan Bright, ‘</w:t>
      </w:r>
      <w:r w:rsidRPr="00D861CE">
        <w:rPr>
          <w:iCs/>
          <w:sz w:val="20"/>
          <w:szCs w:val="20"/>
        </w:rPr>
        <w:t xml:space="preserve">Carbon Reduction and Commercial Leases in the UK’ (2010) 2 </w:t>
      </w:r>
      <w:r w:rsidRPr="00D861CE">
        <w:rPr>
          <w:sz w:val="20"/>
          <w:szCs w:val="20"/>
        </w:rPr>
        <w:t>International Journal of Law and the Built Environment 218</w:t>
      </w:r>
    </w:p>
  </w:footnote>
  <w:footnote w:id="13">
    <w:p w:rsidR="00CD0043" w:rsidRPr="00D861CE" w:rsidRDefault="00CD0043" w:rsidP="00D861CE">
      <w:pPr>
        <w:pStyle w:val="FootnoteText"/>
        <w:rPr>
          <w:lang w:val="en-US"/>
        </w:rPr>
      </w:pPr>
      <w:r w:rsidRPr="00D861CE">
        <w:rPr>
          <w:rStyle w:val="FootnoteReference"/>
        </w:rPr>
        <w:footnoteRef/>
      </w:r>
      <w:r w:rsidRPr="00D861CE">
        <w:t xml:space="preserve"> </w:t>
      </w:r>
      <w:r w:rsidRPr="00D861CE">
        <w:rPr>
          <w:lang w:val="en-US"/>
        </w:rPr>
        <w:t xml:space="preserve">See </w:t>
      </w:r>
      <w:r w:rsidRPr="00D861CE">
        <w:rPr>
          <w:rFonts w:cs="Verdana"/>
          <w:spacing w:val="4"/>
        </w:rPr>
        <w:t>&lt;</w:t>
      </w:r>
      <w:hyperlink r:id="rId8" w:history="1">
        <w:r w:rsidRPr="00D861CE">
          <w:rPr>
            <w:rStyle w:val="Hyperlink"/>
            <w:rFonts w:cs="Verdana"/>
            <w:spacing w:val="4"/>
          </w:rPr>
          <w:t>http://www.hammerson.com/about/responsibility/sustainability/</w:t>
        </w:r>
      </w:hyperlink>
      <w:r w:rsidRPr="00D861CE">
        <w:rPr>
          <w:rFonts w:cs="Verdana"/>
          <w:spacing w:val="4"/>
        </w:rPr>
        <w:t>&gt; accessed 18 July 2013</w:t>
      </w:r>
    </w:p>
  </w:footnote>
  <w:footnote w:id="14">
    <w:p w:rsidR="00CD0043" w:rsidRPr="004579B8" w:rsidRDefault="00CD0043">
      <w:pPr>
        <w:pStyle w:val="FootnoteText"/>
        <w:rPr>
          <w:lang w:val="en-US"/>
        </w:rPr>
      </w:pPr>
      <w:r>
        <w:rPr>
          <w:rStyle w:val="FootnoteReference"/>
        </w:rPr>
        <w:footnoteRef/>
      </w:r>
      <w:r>
        <w:t xml:space="preserve"> </w:t>
      </w:r>
      <w:r>
        <w:rPr>
          <w:rFonts w:cs="Times"/>
          <w:lang w:val="en-US"/>
        </w:rPr>
        <w:t>This note</w:t>
      </w:r>
      <w:r>
        <w:rPr>
          <w:rFonts w:cs="Tahoma"/>
          <w:lang w:val="en-US"/>
        </w:rPr>
        <w:t xml:space="preserve"> states that it summarises</w:t>
      </w:r>
      <w:r w:rsidRPr="005651E6">
        <w:rPr>
          <w:rFonts w:cs="Tahoma"/>
          <w:lang w:val="en-US"/>
        </w:rPr>
        <w:t xml:space="preserve"> the work and recommendations of the leasing team at Hammerson and the legal teams at Eversheds and BLP follow</w:t>
      </w:r>
      <w:r>
        <w:rPr>
          <w:rFonts w:cs="Tahoma"/>
          <w:lang w:val="en-US"/>
        </w:rPr>
        <w:t>ing a meeting on 6 March 2007.</w:t>
      </w:r>
    </w:p>
  </w:footnote>
  <w:footnote w:id="15">
    <w:p w:rsidR="00CD0043" w:rsidRPr="00D861CE" w:rsidRDefault="00CD0043" w:rsidP="00D861CE">
      <w:pPr>
        <w:pStyle w:val="FootnoteText"/>
        <w:rPr>
          <w:lang w:val="en-US"/>
        </w:rPr>
      </w:pPr>
      <w:r w:rsidRPr="00D861CE">
        <w:rPr>
          <w:rStyle w:val="FootnoteReference"/>
        </w:rPr>
        <w:footnoteRef/>
      </w:r>
      <w:r w:rsidRPr="00D861CE">
        <w:t xml:space="preserve"> [1998] 1 WLR 896 (HL) 912-3</w:t>
      </w:r>
    </w:p>
  </w:footnote>
  <w:footnote w:id="16">
    <w:p w:rsidR="00CD0043" w:rsidRPr="00D861CE" w:rsidRDefault="00CD0043" w:rsidP="00D861CE">
      <w:pPr>
        <w:pStyle w:val="FootnoteText"/>
        <w:rPr>
          <w:lang w:val="en-US"/>
        </w:rPr>
      </w:pPr>
      <w:r w:rsidRPr="00D861CE">
        <w:rPr>
          <w:rStyle w:val="FootnoteReference"/>
        </w:rPr>
        <w:footnoteRef/>
      </w:r>
      <w:r w:rsidRPr="00D861CE">
        <w:t xml:space="preserve"> </w:t>
      </w:r>
      <w:r w:rsidRPr="00D861CE">
        <w:rPr>
          <w:rFonts w:eastAsia="Times New Roman"/>
        </w:rPr>
        <w:t>[2001] UKHL 8</w:t>
      </w:r>
      <w:r w:rsidRPr="00D861CE">
        <w:t>, [2002] 1 AC 251 [39]</w:t>
      </w:r>
    </w:p>
  </w:footnote>
  <w:footnote w:id="17">
    <w:p w:rsidR="00CD0043" w:rsidRPr="00D861CE" w:rsidRDefault="00CD0043" w:rsidP="004579B8">
      <w:pPr>
        <w:pStyle w:val="FootnoteText"/>
        <w:rPr>
          <w:lang w:val="en-US"/>
        </w:rPr>
      </w:pPr>
      <w:r w:rsidRPr="00D861CE">
        <w:rPr>
          <w:rStyle w:val="FootnoteReference"/>
        </w:rPr>
        <w:footnoteRef/>
      </w:r>
      <w:r w:rsidRPr="00D861CE">
        <w:t xml:space="preserve"> </w:t>
      </w:r>
      <w:r w:rsidRPr="00D861CE">
        <w:rPr>
          <w:bCs/>
        </w:rPr>
        <w:t xml:space="preserve">[2013] EWHC 111 (QB), </w:t>
      </w:r>
      <w:r w:rsidRPr="00D861CE">
        <w:rPr>
          <w:rFonts w:eastAsia="Times New Roman"/>
        </w:rPr>
        <w:t>[2013] 1 Lloyd's Rep 526</w:t>
      </w:r>
    </w:p>
  </w:footnote>
  <w:footnote w:id="18">
    <w:p w:rsidR="00CD0043" w:rsidRPr="00D861CE" w:rsidRDefault="00CD0043" w:rsidP="00D861CE">
      <w:pPr>
        <w:pStyle w:val="FootnoteText"/>
        <w:rPr>
          <w:lang w:val="en-US"/>
        </w:rPr>
      </w:pPr>
      <w:r w:rsidRPr="00D861CE">
        <w:rPr>
          <w:rStyle w:val="FootnoteReference"/>
        </w:rPr>
        <w:footnoteRef/>
      </w:r>
      <w:r w:rsidRPr="00D861CE">
        <w:t xml:space="preserve"> Susan Bright and A Craig Roussac,‘Improving environmental performance through innovative commercial leasing: An Australian case study’ (2012) 4 International Journal of Law in the Built Environment 6</w:t>
      </w:r>
    </w:p>
  </w:footnote>
  <w:footnote w:id="19">
    <w:p w:rsidR="00CD0043" w:rsidRPr="00D861CE" w:rsidRDefault="00CD0043" w:rsidP="00D861CE">
      <w:pPr>
        <w:pStyle w:val="FootnoteText"/>
        <w:rPr>
          <w:lang w:val="en-US"/>
        </w:rPr>
      </w:pPr>
      <w:r w:rsidRPr="00D861CE">
        <w:rPr>
          <w:rStyle w:val="FootnoteReference"/>
        </w:rPr>
        <w:footnoteRef/>
      </w:r>
      <w:r w:rsidRPr="00D861CE">
        <w:t xml:space="preserve"> </w:t>
      </w:r>
      <w:r w:rsidRPr="00D861CE">
        <w:rPr>
          <w:lang w:val="en-US"/>
        </w:rPr>
        <w:t xml:space="preserve">See </w:t>
      </w:r>
      <w:r w:rsidRPr="00D861CE">
        <w:t>PlanYC, available at &lt;</w:t>
      </w:r>
      <w:hyperlink r:id="rId9" w:history="1">
        <w:r w:rsidRPr="00D861CE">
          <w:rPr>
            <w:rStyle w:val="Hyperlink"/>
          </w:rPr>
          <w:t>www.nyc.gov/html/gbee/html/initiatives/clause.shtml</w:t>
        </w:r>
      </w:hyperlink>
      <w:r w:rsidRPr="00D861CE">
        <w:rPr>
          <w:rStyle w:val="Hyperlink"/>
        </w:rPr>
        <w:t>&gt; accessed 18 July 2013</w:t>
      </w:r>
    </w:p>
  </w:footnote>
  <w:footnote w:id="20">
    <w:p w:rsidR="00CD0043" w:rsidRPr="00D861CE" w:rsidRDefault="00CD0043" w:rsidP="007553B5">
      <w:pPr>
        <w:widowControl w:val="0"/>
        <w:autoSpaceDE w:val="0"/>
        <w:autoSpaceDN w:val="0"/>
        <w:adjustRightInd w:val="0"/>
        <w:spacing w:after="0" w:line="240" w:lineRule="auto"/>
        <w:rPr>
          <w:rFonts w:cs="Times"/>
          <w:sz w:val="20"/>
          <w:szCs w:val="20"/>
          <w:lang w:val="en-US"/>
        </w:rPr>
      </w:pPr>
      <w:r w:rsidRPr="00D861CE">
        <w:rPr>
          <w:rStyle w:val="FootnoteReference"/>
          <w:sz w:val="20"/>
          <w:szCs w:val="20"/>
        </w:rPr>
        <w:footnoteRef/>
      </w:r>
      <w:r w:rsidRPr="00D861CE">
        <w:rPr>
          <w:sz w:val="20"/>
          <w:szCs w:val="20"/>
        </w:rPr>
        <w:t xml:space="preserve"> Mark </w:t>
      </w:r>
      <w:r w:rsidRPr="00D861CE">
        <w:rPr>
          <w:rFonts w:cs="Times"/>
          <w:sz w:val="20"/>
          <w:szCs w:val="20"/>
          <w:lang w:val="en-US"/>
        </w:rPr>
        <w:t>Hinnells and others, ‘The greening of commercial leases’ (2008) 26 Journal of Property Investment &amp; Finance 541</w:t>
      </w:r>
    </w:p>
  </w:footnote>
  <w:footnote w:id="21">
    <w:p w:rsidR="00CD0043" w:rsidRPr="004A7F39" w:rsidRDefault="00CD0043" w:rsidP="004A7F39">
      <w:pPr>
        <w:widowControl w:val="0"/>
        <w:autoSpaceDE w:val="0"/>
        <w:autoSpaceDN w:val="0"/>
        <w:adjustRightInd w:val="0"/>
        <w:spacing w:after="0" w:line="240" w:lineRule="auto"/>
        <w:rPr>
          <w:rFonts w:cs="Times"/>
          <w:sz w:val="20"/>
          <w:szCs w:val="20"/>
          <w:lang w:val="en-US"/>
        </w:rPr>
      </w:pPr>
      <w:r w:rsidRPr="00D861CE">
        <w:rPr>
          <w:rStyle w:val="FootnoteReference"/>
          <w:sz w:val="20"/>
          <w:szCs w:val="20"/>
        </w:rPr>
        <w:footnoteRef/>
      </w:r>
      <w:r w:rsidRPr="00D861CE">
        <w:rPr>
          <w:sz w:val="20"/>
          <w:szCs w:val="20"/>
        </w:rPr>
        <w:t xml:space="preserve"> </w:t>
      </w:r>
      <w:r w:rsidRPr="00D861CE">
        <w:rPr>
          <w:rFonts w:cs="Times"/>
          <w:sz w:val="20"/>
          <w:szCs w:val="20"/>
          <w:lang w:val="en-US"/>
        </w:rPr>
        <w:t xml:space="preserve">Carbon Trust, </w:t>
      </w:r>
      <w:r w:rsidRPr="00D861CE">
        <w:rPr>
          <w:rFonts w:cs="Times"/>
          <w:i/>
          <w:sz w:val="20"/>
          <w:szCs w:val="20"/>
          <w:lang w:val="en-US"/>
        </w:rPr>
        <w:t>Building the Future, Today</w:t>
      </w:r>
      <w:r w:rsidRPr="00D861CE">
        <w:rPr>
          <w:rFonts w:cs="Times"/>
          <w:sz w:val="20"/>
          <w:szCs w:val="20"/>
          <w:lang w:val="en-US"/>
        </w:rPr>
        <w:t xml:space="preserve"> (2009, London) available at: &lt;www.carbontrust.co.uk/Publications/pages/publicationdetail.aspx?id1⁄4CTC765&gt; accessed 18 July 2013, p 1</w:t>
      </w:r>
    </w:p>
  </w:footnote>
  <w:footnote w:id="22">
    <w:p w:rsidR="00CD0043" w:rsidRPr="004A7F39" w:rsidRDefault="00CD0043" w:rsidP="004A7F39">
      <w:pPr>
        <w:widowControl w:val="0"/>
        <w:autoSpaceDE w:val="0"/>
        <w:autoSpaceDN w:val="0"/>
        <w:adjustRightInd w:val="0"/>
        <w:spacing w:after="0" w:line="240" w:lineRule="auto"/>
        <w:rPr>
          <w:sz w:val="20"/>
          <w:szCs w:val="20"/>
        </w:rPr>
      </w:pPr>
      <w:r w:rsidRPr="004A7F39">
        <w:rPr>
          <w:rStyle w:val="FootnoteReference"/>
          <w:sz w:val="20"/>
          <w:szCs w:val="20"/>
        </w:rPr>
        <w:footnoteRef/>
      </w:r>
      <w:r w:rsidRPr="004A7F39">
        <w:rPr>
          <w:sz w:val="20"/>
          <w:szCs w:val="20"/>
        </w:rPr>
        <w:t xml:space="preserve"> EU Energy Efficiency Plan 2011 COM (2011) 109 Final pp 1-7</w:t>
      </w:r>
    </w:p>
    <w:p w:rsidR="00CD0043" w:rsidRPr="004A7F39" w:rsidRDefault="00CD0043">
      <w:pPr>
        <w:pStyle w:val="FootnoteText"/>
        <w:rPr>
          <w:lang w:val="en-US"/>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65CF11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12DC2DBD"/>
    <w:multiLevelType w:val="hybridMultilevel"/>
    <w:tmpl w:val="8716F322"/>
    <w:lvl w:ilvl="0" w:tplc="8C5E63D0">
      <w:start w:val="25"/>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D2E47C3"/>
    <w:multiLevelType w:val="hybridMultilevel"/>
    <w:tmpl w:val="248EE6DA"/>
    <w:lvl w:ilvl="0" w:tplc="4CB40D3C">
      <w:start w:val="28"/>
      <w:numFmt w:val="bullet"/>
      <w:lvlText w:val="-"/>
      <w:lvlJc w:val="left"/>
      <w:pPr>
        <w:ind w:left="360" w:hanging="360"/>
      </w:pPr>
      <w:rPr>
        <w:rFonts w:ascii="Calibri" w:eastAsia="Cambria" w:hAnsi="Calibri" w:cs="Times New Roman" w:hint="default"/>
      </w:rPr>
    </w:lvl>
    <w:lvl w:ilvl="1" w:tplc="08090003">
      <w:start w:val="1"/>
      <w:numFmt w:val="bullet"/>
      <w:lvlText w:val="o"/>
      <w:lvlJc w:val="left"/>
      <w:pPr>
        <w:ind w:left="644"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60D21901"/>
    <w:multiLevelType w:val="hybridMultilevel"/>
    <w:tmpl w:val="0CC2EC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54356C5"/>
    <w:multiLevelType w:val="hybridMultilevel"/>
    <w:tmpl w:val="368C2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75D70B9F"/>
    <w:multiLevelType w:val="multilevel"/>
    <w:tmpl w:val="50F42614"/>
    <w:lvl w:ilvl="0">
      <w:start w:val="1"/>
      <w:numFmt w:val="decimal"/>
      <w:pStyle w:val="ParaLevel1"/>
      <w:lvlText w:val="%1."/>
      <w:lvlJc w:val="left"/>
      <w:pPr>
        <w:tabs>
          <w:tab w:val="num" w:pos="720"/>
        </w:tabs>
        <w:ind w:left="720" w:hanging="720"/>
      </w:pPr>
      <w:rPr>
        <w:rFonts w:cs="Times New Roman" w:hint="default"/>
        <w:b w:val="0"/>
        <w:i w:val="0"/>
        <w:u w:val="none"/>
      </w:rPr>
    </w:lvl>
    <w:lvl w:ilvl="1">
      <w:start w:val="1"/>
      <w:numFmt w:val="decimal"/>
      <w:lvlText w:val="(%2)"/>
      <w:lvlJc w:val="right"/>
      <w:pPr>
        <w:tabs>
          <w:tab w:val="num" w:pos="1072"/>
        </w:tabs>
        <w:ind w:left="1072" w:hanging="363"/>
      </w:pPr>
      <w:rPr>
        <w:rFonts w:cs="Times New Roman" w:hint="default"/>
        <w:b w:val="0"/>
        <w:i w:val="0"/>
        <w:u w:val="none"/>
      </w:rPr>
    </w:lvl>
    <w:lvl w:ilvl="2">
      <w:start w:val="1"/>
      <w:numFmt w:val="lowerLetter"/>
      <w:pStyle w:val="ParaLevel3"/>
      <w:lvlText w:val="%3)"/>
      <w:lvlJc w:val="left"/>
      <w:pPr>
        <w:tabs>
          <w:tab w:val="num" w:pos="2127"/>
        </w:tabs>
        <w:ind w:left="2127" w:hanging="709"/>
      </w:pPr>
      <w:rPr>
        <w:rFonts w:cs="Times New Roman" w:hint="default"/>
      </w:rPr>
    </w:lvl>
    <w:lvl w:ilvl="3">
      <w:start w:val="1"/>
      <w:numFmt w:val="lowerRoman"/>
      <w:pStyle w:val="ParaLevel4"/>
      <w:lvlText w:val="%4)"/>
      <w:lvlJc w:val="left"/>
      <w:pPr>
        <w:tabs>
          <w:tab w:val="num" w:pos="3207"/>
        </w:tabs>
        <w:ind w:left="2836" w:hanging="709"/>
      </w:pPr>
      <w:rPr>
        <w:rFonts w:cs="Times New Roman" w:hint="default"/>
      </w:rPr>
    </w:lvl>
    <w:lvl w:ilvl="4">
      <w:start w:val="1"/>
      <w:numFmt w:val="lowerLetter"/>
      <w:pStyle w:val="ParaLevel5"/>
      <w:lvlText w:val="(%5)"/>
      <w:lvlJc w:val="left"/>
      <w:pPr>
        <w:tabs>
          <w:tab w:val="num" w:pos="3545"/>
        </w:tabs>
        <w:ind w:left="3545" w:hanging="709"/>
      </w:pPr>
      <w:rPr>
        <w:rFonts w:cs="Times New Roman" w:hint="default"/>
      </w:rPr>
    </w:lvl>
    <w:lvl w:ilvl="5">
      <w:start w:val="1"/>
      <w:numFmt w:val="lowerRoman"/>
      <w:pStyle w:val="ParaLevel6"/>
      <w:lvlText w:val="(%6)"/>
      <w:lvlJc w:val="left"/>
      <w:pPr>
        <w:tabs>
          <w:tab w:val="num" w:pos="4625"/>
        </w:tabs>
        <w:ind w:left="4254" w:hanging="709"/>
      </w:pPr>
      <w:rPr>
        <w:rFonts w:cs="Times New Roman" w:hint="default"/>
      </w:rPr>
    </w:lvl>
    <w:lvl w:ilvl="6">
      <w:start w:val="1"/>
      <w:numFmt w:val="lowerLetter"/>
      <w:pStyle w:val="ParaLevel7"/>
      <w:lvlText w:val="(%7)"/>
      <w:lvlJc w:val="left"/>
      <w:pPr>
        <w:tabs>
          <w:tab w:val="num" w:pos="4963"/>
        </w:tabs>
        <w:ind w:left="4963" w:hanging="709"/>
      </w:pPr>
      <w:rPr>
        <w:rFonts w:cs="Times New Roman" w:hint="default"/>
      </w:rPr>
    </w:lvl>
    <w:lvl w:ilvl="7">
      <w:start w:val="1"/>
      <w:numFmt w:val="lowerRoman"/>
      <w:pStyle w:val="ParaLevel8"/>
      <w:lvlText w:val="(%8)"/>
      <w:lvlJc w:val="left"/>
      <w:pPr>
        <w:tabs>
          <w:tab w:val="num" w:pos="6043"/>
        </w:tabs>
        <w:ind w:left="5672" w:hanging="709"/>
      </w:pPr>
      <w:rPr>
        <w:rFonts w:cs="Times New Roman" w:hint="default"/>
      </w:rPr>
    </w:lvl>
    <w:lvl w:ilvl="8">
      <w:start w:val="1"/>
      <w:numFmt w:val="lowerLetter"/>
      <w:pStyle w:val="ParaLevel9"/>
      <w:lvlText w:val="(%9)"/>
      <w:lvlJc w:val="left"/>
      <w:pPr>
        <w:tabs>
          <w:tab w:val="num" w:pos="6381"/>
        </w:tabs>
        <w:ind w:left="6381" w:hanging="709"/>
      </w:pPr>
      <w:rPr>
        <w:rFonts w:cs="Times New Roman" w:hint="default"/>
      </w:rPr>
    </w:lvl>
  </w:abstractNum>
  <w:num w:numId="1">
    <w:abstractNumId w:val="0"/>
  </w:num>
  <w:num w:numId="2">
    <w:abstractNumId w:val="4"/>
  </w:num>
  <w:num w:numId="3">
    <w:abstractNumId w:val="3"/>
  </w:num>
  <w:num w:numId="4">
    <w:abstractNumId w:val="1"/>
  </w:num>
  <w:num w:numId="5">
    <w:abstractNumId w:val="6"/>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52F4"/>
    <w:rsid w:val="00042160"/>
    <w:rsid w:val="00046348"/>
    <w:rsid w:val="00054551"/>
    <w:rsid w:val="00056CC0"/>
    <w:rsid w:val="000645CD"/>
    <w:rsid w:val="0009420F"/>
    <w:rsid w:val="00095865"/>
    <w:rsid w:val="000C1156"/>
    <w:rsid w:val="000E1668"/>
    <w:rsid w:val="000F4A6C"/>
    <w:rsid w:val="00103024"/>
    <w:rsid w:val="00107056"/>
    <w:rsid w:val="00121176"/>
    <w:rsid w:val="00140A80"/>
    <w:rsid w:val="00146D76"/>
    <w:rsid w:val="0016445B"/>
    <w:rsid w:val="001652F4"/>
    <w:rsid w:val="001766F4"/>
    <w:rsid w:val="00187A7B"/>
    <w:rsid w:val="001B16AE"/>
    <w:rsid w:val="001D165F"/>
    <w:rsid w:val="001D4058"/>
    <w:rsid w:val="0021505B"/>
    <w:rsid w:val="00231EDF"/>
    <w:rsid w:val="00232EA3"/>
    <w:rsid w:val="00235F78"/>
    <w:rsid w:val="002431E6"/>
    <w:rsid w:val="00252787"/>
    <w:rsid w:val="002770C7"/>
    <w:rsid w:val="00284CD9"/>
    <w:rsid w:val="002866C4"/>
    <w:rsid w:val="002B43B0"/>
    <w:rsid w:val="002D1045"/>
    <w:rsid w:val="002E68F6"/>
    <w:rsid w:val="0031740C"/>
    <w:rsid w:val="003424A4"/>
    <w:rsid w:val="0037776D"/>
    <w:rsid w:val="003B66AB"/>
    <w:rsid w:val="003B7C06"/>
    <w:rsid w:val="003C1548"/>
    <w:rsid w:val="003D1F70"/>
    <w:rsid w:val="003E2808"/>
    <w:rsid w:val="003E3AC8"/>
    <w:rsid w:val="003E3B76"/>
    <w:rsid w:val="003E46ED"/>
    <w:rsid w:val="003E4D4F"/>
    <w:rsid w:val="003F6890"/>
    <w:rsid w:val="00412192"/>
    <w:rsid w:val="00414439"/>
    <w:rsid w:val="004525BD"/>
    <w:rsid w:val="0045398B"/>
    <w:rsid w:val="004579B8"/>
    <w:rsid w:val="004619AA"/>
    <w:rsid w:val="00481A59"/>
    <w:rsid w:val="00484B01"/>
    <w:rsid w:val="00484C48"/>
    <w:rsid w:val="0049773C"/>
    <w:rsid w:val="004A1CD4"/>
    <w:rsid w:val="004A31CD"/>
    <w:rsid w:val="004A7F39"/>
    <w:rsid w:val="004B1280"/>
    <w:rsid w:val="004B6664"/>
    <w:rsid w:val="004E02D8"/>
    <w:rsid w:val="004F2395"/>
    <w:rsid w:val="00500E0C"/>
    <w:rsid w:val="0051304D"/>
    <w:rsid w:val="00527925"/>
    <w:rsid w:val="005302DB"/>
    <w:rsid w:val="0055747E"/>
    <w:rsid w:val="005651E6"/>
    <w:rsid w:val="005754F7"/>
    <w:rsid w:val="005A47AB"/>
    <w:rsid w:val="005B25D2"/>
    <w:rsid w:val="005E1913"/>
    <w:rsid w:val="005E7018"/>
    <w:rsid w:val="006261E1"/>
    <w:rsid w:val="00657333"/>
    <w:rsid w:val="00686DD4"/>
    <w:rsid w:val="00692FEB"/>
    <w:rsid w:val="006A0BF2"/>
    <w:rsid w:val="006A37D5"/>
    <w:rsid w:val="006A474E"/>
    <w:rsid w:val="006A4C45"/>
    <w:rsid w:val="006A677E"/>
    <w:rsid w:val="006D73E5"/>
    <w:rsid w:val="006E2D45"/>
    <w:rsid w:val="006E3080"/>
    <w:rsid w:val="006E6E7C"/>
    <w:rsid w:val="007032DD"/>
    <w:rsid w:val="007369F1"/>
    <w:rsid w:val="0075138B"/>
    <w:rsid w:val="007553B5"/>
    <w:rsid w:val="007603CD"/>
    <w:rsid w:val="007A2449"/>
    <w:rsid w:val="007A532E"/>
    <w:rsid w:val="007B2126"/>
    <w:rsid w:val="007C41A7"/>
    <w:rsid w:val="007E1B06"/>
    <w:rsid w:val="007F6E49"/>
    <w:rsid w:val="008058E6"/>
    <w:rsid w:val="008173F3"/>
    <w:rsid w:val="008351CA"/>
    <w:rsid w:val="00841C55"/>
    <w:rsid w:val="00850215"/>
    <w:rsid w:val="008574EB"/>
    <w:rsid w:val="00864941"/>
    <w:rsid w:val="00897585"/>
    <w:rsid w:val="008D06CF"/>
    <w:rsid w:val="008E60F6"/>
    <w:rsid w:val="008F4D92"/>
    <w:rsid w:val="00907A69"/>
    <w:rsid w:val="00957621"/>
    <w:rsid w:val="00960D74"/>
    <w:rsid w:val="009819B4"/>
    <w:rsid w:val="00991A89"/>
    <w:rsid w:val="009A546E"/>
    <w:rsid w:val="009B62C7"/>
    <w:rsid w:val="009E7970"/>
    <w:rsid w:val="009F2778"/>
    <w:rsid w:val="00A01435"/>
    <w:rsid w:val="00A04ADD"/>
    <w:rsid w:val="00A116B7"/>
    <w:rsid w:val="00A40A49"/>
    <w:rsid w:val="00A42497"/>
    <w:rsid w:val="00AA0BCF"/>
    <w:rsid w:val="00AC58CE"/>
    <w:rsid w:val="00AD054C"/>
    <w:rsid w:val="00AF5F63"/>
    <w:rsid w:val="00B14F0A"/>
    <w:rsid w:val="00B4297E"/>
    <w:rsid w:val="00B434EB"/>
    <w:rsid w:val="00B436FA"/>
    <w:rsid w:val="00B53848"/>
    <w:rsid w:val="00B60523"/>
    <w:rsid w:val="00B62A26"/>
    <w:rsid w:val="00B65423"/>
    <w:rsid w:val="00B75633"/>
    <w:rsid w:val="00B76013"/>
    <w:rsid w:val="00B767B2"/>
    <w:rsid w:val="00BA1A97"/>
    <w:rsid w:val="00BA5520"/>
    <w:rsid w:val="00BA63CC"/>
    <w:rsid w:val="00BE47B4"/>
    <w:rsid w:val="00BE5D62"/>
    <w:rsid w:val="00C02CCB"/>
    <w:rsid w:val="00C30953"/>
    <w:rsid w:val="00C5110B"/>
    <w:rsid w:val="00C613E5"/>
    <w:rsid w:val="00C72BAA"/>
    <w:rsid w:val="00C8187C"/>
    <w:rsid w:val="00CA4ADE"/>
    <w:rsid w:val="00CA7830"/>
    <w:rsid w:val="00CC45C1"/>
    <w:rsid w:val="00CD0043"/>
    <w:rsid w:val="00CE1558"/>
    <w:rsid w:val="00CE2F97"/>
    <w:rsid w:val="00CE70DB"/>
    <w:rsid w:val="00D22A1F"/>
    <w:rsid w:val="00D24FDF"/>
    <w:rsid w:val="00D27DBD"/>
    <w:rsid w:val="00D37D8B"/>
    <w:rsid w:val="00D606A2"/>
    <w:rsid w:val="00D774E1"/>
    <w:rsid w:val="00D861CE"/>
    <w:rsid w:val="00D91353"/>
    <w:rsid w:val="00D931BE"/>
    <w:rsid w:val="00D96AA3"/>
    <w:rsid w:val="00DC1B82"/>
    <w:rsid w:val="00DD47B8"/>
    <w:rsid w:val="00DD7CA8"/>
    <w:rsid w:val="00DF1FAC"/>
    <w:rsid w:val="00DF2B1C"/>
    <w:rsid w:val="00DF3F56"/>
    <w:rsid w:val="00DF7DCC"/>
    <w:rsid w:val="00E3064C"/>
    <w:rsid w:val="00E3479A"/>
    <w:rsid w:val="00E41574"/>
    <w:rsid w:val="00E43C19"/>
    <w:rsid w:val="00E7757B"/>
    <w:rsid w:val="00E86917"/>
    <w:rsid w:val="00E917BF"/>
    <w:rsid w:val="00EA7BCB"/>
    <w:rsid w:val="00EC2532"/>
    <w:rsid w:val="00ED0321"/>
    <w:rsid w:val="00ED05DB"/>
    <w:rsid w:val="00ED20DB"/>
    <w:rsid w:val="00EF01D1"/>
    <w:rsid w:val="00F034EC"/>
    <w:rsid w:val="00F12A5D"/>
    <w:rsid w:val="00F159FA"/>
    <w:rsid w:val="00F20C97"/>
    <w:rsid w:val="00F6089A"/>
    <w:rsid w:val="00F6665C"/>
    <w:rsid w:val="00F76C33"/>
    <w:rsid w:val="00F83AB0"/>
    <w:rsid w:val="00FC0A62"/>
    <w:rsid w:val="00FE2917"/>
    <w:rsid w:val="00FE5378"/>
    <w:rsid w:val="00FF71D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7A69"/>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link w:val="ColorfulList-Accent1Char"/>
    <w:uiPriority w:val="99"/>
    <w:qFormat/>
    <w:rsid w:val="00DD7CA8"/>
    <w:pPr>
      <w:spacing w:after="0" w:line="240" w:lineRule="auto"/>
      <w:ind w:left="720"/>
      <w:contextualSpacing/>
      <w:jc w:val="both"/>
    </w:pPr>
  </w:style>
  <w:style w:type="paragraph" w:styleId="FootnoteText">
    <w:name w:val="footnote text"/>
    <w:basedOn w:val="Normal"/>
    <w:link w:val="FootnoteTextChar"/>
    <w:uiPriority w:val="99"/>
    <w:unhideWhenUsed/>
    <w:rsid w:val="00187A7B"/>
    <w:pPr>
      <w:spacing w:after="0" w:line="240" w:lineRule="auto"/>
      <w:jc w:val="both"/>
    </w:pPr>
    <w:rPr>
      <w:sz w:val="20"/>
      <w:szCs w:val="20"/>
    </w:rPr>
  </w:style>
  <w:style w:type="character" w:customStyle="1" w:styleId="FootnoteTextChar">
    <w:name w:val="Footnote Text Char"/>
    <w:basedOn w:val="DefaultParagraphFont"/>
    <w:link w:val="FootnoteText"/>
    <w:uiPriority w:val="99"/>
    <w:rsid w:val="00187A7B"/>
  </w:style>
  <w:style w:type="character" w:styleId="FootnoteReference">
    <w:name w:val="footnote reference"/>
    <w:uiPriority w:val="99"/>
    <w:unhideWhenUsed/>
    <w:rsid w:val="00187A7B"/>
    <w:rPr>
      <w:vertAlign w:val="superscript"/>
    </w:rPr>
  </w:style>
  <w:style w:type="character" w:styleId="Hyperlink">
    <w:name w:val="Hyperlink"/>
    <w:uiPriority w:val="99"/>
    <w:unhideWhenUsed/>
    <w:rsid w:val="007B2126"/>
    <w:rPr>
      <w:color w:val="0000FF"/>
      <w:u w:val="single"/>
    </w:rPr>
  </w:style>
  <w:style w:type="paragraph" w:customStyle="1" w:styleId="ParaLevel1">
    <w:name w:val="ParaLevel1"/>
    <w:basedOn w:val="Normal"/>
    <w:uiPriority w:val="99"/>
    <w:rsid w:val="00235F78"/>
    <w:pPr>
      <w:numPr>
        <w:numId w:val="5"/>
      </w:numPr>
      <w:suppressAutoHyphens/>
      <w:spacing w:before="240" w:after="240" w:line="240" w:lineRule="auto"/>
      <w:jc w:val="both"/>
      <w:outlineLvl w:val="0"/>
    </w:pPr>
    <w:rPr>
      <w:rFonts w:ascii="Times New Roman" w:eastAsia="Times New Roman" w:hAnsi="Times New Roman"/>
      <w:sz w:val="24"/>
      <w:szCs w:val="20"/>
    </w:rPr>
  </w:style>
  <w:style w:type="paragraph" w:customStyle="1" w:styleId="ParaLevel3">
    <w:name w:val="ParaLevel3"/>
    <w:basedOn w:val="Normal"/>
    <w:uiPriority w:val="99"/>
    <w:rsid w:val="00235F78"/>
    <w:pPr>
      <w:numPr>
        <w:ilvl w:val="2"/>
        <w:numId w:val="5"/>
      </w:numPr>
      <w:suppressAutoHyphens/>
      <w:spacing w:before="240" w:after="240" w:line="240" w:lineRule="auto"/>
      <w:jc w:val="both"/>
      <w:outlineLvl w:val="2"/>
    </w:pPr>
    <w:rPr>
      <w:rFonts w:ascii="Times New Roman" w:eastAsia="Times New Roman" w:hAnsi="Times New Roman"/>
      <w:sz w:val="24"/>
      <w:szCs w:val="20"/>
    </w:rPr>
  </w:style>
  <w:style w:type="paragraph" w:customStyle="1" w:styleId="ParaLevel4">
    <w:name w:val="ParaLevel4"/>
    <w:basedOn w:val="Normal"/>
    <w:uiPriority w:val="99"/>
    <w:rsid w:val="00235F78"/>
    <w:pPr>
      <w:numPr>
        <w:ilvl w:val="3"/>
        <w:numId w:val="5"/>
      </w:numPr>
      <w:suppressAutoHyphens/>
      <w:spacing w:before="240" w:after="240" w:line="240" w:lineRule="auto"/>
      <w:jc w:val="both"/>
      <w:outlineLvl w:val="3"/>
    </w:pPr>
    <w:rPr>
      <w:rFonts w:ascii="Times New Roman" w:eastAsia="Times New Roman" w:hAnsi="Times New Roman"/>
      <w:sz w:val="24"/>
      <w:szCs w:val="20"/>
    </w:rPr>
  </w:style>
  <w:style w:type="paragraph" w:customStyle="1" w:styleId="ParaLevel5">
    <w:name w:val="ParaLevel5"/>
    <w:basedOn w:val="Normal"/>
    <w:uiPriority w:val="99"/>
    <w:rsid w:val="00235F78"/>
    <w:pPr>
      <w:numPr>
        <w:ilvl w:val="4"/>
        <w:numId w:val="5"/>
      </w:numPr>
      <w:suppressAutoHyphens/>
      <w:spacing w:before="240" w:after="240" w:line="240" w:lineRule="auto"/>
      <w:jc w:val="both"/>
      <w:outlineLvl w:val="4"/>
    </w:pPr>
    <w:rPr>
      <w:rFonts w:ascii="Times New Roman" w:eastAsia="Times New Roman" w:hAnsi="Times New Roman"/>
      <w:sz w:val="24"/>
      <w:szCs w:val="20"/>
    </w:rPr>
  </w:style>
  <w:style w:type="paragraph" w:customStyle="1" w:styleId="ParaLevel6">
    <w:name w:val="ParaLevel6"/>
    <w:basedOn w:val="Normal"/>
    <w:uiPriority w:val="99"/>
    <w:rsid w:val="00235F78"/>
    <w:pPr>
      <w:numPr>
        <w:ilvl w:val="5"/>
        <w:numId w:val="5"/>
      </w:numPr>
      <w:suppressAutoHyphens/>
      <w:spacing w:before="240" w:after="240" w:line="240" w:lineRule="auto"/>
      <w:jc w:val="both"/>
      <w:outlineLvl w:val="5"/>
    </w:pPr>
    <w:rPr>
      <w:rFonts w:ascii="Times New Roman" w:eastAsia="Times New Roman" w:hAnsi="Times New Roman"/>
      <w:sz w:val="24"/>
      <w:szCs w:val="20"/>
    </w:rPr>
  </w:style>
  <w:style w:type="paragraph" w:customStyle="1" w:styleId="ParaLevel7">
    <w:name w:val="ParaLevel7"/>
    <w:basedOn w:val="Normal"/>
    <w:uiPriority w:val="99"/>
    <w:rsid w:val="00235F78"/>
    <w:pPr>
      <w:numPr>
        <w:ilvl w:val="6"/>
        <w:numId w:val="5"/>
      </w:numPr>
      <w:suppressAutoHyphens/>
      <w:spacing w:before="240" w:after="240" w:line="240" w:lineRule="auto"/>
      <w:jc w:val="both"/>
      <w:outlineLvl w:val="6"/>
    </w:pPr>
    <w:rPr>
      <w:rFonts w:ascii="Times New Roman" w:eastAsia="Times New Roman" w:hAnsi="Times New Roman"/>
      <w:sz w:val="24"/>
      <w:szCs w:val="20"/>
    </w:rPr>
  </w:style>
  <w:style w:type="paragraph" w:customStyle="1" w:styleId="ParaLevel8">
    <w:name w:val="ParaLevel8"/>
    <w:basedOn w:val="Normal"/>
    <w:uiPriority w:val="99"/>
    <w:rsid w:val="00235F78"/>
    <w:pPr>
      <w:numPr>
        <w:ilvl w:val="7"/>
        <w:numId w:val="5"/>
      </w:numPr>
      <w:suppressAutoHyphens/>
      <w:spacing w:before="240" w:after="240" w:line="240" w:lineRule="auto"/>
      <w:jc w:val="both"/>
      <w:outlineLvl w:val="7"/>
    </w:pPr>
    <w:rPr>
      <w:rFonts w:ascii="Times New Roman" w:eastAsia="Times New Roman" w:hAnsi="Times New Roman"/>
      <w:sz w:val="24"/>
      <w:szCs w:val="20"/>
    </w:rPr>
  </w:style>
  <w:style w:type="paragraph" w:customStyle="1" w:styleId="ParaLevel9">
    <w:name w:val="ParaLevel9"/>
    <w:basedOn w:val="Normal"/>
    <w:uiPriority w:val="99"/>
    <w:rsid w:val="00235F78"/>
    <w:pPr>
      <w:numPr>
        <w:ilvl w:val="8"/>
        <w:numId w:val="5"/>
      </w:numPr>
      <w:suppressAutoHyphens/>
      <w:spacing w:before="240" w:after="240" w:line="240" w:lineRule="auto"/>
      <w:jc w:val="both"/>
      <w:outlineLvl w:val="8"/>
    </w:pPr>
    <w:rPr>
      <w:rFonts w:ascii="Times New Roman" w:eastAsia="Times New Roman" w:hAnsi="Times New Roman"/>
      <w:sz w:val="24"/>
      <w:szCs w:val="20"/>
    </w:rPr>
  </w:style>
  <w:style w:type="character" w:customStyle="1" w:styleId="ColorfulList-Accent1Char">
    <w:name w:val="Colorful List - Accent 1 Char"/>
    <w:link w:val="ColorfulList-Accent11"/>
    <w:uiPriority w:val="99"/>
    <w:locked/>
    <w:rsid w:val="00235F78"/>
    <w:rPr>
      <w:sz w:val="22"/>
      <w:szCs w:val="22"/>
    </w:rPr>
  </w:style>
  <w:style w:type="paragraph" w:styleId="NormalWeb">
    <w:name w:val="Normal (Web)"/>
    <w:basedOn w:val="Normal"/>
    <w:uiPriority w:val="99"/>
    <w:unhideWhenUsed/>
    <w:rsid w:val="00107056"/>
    <w:pPr>
      <w:spacing w:before="100" w:beforeAutospacing="1" w:after="100" w:afterAutospacing="1" w:line="240" w:lineRule="auto"/>
    </w:pPr>
    <w:rPr>
      <w:rFonts w:ascii="Times New Roman" w:eastAsia="Times New Roman" w:hAnsi="Times New Roman"/>
      <w:sz w:val="24"/>
      <w:szCs w:val="24"/>
      <w:lang w:eastAsia="en-GB"/>
    </w:rPr>
  </w:style>
  <w:style w:type="character" w:styleId="Emphasis">
    <w:name w:val="Emphasis"/>
    <w:uiPriority w:val="20"/>
    <w:qFormat/>
    <w:rsid w:val="00107056"/>
    <w:rPr>
      <w:i/>
      <w:iCs/>
    </w:rPr>
  </w:style>
  <w:style w:type="character" w:styleId="FollowedHyperlink">
    <w:name w:val="FollowedHyperlink"/>
    <w:uiPriority w:val="99"/>
    <w:semiHidden/>
    <w:unhideWhenUsed/>
    <w:rsid w:val="00056CC0"/>
    <w:rPr>
      <w:color w:val="800080"/>
      <w:u w:val="single"/>
    </w:rPr>
  </w:style>
  <w:style w:type="character" w:customStyle="1" w:styleId="bodytext">
    <w:name w:val="bodytext"/>
    <w:rsid w:val="00056CC0"/>
  </w:style>
  <w:style w:type="table" w:styleId="TableGrid">
    <w:name w:val="Table Grid"/>
    <w:basedOn w:val="TableNormal"/>
    <w:uiPriority w:val="59"/>
    <w:rsid w:val="00046348"/>
    <w:rPr>
      <w:rFonts w:ascii="Cambria" w:eastAsia="MS Mincho" w:hAnsi="Cambria"/>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91A89"/>
    <w:pPr>
      <w:spacing w:after="0" w:line="240" w:lineRule="auto"/>
      <w:ind w:left="720"/>
      <w:contextualSpacing/>
      <w:jc w:val="both"/>
    </w:pPr>
    <w:rPr>
      <w:rFonts w:asciiTheme="minorHAnsi" w:eastAsiaTheme="minorHAnsi" w:hAnsiTheme="minorHAnsi" w:cstheme="minorBidi"/>
    </w:rPr>
  </w:style>
  <w:style w:type="paragraph" w:styleId="Header">
    <w:name w:val="header"/>
    <w:basedOn w:val="Normal"/>
    <w:link w:val="HeaderChar"/>
    <w:uiPriority w:val="99"/>
    <w:unhideWhenUsed/>
    <w:rsid w:val="00CA4A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4ADE"/>
    <w:rPr>
      <w:sz w:val="22"/>
      <w:szCs w:val="22"/>
      <w:lang w:eastAsia="en-US"/>
    </w:rPr>
  </w:style>
  <w:style w:type="paragraph" w:styleId="Footer">
    <w:name w:val="footer"/>
    <w:basedOn w:val="Normal"/>
    <w:link w:val="FooterChar"/>
    <w:uiPriority w:val="99"/>
    <w:unhideWhenUsed/>
    <w:rsid w:val="00CA4A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4ADE"/>
    <w:rPr>
      <w:sz w:val="22"/>
      <w:szCs w:val="22"/>
      <w:lang w:eastAsia="en-US"/>
    </w:rPr>
  </w:style>
  <w:style w:type="paragraph" w:styleId="BalloonText">
    <w:name w:val="Balloon Text"/>
    <w:basedOn w:val="Normal"/>
    <w:link w:val="BalloonTextChar"/>
    <w:uiPriority w:val="99"/>
    <w:semiHidden/>
    <w:unhideWhenUsed/>
    <w:rsid w:val="00841C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1C55"/>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7A69"/>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link w:val="ColorfulList-Accent1Char"/>
    <w:uiPriority w:val="99"/>
    <w:qFormat/>
    <w:rsid w:val="00DD7CA8"/>
    <w:pPr>
      <w:spacing w:after="0" w:line="240" w:lineRule="auto"/>
      <w:ind w:left="720"/>
      <w:contextualSpacing/>
      <w:jc w:val="both"/>
    </w:pPr>
  </w:style>
  <w:style w:type="paragraph" w:styleId="FootnoteText">
    <w:name w:val="footnote text"/>
    <w:basedOn w:val="Normal"/>
    <w:link w:val="FootnoteTextChar"/>
    <w:uiPriority w:val="99"/>
    <w:unhideWhenUsed/>
    <w:rsid w:val="00187A7B"/>
    <w:pPr>
      <w:spacing w:after="0" w:line="240" w:lineRule="auto"/>
      <w:jc w:val="both"/>
    </w:pPr>
    <w:rPr>
      <w:sz w:val="20"/>
      <w:szCs w:val="20"/>
    </w:rPr>
  </w:style>
  <w:style w:type="character" w:customStyle="1" w:styleId="FootnoteTextChar">
    <w:name w:val="Footnote Text Char"/>
    <w:basedOn w:val="DefaultParagraphFont"/>
    <w:link w:val="FootnoteText"/>
    <w:uiPriority w:val="99"/>
    <w:rsid w:val="00187A7B"/>
  </w:style>
  <w:style w:type="character" w:styleId="FootnoteReference">
    <w:name w:val="footnote reference"/>
    <w:uiPriority w:val="99"/>
    <w:unhideWhenUsed/>
    <w:rsid w:val="00187A7B"/>
    <w:rPr>
      <w:vertAlign w:val="superscript"/>
    </w:rPr>
  </w:style>
  <w:style w:type="character" w:styleId="Hyperlink">
    <w:name w:val="Hyperlink"/>
    <w:uiPriority w:val="99"/>
    <w:unhideWhenUsed/>
    <w:rsid w:val="007B2126"/>
    <w:rPr>
      <w:color w:val="0000FF"/>
      <w:u w:val="single"/>
    </w:rPr>
  </w:style>
  <w:style w:type="paragraph" w:customStyle="1" w:styleId="ParaLevel1">
    <w:name w:val="ParaLevel1"/>
    <w:basedOn w:val="Normal"/>
    <w:uiPriority w:val="99"/>
    <w:rsid w:val="00235F78"/>
    <w:pPr>
      <w:numPr>
        <w:numId w:val="5"/>
      </w:numPr>
      <w:suppressAutoHyphens/>
      <w:spacing w:before="240" w:after="240" w:line="240" w:lineRule="auto"/>
      <w:jc w:val="both"/>
      <w:outlineLvl w:val="0"/>
    </w:pPr>
    <w:rPr>
      <w:rFonts w:ascii="Times New Roman" w:eastAsia="Times New Roman" w:hAnsi="Times New Roman"/>
      <w:sz w:val="24"/>
      <w:szCs w:val="20"/>
    </w:rPr>
  </w:style>
  <w:style w:type="paragraph" w:customStyle="1" w:styleId="ParaLevel3">
    <w:name w:val="ParaLevel3"/>
    <w:basedOn w:val="Normal"/>
    <w:uiPriority w:val="99"/>
    <w:rsid w:val="00235F78"/>
    <w:pPr>
      <w:numPr>
        <w:ilvl w:val="2"/>
        <w:numId w:val="5"/>
      </w:numPr>
      <w:suppressAutoHyphens/>
      <w:spacing w:before="240" w:after="240" w:line="240" w:lineRule="auto"/>
      <w:jc w:val="both"/>
      <w:outlineLvl w:val="2"/>
    </w:pPr>
    <w:rPr>
      <w:rFonts w:ascii="Times New Roman" w:eastAsia="Times New Roman" w:hAnsi="Times New Roman"/>
      <w:sz w:val="24"/>
      <w:szCs w:val="20"/>
    </w:rPr>
  </w:style>
  <w:style w:type="paragraph" w:customStyle="1" w:styleId="ParaLevel4">
    <w:name w:val="ParaLevel4"/>
    <w:basedOn w:val="Normal"/>
    <w:uiPriority w:val="99"/>
    <w:rsid w:val="00235F78"/>
    <w:pPr>
      <w:numPr>
        <w:ilvl w:val="3"/>
        <w:numId w:val="5"/>
      </w:numPr>
      <w:suppressAutoHyphens/>
      <w:spacing w:before="240" w:after="240" w:line="240" w:lineRule="auto"/>
      <w:jc w:val="both"/>
      <w:outlineLvl w:val="3"/>
    </w:pPr>
    <w:rPr>
      <w:rFonts w:ascii="Times New Roman" w:eastAsia="Times New Roman" w:hAnsi="Times New Roman"/>
      <w:sz w:val="24"/>
      <w:szCs w:val="20"/>
    </w:rPr>
  </w:style>
  <w:style w:type="paragraph" w:customStyle="1" w:styleId="ParaLevel5">
    <w:name w:val="ParaLevel5"/>
    <w:basedOn w:val="Normal"/>
    <w:uiPriority w:val="99"/>
    <w:rsid w:val="00235F78"/>
    <w:pPr>
      <w:numPr>
        <w:ilvl w:val="4"/>
        <w:numId w:val="5"/>
      </w:numPr>
      <w:suppressAutoHyphens/>
      <w:spacing w:before="240" w:after="240" w:line="240" w:lineRule="auto"/>
      <w:jc w:val="both"/>
      <w:outlineLvl w:val="4"/>
    </w:pPr>
    <w:rPr>
      <w:rFonts w:ascii="Times New Roman" w:eastAsia="Times New Roman" w:hAnsi="Times New Roman"/>
      <w:sz w:val="24"/>
      <w:szCs w:val="20"/>
    </w:rPr>
  </w:style>
  <w:style w:type="paragraph" w:customStyle="1" w:styleId="ParaLevel6">
    <w:name w:val="ParaLevel6"/>
    <w:basedOn w:val="Normal"/>
    <w:uiPriority w:val="99"/>
    <w:rsid w:val="00235F78"/>
    <w:pPr>
      <w:numPr>
        <w:ilvl w:val="5"/>
        <w:numId w:val="5"/>
      </w:numPr>
      <w:suppressAutoHyphens/>
      <w:spacing w:before="240" w:after="240" w:line="240" w:lineRule="auto"/>
      <w:jc w:val="both"/>
      <w:outlineLvl w:val="5"/>
    </w:pPr>
    <w:rPr>
      <w:rFonts w:ascii="Times New Roman" w:eastAsia="Times New Roman" w:hAnsi="Times New Roman"/>
      <w:sz w:val="24"/>
      <w:szCs w:val="20"/>
    </w:rPr>
  </w:style>
  <w:style w:type="paragraph" w:customStyle="1" w:styleId="ParaLevel7">
    <w:name w:val="ParaLevel7"/>
    <w:basedOn w:val="Normal"/>
    <w:uiPriority w:val="99"/>
    <w:rsid w:val="00235F78"/>
    <w:pPr>
      <w:numPr>
        <w:ilvl w:val="6"/>
        <w:numId w:val="5"/>
      </w:numPr>
      <w:suppressAutoHyphens/>
      <w:spacing w:before="240" w:after="240" w:line="240" w:lineRule="auto"/>
      <w:jc w:val="both"/>
      <w:outlineLvl w:val="6"/>
    </w:pPr>
    <w:rPr>
      <w:rFonts w:ascii="Times New Roman" w:eastAsia="Times New Roman" w:hAnsi="Times New Roman"/>
      <w:sz w:val="24"/>
      <w:szCs w:val="20"/>
    </w:rPr>
  </w:style>
  <w:style w:type="paragraph" w:customStyle="1" w:styleId="ParaLevel8">
    <w:name w:val="ParaLevel8"/>
    <w:basedOn w:val="Normal"/>
    <w:uiPriority w:val="99"/>
    <w:rsid w:val="00235F78"/>
    <w:pPr>
      <w:numPr>
        <w:ilvl w:val="7"/>
        <w:numId w:val="5"/>
      </w:numPr>
      <w:suppressAutoHyphens/>
      <w:spacing w:before="240" w:after="240" w:line="240" w:lineRule="auto"/>
      <w:jc w:val="both"/>
      <w:outlineLvl w:val="7"/>
    </w:pPr>
    <w:rPr>
      <w:rFonts w:ascii="Times New Roman" w:eastAsia="Times New Roman" w:hAnsi="Times New Roman"/>
      <w:sz w:val="24"/>
      <w:szCs w:val="20"/>
    </w:rPr>
  </w:style>
  <w:style w:type="paragraph" w:customStyle="1" w:styleId="ParaLevel9">
    <w:name w:val="ParaLevel9"/>
    <w:basedOn w:val="Normal"/>
    <w:uiPriority w:val="99"/>
    <w:rsid w:val="00235F78"/>
    <w:pPr>
      <w:numPr>
        <w:ilvl w:val="8"/>
        <w:numId w:val="5"/>
      </w:numPr>
      <w:suppressAutoHyphens/>
      <w:spacing w:before="240" w:after="240" w:line="240" w:lineRule="auto"/>
      <w:jc w:val="both"/>
      <w:outlineLvl w:val="8"/>
    </w:pPr>
    <w:rPr>
      <w:rFonts w:ascii="Times New Roman" w:eastAsia="Times New Roman" w:hAnsi="Times New Roman"/>
      <w:sz w:val="24"/>
      <w:szCs w:val="20"/>
    </w:rPr>
  </w:style>
  <w:style w:type="character" w:customStyle="1" w:styleId="ColorfulList-Accent1Char">
    <w:name w:val="Colorful List - Accent 1 Char"/>
    <w:link w:val="ColorfulList-Accent11"/>
    <w:uiPriority w:val="99"/>
    <w:locked/>
    <w:rsid w:val="00235F78"/>
    <w:rPr>
      <w:sz w:val="22"/>
      <w:szCs w:val="22"/>
    </w:rPr>
  </w:style>
  <w:style w:type="paragraph" w:styleId="NormalWeb">
    <w:name w:val="Normal (Web)"/>
    <w:basedOn w:val="Normal"/>
    <w:uiPriority w:val="99"/>
    <w:unhideWhenUsed/>
    <w:rsid w:val="00107056"/>
    <w:pPr>
      <w:spacing w:before="100" w:beforeAutospacing="1" w:after="100" w:afterAutospacing="1" w:line="240" w:lineRule="auto"/>
    </w:pPr>
    <w:rPr>
      <w:rFonts w:ascii="Times New Roman" w:eastAsia="Times New Roman" w:hAnsi="Times New Roman"/>
      <w:sz w:val="24"/>
      <w:szCs w:val="24"/>
      <w:lang w:eastAsia="en-GB"/>
    </w:rPr>
  </w:style>
  <w:style w:type="character" w:styleId="Emphasis">
    <w:name w:val="Emphasis"/>
    <w:uiPriority w:val="20"/>
    <w:qFormat/>
    <w:rsid w:val="00107056"/>
    <w:rPr>
      <w:i/>
      <w:iCs/>
    </w:rPr>
  </w:style>
  <w:style w:type="character" w:styleId="FollowedHyperlink">
    <w:name w:val="FollowedHyperlink"/>
    <w:uiPriority w:val="99"/>
    <w:semiHidden/>
    <w:unhideWhenUsed/>
    <w:rsid w:val="00056CC0"/>
    <w:rPr>
      <w:color w:val="800080"/>
      <w:u w:val="single"/>
    </w:rPr>
  </w:style>
  <w:style w:type="character" w:customStyle="1" w:styleId="bodytext">
    <w:name w:val="bodytext"/>
    <w:rsid w:val="00056CC0"/>
  </w:style>
  <w:style w:type="table" w:styleId="TableGrid">
    <w:name w:val="Table Grid"/>
    <w:basedOn w:val="TableNormal"/>
    <w:uiPriority w:val="59"/>
    <w:rsid w:val="00046348"/>
    <w:rPr>
      <w:rFonts w:ascii="Cambria" w:eastAsia="MS Mincho" w:hAnsi="Cambria"/>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91A89"/>
    <w:pPr>
      <w:spacing w:after="0" w:line="240" w:lineRule="auto"/>
      <w:ind w:left="720"/>
      <w:contextualSpacing/>
      <w:jc w:val="both"/>
    </w:pPr>
    <w:rPr>
      <w:rFonts w:asciiTheme="minorHAnsi" w:eastAsiaTheme="minorHAnsi" w:hAnsiTheme="minorHAnsi" w:cstheme="minorBidi"/>
    </w:rPr>
  </w:style>
  <w:style w:type="paragraph" w:styleId="Header">
    <w:name w:val="header"/>
    <w:basedOn w:val="Normal"/>
    <w:link w:val="HeaderChar"/>
    <w:uiPriority w:val="99"/>
    <w:unhideWhenUsed/>
    <w:rsid w:val="00CA4A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4ADE"/>
    <w:rPr>
      <w:sz w:val="22"/>
      <w:szCs w:val="22"/>
      <w:lang w:eastAsia="en-US"/>
    </w:rPr>
  </w:style>
  <w:style w:type="paragraph" w:styleId="Footer">
    <w:name w:val="footer"/>
    <w:basedOn w:val="Normal"/>
    <w:link w:val="FooterChar"/>
    <w:uiPriority w:val="99"/>
    <w:unhideWhenUsed/>
    <w:rsid w:val="00CA4A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4ADE"/>
    <w:rPr>
      <w:sz w:val="22"/>
      <w:szCs w:val="22"/>
      <w:lang w:eastAsia="en-US"/>
    </w:rPr>
  </w:style>
  <w:style w:type="paragraph" w:styleId="BalloonText">
    <w:name w:val="Balloon Text"/>
    <w:basedOn w:val="Normal"/>
    <w:link w:val="BalloonTextChar"/>
    <w:uiPriority w:val="99"/>
    <w:semiHidden/>
    <w:unhideWhenUsed/>
    <w:rsid w:val="00841C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1C55"/>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871551">
      <w:bodyDiv w:val="1"/>
      <w:marLeft w:val="0"/>
      <w:marRight w:val="0"/>
      <w:marTop w:val="0"/>
      <w:marBottom w:val="0"/>
      <w:divBdr>
        <w:top w:val="none" w:sz="0" w:space="0" w:color="auto"/>
        <w:left w:val="none" w:sz="0" w:space="0" w:color="auto"/>
        <w:bottom w:val="none" w:sz="0" w:space="0" w:color="auto"/>
        <w:right w:val="none" w:sz="0" w:space="0" w:color="auto"/>
      </w:divBdr>
    </w:div>
    <w:div w:id="1897549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www.hammerson.com/about/responsibility/sustainability/" TargetMode="External"/><Relationship Id="rId3" Type="http://schemas.openxmlformats.org/officeDocument/2006/relationships/hyperlink" Target="http://www.taylorwessing.com/hittingthegreenwall/" TargetMode="External"/><Relationship Id="rId7" Type="http://schemas.openxmlformats.org/officeDocument/2006/relationships/hyperlink" Target="http://www.betterbuildingspartnership.co.uk/media/case-studies/" TargetMode="External"/><Relationship Id="rId2" Type="http://schemas.openxmlformats.org/officeDocument/2006/relationships/hyperlink" Target="http://www.betterbuildingspartnership.co.uk/download/bbp-green-lease-toolkit-1.pdf" TargetMode="External"/><Relationship Id="rId1" Type="http://schemas.openxmlformats.org/officeDocument/2006/relationships/hyperlink" Target="http://www.betterbuildingspartnership.co.uk/working-groups/green-leases/green-lease-toolkit/" TargetMode="External"/><Relationship Id="rId6" Type="http://schemas.openxmlformats.org/officeDocument/2006/relationships/hyperlink" Target="http://www1.ipd.com/Pages/DNNPage.aspx?DestUrl=http%3a%2f%2fwww.ipd.com%2fsharepoint.aspx%3fTabId%3d1168" TargetMode="External"/><Relationship Id="rId5" Type="http://schemas.openxmlformats.org/officeDocument/2006/relationships/hyperlink" Target="http://ee.ret.gov.au/green-lease-schedules-gls-government-buildings" TargetMode="External"/><Relationship Id="rId4" Type="http://schemas.openxmlformats.org/officeDocument/2006/relationships/hyperlink" Target="http://www.legalweek.com" TargetMode="External"/><Relationship Id="rId9" Type="http://schemas.openxmlformats.org/officeDocument/2006/relationships/hyperlink" Target="http://www.nyc.gov/html/gbee/html/initiatives/claus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19</Pages>
  <Words>6319</Words>
  <Characters>36020</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42255</CharactersWithSpaces>
  <SharedDoc>false</SharedDoc>
  <HLinks>
    <vt:vector size="54" baseType="variant">
      <vt:variant>
        <vt:i4>8323112</vt:i4>
      </vt:variant>
      <vt:variant>
        <vt:i4>24</vt:i4>
      </vt:variant>
      <vt:variant>
        <vt:i4>0</vt:i4>
      </vt:variant>
      <vt:variant>
        <vt:i4>5</vt:i4>
      </vt:variant>
      <vt:variant>
        <vt:lpwstr>http://www.nyc.gov/html/gbee/html/initiatives/clause.shtml</vt:lpwstr>
      </vt:variant>
      <vt:variant>
        <vt:lpwstr/>
      </vt:variant>
      <vt:variant>
        <vt:i4>1703974</vt:i4>
      </vt:variant>
      <vt:variant>
        <vt:i4>21</vt:i4>
      </vt:variant>
      <vt:variant>
        <vt:i4>0</vt:i4>
      </vt:variant>
      <vt:variant>
        <vt:i4>5</vt:i4>
      </vt:variant>
      <vt:variant>
        <vt:lpwstr>http://www.hammerson.com/about/responsibility/sustainability/</vt:lpwstr>
      </vt:variant>
      <vt:variant>
        <vt:lpwstr/>
      </vt:variant>
      <vt:variant>
        <vt:i4>6291467</vt:i4>
      </vt:variant>
      <vt:variant>
        <vt:i4>18</vt:i4>
      </vt:variant>
      <vt:variant>
        <vt:i4>0</vt:i4>
      </vt:variant>
      <vt:variant>
        <vt:i4>5</vt:i4>
      </vt:variant>
      <vt:variant>
        <vt:lpwstr>http://www.betterbuildingspartnership.co.uk/media/case-studies/</vt:lpwstr>
      </vt:variant>
      <vt:variant>
        <vt:lpwstr/>
      </vt:variant>
      <vt:variant>
        <vt:i4>327687</vt:i4>
      </vt:variant>
      <vt:variant>
        <vt:i4>15</vt:i4>
      </vt:variant>
      <vt:variant>
        <vt:i4>0</vt:i4>
      </vt:variant>
      <vt:variant>
        <vt:i4>5</vt:i4>
      </vt:variant>
      <vt:variant>
        <vt:lpwstr>http://www1.ipd.com/Pages/DNNPage.aspx?DestUrl=http%3a%2f%2fwww.ipd.com%2fsharepoint.aspx%3fTabId%3d1168</vt:lpwstr>
      </vt:variant>
      <vt:variant>
        <vt:lpwstr/>
      </vt:variant>
      <vt:variant>
        <vt:i4>3473481</vt:i4>
      </vt:variant>
      <vt:variant>
        <vt:i4>12</vt:i4>
      </vt:variant>
      <vt:variant>
        <vt:i4>0</vt:i4>
      </vt:variant>
      <vt:variant>
        <vt:i4>5</vt:i4>
      </vt:variant>
      <vt:variant>
        <vt:lpwstr>http://ee.ret.gov.au/green-lease-schedules-gls-government-buildings</vt:lpwstr>
      </vt:variant>
      <vt:variant>
        <vt:lpwstr/>
      </vt:variant>
      <vt:variant>
        <vt:i4>4980743</vt:i4>
      </vt:variant>
      <vt:variant>
        <vt:i4>9</vt:i4>
      </vt:variant>
      <vt:variant>
        <vt:i4>0</vt:i4>
      </vt:variant>
      <vt:variant>
        <vt:i4>5</vt:i4>
      </vt:variant>
      <vt:variant>
        <vt:lpwstr>http://www.legalweek.com</vt:lpwstr>
      </vt:variant>
      <vt:variant>
        <vt:lpwstr/>
      </vt:variant>
      <vt:variant>
        <vt:i4>5636216</vt:i4>
      </vt:variant>
      <vt:variant>
        <vt:i4>6</vt:i4>
      </vt:variant>
      <vt:variant>
        <vt:i4>0</vt:i4>
      </vt:variant>
      <vt:variant>
        <vt:i4>5</vt:i4>
      </vt:variant>
      <vt:variant>
        <vt:lpwstr>http://www.taylorwessing.com/hittingthegreenwall/</vt:lpwstr>
      </vt:variant>
      <vt:variant>
        <vt:lpwstr/>
      </vt:variant>
      <vt:variant>
        <vt:i4>6553718</vt:i4>
      </vt:variant>
      <vt:variant>
        <vt:i4>3</vt:i4>
      </vt:variant>
      <vt:variant>
        <vt:i4>0</vt:i4>
      </vt:variant>
      <vt:variant>
        <vt:i4>5</vt:i4>
      </vt:variant>
      <vt:variant>
        <vt:lpwstr>http://www.betterbuildingspartnership.co.uk/download/bbp-green-lease-toolkit-1.pdf</vt:lpwstr>
      </vt:variant>
      <vt:variant>
        <vt:lpwstr/>
      </vt:variant>
      <vt:variant>
        <vt:i4>458759</vt:i4>
      </vt:variant>
      <vt:variant>
        <vt:i4>0</vt:i4>
      </vt:variant>
      <vt:variant>
        <vt:i4>0</vt:i4>
      </vt:variant>
      <vt:variant>
        <vt:i4>5</vt:i4>
      </vt:variant>
      <vt:variant>
        <vt:lpwstr>http://www.betterbuildingspartnership.co.uk/working-groups/green-leases/green-lease-toolkit/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 Bright</dc:creator>
  <cp:lastModifiedBy>Katie Light</cp:lastModifiedBy>
  <cp:revision>11</cp:revision>
  <cp:lastPrinted>2013-09-12T09:24:00Z</cp:lastPrinted>
  <dcterms:created xsi:type="dcterms:W3CDTF">2014-07-18T12:38:00Z</dcterms:created>
  <dcterms:modified xsi:type="dcterms:W3CDTF">2014-07-18T13:06:00Z</dcterms:modified>
</cp:coreProperties>
</file>