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59" w:rsidRDefault="003F5259" w:rsidP="002727AC">
      <w:pPr>
        <w:pStyle w:val="Heading1"/>
        <w:spacing w:before="0" w:line="360" w:lineRule="auto"/>
      </w:pPr>
      <w:r>
        <w:t>Abstract</w:t>
      </w:r>
    </w:p>
    <w:p w:rsidR="003F5259" w:rsidRDefault="003F5259" w:rsidP="002727AC">
      <w:pPr>
        <w:spacing w:after="0" w:line="360" w:lineRule="auto"/>
        <w:jc w:val="both"/>
      </w:pPr>
      <w:r>
        <w:rPr>
          <w:b/>
        </w:rPr>
        <w:t>Purpose</w:t>
      </w:r>
      <w:r>
        <w:t>:</w:t>
      </w:r>
      <w:r w:rsidRPr="00A66D0E">
        <w:t xml:space="preserve"> </w:t>
      </w:r>
      <w:r>
        <w:t>For</w:t>
      </w:r>
      <w:r w:rsidRPr="00A66D0E">
        <w:t xml:space="preserve"> patients with</w:t>
      </w:r>
      <w:r>
        <w:t xml:space="preserve"> </w:t>
      </w:r>
      <w:r w:rsidRPr="002D69B1">
        <w:t>medial compartment</w:t>
      </w:r>
      <w:r>
        <w:t xml:space="preserve"> arthritis who have</w:t>
      </w:r>
      <w:r w:rsidRPr="00A66D0E">
        <w:t xml:space="preserve"> failed non</w:t>
      </w:r>
      <w:r>
        <w:t>-</w:t>
      </w:r>
      <w:r w:rsidRPr="00A66D0E">
        <w:t>operative treatment</w:t>
      </w:r>
      <w:r w:rsidRPr="004F4D70">
        <w:t xml:space="preserve"> either a total </w:t>
      </w:r>
      <w:r>
        <w:t>knee arthroplasty</w:t>
      </w:r>
      <w:r w:rsidRPr="004F4D70">
        <w:t xml:space="preserve"> (</w:t>
      </w:r>
      <w:r>
        <w:t>TKA</w:t>
      </w:r>
      <w:r w:rsidRPr="004F4D70">
        <w:t xml:space="preserve">) or a unicompartmental </w:t>
      </w:r>
      <w:r>
        <w:t>knee arthroplasty</w:t>
      </w:r>
      <w:r w:rsidRPr="004F4D70">
        <w:t xml:space="preserve"> (</w:t>
      </w:r>
      <w:r>
        <w:t>UKA</w:t>
      </w:r>
      <w:r w:rsidRPr="004F4D70">
        <w:t>) can be undertaken</w:t>
      </w:r>
      <w:r>
        <w:t xml:space="preserve">. This analysis considers how the choice between UKA and TKA affects long-term patient-reported outcome measures (PROMs). </w:t>
      </w:r>
    </w:p>
    <w:p w:rsidR="003F5259" w:rsidRDefault="003F5259" w:rsidP="002727AC">
      <w:pPr>
        <w:spacing w:after="0" w:line="360" w:lineRule="auto"/>
        <w:jc w:val="both"/>
      </w:pPr>
      <w:r w:rsidRPr="004877FA">
        <w:rPr>
          <w:b/>
        </w:rPr>
        <w:t>Methods</w:t>
      </w:r>
      <w:r>
        <w:t xml:space="preserve">: The </w:t>
      </w:r>
      <w:r w:rsidRPr="004F4D70">
        <w:t>Knee Arthroplasty Trial (KAT)</w:t>
      </w:r>
      <w:r>
        <w:t xml:space="preserve"> and a cohort of patients </w:t>
      </w:r>
      <w:r w:rsidRPr="004F4D70">
        <w:t xml:space="preserve">who received a minimally-invasive </w:t>
      </w:r>
      <w:r>
        <w:t>UKA provided data. P</w:t>
      </w:r>
      <w:r w:rsidRPr="009166E8">
        <w:t xml:space="preserve">ropensity score matching was used to identify comparable patients. </w:t>
      </w:r>
      <w:r>
        <w:t>Oxford Knee S</w:t>
      </w:r>
      <w:r w:rsidRPr="009166E8">
        <w:t>core (OKS)</w:t>
      </w:r>
      <w:r>
        <w:t>, its pain and function components,</w:t>
      </w:r>
      <w:r w:rsidRPr="009166E8">
        <w:t xml:space="preserve"> and</w:t>
      </w:r>
      <w:r>
        <w:t xml:space="preserve"> the</w:t>
      </w:r>
      <w:r w:rsidRPr="009166E8">
        <w:t xml:space="preserve"> </w:t>
      </w:r>
      <w:r>
        <w:t>EuroQol 5 Domain (EQ-5D) index, estimated on the basis of OKS responses, were then compared</w:t>
      </w:r>
      <w:r w:rsidRPr="009166E8">
        <w:t xml:space="preserve"> over 10 years following surgery</w:t>
      </w:r>
      <w:r>
        <w:t>.</w:t>
      </w:r>
      <w:r w:rsidRPr="00631143">
        <w:t xml:space="preserve"> </w:t>
      </w:r>
      <w:r>
        <w:t>M</w:t>
      </w:r>
      <w:r w:rsidRPr="009166E8">
        <w:t>ixed-effects regression</w:t>
      </w:r>
      <w:r>
        <w:t>s for repeated measures were used to estimate the effect of patient characteristics and type of surgery on PROMs.</w:t>
      </w:r>
    </w:p>
    <w:p w:rsidR="003F5259" w:rsidRDefault="003F5259" w:rsidP="002727AC">
      <w:pPr>
        <w:spacing w:after="0" w:line="360" w:lineRule="auto"/>
        <w:jc w:val="both"/>
      </w:pPr>
      <w:r w:rsidRPr="004877FA">
        <w:rPr>
          <w:b/>
        </w:rPr>
        <w:t>Results</w:t>
      </w:r>
      <w:r>
        <w:t>:</w:t>
      </w:r>
      <w:r w:rsidRPr="009166E8">
        <w:t xml:space="preserve"> </w:t>
      </w:r>
      <w:r>
        <w:t>Five-hundred and nin</w:t>
      </w:r>
      <w:r w:rsidRPr="00F230BC">
        <w:t>ety</w:t>
      </w:r>
      <w:r>
        <w:t xml:space="preserve"> UKAs were matched to the same number of TKAs. Receiving UKA rather than TKA was found to be associated with better scores for OKS, including both its pain and function components, and EQ-5D, with the differences expected to grow over time. UKA was also associated with an increased likelihood of patients achieving a successful outcome, with an increased chance of attaining minimally </w:t>
      </w:r>
      <w:r w:rsidRPr="0033158C">
        <w:t xml:space="preserve">clinically important </w:t>
      </w:r>
      <w:r>
        <w:t>improvements in both OKS and EQ-5D, and an ‘excellent’ OKS.</w:t>
      </w:r>
      <w:r w:rsidRPr="002639D1">
        <w:t xml:space="preserve"> </w:t>
      </w:r>
      <w:r>
        <w:t>In addition, for both procedures, patients aged between 60 and 70 and better pre-operative scores were associated with better post-operative outcomes.</w:t>
      </w:r>
    </w:p>
    <w:p w:rsidR="003F5259" w:rsidRDefault="003F5259" w:rsidP="001C2A4F">
      <w:pPr>
        <w:spacing w:after="0" w:line="360" w:lineRule="auto"/>
        <w:jc w:val="both"/>
      </w:pPr>
      <w:r w:rsidRPr="004877FA">
        <w:rPr>
          <w:b/>
        </w:rPr>
        <w:t>Conclusion</w:t>
      </w:r>
      <w:r>
        <w:t>:</w:t>
      </w:r>
      <w:r w:rsidRPr="009166E8">
        <w:t xml:space="preserve"> </w:t>
      </w:r>
      <w:r>
        <w:t>Minimally-invasive UKAs performed on patients with the appropriate indications led to better patient-reported pain and function scores than TKAs performed on comparable patients. UKA can lead to better long-term quality-of-life than TKA and this should be considered alongside risk of revision when choosing between the procedures.</w:t>
      </w:r>
    </w:p>
    <w:p w:rsidR="003F5259" w:rsidRDefault="003F5259" w:rsidP="001C2A4F">
      <w:pPr>
        <w:spacing w:after="0" w:line="360" w:lineRule="auto"/>
        <w:jc w:val="both"/>
      </w:pPr>
    </w:p>
    <w:p w:rsidR="003F5259" w:rsidRDefault="003F5259" w:rsidP="00A816F3">
      <w:r>
        <w:t xml:space="preserve">Keywords: </w:t>
      </w:r>
      <w:r w:rsidRPr="00B10702">
        <w:t>Arthroplasty; Knee Replacement; Knee Prosthesis; Knee Osteoarthritis</w:t>
      </w:r>
    </w:p>
    <w:p w:rsidR="003F5259" w:rsidRDefault="003F5259" w:rsidP="001C2A4F">
      <w:pPr>
        <w:spacing w:after="0" w:line="360" w:lineRule="auto"/>
        <w:jc w:val="both"/>
      </w:pPr>
    </w:p>
    <w:p w:rsidR="003F5259" w:rsidRDefault="003F5259" w:rsidP="00F230BC">
      <w:r>
        <w:t>Level of evidence: II</w:t>
      </w:r>
    </w:p>
    <w:p w:rsidR="003F5259" w:rsidRDefault="003F5259" w:rsidP="001C2A4F">
      <w:pPr>
        <w:spacing w:after="0" w:line="360" w:lineRule="auto"/>
        <w:jc w:val="both"/>
      </w:pPr>
    </w:p>
    <w:p w:rsidR="003F5259" w:rsidRPr="00E447DB" w:rsidRDefault="003F5259" w:rsidP="008C0B5D">
      <w:r>
        <w:t>Funding sources: This research did not receive any specific grant from funding agencies in the public, commercial, or not-for-profit sectors.</w:t>
      </w:r>
    </w:p>
    <w:p w:rsidR="003F5259" w:rsidRDefault="003F5259" w:rsidP="001C2A4F">
      <w:pPr>
        <w:spacing w:after="0" w:line="360" w:lineRule="auto"/>
        <w:jc w:val="both"/>
      </w:pPr>
      <w:r>
        <w:br w:type="page"/>
      </w:r>
    </w:p>
    <w:p w:rsidR="003F5259" w:rsidRDefault="003F5259" w:rsidP="00204BE0">
      <w:pPr>
        <w:pStyle w:val="Heading1"/>
        <w:spacing w:before="0" w:line="360" w:lineRule="auto"/>
        <w:jc w:val="both"/>
      </w:pPr>
      <w:r>
        <w:lastRenderedPageBreak/>
        <w:t>Introduction</w:t>
      </w:r>
    </w:p>
    <w:p w:rsidR="003F5259" w:rsidRDefault="003F5259" w:rsidP="00204BE0">
      <w:pPr>
        <w:spacing w:after="0" w:line="360" w:lineRule="auto"/>
        <w:jc w:val="both"/>
      </w:pPr>
      <w:r>
        <w:t>For individuals with end-stage arthritis of the knee, joint replacement relieves pain and improves function.</w:t>
      </w:r>
      <w:r>
        <w:rPr>
          <w:noProof/>
        </w:rPr>
        <w:t>[8]</w:t>
      </w:r>
      <w:r>
        <w:t xml:space="preserve"> In patients with anteromedial arthritis either a total knee arthroplasty (TKA) or a unicompartmental knee arthroplasty (UKA) can be undertaken, where the entire joint or only the affected compartment are replaced respectively.</w:t>
      </w:r>
      <w:r>
        <w:rPr>
          <w:noProof/>
        </w:rPr>
        <w:t>[1,33]</w:t>
      </w:r>
      <w:r>
        <w:t xml:space="preserve"> </w:t>
      </w:r>
    </w:p>
    <w:p w:rsidR="003F5259" w:rsidRDefault="003F5259" w:rsidP="00852B25">
      <w:pPr>
        <w:spacing w:after="0" w:line="360" w:lineRule="auto"/>
        <w:jc w:val="both"/>
      </w:pPr>
      <w:r>
        <w:t>Patient-reported outcome measures (PROMs) capture patients’ perceptions of their own functional status and wellbeing. PROMs can focus on patients’ perceptions of their general health or of health related to specific diseases or conditions.</w:t>
      </w:r>
      <w:r>
        <w:rPr>
          <w:noProof/>
        </w:rPr>
        <w:t>[10]</w:t>
      </w:r>
      <w:r>
        <w:t xml:space="preserve"> While condition-specific measures may be more sensitive, generic measures are required for informing resource allocation decisions across a health system.</w:t>
      </w:r>
      <w:r>
        <w:rPr>
          <w:noProof/>
        </w:rPr>
        <w:t>[15,25]</w:t>
      </w:r>
      <w:r>
        <w:t xml:space="preserve"> Since 2009 PROMs have been routinely collected for all patients receiving a knee arthroplasty funded by the National Health Service (NHS) in England,</w:t>
      </w:r>
      <w:r>
        <w:rPr>
          <w:noProof/>
        </w:rPr>
        <w:t>[12]</w:t>
      </w:r>
      <w:r>
        <w:t xml:space="preserve"> with the condition-specific Oxford Knee Score (OKS) and the generic EuroQol 5 Domain (EQ-5D) recorded pre-operatively and six months post-operatively. After six months UKA has been found to result in better OKS and EQ-5D, with those receiving UKA more likely to achieve the very best outcomes.</w:t>
      </w:r>
      <w:r>
        <w:rPr>
          <w:noProof/>
        </w:rPr>
        <w:t>[29]</w:t>
      </w:r>
      <w:r>
        <w:t xml:space="preserve"> Whether these improvements are maintained in the longer-term, however, is unknown. </w:t>
      </w:r>
    </w:p>
    <w:p w:rsidR="003F5259" w:rsidRDefault="003F5259" w:rsidP="00852B25">
      <w:pPr>
        <w:spacing w:after="0" w:line="360" w:lineRule="auto"/>
        <w:jc w:val="both"/>
      </w:pPr>
      <w:r>
        <w:t>The choice between UKA and TKA is likely to also have long-term implications for patient-reported health outcomes. Whether the observed differences at six months can be expected to be maintained into the future is as yet unclear. The aim of this study was therefore to compare the long-term PROMs of those patients receiving UKA and TKA. These findings will provide important evidence that, along with the existing literature on their revision rates, can inform clinical decision-making when faced with the choice between the alternative procedures.</w:t>
      </w:r>
    </w:p>
    <w:p w:rsidR="003F5259" w:rsidRPr="00A10DAC" w:rsidRDefault="003F5259" w:rsidP="00204BE0">
      <w:pPr>
        <w:pStyle w:val="Heading1"/>
        <w:spacing w:before="0" w:line="360" w:lineRule="auto"/>
        <w:jc w:val="both"/>
      </w:pPr>
      <w:r>
        <w:t xml:space="preserve">MAterials and </w:t>
      </w:r>
      <w:r w:rsidRPr="00A10DAC">
        <w:t>Methods</w:t>
      </w:r>
    </w:p>
    <w:p w:rsidR="003F5259" w:rsidRDefault="003F5259" w:rsidP="00DB5952">
      <w:pPr>
        <w:spacing w:after="0" w:line="360" w:lineRule="auto"/>
        <w:jc w:val="both"/>
      </w:pPr>
      <w:r>
        <w:t xml:space="preserve">Patient-reported outcomes were compared following TKA, reported in the </w:t>
      </w:r>
      <w:r w:rsidRPr="005445C6">
        <w:t>Knee Arthroplasty Trial</w:t>
      </w:r>
      <w:r>
        <w:t xml:space="preserve"> (KAT),</w:t>
      </w:r>
      <w:r>
        <w:rPr>
          <w:noProof/>
        </w:rPr>
        <w:t>[35]</w:t>
      </w:r>
      <w:r>
        <w:t xml:space="preserve"> and UKA, recorded for a cohort of patients who received a minimally-invasive </w:t>
      </w:r>
      <w:r w:rsidRPr="003C4793">
        <w:t xml:space="preserve">medial </w:t>
      </w:r>
      <w:r>
        <w:t>UKA.</w:t>
      </w:r>
      <w:r>
        <w:rPr>
          <w:noProof/>
        </w:rPr>
        <w:t>[36,37]</w:t>
      </w:r>
      <w:r>
        <w:t xml:space="preserve"> Propensity score matching was used to identify comparable patients based on their observed characteristics. OKS, its pain and function component scores,</w:t>
      </w:r>
      <w:r w:rsidRPr="009166E8">
        <w:t xml:space="preserve"> and</w:t>
      </w:r>
      <w:r w:rsidRPr="00DB5952">
        <w:t xml:space="preserve"> </w:t>
      </w:r>
      <w:r>
        <w:t xml:space="preserve">EQ-5D (estimated by a mapping algorithm based on OKS) were compared for the matched patients and mixed-effects </w:t>
      </w:r>
      <w:r w:rsidRPr="009166E8">
        <w:t>regression</w:t>
      </w:r>
      <w:r>
        <w:t>s for repeated measures were used to examine the effect of surgical choice and patient characteristics on PROMs.</w:t>
      </w:r>
    </w:p>
    <w:p w:rsidR="003F5259" w:rsidRDefault="003F5259" w:rsidP="00204BE0">
      <w:pPr>
        <w:pStyle w:val="Heading2"/>
        <w:spacing w:before="0" w:line="360" w:lineRule="auto"/>
        <w:jc w:val="both"/>
      </w:pPr>
      <w:r w:rsidRPr="00C0221F">
        <w:t>Setting</w:t>
      </w:r>
      <w:r>
        <w:t xml:space="preserve"> and participants</w:t>
      </w:r>
    </w:p>
    <w:p w:rsidR="003F5259" w:rsidRDefault="003F5259" w:rsidP="00204BE0">
      <w:pPr>
        <w:spacing w:after="0" w:line="360" w:lineRule="auto"/>
        <w:jc w:val="both"/>
      </w:pPr>
      <w:r>
        <w:t>Data were obtained from two prospective cohorts of patients receiving TKA or UKA in the United Kingdom (UK) in which the authors of this study were involved.</w:t>
      </w:r>
    </w:p>
    <w:p w:rsidR="003F5259" w:rsidRDefault="003F5259" w:rsidP="00204BE0">
      <w:pPr>
        <w:spacing w:after="0" w:line="360" w:lineRule="auto"/>
        <w:jc w:val="both"/>
      </w:pPr>
      <w:r>
        <w:t xml:space="preserve">KAT was a partial factorial, pragmatic, multicentre randomised controlled trial which considered whether or not to resurface the patella during TKA, whether to use a fixed or a mobile tibial bearing, </w:t>
      </w:r>
      <w:r>
        <w:lastRenderedPageBreak/>
        <w:t>and whether to use modular or all-polyethylene tibial components.</w:t>
      </w:r>
      <w:r>
        <w:rPr>
          <w:noProof/>
        </w:rPr>
        <w:t>[35]</w:t>
      </w:r>
      <w:r>
        <w:t xml:space="preserve"> Patients were eligible for inclusion in the trial if a decision had been made to have primary knee arthroplasty surgery but no </w:t>
      </w:r>
      <w:r w:rsidRPr="00DC4E55">
        <w:t>particular type of operation was clearly indicated</w:t>
      </w:r>
      <w:r>
        <w:t xml:space="preserve">, and were randomised between July 1999 and January 2003. While UKA was included in the original design of the trial, this arm was terminated early due to the development of the </w:t>
      </w:r>
      <w:r w:rsidRPr="00CA31BD">
        <w:t>minimally invasive technique for implanti</w:t>
      </w:r>
      <w:r>
        <w:t>ng unicompartmental arthroplasties,</w:t>
      </w:r>
      <w:r>
        <w:rPr>
          <w:noProof/>
        </w:rPr>
        <w:t>[35]</w:t>
      </w:r>
      <w:r>
        <w:t xml:space="preserve"> and these patients were excluded from this analysis. No significant clinical differences were found between the remaining patient groups and so these patients were pooled in this analysis to provide an indication of outcomes following total knee arthroplasty.</w:t>
      </w:r>
    </w:p>
    <w:p w:rsidR="003F5259" w:rsidRDefault="003F5259" w:rsidP="00204BE0">
      <w:pPr>
        <w:spacing w:after="0" w:line="360" w:lineRule="auto"/>
        <w:jc w:val="both"/>
      </w:pPr>
      <w:r>
        <w:t>A separate observational cohort</w:t>
      </w:r>
      <w:r w:rsidRPr="00DC4E55">
        <w:t xml:space="preserve"> </w:t>
      </w:r>
      <w:r>
        <w:t>provided evidence for outcomes following UKA.</w:t>
      </w:r>
      <w:r>
        <w:rPr>
          <w:noProof/>
        </w:rPr>
        <w:t>[36,37]</w:t>
      </w:r>
      <w:r>
        <w:t xml:space="preserve"> These patients received </w:t>
      </w:r>
      <w:r w:rsidRPr="001F2AE6">
        <w:t xml:space="preserve">the first 1000 phase 3 Oxford </w:t>
      </w:r>
      <w:r w:rsidRPr="00FE66BE">
        <w:t xml:space="preserve">medial unicompartmental </w:t>
      </w:r>
      <w:r>
        <w:t xml:space="preserve">knee arthroplasties using a </w:t>
      </w:r>
      <w:r w:rsidRPr="00CA31BD">
        <w:t>minimally invasive technique</w:t>
      </w:r>
      <w:r>
        <w:t xml:space="preserve"> and met the recommended indications for the procedure.</w:t>
      </w:r>
      <w:r>
        <w:rPr>
          <w:noProof/>
        </w:rPr>
        <w:t>[18]</w:t>
      </w:r>
      <w:r>
        <w:t xml:space="preserve"> These procedures were performed by two surgeons with patients </w:t>
      </w:r>
      <w:r w:rsidRPr="0075041F">
        <w:t>followed prospectively in a dedicated research clinic run by independent physiotherapists.</w:t>
      </w:r>
      <w:r>
        <w:t xml:space="preserve"> A total of 818 patients received these arthroplasties with </w:t>
      </w:r>
      <w:r w:rsidRPr="00347E4C">
        <w:t xml:space="preserve">636 </w:t>
      </w:r>
      <w:r>
        <w:t>unilateral and 182 bilateral</w:t>
      </w:r>
      <w:r w:rsidRPr="00347E4C">
        <w:t xml:space="preserve"> </w:t>
      </w:r>
      <w:r>
        <w:t>(</w:t>
      </w:r>
      <w:r w:rsidRPr="00347E4C">
        <w:t xml:space="preserve">22 of </w:t>
      </w:r>
      <w:r>
        <w:t>which were</w:t>
      </w:r>
      <w:r w:rsidRPr="00347E4C">
        <w:t xml:space="preserve"> undertaken simultaneously</w:t>
      </w:r>
      <w:r>
        <w:t>), with knees implanted between June 1998 and March 2009.</w:t>
      </w:r>
    </w:p>
    <w:p w:rsidR="003F5259" w:rsidRDefault="003F5259" w:rsidP="000F7E16">
      <w:pPr>
        <w:spacing w:after="0" w:line="360" w:lineRule="auto"/>
        <w:jc w:val="both"/>
      </w:pPr>
      <w:r>
        <w:t xml:space="preserve">The index operation for all patients was a primary knee arthroplasty, either unicompartmental or total. Patients were included in the analysis if they had OKS recorded pre-operatively and at least once in the </w:t>
      </w:r>
      <w:r w:rsidRPr="00E577CD">
        <w:t>10 years following their procedure</w:t>
      </w:r>
      <w:r>
        <w:t xml:space="preserve">. Outcomes were censored from when patients were lost to follow-up, had a revision or died. </w:t>
      </w:r>
    </w:p>
    <w:p w:rsidR="003F5259" w:rsidRDefault="003F5259" w:rsidP="00204BE0">
      <w:pPr>
        <w:spacing w:after="0" w:line="360" w:lineRule="auto"/>
        <w:jc w:val="both"/>
        <w:rPr>
          <w:b/>
        </w:rPr>
      </w:pPr>
      <w:r w:rsidRPr="006C2AAA">
        <w:rPr>
          <w:b/>
        </w:rPr>
        <w:t xml:space="preserve">Patient-reported outcome measures </w:t>
      </w:r>
      <w:r>
        <w:rPr>
          <w:b/>
        </w:rPr>
        <w:t>and data collection</w:t>
      </w:r>
    </w:p>
    <w:p w:rsidR="003F5259" w:rsidRDefault="003F5259" w:rsidP="00204BE0">
      <w:pPr>
        <w:spacing w:after="0" w:line="360" w:lineRule="auto"/>
        <w:jc w:val="both"/>
        <w:rPr>
          <w:noProof/>
        </w:rPr>
      </w:pPr>
      <w:r>
        <w:t>The Oxford Knee Score (OKS)</w:t>
      </w:r>
      <w:r w:rsidRPr="007B7363">
        <w:t xml:space="preserve"> is a validated questionnaire specifica</w:t>
      </w:r>
      <w:r>
        <w:t>lly developed to assess patient</w:t>
      </w:r>
      <w:r w:rsidRPr="007B7363">
        <w:t>s</w:t>
      </w:r>
      <w:r>
        <w:t>’</w:t>
      </w:r>
      <w:r w:rsidRPr="007B7363">
        <w:t xml:space="preserve"> pain and function status after </w:t>
      </w:r>
      <w:r>
        <w:t>knee arthroplasty.</w:t>
      </w:r>
      <w:r>
        <w:rPr>
          <w:noProof/>
        </w:rPr>
        <w:t>[11]</w:t>
      </w:r>
      <w:r>
        <w:t xml:space="preserve"> The </w:t>
      </w:r>
      <w:r w:rsidRPr="007B7363">
        <w:t>questionnaire</w:t>
      </w:r>
      <w:r>
        <w:t xml:space="preserve"> consists of 12 questions, each with five responses on a Likert scale and scored from 0 (most severe pain or limited function) to 4 (no pain or functional limitation). An overall score ranges </w:t>
      </w:r>
      <w:r w:rsidRPr="00177681">
        <w:t>from 0 to 48, with 48 being the best</w:t>
      </w:r>
      <w:r>
        <w:t>.</w:t>
      </w:r>
      <w:r>
        <w:rPr>
          <w:noProof/>
        </w:rPr>
        <w:t>[34]</w:t>
      </w:r>
      <w:r>
        <w:t xml:space="preserve"> OKS can be disaggregated into a </w:t>
      </w:r>
      <w:r w:rsidRPr="00177681">
        <w:t>'OKS pain component'</w:t>
      </w:r>
      <w:r>
        <w:t xml:space="preserve"> and a </w:t>
      </w:r>
      <w:r w:rsidRPr="00177681">
        <w:t>'OKS functional component'</w:t>
      </w:r>
      <w:r>
        <w:t>,</w:t>
      </w:r>
      <w:r>
        <w:rPr>
          <w:noProof/>
        </w:rPr>
        <w:t>[19]</w:t>
      </w:r>
      <w:r>
        <w:t xml:space="preserve"> with the pain component informed by seven of the questions and the functional component based on the remaining five. The OKS pain component ranges from 0 to 28 while the OKS functional component ranges from 0 to 20, with higher sores indicating less pain and better function, respectively. An overall OKS of above 41 can be considered ‘excellent’, above 34 to 41 as ‘good’, above 27 to 34 as ‘fair’, while 27 or below is a ‘poor’ score.</w:t>
      </w:r>
      <w:r>
        <w:rPr>
          <w:noProof/>
        </w:rPr>
        <w:t xml:space="preserve">[23] Meanwhile, the </w:t>
      </w:r>
      <w:r>
        <w:t>m</w:t>
      </w:r>
      <w:r w:rsidRPr="00652C5D">
        <w:t xml:space="preserve">inimally clinically important </w:t>
      </w:r>
      <w:r>
        <w:t>change in OKS for a patient is 4 points.</w:t>
      </w:r>
      <w:r>
        <w:rPr>
          <w:noProof/>
        </w:rPr>
        <w:t>[5]</w:t>
      </w:r>
    </w:p>
    <w:p w:rsidR="003F5259" w:rsidRDefault="003F5259" w:rsidP="00204BE0">
      <w:pPr>
        <w:spacing w:after="0" w:line="360" w:lineRule="auto"/>
        <w:jc w:val="both"/>
      </w:pPr>
      <w:r>
        <w:t>Within the KAT study, OKS was reported by patients via postal questionnaires prior to surgery,</w:t>
      </w:r>
      <w:r w:rsidRPr="00B05CED">
        <w:t xml:space="preserve"> </w:t>
      </w:r>
      <w:r>
        <w:t>three</w:t>
      </w:r>
      <w:r w:rsidRPr="00DF52B8">
        <w:t xml:space="preserve"> months after the operation, </w:t>
      </w:r>
      <w:r>
        <w:t xml:space="preserve">and </w:t>
      </w:r>
      <w:r w:rsidRPr="00B05CED">
        <w:t>annually thereafter</w:t>
      </w:r>
      <w:r>
        <w:t xml:space="preserve">. Following a postal reminder, any patients who had not returned the questionnaire were contacted </w:t>
      </w:r>
      <w:r w:rsidRPr="00191530">
        <w:t>by telephone</w:t>
      </w:r>
      <w:r w:rsidRPr="00DF52B8">
        <w:t xml:space="preserve"> and offered the option of </w:t>
      </w:r>
      <w:r w:rsidRPr="00DF52B8">
        <w:lastRenderedPageBreak/>
        <w:t>completing the questionnaire over the telephone</w:t>
      </w:r>
      <w:r>
        <w:t xml:space="preserve">. Similarly the Oxford UKA cohort </w:t>
      </w:r>
      <w:r w:rsidRPr="00DF52B8">
        <w:t xml:space="preserve">were sent </w:t>
      </w:r>
      <w:r>
        <w:t xml:space="preserve">OKS </w:t>
      </w:r>
      <w:r w:rsidRPr="00DF52B8">
        <w:t xml:space="preserve">questionnaires pre- and post-surgery, </w:t>
      </w:r>
      <w:r>
        <w:t>and i</w:t>
      </w:r>
      <w:r w:rsidRPr="00DF52B8">
        <w:t>f</w:t>
      </w:r>
      <w:r>
        <w:t xml:space="preserve"> they</w:t>
      </w:r>
      <w:r w:rsidRPr="00DF52B8">
        <w:t xml:space="preserve"> did not return </w:t>
      </w:r>
      <w:r>
        <w:t>a</w:t>
      </w:r>
      <w:r w:rsidRPr="00DF52B8">
        <w:t xml:space="preserve"> questionnaire they were contacted by telephone</w:t>
      </w:r>
      <w:r>
        <w:t xml:space="preserve"> and were able to complete the </w:t>
      </w:r>
      <w:r w:rsidRPr="00DF52B8">
        <w:t>questionnaire</w:t>
      </w:r>
      <w:r>
        <w:t xml:space="preserve"> over the phone. </w:t>
      </w:r>
    </w:p>
    <w:p w:rsidR="003F5259" w:rsidRDefault="003F5259" w:rsidP="00E447DB">
      <w:pPr>
        <w:spacing w:after="0" w:line="360" w:lineRule="auto"/>
        <w:jc w:val="both"/>
      </w:pPr>
      <w:r>
        <w:t xml:space="preserve">EQ-5D is a widely used generic measure of health-related quality-of-life </w:t>
      </w:r>
      <w:r w:rsidRPr="00E447DB">
        <w:t xml:space="preserve">consisting of </w:t>
      </w:r>
      <w:r w:rsidRPr="002D34E3">
        <w:t>five questions on mobility, self-care, pain</w:t>
      </w:r>
      <w:r>
        <w:t>/discomfort</w:t>
      </w:r>
      <w:r w:rsidRPr="002D34E3">
        <w:t>, usual ac</w:t>
      </w:r>
      <w:r>
        <w:t>tivities and anxiety/depression. E</w:t>
      </w:r>
      <w:r w:rsidRPr="002D34E3">
        <w:t xml:space="preserve">ach </w:t>
      </w:r>
      <w:r>
        <w:t>question had</w:t>
      </w:r>
      <w:r w:rsidRPr="002D34E3">
        <w:t xml:space="preserve"> three</w:t>
      </w:r>
      <w:r>
        <w:t xml:space="preserve"> response</w:t>
      </w:r>
      <w:r w:rsidRPr="002D34E3">
        <w:t xml:space="preserve"> levels</w:t>
      </w:r>
      <w:r>
        <w:t xml:space="preserve"> with health state preferences, or utilities, derived for the UK population.</w:t>
      </w:r>
      <w:r>
        <w:rPr>
          <w:noProof/>
        </w:rPr>
        <w:t>[13]</w:t>
      </w:r>
      <w:r w:rsidRPr="008B4F62">
        <w:t xml:space="preserve"> </w:t>
      </w:r>
      <w:r>
        <w:t xml:space="preserve">Utilities indicate </w:t>
      </w:r>
      <w:r w:rsidRPr="008B4F62">
        <w:t>the relative preference that individual</w:t>
      </w:r>
      <w:r>
        <w:t>s</w:t>
      </w:r>
      <w:r w:rsidRPr="008B4F62">
        <w:t xml:space="preserve"> associate wit</w:t>
      </w:r>
      <w:r>
        <w:t xml:space="preserve">h different health states and range from -0.5 to 1, with </w:t>
      </w:r>
      <w:r w:rsidRPr="000527B3">
        <w:t xml:space="preserve">one </w:t>
      </w:r>
      <w:r>
        <w:t>representing perfect health, zero indicating</w:t>
      </w:r>
      <w:r w:rsidRPr="000527B3">
        <w:t xml:space="preserve"> death and negative values </w:t>
      </w:r>
      <w:r>
        <w:t xml:space="preserve">denoting </w:t>
      </w:r>
      <w:r w:rsidRPr="000527B3">
        <w:t>health states worse than death.</w:t>
      </w:r>
      <w:r>
        <w:t xml:space="preserve"> </w:t>
      </w:r>
      <w:r>
        <w:rPr>
          <w:noProof/>
        </w:rPr>
        <w:t xml:space="preserve">The </w:t>
      </w:r>
      <w:r>
        <w:t>m</w:t>
      </w:r>
      <w:r w:rsidRPr="00652C5D">
        <w:t xml:space="preserve">inimally clinically important </w:t>
      </w:r>
      <w:r>
        <w:t>change in EQ-5D is 0.074.</w:t>
      </w:r>
      <w:r>
        <w:rPr>
          <w:noProof/>
        </w:rPr>
        <w:t>[40]</w:t>
      </w:r>
    </w:p>
    <w:p w:rsidR="003F5259" w:rsidRDefault="003F5259" w:rsidP="00E447DB">
      <w:pPr>
        <w:spacing w:after="0" w:line="360" w:lineRule="auto"/>
        <w:jc w:val="both"/>
      </w:pPr>
      <w:r>
        <w:t xml:space="preserve">EQ-5D was not collected for the Oxford UKA cohort and was therefore estimated based on OKS responses, with individuals’ responses to each OKS question used to predict their EQ-5D score via a </w:t>
      </w:r>
      <w:r w:rsidRPr="00191530">
        <w:t>mapping algorithm</w:t>
      </w:r>
      <w:r>
        <w:t>.</w:t>
      </w:r>
      <w:r>
        <w:rPr>
          <w:noProof/>
        </w:rPr>
        <w:t>[9]</w:t>
      </w:r>
      <w:r>
        <w:t xml:space="preserve"> While EQ-5D was collected in KAT alongside OKS, to provide a fair comparison EQ-5D scores were also mapped from OKS responses for KAT patients.</w:t>
      </w:r>
    </w:p>
    <w:p w:rsidR="003F5259" w:rsidRDefault="003F5259" w:rsidP="00E577CD">
      <w:pPr>
        <w:pStyle w:val="Heading2"/>
        <w:spacing w:before="0" w:line="360" w:lineRule="auto"/>
        <w:jc w:val="both"/>
      </w:pPr>
      <w:r>
        <w:t>Confounders</w:t>
      </w:r>
    </w:p>
    <w:p w:rsidR="003F5259" w:rsidRDefault="003F5259" w:rsidP="00AA481A">
      <w:pPr>
        <w:spacing w:after="0" w:line="360" w:lineRule="auto"/>
        <w:jc w:val="both"/>
      </w:pPr>
      <w:r>
        <w:t xml:space="preserve">Age at operation and gender were collected for both KAT and the UKA patients. </w:t>
      </w:r>
      <w:r w:rsidRPr="00882010">
        <w:t>As the association of age on outcome was non-linear, we considered age according to the following</w:t>
      </w:r>
      <w:r>
        <w:t xml:space="preserve"> categories used in the randomis</w:t>
      </w:r>
      <w:r w:rsidRPr="00882010">
        <w:t>ation process in KAT study: less than 60 years; 60 to 69 years; 70-79 years and 80 years or older</w:t>
      </w:r>
      <w:r>
        <w:t xml:space="preserve">. </w:t>
      </w:r>
    </w:p>
    <w:p w:rsidR="003F5259" w:rsidRDefault="003F5259" w:rsidP="00183B28">
      <w:pPr>
        <w:pStyle w:val="Heading2"/>
      </w:pPr>
      <w:r>
        <w:t>Ethical approval</w:t>
      </w:r>
    </w:p>
    <w:p w:rsidR="003F5259" w:rsidRDefault="003F5259" w:rsidP="00AA481A">
      <w:pPr>
        <w:spacing w:after="0" w:line="360" w:lineRule="auto"/>
        <w:jc w:val="both"/>
      </w:pPr>
      <w:r>
        <w:t>KAT received ethics approval from</w:t>
      </w:r>
      <w:r w:rsidRPr="00183B28">
        <w:t xml:space="preserve"> </w:t>
      </w:r>
      <w:r>
        <w:t xml:space="preserve">the </w:t>
      </w:r>
      <w:r w:rsidRPr="00183B28">
        <w:t xml:space="preserve">Multicentre </w:t>
      </w:r>
      <w:r>
        <w:t>Research Ethics Committee for Scotland (ref: MREC/98/0/100). Ethical approval for the follow up of UKA patients was not required under NHS research governance arrangements.</w:t>
      </w:r>
    </w:p>
    <w:p w:rsidR="003F5259" w:rsidRDefault="003F5259" w:rsidP="00AA481A">
      <w:pPr>
        <w:pStyle w:val="Heading2"/>
        <w:spacing w:before="0" w:line="360" w:lineRule="auto"/>
        <w:jc w:val="both"/>
      </w:pPr>
      <w:r w:rsidRPr="00C0221F">
        <w:t>Statistical methods</w:t>
      </w:r>
    </w:p>
    <w:p w:rsidR="003F5259" w:rsidRDefault="003F5259" w:rsidP="00913C92">
      <w:pPr>
        <w:spacing w:after="0" w:line="360" w:lineRule="auto"/>
        <w:jc w:val="both"/>
      </w:pPr>
      <w:r>
        <w:t>Patients receiving a TKA in the KAT trial were expected to differ to those in the UKA cohort thus making any unadjusted comparison between the groups ill-advised. Propensity score matching was therefore used to control for potential selection bias. The matching was generated by a logistic regression with age at procedure, gender, the Oxford Knee Score pain and function components and EQ5D at baseline used as predictors of treatment choice. One-to-one nearest neighbour matching without replacement was then used, with a caliper of 0.2 standard deviations specified within which controls could be drawn.</w:t>
      </w:r>
      <w:r>
        <w:rPr>
          <w:noProof/>
        </w:rPr>
        <w:t>[3]</w:t>
      </w:r>
      <w:r>
        <w:t xml:space="preserve"> Patient characteristics were compared before and after matching, with standardised mean differences used to assess the success of matching (</w:t>
      </w:r>
      <w:r w:rsidRPr="00F066C5">
        <w:t xml:space="preserve">a </w:t>
      </w:r>
      <w:r>
        <w:t xml:space="preserve">standardised mean difference of </w:t>
      </w:r>
      <w:r w:rsidRPr="00F066C5">
        <w:t>less than 0.1 indicate</w:t>
      </w:r>
      <w:r>
        <w:t>s</w:t>
      </w:r>
      <w:r w:rsidRPr="00F066C5">
        <w:t xml:space="preserve"> a negligible difference in the mean of a covariate between treatment groups</w:t>
      </w:r>
      <w:r>
        <w:t>).</w:t>
      </w:r>
      <w:r>
        <w:rPr>
          <w:noProof/>
        </w:rPr>
        <w:t>[2]</w:t>
      </w:r>
    </w:p>
    <w:p w:rsidR="003F5259" w:rsidRDefault="003F5259" w:rsidP="00913C92">
      <w:pPr>
        <w:spacing w:after="0" w:line="360" w:lineRule="auto"/>
        <w:jc w:val="both"/>
      </w:pPr>
      <w:r>
        <w:t xml:space="preserve">Overall OKS, its pain component, its functional component and mapped EQ-5D were compared for the two propensity score matched treatment groups. Mean scores were estimated for each year, and </w:t>
      </w:r>
      <w:r w:rsidRPr="00BF2371">
        <w:t>bias-corrected and accelerated (BCa)</w:t>
      </w:r>
      <w:r>
        <w:t xml:space="preserve"> confidence intervals were estimated through 2,000 bootstraps. </w:t>
      </w:r>
    </w:p>
    <w:p w:rsidR="003F5259" w:rsidRDefault="003F5259" w:rsidP="001F4024">
      <w:pPr>
        <w:spacing w:after="0" w:line="360" w:lineRule="auto"/>
        <w:jc w:val="both"/>
      </w:pPr>
      <w:r>
        <w:lastRenderedPageBreak/>
        <w:t>Mixed effects regressions for repeated measures was used to estimate the effect of treatment choice on outcomes over 10 years</w:t>
      </w:r>
      <w:r w:rsidRPr="008134EF">
        <w:t xml:space="preserve"> </w:t>
      </w:r>
      <w:r>
        <w:t>for the propensity score matched patients, with random intercepts and fixed slope specified. This method takes into account incomplete follow-up data, without any imputation of missing values, and provides valid estimates of treatment effects under the assumption that such data are missing at random. Linear regressions were used with OKS, the OKS pain component, the OKS functional component and mapped EQ-5D as outcomes of interest. Logistic regressions were used to test for the effect of surgical choice on what could be considered as a successful outcome. Regressions were estimated for whether</w:t>
      </w:r>
      <w:r w:rsidRPr="00C27C60">
        <w:t xml:space="preserve"> </w:t>
      </w:r>
      <w:r>
        <w:t xml:space="preserve">post-operative OKS were ‘excellent’ </w:t>
      </w:r>
      <w:r>
        <w:rPr>
          <w:rFonts w:eastAsia="Times New Roman" w:cstheme="minorHAnsi"/>
        </w:rPr>
        <w:t>(&gt;41)</w:t>
      </w:r>
      <w:r>
        <w:t>, ‘excellent’ or ‘good’ (&gt;34), or ‘excellent’, ‘good’ or ‘fair’ (&gt;27),</w:t>
      </w:r>
      <w:r>
        <w:rPr>
          <w:noProof/>
        </w:rPr>
        <w:t>[23]</w:t>
      </w:r>
      <w:r>
        <w:t xml:space="preserve"> whether the difference between post-operative OKS and EQ-5D scores exceeded or was equal to the m</w:t>
      </w:r>
      <w:r w:rsidRPr="00652C5D">
        <w:t xml:space="preserve">inimally clinically important </w:t>
      </w:r>
      <w:r>
        <w:t>difference (4 points for OKS and 0.074 for EQ-5D),</w:t>
      </w:r>
      <w:r>
        <w:rPr>
          <w:noProof/>
        </w:rPr>
        <w:t>[5,40]</w:t>
      </w:r>
      <w:r>
        <w:t xml:space="preserve"> and whether these scores were the same or improved. Each model adjusted for age at operation, gender and baseline PROMs. As baseline PROMs were highly correlated, only the baseline score for the outcome of interest in each model was included. The merit of including interaction terms was tested through a comparison, using ANOVA, of models with and without interaction terms. Statistical significance was set at 5% (p&lt;0.05).</w:t>
      </w:r>
    </w:p>
    <w:p w:rsidR="003F5259" w:rsidRDefault="003F5259" w:rsidP="00BF2371">
      <w:pPr>
        <w:spacing w:after="0" w:line="360" w:lineRule="auto"/>
        <w:jc w:val="both"/>
      </w:pPr>
      <w:r>
        <w:t>Due to inherent differences in study designs, the proportion of missing data could be expected to differ for KAT and the Oxford UKA cohort. If outcomes of those with missing data and those excluded from the analysis differed from those who were included, then findings would be biased. Therefore, the characteristics and outcomes of those eligible for inclusion in the analysis were compared with those who were excluded.</w:t>
      </w:r>
      <w:r w:rsidRPr="00010C29">
        <w:t xml:space="preserve"> </w:t>
      </w:r>
    </w:p>
    <w:p w:rsidR="003F5259" w:rsidRDefault="003F5259" w:rsidP="00913C92">
      <w:pPr>
        <w:spacing w:after="0" w:line="360" w:lineRule="auto"/>
        <w:jc w:val="both"/>
      </w:pPr>
      <w:r>
        <w:t xml:space="preserve">Except for the mapping of Oxford Knee Scores to EQ-5D, which was done in Stata 12 using the </w:t>
      </w:r>
      <w:r>
        <w:rPr>
          <w:rFonts w:cs="Arial"/>
          <w:spacing w:val="2"/>
        </w:rPr>
        <w:t>oks2eq command</w:t>
      </w:r>
      <w:r>
        <w:t>,</w:t>
      </w:r>
      <w:r>
        <w:rPr>
          <w:noProof/>
        </w:rPr>
        <w:t>[38]</w:t>
      </w:r>
      <w:r>
        <w:t xml:space="preserve"> data analysis was undertaken in R 3.3.0. Propensity score matching was implemented using the MatchIt package</w:t>
      </w:r>
      <w:r>
        <w:rPr>
          <w:noProof/>
        </w:rPr>
        <w:t>[20]</w:t>
      </w:r>
      <w:r>
        <w:t xml:space="preserve"> and mixed-effect regressions were implemented using the Lme4 package with the sjPlot used to summarise results.</w:t>
      </w:r>
      <w:r>
        <w:rPr>
          <w:noProof/>
        </w:rPr>
        <w:t>[4,32]</w:t>
      </w:r>
    </w:p>
    <w:p w:rsidR="003F5259" w:rsidRDefault="003F5259" w:rsidP="00E577CD">
      <w:pPr>
        <w:pStyle w:val="Heading2"/>
        <w:spacing w:before="0" w:line="360" w:lineRule="auto"/>
        <w:jc w:val="both"/>
      </w:pPr>
      <w:r>
        <w:t>Sensitivity analysis</w:t>
      </w:r>
    </w:p>
    <w:p w:rsidR="003F5259" w:rsidRDefault="003F5259" w:rsidP="00147699">
      <w:pPr>
        <w:spacing w:after="0" w:line="360" w:lineRule="auto"/>
        <w:jc w:val="both"/>
      </w:pPr>
      <w:r>
        <w:t>Two sensitivity analyses were undertaken to assess how robust the results of the study were to changes in analytic decisions. First the analysis was repeated using an alternative approach to propensity score matching where the requirement that controls could only be drawn from a caliper of 0.2 standard deviations was removed. Second, as knee arthroplasties in the Oxford UKA cohort were performed by two experienced surgeons</w:t>
      </w:r>
      <w:r w:rsidRPr="00147699">
        <w:t xml:space="preserve"> </w:t>
      </w:r>
      <w:r>
        <w:t xml:space="preserve">the analysis was re-run with only knee arthroplasties in KAT done by </w:t>
      </w:r>
      <w:r w:rsidRPr="00111A27">
        <w:t xml:space="preserve">a consultant or </w:t>
      </w:r>
      <w:r>
        <w:t xml:space="preserve">an </w:t>
      </w:r>
      <w:r w:rsidRPr="00111A27">
        <w:t>a</w:t>
      </w:r>
      <w:r>
        <w:t>ssociate specialist included.</w:t>
      </w:r>
    </w:p>
    <w:p w:rsidR="003F5259" w:rsidRPr="00183B28" w:rsidRDefault="003F5259" w:rsidP="00721D77">
      <w:pPr>
        <w:pStyle w:val="Heading2"/>
      </w:pPr>
      <w:r w:rsidRPr="00183B28">
        <w:t>Sample size consideration</w:t>
      </w:r>
    </w:p>
    <w:p w:rsidR="003F5259" w:rsidRDefault="003F5259" w:rsidP="00721D77">
      <w:pPr>
        <w:spacing w:after="0" w:line="360" w:lineRule="auto"/>
        <w:jc w:val="both"/>
      </w:pPr>
      <w:r>
        <w:t xml:space="preserve">Data collection was not designed for this analysis but, rather, data were collected to inform independent considerations of alternative methods of TKA and patient outcomes following minimally-invasive UKA. This analysis made use of all available data which satisfied the inclusion criteria. </w:t>
      </w:r>
    </w:p>
    <w:p w:rsidR="003F5259" w:rsidRDefault="003F5259" w:rsidP="00E577CD">
      <w:pPr>
        <w:pStyle w:val="Heading1"/>
        <w:spacing w:before="0" w:line="360" w:lineRule="auto"/>
        <w:jc w:val="both"/>
      </w:pPr>
      <w:r w:rsidRPr="00C0221F">
        <w:lastRenderedPageBreak/>
        <w:t>Results</w:t>
      </w:r>
    </w:p>
    <w:p w:rsidR="003F5259" w:rsidRDefault="003F5259" w:rsidP="00E577CD">
      <w:pPr>
        <w:pStyle w:val="Heading2"/>
        <w:spacing w:before="0" w:line="360" w:lineRule="auto"/>
        <w:jc w:val="both"/>
      </w:pPr>
      <w:r>
        <w:t>Study participants</w:t>
      </w:r>
    </w:p>
    <w:p w:rsidR="003F5259" w:rsidRDefault="003F5259" w:rsidP="00E447DB">
      <w:pPr>
        <w:spacing w:after="0" w:line="360" w:lineRule="auto"/>
        <w:jc w:val="both"/>
      </w:pPr>
      <w:r>
        <w:t>A flow chart detailing further inclusion/exclusion of patients is presented in Figure 1, with the characteristics of those eligible and ineligible for inclusion are described in Appendix 1. Given the similarity in outcomes between those eligible and ineligible, imputation of missing data was deemed to be unnecessary. Prior to propensity score matching, patients receiving UKA were more likely to be younger, male and to have better health status than those receiving TKA.</w:t>
      </w:r>
      <w:r w:rsidRPr="00B36E41">
        <w:t xml:space="preserve"> </w:t>
      </w:r>
      <w:r>
        <w:t>After propensity score matching, with 590 UKAs matched to 590 TKAs, these characteristics were well-balanced with standardised mean differences less than 0.1. Patient characteristics before and after matching are detailed in Table 1. Twenty-four (4.1%) TKAs and 23 (3.9%) UKAs were revised over the 10 years of follow-up and any patient-reported outcomes following revision were censored from the analysis.</w:t>
      </w:r>
    </w:p>
    <w:p w:rsidR="003F5259" w:rsidRDefault="003F5259" w:rsidP="00231577">
      <w:pPr>
        <w:pStyle w:val="Heading2"/>
        <w:spacing w:before="0" w:line="360" w:lineRule="auto"/>
        <w:jc w:val="both"/>
      </w:pPr>
      <w:r>
        <w:t>Patient-reported outcomes</w:t>
      </w:r>
    </w:p>
    <w:p w:rsidR="003F5259" w:rsidRDefault="003F5259" w:rsidP="005764EC">
      <w:pPr>
        <w:spacing w:after="0" w:line="360" w:lineRule="auto"/>
        <w:jc w:val="both"/>
      </w:pPr>
      <w:r>
        <w:t>At one year following primary surgery, patients who received an UKA reported a mean OKS of 40.3 (95% CI: 39.5 to 41.0) while those who received a TKA reported a mean OKS of 35.9</w:t>
      </w:r>
      <w:r w:rsidRPr="00275C1C">
        <w:t xml:space="preserve"> (</w:t>
      </w:r>
      <w:r>
        <w:t>95% CI: 35.0 to 37.6</w:t>
      </w:r>
      <w:r w:rsidRPr="00275C1C">
        <w:t>)</w:t>
      </w:r>
      <w:r>
        <w:t>.</w:t>
      </w:r>
      <w:r w:rsidRPr="005764EC">
        <w:t xml:space="preserve"> </w:t>
      </w:r>
      <w:r>
        <w:t>Differences persisted over the period of follow-up with those patients who received a UKA reporting a mean OKS of 39.2</w:t>
      </w:r>
      <w:r w:rsidRPr="005764EC">
        <w:t xml:space="preserve"> (</w:t>
      </w:r>
      <w:r>
        <w:t>95% CI: 38.1 to 40.2</w:t>
      </w:r>
      <w:r w:rsidRPr="005764EC">
        <w:t>)</w:t>
      </w:r>
      <w:r>
        <w:t xml:space="preserve"> after 10 years, while those who received a TKA reported a mean OKS of 35.9</w:t>
      </w:r>
      <w:r w:rsidRPr="005764EC">
        <w:t xml:space="preserve"> (</w:t>
      </w:r>
      <w:r>
        <w:t>95% CI: 34.6 to 37.0</w:t>
      </w:r>
      <w:r w:rsidRPr="005764EC">
        <w:t>)</w:t>
      </w:r>
      <w:r>
        <w:t>.</w:t>
      </w:r>
      <w:r w:rsidRPr="00DE1651">
        <w:t xml:space="preserve"> </w:t>
      </w:r>
      <w:r>
        <w:t xml:space="preserve">Appendix 2 shows the mean values of observed OKS, its pain and function components, and the mapped EQ-5D for propensity-score matched UKA and TKA patients with their corresponding bootstrapped confidence intervals. </w:t>
      </w:r>
    </w:p>
    <w:p w:rsidR="003F5259" w:rsidRDefault="003F5259" w:rsidP="009A1966">
      <w:pPr>
        <w:spacing w:after="0" w:line="360" w:lineRule="auto"/>
        <w:jc w:val="both"/>
      </w:pPr>
      <w:r>
        <w:t>Reported s</w:t>
      </w:r>
      <w:r w:rsidRPr="005764EC">
        <w:t xml:space="preserve">cores were better for </w:t>
      </w:r>
      <w:r>
        <w:t>UKA</w:t>
      </w:r>
      <w:r w:rsidRPr="005764EC">
        <w:t xml:space="preserve"> than </w:t>
      </w:r>
      <w:r>
        <w:t>TKA</w:t>
      </w:r>
      <w:r w:rsidRPr="005764EC">
        <w:t xml:space="preserve"> for both the </w:t>
      </w:r>
      <w:r>
        <w:t xml:space="preserve">OKS </w:t>
      </w:r>
      <w:r w:rsidRPr="005764EC">
        <w:t xml:space="preserve">pain </w:t>
      </w:r>
      <w:r>
        <w:t xml:space="preserve">and function </w:t>
      </w:r>
      <w:r w:rsidRPr="005764EC">
        <w:t>component</w:t>
      </w:r>
      <w:r>
        <w:t>s, where higher scores indicate less pain and better function respectively</w:t>
      </w:r>
      <w:r w:rsidRPr="005764EC">
        <w:t>.</w:t>
      </w:r>
      <w:r>
        <w:t xml:space="preserve"> At one year following surgery,</w:t>
      </w:r>
      <w:r w:rsidDel="00DE1651">
        <w:t xml:space="preserve"> </w:t>
      </w:r>
      <w:r>
        <w:t xml:space="preserve">patients with UKA reported on average </w:t>
      </w:r>
      <w:r w:rsidRPr="00A07A3A">
        <w:rPr>
          <w:rFonts w:ascii="Calibri" w:eastAsia="Times New Roman" w:hAnsi="Calibri" w:cs="Times New Roman"/>
          <w:color w:val="000000"/>
          <w:lang w:eastAsia="en-GB"/>
        </w:rPr>
        <w:t xml:space="preserve">23.8 </w:t>
      </w:r>
      <w:r>
        <w:rPr>
          <w:rFonts w:ascii="Calibri" w:eastAsia="Times New Roman" w:hAnsi="Calibri" w:cs="Times New Roman"/>
          <w:color w:val="000000"/>
          <w:lang w:eastAsia="en-GB"/>
        </w:rPr>
        <w:t>(23.3 to 24.2</w:t>
      </w:r>
      <w:r w:rsidRPr="00A07A3A">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the pain component and 16.5 (16.2 to 16.7</w:t>
      </w:r>
      <w:r w:rsidRPr="00A07A3A">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the function component, while TKA patients reported 22.0 (21.5 to 22.5</w:t>
      </w:r>
      <w:r w:rsidRPr="00A07A3A">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the pain component and </w:t>
      </w:r>
      <w:r w:rsidRPr="00A07A3A">
        <w:rPr>
          <w:rFonts w:ascii="Calibri" w:eastAsia="Times New Roman" w:hAnsi="Calibri" w:cs="Times New Roman"/>
          <w:color w:val="000000"/>
          <w:lang w:eastAsia="en-GB"/>
        </w:rPr>
        <w:t>14.</w:t>
      </w:r>
      <w:r>
        <w:rPr>
          <w:rFonts w:ascii="Calibri" w:eastAsia="Times New Roman" w:hAnsi="Calibri" w:cs="Times New Roman"/>
          <w:color w:val="000000"/>
          <w:lang w:eastAsia="en-GB"/>
        </w:rPr>
        <w:t>1</w:t>
      </w:r>
      <w:r w:rsidRPr="00A07A3A">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13.8 to 14.5</w:t>
      </w:r>
      <w:r w:rsidRPr="00A07A3A">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the function component.  After 10 years, scores for UKA patients were 23.6 (22.8 to 24.3</w:t>
      </w:r>
      <w:r w:rsidRPr="009A1966">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for the pain component and 15.3 (14.7 to 15.9</w:t>
      </w:r>
      <w:r w:rsidRPr="009A1966">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for the function component, while TKA patients reported 22.2 (21.5 to 22.9</w:t>
      </w:r>
      <w:r w:rsidRPr="009A1966">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and 13.7 (13.2 to 14.3</w:t>
      </w:r>
      <w:r w:rsidRPr="009A1966">
        <w:rPr>
          <w:rFonts w:ascii="Calibri" w:eastAsia="Times New Roman" w:hAnsi="Calibri" w:cs="Times New Roman"/>
          <w:color w:val="000000"/>
          <w:lang w:eastAsia="en-GB"/>
        </w:rPr>
        <w:t>)</w:t>
      </w:r>
      <w:r>
        <w:rPr>
          <w:rFonts w:ascii="Calibri" w:eastAsia="Times New Roman" w:hAnsi="Calibri" w:cs="Times New Roman"/>
          <w:color w:val="000000"/>
          <w:lang w:eastAsia="en-GB"/>
        </w:rPr>
        <w:t>.</w:t>
      </w:r>
    </w:p>
    <w:p w:rsidR="003F5259" w:rsidRDefault="003F5259" w:rsidP="00231577">
      <w:pPr>
        <w:spacing w:after="0" w:line="360" w:lineRule="auto"/>
        <w:jc w:val="both"/>
      </w:pPr>
      <w:r>
        <w:rPr>
          <w:rFonts w:ascii="Calibri" w:eastAsia="Times New Roman" w:hAnsi="Calibri" w:cs="Times New Roman"/>
          <w:color w:val="000000"/>
          <w:lang w:eastAsia="en-GB"/>
        </w:rPr>
        <w:t xml:space="preserve">EQ-5D, mapped from these OKS scores, were estimated to be on average </w:t>
      </w:r>
      <w:r w:rsidRPr="00A07A3A">
        <w:rPr>
          <w:rFonts w:ascii="Calibri" w:eastAsia="Times New Roman" w:hAnsi="Calibri" w:cs="Times New Roman"/>
          <w:color w:val="000000"/>
          <w:lang w:eastAsia="en-GB"/>
        </w:rPr>
        <w:t>0.82 (0.8</w:t>
      </w:r>
      <w:r>
        <w:rPr>
          <w:rFonts w:ascii="Calibri" w:eastAsia="Times New Roman" w:hAnsi="Calibri" w:cs="Times New Roman"/>
          <w:color w:val="000000"/>
          <w:lang w:eastAsia="en-GB"/>
        </w:rPr>
        <w:t>0</w:t>
      </w:r>
      <w:r w:rsidRPr="00A07A3A">
        <w:rPr>
          <w:rFonts w:ascii="Calibri" w:eastAsia="Times New Roman" w:hAnsi="Calibri" w:cs="Times New Roman"/>
          <w:color w:val="000000"/>
          <w:lang w:eastAsia="en-GB"/>
        </w:rPr>
        <w:t xml:space="preserve"> to 0.83)</w:t>
      </w:r>
      <w:r>
        <w:rPr>
          <w:rFonts w:ascii="Calibri" w:eastAsia="Times New Roman" w:hAnsi="Calibri" w:cs="Times New Roman"/>
          <w:color w:val="000000"/>
          <w:lang w:eastAsia="en-GB"/>
        </w:rPr>
        <w:t xml:space="preserve"> for UKA patients and 0.74 (0.72 to 0.76</w:t>
      </w:r>
      <w:r w:rsidRPr="00A07A3A">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TKA patients at the first year post-surgery. After 10 years EQ-5D for UKA patients were 0.78 (0.76</w:t>
      </w:r>
      <w:r w:rsidRPr="00992232">
        <w:rPr>
          <w:rFonts w:ascii="Calibri" w:eastAsia="Times New Roman" w:hAnsi="Calibri" w:cs="Times New Roman"/>
          <w:color w:val="000000"/>
          <w:lang w:eastAsia="en-GB"/>
        </w:rPr>
        <w:t xml:space="preserve"> to 0.8)</w:t>
      </w:r>
      <w:r>
        <w:rPr>
          <w:rFonts w:ascii="Calibri" w:eastAsia="Times New Roman" w:hAnsi="Calibri" w:cs="Times New Roman"/>
          <w:color w:val="000000"/>
          <w:lang w:eastAsia="en-GB"/>
        </w:rPr>
        <w:t xml:space="preserve"> and 0.74 (0.72 to 0.76</w:t>
      </w:r>
      <w:r w:rsidRPr="00992232">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for TKA. </w:t>
      </w:r>
    </w:p>
    <w:p w:rsidR="003F5259" w:rsidRDefault="003F5259" w:rsidP="00992232">
      <w:pPr>
        <w:pStyle w:val="Heading2"/>
        <w:spacing w:before="0" w:line="360" w:lineRule="auto"/>
        <w:jc w:val="both"/>
      </w:pPr>
      <w:r>
        <w:t>Factors associated with patient-reported outcomes</w:t>
      </w:r>
    </w:p>
    <w:p w:rsidR="003F5259" w:rsidRDefault="003F5259" w:rsidP="00231577">
      <w:pPr>
        <w:spacing w:after="0" w:line="360" w:lineRule="auto"/>
        <w:jc w:val="both"/>
      </w:pPr>
      <w:r>
        <w:t xml:space="preserve">Table 2 summarises the results from the mixed effects linear regressions of OKS, its pain and function components, and mapped EQ-5D scores. A statistically significant interaction was found between surgery and years since surgery for the linear regressions (Figure 2). The provision of UKA rather than TKA was associated with statistically significant increased scores for overall OKS, both of its pain and </w:t>
      </w:r>
      <w:r>
        <w:lastRenderedPageBreak/>
        <w:t xml:space="preserve">function components, and EQ-5D. While all scores for TKA patients are expected to fall over time, UKA scores are expected to fall to a lesser degree or, in the case of the OKS pain component, to improve. Based on regressions of PROMs recorded for year 1 (Appendix 4), the provision of UKA rather than TKA was associated with an additional 4.1 points for OKS (p&lt;0.05), with an additional 1.9 (p&lt;0.05) points in the pain component and 1.6 (p&lt;0.05) for the function component, while EQ-5D was estimated to be higher by 0.06 (p&lt;0.01). At year 10, OKS for UKA was expected to be 4.5 (p&lt;0.05) higher than for TKA, with a difference of 1.7 (p&lt;0.05) for the pain component and 2.1 (p&lt;0.05) for the function component, and EQ-5D was expected to be 0.07 (p&lt;0.05) higher for UKA. Table 3 details the results from the mixed effects logistic regressions on the effect of surgical choice on patient-reported outcomes. The use of UKA was associated with greater odds of achieving a successful outcome. </w:t>
      </w:r>
    </w:p>
    <w:p w:rsidR="003F5259" w:rsidRDefault="003F5259" w:rsidP="00231577">
      <w:pPr>
        <w:spacing w:after="0" w:line="360" w:lineRule="auto"/>
        <w:jc w:val="both"/>
      </w:pPr>
      <w:r>
        <w:t>A number of patient factors were included in the multivariate regressions, with the full model specifications detailed in Appendix 3 and 5. Patients’ aged between 60 and 70 were associated with better OKS and EQ-5D for both UKA and TKA than those aged below 60 (</w:t>
      </w:r>
      <w:r>
        <w:rPr>
          <w:rFonts w:eastAsia="Times New Roman"/>
        </w:rPr>
        <w:t>-1.5, n.s., and -0.03,</w:t>
      </w:r>
      <w:r w:rsidRPr="001C6CC8">
        <w:rPr>
          <w:rFonts w:eastAsia="Times New Roman"/>
        </w:rPr>
        <w:t xml:space="preserve"> </w:t>
      </w:r>
      <w:r>
        <w:rPr>
          <w:rFonts w:eastAsia="Times New Roman"/>
        </w:rPr>
        <w:t xml:space="preserve">p&lt;0.05, respectively), those aged 70 to 80 (-1.4 and -0.03, </w:t>
      </w:r>
      <w:r>
        <w:t>p&lt;0.05</w:t>
      </w:r>
      <w:r>
        <w:rPr>
          <w:rFonts w:eastAsia="Times New Roman"/>
        </w:rPr>
        <w:t>), and those older than 80 (-0.8 and -0.03, n.s.).</w:t>
      </w:r>
      <w:r>
        <w:t xml:space="preserve"> For both UKA and TKA, male gender was associated with a better OKS function component (0.2), but a worse OKS pain component (-0.3) and overall OKS (-0.2) and no difference in EQ-5D, although none of these differences were found to be statistically significant. Better pre-operative scores were associated with better post-operative scores for both OKS (</w:t>
      </w:r>
      <w:r>
        <w:rPr>
          <w:rFonts w:eastAsia="Times New Roman"/>
        </w:rPr>
        <w:t xml:space="preserve">0.4, </w:t>
      </w:r>
      <w:r>
        <w:t>p&lt;0.05</w:t>
      </w:r>
      <w:r>
        <w:rPr>
          <w:rFonts w:eastAsia="Times New Roman"/>
        </w:rPr>
        <w:t xml:space="preserve">), including the pain </w:t>
      </w:r>
      <w:r>
        <w:t>(</w:t>
      </w:r>
      <w:r>
        <w:rPr>
          <w:rFonts w:eastAsia="Times New Roman"/>
        </w:rPr>
        <w:t xml:space="preserve">0.3, </w:t>
      </w:r>
      <w:r>
        <w:t>p&lt;0.05</w:t>
      </w:r>
      <w:r>
        <w:rPr>
          <w:rFonts w:eastAsia="Times New Roman"/>
        </w:rPr>
        <w:t xml:space="preserve">) and function </w:t>
      </w:r>
      <w:r>
        <w:t>(</w:t>
      </w:r>
      <w:r>
        <w:rPr>
          <w:rFonts w:eastAsia="Times New Roman"/>
        </w:rPr>
        <w:t xml:space="preserve">0.5, </w:t>
      </w:r>
      <w:r>
        <w:t>p&lt;0.05</w:t>
      </w:r>
      <w:r>
        <w:rPr>
          <w:rFonts w:eastAsia="Times New Roman"/>
        </w:rPr>
        <w:t xml:space="preserve">) components, </w:t>
      </w:r>
      <w:r>
        <w:t>and EQ-5D (</w:t>
      </w:r>
      <w:r>
        <w:rPr>
          <w:rFonts w:eastAsia="Times New Roman"/>
        </w:rPr>
        <w:t xml:space="preserve">0.27, </w:t>
      </w:r>
      <w:r>
        <w:t>p&lt;0.05</w:t>
      </w:r>
      <w:r>
        <w:rPr>
          <w:rFonts w:eastAsia="Times New Roman"/>
        </w:rPr>
        <w:t>)</w:t>
      </w:r>
      <w:r>
        <w:t xml:space="preserve">. These indicate that, for example, a one point higher score for OKS pre-operatively is associated with on average a 0.4 point higher score post-operatively. </w:t>
      </w:r>
    </w:p>
    <w:p w:rsidR="003F5259" w:rsidRDefault="003F5259" w:rsidP="00231577">
      <w:pPr>
        <w:pStyle w:val="Heading2"/>
        <w:spacing w:before="0" w:line="360" w:lineRule="auto"/>
        <w:jc w:val="both"/>
      </w:pPr>
      <w:r>
        <w:t>Sensitivity analysis</w:t>
      </w:r>
    </w:p>
    <w:p w:rsidR="003F5259" w:rsidRDefault="003F5259" w:rsidP="00231577">
      <w:pPr>
        <w:spacing w:after="0" w:line="360" w:lineRule="auto"/>
        <w:jc w:val="both"/>
      </w:pPr>
      <w:r>
        <w:t>Propensity score matching without the requirement that controls could only be drawn from a caliper of 0.2 standard deviations allowed all 678 eligible UKAs to be included in the analysis. Matched UKA and TKA patients were not well balanced with only gender and age having a standardised mean d</w:t>
      </w:r>
      <w:r w:rsidRPr="00850BBD">
        <w:t>ifference</w:t>
      </w:r>
      <w:r>
        <w:t xml:space="preserve"> of less than 0.1 (see Appendix 6 </w:t>
      </w:r>
      <w:r w:rsidRPr="005D73B1">
        <w:t>Table A.</w:t>
      </w:r>
      <w:r>
        <w:t>6</w:t>
      </w:r>
      <w:r w:rsidRPr="005D73B1">
        <w:t>.1.)</w:t>
      </w:r>
      <w:r>
        <w:t>. The results from the analysis were similar to those in the primary analysis (see Appendix 6 Table A.6.2</w:t>
      </w:r>
      <w:r w:rsidRPr="005D73B1">
        <w:t>)</w:t>
      </w:r>
      <w:r>
        <w:t>.</w:t>
      </w:r>
    </w:p>
    <w:p w:rsidR="003F5259" w:rsidRDefault="003F5259" w:rsidP="00D20314">
      <w:pPr>
        <w:spacing w:after="0" w:line="360" w:lineRule="auto"/>
        <w:jc w:val="both"/>
      </w:pPr>
      <w:r>
        <w:t xml:space="preserve">Only including those knee arthroplasties undertaken by </w:t>
      </w:r>
      <w:r w:rsidRPr="00111A27">
        <w:t>a consultant or a</w:t>
      </w:r>
      <w:r>
        <w:t xml:space="preserve">ssociate specialist in KAT led to </w:t>
      </w:r>
      <w:r>
        <w:rPr>
          <w:rFonts w:ascii="Calibri" w:hAnsi="Calibri"/>
          <w:color w:val="000000"/>
        </w:rPr>
        <w:t>1,428</w:t>
      </w:r>
      <w:r>
        <w:t xml:space="preserve"> KAT patients being eligible for inclusion (see Appendix 7</w:t>
      </w:r>
      <w:r w:rsidRPr="009B4D54">
        <w:t xml:space="preserve"> </w:t>
      </w:r>
      <w:r>
        <w:t>Table A.7.1). After repeating the propensity score matching, this additional restriction did not have any substantial effect on the results of the analysis with the provision of UKA associated with similar improvements in PROMs as found in the base case analysis (see Appendix 7 Table A.7.2).</w:t>
      </w:r>
    </w:p>
    <w:p w:rsidR="003F5259" w:rsidRDefault="003F5259" w:rsidP="006A6890">
      <w:pPr>
        <w:pStyle w:val="Heading1"/>
      </w:pPr>
      <w:r w:rsidRPr="00C0221F">
        <w:lastRenderedPageBreak/>
        <w:t>Discussion</w:t>
      </w:r>
    </w:p>
    <w:p w:rsidR="003F5259" w:rsidRDefault="003F5259" w:rsidP="00E3300E">
      <w:pPr>
        <w:spacing w:after="0" w:line="360" w:lineRule="auto"/>
        <w:jc w:val="both"/>
      </w:pPr>
      <w:r>
        <w:t xml:space="preserve">The most important finding of the study is that those patients who received one of the first </w:t>
      </w:r>
      <w:r w:rsidRPr="001F2AE6">
        <w:t xml:space="preserve">1000 phase 3 Oxford </w:t>
      </w:r>
      <w:r w:rsidRPr="00FE66BE">
        <w:t xml:space="preserve">medial unicompartmental </w:t>
      </w:r>
      <w:r>
        <w:t xml:space="preserve">knee arthroplasties using a </w:t>
      </w:r>
      <w:r w:rsidRPr="00CA31BD">
        <w:t>minimally invasive technique</w:t>
      </w:r>
      <w:r>
        <w:t xml:space="preserve"> have reported better patient-reported outcomes than comparable patients who received a total knee arthroplasty as part of the </w:t>
      </w:r>
      <w:r w:rsidRPr="004F4D70">
        <w:t>Knee Arthroplasty Trial</w:t>
      </w:r>
      <w:r>
        <w:t>. These differences in outcomes were sustained across 10 years following the procedures. While the differences in observed scores decreased over time,</w:t>
      </w:r>
      <w:r w:rsidRPr="00194055">
        <w:t xml:space="preserve"> </w:t>
      </w:r>
      <w:r>
        <w:t xml:space="preserve">after controlling for age, gender and baseline scores using multivariate regression models the differences in outcomes between UKA and TKA are in fact estimated to grow over time. While all scores for TKA patients are expected to fall, UKA scores are expected to fall to a lesser degree or, in the case of the OKS pain component, to improve. </w:t>
      </w:r>
    </w:p>
    <w:p w:rsidR="003F5259" w:rsidRDefault="003F5259" w:rsidP="00E3300E">
      <w:pPr>
        <w:spacing w:after="0" w:line="360" w:lineRule="auto"/>
        <w:jc w:val="both"/>
      </w:pPr>
      <w:r>
        <w:t>The difference in OKS is driven by greater improvements in both its pain and function components.</w:t>
      </w:r>
      <w:r w:rsidRPr="002B5A17">
        <w:t xml:space="preserve"> </w:t>
      </w:r>
      <w:r>
        <w:t xml:space="preserve">As would be expected, given the </w:t>
      </w:r>
      <w:r w:rsidRPr="001B67AB">
        <w:t>effects of normal ageing</w:t>
      </w:r>
      <w:r>
        <w:t>, OKS function component scores fall over time.</w:t>
      </w:r>
      <w:r>
        <w:rPr>
          <w:noProof/>
        </w:rPr>
        <w:t>[21,41]</w:t>
      </w:r>
      <w:r w:rsidRPr="00A55678">
        <w:t xml:space="preserve"> </w:t>
      </w:r>
      <w:r>
        <w:t>However, these reductions in OKS function component scores are more pronounced for TKA patients. In addition, OKS pain component scores, which are less influenced by the aging process,</w:t>
      </w:r>
      <w:r>
        <w:rPr>
          <w:noProof/>
        </w:rPr>
        <w:t>[7]</w:t>
      </w:r>
      <w:r>
        <w:t xml:space="preserve"> diverge with UKA pain scores improving over time while those of TKA worsen. The provision of UKA rather than TKA is also associated with an increased likelihood of a successful outcome, with receiving UKA more likely to achieve the minimally </w:t>
      </w:r>
      <w:r w:rsidRPr="0033158C">
        <w:t xml:space="preserve">clinically important </w:t>
      </w:r>
      <w:r>
        <w:t xml:space="preserve">improvements in both OKS and EQ-5D, and an ‘excellent’ post-operative OKS. </w:t>
      </w:r>
    </w:p>
    <w:p w:rsidR="003F5259" w:rsidRDefault="003F5259" w:rsidP="00FF32A1">
      <w:pPr>
        <w:spacing w:after="0" w:line="360" w:lineRule="auto"/>
        <w:jc w:val="both"/>
      </w:pPr>
      <w:r>
        <w:t>The difference in outcomes estimated here exceeds that observed for routinely-collected NHS PROMs</w:t>
      </w:r>
      <w:r w:rsidRPr="008567A3">
        <w:t xml:space="preserve"> </w:t>
      </w:r>
      <w:r>
        <w:t>after six months, where UKA was associated with an adjusted mean difference of 1.5 for OKS and 0.02 for EQ-5D, and odds ratios of 1.3 for achieving a m</w:t>
      </w:r>
      <w:r w:rsidRPr="00652C5D">
        <w:t xml:space="preserve">inimally clinically important </w:t>
      </w:r>
      <w:r>
        <w:t>difference in OKS and 1.6 for an ‘excellent’ OKS.</w:t>
      </w:r>
      <w:r>
        <w:rPr>
          <w:noProof/>
        </w:rPr>
        <w:t>[29]</w:t>
      </w:r>
      <w:r>
        <w:t xml:space="preserve"> This increased treatment effect is likely due to the characteristics of the UKAs included here, which were performed by surgeons with a high usage and caseload of UKA at a high volume centre, all of which has been found to be associated with better outcomes.</w:t>
      </w:r>
      <w:r>
        <w:rPr>
          <w:noProof/>
        </w:rPr>
        <w:t>[28,30,6]</w:t>
      </w:r>
      <w:r>
        <w:t xml:space="preserve"> </w:t>
      </w:r>
    </w:p>
    <w:p w:rsidR="003F5259" w:rsidRDefault="003F5259" w:rsidP="00FF32A1">
      <w:pPr>
        <w:spacing w:after="0" w:line="360" w:lineRule="auto"/>
        <w:jc w:val="both"/>
      </w:pPr>
      <w:r>
        <w:t>For both the UKA and TKA patients for this analysis, better pre-operative scores are associated with better post-operative OKS. This is consistent with previous research on those receiving both UKA and TKA.</w:t>
      </w:r>
      <w:r>
        <w:rPr>
          <w:noProof/>
        </w:rPr>
        <w:t>[21,22,27]</w:t>
      </w:r>
      <w:r>
        <w:t xml:space="preserve"> </w:t>
      </w:r>
    </w:p>
    <w:p w:rsidR="003F5259" w:rsidRDefault="003F5259" w:rsidP="00FF32A1">
      <w:pPr>
        <w:spacing w:after="0" w:line="360" w:lineRule="auto"/>
        <w:jc w:val="both"/>
      </w:pPr>
      <w:r>
        <w:t>The estimated effects of gender on PROMs are mixed with no statistically significant differences found. Previous findings for the effect of gender are also mixed as while being male has been found to be associated</w:t>
      </w:r>
      <w:r w:rsidRPr="00277B4F">
        <w:t xml:space="preserve"> </w:t>
      </w:r>
      <w:r>
        <w:t>with a lower OKS following</w:t>
      </w:r>
      <w:r w:rsidRPr="00E965BE">
        <w:t xml:space="preserve"> </w:t>
      </w:r>
      <w:r>
        <w:t xml:space="preserve">TKA, with the </w:t>
      </w:r>
      <w:r w:rsidRPr="00E965BE">
        <w:t xml:space="preserve">difference attributed to </w:t>
      </w:r>
      <w:r>
        <w:t>the function component,</w:t>
      </w:r>
      <w:r>
        <w:rPr>
          <w:noProof/>
        </w:rPr>
        <w:t>[22]</w:t>
      </w:r>
      <w:r>
        <w:t xml:space="preserve"> being male has been found to be associated with better scores following UKA.</w:t>
      </w:r>
      <w:r>
        <w:rPr>
          <w:noProof/>
        </w:rPr>
        <w:t>[27]</w:t>
      </w:r>
      <w:r>
        <w:t xml:space="preserve"> </w:t>
      </w:r>
    </w:p>
    <w:p w:rsidR="003F5259" w:rsidRDefault="003F5259" w:rsidP="00704AC3">
      <w:pPr>
        <w:spacing w:after="0" w:line="360" w:lineRule="auto"/>
        <w:jc w:val="both"/>
      </w:pPr>
      <w:r>
        <w:t>PROMs were found in our analysis to be better</w:t>
      </w:r>
      <w:r w:rsidRPr="00E965BE">
        <w:t xml:space="preserve"> for those aged between 60 and 70, with both younger and older patients reporting worse outcomes.</w:t>
      </w:r>
      <w:r>
        <w:t xml:space="preserve"> Previous estimates for the effect of age on outcomes have been mixed, </w:t>
      </w:r>
      <w:r w:rsidRPr="00E965BE">
        <w:t xml:space="preserve">with </w:t>
      </w:r>
      <w:r>
        <w:t>one study finding</w:t>
      </w:r>
      <w:r w:rsidRPr="00E965BE">
        <w:t xml:space="preserve"> no relationship</w:t>
      </w:r>
      <w:r>
        <w:t xml:space="preserve"> </w:t>
      </w:r>
      <w:r>
        <w:rPr>
          <w:noProof/>
        </w:rPr>
        <w:t>[17]</w:t>
      </w:r>
      <w:r w:rsidRPr="00E965BE">
        <w:rPr>
          <w:rFonts w:hint="eastAsia"/>
        </w:rPr>
        <w:t>,</w:t>
      </w:r>
      <w:r w:rsidRPr="00E965BE">
        <w:t xml:space="preserve"> others </w:t>
      </w:r>
      <w:r>
        <w:t>finding</w:t>
      </w:r>
      <w:r w:rsidRPr="00E965BE">
        <w:t xml:space="preserve"> that </w:t>
      </w:r>
      <w:r>
        <w:t xml:space="preserve">older age to be </w:t>
      </w:r>
      <w:r w:rsidRPr="00E965BE">
        <w:t>related with poorer outcomes</w:t>
      </w:r>
      <w:r>
        <w:t>,</w:t>
      </w:r>
      <w:r>
        <w:rPr>
          <w:noProof/>
        </w:rPr>
        <w:t>[14,16,22,24,31]</w:t>
      </w:r>
      <w:r>
        <w:t>, while two others</w:t>
      </w:r>
      <w:r w:rsidRPr="00277B4F">
        <w:t xml:space="preserve"> </w:t>
      </w:r>
      <w:r>
        <w:t xml:space="preserve">found outcomes to peak among </w:t>
      </w:r>
      <w:r>
        <w:lastRenderedPageBreak/>
        <w:t>those aged between 60 and 80 and for those aged 75 respectively.</w:t>
      </w:r>
      <w:r>
        <w:rPr>
          <w:noProof/>
        </w:rPr>
        <w:t>[21,27]</w:t>
      </w:r>
      <w:r>
        <w:t xml:space="preserve"> The findings from this analysis are in line with these latter two studies.</w:t>
      </w:r>
    </w:p>
    <w:p w:rsidR="003F5259" w:rsidRDefault="003F5259" w:rsidP="00BD0898">
      <w:pPr>
        <w:spacing w:after="0" w:line="360" w:lineRule="auto"/>
        <w:jc w:val="both"/>
      </w:pPr>
      <w:r>
        <w:t>This analysis is informed by evidence from two patient cohorts, with KAT providing evidence on outcomes following TKA while a cohort of 1000</w:t>
      </w:r>
      <w:r w:rsidRPr="005445C6">
        <w:t xml:space="preserve"> patients who received a minimally-inv</w:t>
      </w:r>
      <w:r>
        <w:t>asive Phase 3 Oxford medial UKA provide evidence for UKA.  Both studies were rigorously undertaken and a number of publications have reported results from them independently.</w:t>
      </w:r>
      <w:r>
        <w:rPr>
          <w:noProof/>
        </w:rPr>
        <w:t>[35-37]</w:t>
      </w:r>
      <w:r>
        <w:t xml:space="preserve"> PROMs were reported in each study over 10</w:t>
      </w:r>
      <w:r w:rsidRPr="00AD04F3">
        <w:t xml:space="preserve"> years </w:t>
      </w:r>
      <w:r>
        <w:t>following knee arthroplasty and synthesising the studies has allowed us to provide the first, to our knowledge, comparison of long-term p</w:t>
      </w:r>
      <w:r w:rsidRPr="00CD4442">
        <w:t>atient-reported outcome measures</w:t>
      </w:r>
      <w:r>
        <w:t xml:space="preserve"> following UKA and TKA. </w:t>
      </w:r>
    </w:p>
    <w:p w:rsidR="003F5259" w:rsidRDefault="003F5259" w:rsidP="00BD0898">
      <w:pPr>
        <w:spacing w:after="0" w:line="360" w:lineRule="auto"/>
        <w:jc w:val="both"/>
      </w:pPr>
      <w:r>
        <w:t>Patient characteristics differed across the studies, with those in the UKA cohort more likely to be younger, male and to report better pre-operative PROMs. This is consistent with current provision in the NHS.</w:t>
      </w:r>
      <w:r>
        <w:rPr>
          <w:noProof/>
        </w:rPr>
        <w:t>[26,29]</w:t>
      </w:r>
      <w:r>
        <w:t xml:space="preserve"> </w:t>
      </w:r>
      <w:r w:rsidRPr="00914A9F">
        <w:t xml:space="preserve">Propensity score </w:t>
      </w:r>
      <w:r>
        <w:t xml:space="preserve">matching was used here to achieve similar distributions in </w:t>
      </w:r>
      <w:r w:rsidRPr="00D95190">
        <w:t>observed baseline covariates</w:t>
      </w:r>
      <w:r>
        <w:t xml:space="preserve"> so as to minimise potential confounding. However, while differences in observed patient characteristics were minimised, differences may have remained in unobserved characteristics. In particular, patient comorbidities and pre-operative radiographs were not included and although both can be expected to be correlated with baseline PROMs, and so controlled for to some degree, imbalances in these may well remain. Moreover, differences in health care not associated with treatment choice, such as access to physiotherapy, may have existed between the groups.</w:t>
      </w:r>
    </w:p>
    <w:p w:rsidR="003F5259" w:rsidRDefault="003F5259" w:rsidP="00BD0898">
      <w:pPr>
        <w:widowControl w:val="0"/>
        <w:autoSpaceDE w:val="0"/>
        <w:autoSpaceDN w:val="0"/>
        <w:adjustRightInd w:val="0"/>
        <w:spacing w:after="240" w:line="360" w:lineRule="auto"/>
        <w:jc w:val="both"/>
      </w:pPr>
      <w:r>
        <w:t xml:space="preserve">As well as differences in patient characteristics, differences in the characteristics of the surgeons in the two studies could also lead to differences in treatment effects limiting the generalisability of the results. Knee arthroplasties for the Oxford UKA cohort were performed by two experienced surgeons, while those done in KAT were performed by surgeons with a range of experience. Limiting our selection criteria to include only TKAs </w:t>
      </w:r>
      <w:r w:rsidRPr="00A133B3">
        <w:t>undertaken by a consultant or associate specialist in KAT</w:t>
      </w:r>
      <w:r>
        <w:t xml:space="preserve"> did not have any substantial effect on the results of the analysis. It can be expected, however, that if the UKA cohort could be expanded to include low usage surgeons, UKA outcomes would fall.</w:t>
      </w:r>
      <w:r>
        <w:rPr>
          <w:noProof/>
        </w:rPr>
        <w:t>[30]</w:t>
      </w:r>
      <w:r>
        <w:t xml:space="preserve"> </w:t>
      </w:r>
    </w:p>
    <w:p w:rsidR="003F5259" w:rsidRDefault="003F5259" w:rsidP="00BD0898">
      <w:pPr>
        <w:widowControl w:val="0"/>
        <w:autoSpaceDE w:val="0"/>
        <w:autoSpaceDN w:val="0"/>
        <w:adjustRightInd w:val="0"/>
        <w:spacing w:after="240" w:line="360" w:lineRule="auto"/>
        <w:jc w:val="both"/>
      </w:pPr>
      <w:r>
        <w:t>The studies used to inform this analysis also differed in their proportions of missing data. In particular, while 6% of KAT patients were excluded on the basis of missing pre-operative scores, 28% of the Oxford UKA cohort were. These differing rates could lead to bias if missingness was not completely at random. If, for example, those excluded were more likely to have worse outcomes then the estimated effect of UKA would be exaggerated. However, it was observed that excluded patients had similar characteristics at baseline and similar outcomes than included patients. Based on this finding, missing pre-operative OKS are not expected to lead to bias, although they can be expected to have widened the uncertainty surrounding estimates of the effects of patient characteristics and type of surgery.</w:t>
      </w:r>
      <w:r>
        <w:rPr>
          <w:noProof/>
        </w:rPr>
        <w:t>[39]</w:t>
      </w:r>
    </w:p>
    <w:p w:rsidR="003F5259" w:rsidRDefault="003F5259" w:rsidP="002A5F31">
      <w:pPr>
        <w:pStyle w:val="Heading1"/>
        <w:spacing w:before="0" w:line="360" w:lineRule="auto"/>
        <w:jc w:val="both"/>
      </w:pPr>
      <w:r>
        <w:lastRenderedPageBreak/>
        <w:t>Conclusion</w:t>
      </w:r>
    </w:p>
    <w:p w:rsidR="003F5259" w:rsidRDefault="003F5259" w:rsidP="001C3BDF">
      <w:pPr>
        <w:spacing w:after="0" w:line="360" w:lineRule="auto"/>
        <w:jc w:val="both"/>
      </w:pPr>
      <w:r>
        <w:t>Minimally-invasive UKAs performed on patients with the appropriate indications resulted in better patient-reported health outcomes than total knee arthroplasties performed on similar patients.</w:t>
      </w:r>
      <w:r w:rsidRPr="00FF32A1">
        <w:t xml:space="preserve"> </w:t>
      </w:r>
      <w:r>
        <w:t>Differences in patient-reported outcomes were maintained over 10 years demonstrating the long-term impact of the choice of surgical procedure on health outcomes.</w:t>
      </w:r>
    </w:p>
    <w:p w:rsidR="003F5259" w:rsidRDefault="003F5259" w:rsidP="001C3BDF">
      <w:pPr>
        <w:spacing w:after="0" w:line="360" w:lineRule="auto"/>
        <w:jc w:val="both"/>
      </w:pPr>
    </w:p>
    <w:p w:rsidR="003F5259" w:rsidRDefault="003F5259" w:rsidP="001C3BDF">
      <w:pPr>
        <w:spacing w:after="0" w:line="360" w:lineRule="auto"/>
        <w:jc w:val="both"/>
      </w:pPr>
    </w:p>
    <w:p w:rsidR="003F5259" w:rsidRDefault="003F5259" w:rsidP="00A816F3">
      <w:pPr>
        <w:pStyle w:val="Heading1"/>
      </w:pPr>
      <w:r>
        <w:t>Authors' contributions</w:t>
      </w:r>
    </w:p>
    <w:p w:rsidR="003F5259" w:rsidRDefault="003F5259" w:rsidP="00A816F3">
      <w:pPr>
        <w:spacing w:line="360" w:lineRule="auto"/>
      </w:pPr>
      <w:r>
        <w:t>EB, MSS, HP, TH, AL, DM and RPV made substantial contributions to conception and design of the study. EB, MSS, and RPV undertook the statistical analysis and drafted the manuscript with HP, TH, AL and DM revising it for important intellectual content. All authors read and approved the final manuscript.</w:t>
      </w:r>
    </w:p>
    <w:p w:rsidR="003F5259" w:rsidRDefault="003F5259" w:rsidP="00A816F3">
      <w:pPr>
        <w:pStyle w:val="Heading1"/>
      </w:pPr>
      <w:r>
        <w:t>Competing interests</w:t>
      </w:r>
    </w:p>
    <w:p w:rsidR="003F5259" w:rsidRPr="0025659D" w:rsidRDefault="003F5259" w:rsidP="00A816F3">
      <w:pPr>
        <w:spacing w:line="360" w:lineRule="auto"/>
      </w:pPr>
      <w:r>
        <w:t>DM and HP receive research funding in the form of grants paid to the NDORMS, University of Oxford and the Oxford University Hospitals NHS Trust from Zimmer Biomet and Stryker, both of which are manufacturers of orthopaedic implants. DM receives royalties related to the Oxford UKA and consultancy fees from Zimmer Biomet. HP receives consultancy fees from Zimmer Biomet. None of these companies are involved in the funding or conduct of this study. TH, RPV, AL, and EB have no potential conflicts of interest to declare.</w:t>
      </w:r>
      <w:r>
        <w:br w:type="page"/>
      </w:r>
    </w:p>
    <w:p w:rsidR="003F5259" w:rsidRDefault="003F5259" w:rsidP="00463261">
      <w:pPr>
        <w:pStyle w:val="Heading1"/>
        <w:rPr>
          <w:highlight w:val="yellow"/>
        </w:rPr>
      </w:pPr>
      <w:r>
        <w:lastRenderedPageBreak/>
        <w:t>References</w:t>
      </w:r>
    </w:p>
    <w:p w:rsidR="003F5259" w:rsidRPr="00F46D0F" w:rsidRDefault="003F5259" w:rsidP="00F46D0F">
      <w:pPr>
        <w:pStyle w:val="EndNoteBibliography"/>
        <w:spacing w:after="0"/>
        <w:ind w:left="720" w:hanging="720"/>
      </w:pPr>
      <w:r w:rsidRPr="00F46D0F">
        <w:t>1. Ashraf ST, Ackroyd CE, Newman JH (2003) Compartmental knee arthroplasty. Current Orthopaedics 17:134-143.</w:t>
      </w:r>
    </w:p>
    <w:p w:rsidR="003F5259" w:rsidRPr="00F46D0F" w:rsidRDefault="003F5259" w:rsidP="00F46D0F">
      <w:pPr>
        <w:pStyle w:val="EndNoteBibliography"/>
        <w:spacing w:after="0"/>
        <w:ind w:left="720" w:hanging="720"/>
      </w:pPr>
      <w:r w:rsidRPr="00F46D0F">
        <w:t>2. Austin PC (2011) An Introduction to Propensity Score Methods for Reducing the Effects of Confounding in Observational Studies. Multivariate Behav Res 46:399-424.</w:t>
      </w:r>
    </w:p>
    <w:p w:rsidR="003F5259" w:rsidRPr="00F46D0F" w:rsidRDefault="003F5259" w:rsidP="00F46D0F">
      <w:pPr>
        <w:pStyle w:val="EndNoteBibliography"/>
        <w:spacing w:after="0"/>
        <w:ind w:left="720" w:hanging="720"/>
      </w:pPr>
      <w:r w:rsidRPr="00F46D0F">
        <w:t>3. Austin PC (2011) Optimal caliper widths for propensity-score matching when estimating differences in means and differences in proportions in observational studies. Pharm Stat 10:150-161.</w:t>
      </w:r>
    </w:p>
    <w:p w:rsidR="003F5259" w:rsidRPr="00F46D0F" w:rsidRDefault="003F5259" w:rsidP="00F46D0F">
      <w:pPr>
        <w:pStyle w:val="EndNoteBibliography"/>
        <w:spacing w:after="0"/>
        <w:ind w:left="720" w:hanging="720"/>
      </w:pPr>
      <w:r w:rsidRPr="00F46D0F">
        <w:t>4. Bates D, Mächler M, Bolker B, Walker S (2015) Fitting Linear Mixed-Effects Models Usinglme4. Journal of Statistical Software 67.</w:t>
      </w:r>
    </w:p>
    <w:p w:rsidR="003F5259" w:rsidRPr="00F46D0F" w:rsidRDefault="003F5259" w:rsidP="00F46D0F">
      <w:pPr>
        <w:pStyle w:val="EndNoteBibliography"/>
        <w:spacing w:after="0"/>
        <w:ind w:left="720" w:hanging="720"/>
      </w:pPr>
      <w:r w:rsidRPr="00F46D0F">
        <w:t>5. Beard DJ, Harris K, Dawson J, Doll H, Murray DW, Carr AJ, Price AJ (2015) Meaningful changes for the Oxford hip and knee scores after joint replacement surgery. J Clin Epidemiol 68:73-79.</w:t>
      </w:r>
    </w:p>
    <w:p w:rsidR="003F5259" w:rsidRPr="00F46D0F" w:rsidRDefault="003F5259" w:rsidP="00F46D0F">
      <w:pPr>
        <w:pStyle w:val="EndNoteBibliography"/>
        <w:spacing w:after="0"/>
        <w:ind w:left="720" w:hanging="720"/>
      </w:pPr>
      <w:r w:rsidRPr="00F46D0F">
        <w:t>6. Becker R, Argenson JN (2013) Unicondylar knee arthroplasty: what's new? Knee Surg Sports Traumatol Arthrosc 21:2419-2420.</w:t>
      </w:r>
    </w:p>
    <w:p w:rsidR="003F5259" w:rsidRPr="00F46D0F" w:rsidRDefault="003F5259" w:rsidP="00F46D0F">
      <w:pPr>
        <w:pStyle w:val="EndNoteBibliography"/>
        <w:spacing w:after="0"/>
        <w:ind w:left="720" w:hanging="720"/>
      </w:pPr>
      <w:r w:rsidRPr="00F46D0F">
        <w:t>7. Bremner-Smith AT, Ewings P, Weale AE (2004) Knee scores in a 'normal' elderly population. The Knee 11:279-282.</w:t>
      </w:r>
    </w:p>
    <w:p w:rsidR="003F5259" w:rsidRPr="00F46D0F" w:rsidRDefault="003F5259" w:rsidP="00F46D0F">
      <w:pPr>
        <w:pStyle w:val="EndNoteBibliography"/>
        <w:spacing w:after="0"/>
        <w:ind w:left="720" w:hanging="720"/>
      </w:pPr>
      <w:r w:rsidRPr="00F46D0F">
        <w:t>8. Carr AJ, Robertsson O, Graves S, Price AJ, Arden NK, Judge A, Beard DJ (2012) Knee replacement. The Lancet 379:1331-1340.</w:t>
      </w:r>
    </w:p>
    <w:p w:rsidR="003F5259" w:rsidRPr="00F46D0F" w:rsidRDefault="003F5259" w:rsidP="00F46D0F">
      <w:pPr>
        <w:pStyle w:val="EndNoteBibliography"/>
        <w:spacing w:after="0"/>
        <w:ind w:left="720" w:hanging="720"/>
      </w:pPr>
      <w:r w:rsidRPr="00F46D0F">
        <w:t>9. Dakin H, Gray A, Murray D (2013) Mapping analyses to estimate EQ-5D utilities and responses based on Oxford Knee Score. Qual Life Res 22:683-694.</w:t>
      </w:r>
    </w:p>
    <w:p w:rsidR="003F5259" w:rsidRPr="00F46D0F" w:rsidRDefault="003F5259" w:rsidP="00F46D0F">
      <w:pPr>
        <w:pStyle w:val="EndNoteBibliography"/>
        <w:spacing w:after="0"/>
        <w:ind w:left="720" w:hanging="720"/>
      </w:pPr>
      <w:r w:rsidRPr="00F46D0F">
        <w:t>10. Dawson J, Doll H, Fitzpatrick R, Jenkinson C, Carr AJ (2010) The routine use of patient reported outcome measures in healthcare settings. BMJ 340:c186.</w:t>
      </w:r>
    </w:p>
    <w:p w:rsidR="003F5259" w:rsidRPr="00F46D0F" w:rsidRDefault="003F5259" w:rsidP="00F46D0F">
      <w:pPr>
        <w:pStyle w:val="EndNoteBibliography"/>
        <w:spacing w:after="0"/>
        <w:ind w:left="720" w:hanging="720"/>
      </w:pPr>
      <w:r w:rsidRPr="00F46D0F">
        <w:t>11. Dawson J, Fitzpatrick R, Murray D, Carr A (1998) Questionnaire on the perceptions of patients about total knee replacement. Bone &amp; Joint Journal 80-B:63-69.</w:t>
      </w:r>
    </w:p>
    <w:p w:rsidR="003F5259" w:rsidRPr="00F46D0F" w:rsidRDefault="003F5259" w:rsidP="00F46D0F">
      <w:pPr>
        <w:pStyle w:val="EndNoteBibliography"/>
        <w:spacing w:after="0"/>
        <w:ind w:left="720" w:hanging="720"/>
      </w:pPr>
      <w:r w:rsidRPr="00F46D0F">
        <w:t>12. Devlin NJ, Parkin D, Browne J (2010) Patient-reported outcome measures in the NHS: new methods for analysing and reporting EQ-5D data. Health Econ 19:886-905.</w:t>
      </w:r>
    </w:p>
    <w:p w:rsidR="003F5259" w:rsidRPr="00F46D0F" w:rsidRDefault="003F5259" w:rsidP="00F46D0F">
      <w:pPr>
        <w:pStyle w:val="EndNoteBibliography"/>
        <w:spacing w:after="0"/>
        <w:ind w:left="720" w:hanging="720"/>
      </w:pPr>
      <w:r w:rsidRPr="00F46D0F">
        <w:t>13. Dolan P (1997) Modeling valuations for EuroQol health states. Med Care 35:1095-1108.</w:t>
      </w:r>
    </w:p>
    <w:p w:rsidR="003F5259" w:rsidRPr="00F46D0F" w:rsidRDefault="003F5259" w:rsidP="00F46D0F">
      <w:pPr>
        <w:pStyle w:val="EndNoteBibliography"/>
        <w:spacing w:after="0"/>
        <w:ind w:left="720" w:hanging="720"/>
      </w:pPr>
      <w:r w:rsidRPr="00F46D0F">
        <w:t>14. Dowsey MM, Nikpour M, Choong PF (2014) Outcomes following large joint arthroplasty: does socio-economic status matter? BMC musculoskeletal disorders 15:148.</w:t>
      </w:r>
    </w:p>
    <w:p w:rsidR="003F5259" w:rsidRPr="00F46D0F" w:rsidRDefault="003F5259" w:rsidP="00F46D0F">
      <w:pPr>
        <w:pStyle w:val="EndNoteBibliography"/>
        <w:spacing w:after="0"/>
        <w:ind w:left="720" w:hanging="720"/>
      </w:pPr>
      <w:r w:rsidRPr="00F46D0F">
        <w:t>15. Drummond M, McGuire A (2001) Economic Evaluation in Health Care: Merging theory with practice. Oxford University Press, New York.</w:t>
      </w:r>
    </w:p>
    <w:p w:rsidR="003F5259" w:rsidRPr="00F46D0F" w:rsidRDefault="003F5259" w:rsidP="00F46D0F">
      <w:pPr>
        <w:pStyle w:val="EndNoteBibliography"/>
        <w:spacing w:after="0"/>
        <w:ind w:left="720" w:hanging="720"/>
      </w:pPr>
      <w:r w:rsidRPr="00F46D0F">
        <w:t>16. Escobar A, Quintana JM, Bilbao A, Azkarate J, Guenaga JI, Arenaza JC, Gutierrez LF (2007) Effect of patient characteristics on reported outcomes after total knee replacement. Rheumatology (Oxford) 46:112-119.</w:t>
      </w:r>
    </w:p>
    <w:p w:rsidR="003F5259" w:rsidRPr="00F46D0F" w:rsidRDefault="003F5259" w:rsidP="00F46D0F">
      <w:pPr>
        <w:pStyle w:val="EndNoteBibliography"/>
        <w:spacing w:after="0"/>
        <w:ind w:left="720" w:hanging="720"/>
      </w:pPr>
      <w:r w:rsidRPr="00F46D0F">
        <w:t>17. Fortin PR, Clarke AE, Joseph L, Liang MH, Tanzer M, Ferland D, Phillips C, Partridge AJ, Belisle P, Fossel AH, Mahomed N, Sledge CB, Katz JN (1999) Outcomes of total hip and knee replacement: preoperative functional status predicts outcomes at six months after surgery. Arthritis and rheumatism 42:1722-1728.</w:t>
      </w:r>
    </w:p>
    <w:p w:rsidR="003F5259" w:rsidRPr="00F46D0F" w:rsidRDefault="003F5259" w:rsidP="00F46D0F">
      <w:pPr>
        <w:pStyle w:val="EndNoteBibliography"/>
        <w:spacing w:after="0"/>
        <w:ind w:left="720" w:hanging="720"/>
      </w:pPr>
      <w:r w:rsidRPr="00F46D0F">
        <w:t>18. Goodfellow J, Murray D (2006) Unicompartmental Arthroplasty with the Oxford Knee. Oxford University Press.</w:t>
      </w:r>
    </w:p>
    <w:p w:rsidR="003F5259" w:rsidRPr="00F46D0F" w:rsidRDefault="003F5259" w:rsidP="00F46D0F">
      <w:pPr>
        <w:pStyle w:val="EndNoteBibliography"/>
        <w:spacing w:after="0"/>
        <w:ind w:left="720" w:hanging="720"/>
      </w:pPr>
      <w:r w:rsidRPr="00F46D0F">
        <w:t>19. Harris K, Dawson J, Doll H, Field RE, Murray DW, Fitzpatrick R, Jenkinson C, Price AJ, Beard DJ (2013) Can pain and function be distinguished in the Oxford Knee Score in a meaningful way? An exploratory and confirmatory factor analysis. Qual Life Res 22:2561-2568.</w:t>
      </w:r>
    </w:p>
    <w:p w:rsidR="003F5259" w:rsidRPr="00F46D0F" w:rsidRDefault="003F5259" w:rsidP="00F46D0F">
      <w:pPr>
        <w:pStyle w:val="EndNoteBibliography"/>
        <w:spacing w:after="0"/>
        <w:ind w:left="720" w:hanging="720"/>
      </w:pPr>
      <w:r w:rsidRPr="00F46D0F">
        <w:t>20. Ho DE, Imai K, King G, Stuart EA (2011) MatchIt: Nonparametric Preprocessing for Parametric Causal Inference. Journal of Statistical Software 42.</w:t>
      </w:r>
    </w:p>
    <w:p w:rsidR="003F5259" w:rsidRPr="00F46D0F" w:rsidRDefault="003F5259" w:rsidP="00F46D0F">
      <w:pPr>
        <w:pStyle w:val="EndNoteBibliography"/>
        <w:spacing w:after="0"/>
        <w:ind w:left="720" w:hanging="720"/>
      </w:pPr>
      <w:r w:rsidRPr="00F46D0F">
        <w:t>21. Jiang Y, Sanchez-Santos MT, Judge AD, Murray DW, Arden NK (2016) Predictors of Patient-Reported Pain and Functional Outcomes Over 10 Years After Primary Total Knee Arthroplasty: A Prospective Cohort Study. J Arthroplasty.</w:t>
      </w:r>
    </w:p>
    <w:p w:rsidR="003F5259" w:rsidRPr="00F46D0F" w:rsidRDefault="003F5259" w:rsidP="00F46D0F">
      <w:pPr>
        <w:pStyle w:val="EndNoteBibliography"/>
        <w:spacing w:after="0"/>
        <w:ind w:left="720" w:hanging="720"/>
      </w:pPr>
      <w:r w:rsidRPr="00F46D0F">
        <w:t>22. Judge A, Arden NK, Cooper C, Kassim Javaid M, Carr AJ, Field RE, Dieppe PA (2012) Predictors of outcomes of total knee replacement surgery. Rheumatology (Oxford) 51:1804-1813.</w:t>
      </w:r>
    </w:p>
    <w:p w:rsidR="003F5259" w:rsidRPr="00F46D0F" w:rsidRDefault="003F5259" w:rsidP="00F46D0F">
      <w:pPr>
        <w:pStyle w:val="EndNoteBibliography"/>
        <w:spacing w:after="0"/>
        <w:ind w:left="720" w:hanging="720"/>
      </w:pPr>
      <w:r w:rsidRPr="00F46D0F">
        <w:lastRenderedPageBreak/>
        <w:t>23. Kalairajah Y, Azurza K, Hulme C, Molloy S, Drabu KJ (2005) Health outcome measures in the evaluation of total hip arthroplasties--a comparison between the Harris hip score and the Oxford hip score. J Arthroplasty 20:1037-1041.</w:t>
      </w:r>
    </w:p>
    <w:p w:rsidR="003F5259" w:rsidRPr="00F46D0F" w:rsidRDefault="003F5259" w:rsidP="00F46D0F">
      <w:pPr>
        <w:pStyle w:val="EndNoteBibliography"/>
        <w:spacing w:after="0"/>
        <w:ind w:left="720" w:hanging="720"/>
      </w:pPr>
      <w:r w:rsidRPr="00F46D0F">
        <w:t>24. Kane RL, Saleh KJ, Wilt TJ, Bershadsky B (2005) The functional outcomes of total knee arthroplasty. J Bone Joint Surg Am 87:1719-1724.</w:t>
      </w:r>
    </w:p>
    <w:p w:rsidR="003F5259" w:rsidRPr="00F46D0F" w:rsidRDefault="003F5259" w:rsidP="00F46D0F">
      <w:pPr>
        <w:pStyle w:val="EndNoteBibliography"/>
        <w:spacing w:after="0"/>
        <w:ind w:left="720" w:hanging="720"/>
      </w:pPr>
      <w:r w:rsidRPr="00F46D0F">
        <w:t>25. Kind P (2009) Measuring quality of life in evaluating clinical interventions: an overview. Annals of Medicine 33:323-327.</w:t>
      </w:r>
    </w:p>
    <w:p w:rsidR="003F5259" w:rsidRPr="00F46D0F" w:rsidRDefault="003F5259" w:rsidP="00F46D0F">
      <w:pPr>
        <w:pStyle w:val="EndNoteBibliography"/>
        <w:spacing w:after="0"/>
        <w:ind w:left="720" w:hanging="720"/>
      </w:pPr>
      <w:r w:rsidRPr="00F46D0F">
        <w:t>26. Liddle AD, Judge A, Pandit H, Murray DW (2014) Adverse outcomes after total and unicompartmental knee replacement in 101 330 matched patients: a study of data from the National Joint Registry for England and Wales. The Lancet 384:1437-1445.</w:t>
      </w:r>
    </w:p>
    <w:p w:rsidR="003F5259" w:rsidRPr="00F46D0F" w:rsidRDefault="003F5259" w:rsidP="00F46D0F">
      <w:pPr>
        <w:pStyle w:val="EndNoteBibliography"/>
        <w:spacing w:after="0"/>
        <w:ind w:left="720" w:hanging="720"/>
      </w:pPr>
      <w:r w:rsidRPr="00F46D0F">
        <w:t>27. Liddle AD, Judge A, Pandit H, Murray DW (2014) Determinants of revision and functional outcome following unicompartmental knee replacement. Osteoarthritis Cartilage 22:1241-1250.</w:t>
      </w:r>
    </w:p>
    <w:p w:rsidR="003F5259" w:rsidRPr="00F46D0F" w:rsidRDefault="003F5259" w:rsidP="00F46D0F">
      <w:pPr>
        <w:pStyle w:val="EndNoteBibliography"/>
        <w:spacing w:after="0"/>
        <w:ind w:left="720" w:hanging="720"/>
      </w:pPr>
      <w:r w:rsidRPr="00F46D0F">
        <w:t>28. Liddle AD, Pandit H, Judge A, Murray DW (2015) Optimal usage of unicompartmental knee arthroplasty: a study of 41 986 cases from the National Joint Registry for England and Wales. Bone Joint J 97-B:1506-1511.</w:t>
      </w:r>
    </w:p>
    <w:p w:rsidR="003F5259" w:rsidRPr="00F46D0F" w:rsidRDefault="003F5259" w:rsidP="00F46D0F">
      <w:pPr>
        <w:pStyle w:val="EndNoteBibliography"/>
        <w:spacing w:after="0"/>
        <w:ind w:left="720" w:hanging="720"/>
      </w:pPr>
      <w:r w:rsidRPr="00F46D0F">
        <w:t>29. Liddle AD, Pandit H, Judge A, Murray DW (2015) Patient-reported outcomes after total and unicompartmental knee arthroplasty: a study of 14,076 matched patients from the National Joint Registry for England and Wales. Bone Joint J 97-B:793-801.</w:t>
      </w:r>
    </w:p>
    <w:p w:rsidR="003F5259" w:rsidRPr="00F46D0F" w:rsidRDefault="003F5259" w:rsidP="00F46D0F">
      <w:pPr>
        <w:pStyle w:val="EndNoteBibliography"/>
        <w:spacing w:after="0"/>
        <w:ind w:left="720" w:hanging="720"/>
      </w:pPr>
      <w:r w:rsidRPr="00F46D0F">
        <w:t>30. Liddle AD, Pandit H, Judge A, Murray DW (2016) Effect of Surgical Caseload on Revision Rate Following Total and Unicompartmental Knee Replacement. J Bone Joint Surg Am 98:1-8.</w:t>
      </w:r>
    </w:p>
    <w:p w:rsidR="003F5259" w:rsidRPr="00F46D0F" w:rsidRDefault="003F5259" w:rsidP="00F46D0F">
      <w:pPr>
        <w:pStyle w:val="EndNoteBibliography"/>
        <w:spacing w:after="0"/>
        <w:ind w:left="720" w:hanging="720"/>
      </w:pPr>
      <w:r w:rsidRPr="00F46D0F">
        <w:t>31. Lopez-Olivo MA, Landon GC, Siff SJ, Edelstein D, Pak C, Kallen MA, Stanley M, Zhang H, Robinson KC, Suarez-Almazor ME (2011) Psychosocial determinants of outcomes in knee replacement. Annals of the rheumatic diseases 70:1775-1781.</w:t>
      </w:r>
    </w:p>
    <w:p w:rsidR="003F5259" w:rsidRPr="00F46D0F" w:rsidRDefault="003F5259" w:rsidP="00F46D0F">
      <w:pPr>
        <w:pStyle w:val="EndNoteBibliography"/>
        <w:spacing w:after="0"/>
        <w:ind w:left="720" w:hanging="720"/>
      </w:pPr>
      <w:r w:rsidRPr="00F46D0F">
        <w:t xml:space="preserve">32. Lüdecke D (2016) sjPlot: Data Visualization for Statistics in Social Science. </w:t>
      </w:r>
    </w:p>
    <w:p w:rsidR="003F5259" w:rsidRPr="00F46D0F" w:rsidRDefault="003F5259" w:rsidP="00F46D0F">
      <w:pPr>
        <w:pStyle w:val="EndNoteBibliography"/>
        <w:spacing w:after="0"/>
        <w:ind w:left="720" w:hanging="720"/>
      </w:pPr>
      <w:r w:rsidRPr="00F46D0F">
        <w:t>33. Lutzner J, Kasten P, Gunther KP, Kirschner S (2009) Surgical options for patients with osteoarthritis of the knee. Nat Rev Rheumatol 5:309-316.</w:t>
      </w:r>
    </w:p>
    <w:p w:rsidR="003F5259" w:rsidRPr="00F46D0F" w:rsidRDefault="003F5259" w:rsidP="00F46D0F">
      <w:pPr>
        <w:pStyle w:val="EndNoteBibliography"/>
        <w:spacing w:after="0"/>
        <w:ind w:left="720" w:hanging="720"/>
      </w:pPr>
      <w:r w:rsidRPr="00F46D0F">
        <w:t>34. Murray DW, Fitzpatrick R, Rogers K, Pandit H, Beard DJ, Carr AJ, Dawson J (2007) The use of the Oxford hip and knee scores. J Bone Joint Surg Br 89:1010-1014.</w:t>
      </w:r>
    </w:p>
    <w:p w:rsidR="003F5259" w:rsidRPr="00F46D0F" w:rsidRDefault="003F5259" w:rsidP="00F46D0F">
      <w:pPr>
        <w:pStyle w:val="EndNoteBibliography"/>
        <w:spacing w:after="0"/>
        <w:ind w:left="720" w:hanging="720"/>
      </w:pPr>
      <w:r w:rsidRPr="00F46D0F">
        <w:t>35. Murray DW, MacLennan GS, Breeman S, Dakin HA, Johnston L, Campbell MK, Gray AM, Fiddian N, Fitzpatrick R, Morris RW, Grant AM, group KAT (2014) A randomised controlled trial of the clinical effectiveness and cost-effectiveness of different knee prostheses: the Knee Arthroplasty Trial (KAT). Health Technol Assess 18:1-235, vii-viii.</w:t>
      </w:r>
    </w:p>
    <w:p w:rsidR="003F5259" w:rsidRPr="00F46D0F" w:rsidRDefault="003F5259" w:rsidP="00F46D0F">
      <w:pPr>
        <w:pStyle w:val="EndNoteBibliography"/>
        <w:spacing w:after="0"/>
        <w:ind w:left="720" w:hanging="720"/>
      </w:pPr>
      <w:r w:rsidRPr="00F46D0F">
        <w:t>36. Pandit H, Hamilton TW, Jenkins C, Mellon SJ, Dodd CA, Murray DW (2015) The clinical outcome of minimally invasive Phase 3 Oxford unicompartmental knee arthroplasty: a 15-year follow-up of 1000 UKAs. Bone Joint J 97-B:1493-1500.</w:t>
      </w:r>
    </w:p>
    <w:p w:rsidR="003F5259" w:rsidRPr="00F46D0F" w:rsidRDefault="003F5259" w:rsidP="00F46D0F">
      <w:pPr>
        <w:pStyle w:val="EndNoteBibliography"/>
        <w:spacing w:after="0"/>
        <w:ind w:left="720" w:hanging="720"/>
      </w:pPr>
      <w:r w:rsidRPr="00F46D0F">
        <w:t>37. Pandit H, Jenkins C, Gill HS, Barker K, Dodd CA, Murray DW (2011) Minimally invasive Oxford phase 3 unicompartmental knee replacement: results of 1000 cases. J Bone Joint Surg Br 93:198-204.</w:t>
      </w:r>
    </w:p>
    <w:p w:rsidR="003F5259" w:rsidRPr="00F46D0F" w:rsidRDefault="003F5259" w:rsidP="00F46D0F">
      <w:pPr>
        <w:pStyle w:val="EndNoteBibliography"/>
        <w:spacing w:after="0"/>
        <w:ind w:left="720" w:hanging="720"/>
      </w:pPr>
      <w:r w:rsidRPr="00F46D0F">
        <w:t>38. Ramos-Goñi J, Rivero-Arias O, Dakin H (2013) Response mapping to translate health outcomes into the generic health-related quality-of-life instrument EQ-5D: Introducing the mrs2eq and oks2eq commands. Stata Journal 13:474-491.</w:t>
      </w:r>
    </w:p>
    <w:p w:rsidR="003F5259" w:rsidRPr="00F46D0F" w:rsidRDefault="003F5259" w:rsidP="00F46D0F">
      <w:pPr>
        <w:pStyle w:val="EndNoteBibliography"/>
        <w:spacing w:after="0"/>
        <w:ind w:left="720" w:hanging="720"/>
      </w:pPr>
      <w:r w:rsidRPr="00F46D0F">
        <w:t>39. Sterne JA, White IR, Carlin JB, Spratt M, Royston P, Kenward MG, Wood AM, Carpenter JR (2009) Multiple imputation for missing data in epidemiological and clinical research: potential and pitfalls. BMJ 338:b2393.</w:t>
      </w:r>
    </w:p>
    <w:p w:rsidR="003F5259" w:rsidRPr="00F46D0F" w:rsidRDefault="003F5259" w:rsidP="00F46D0F">
      <w:pPr>
        <w:pStyle w:val="EndNoteBibliography"/>
        <w:spacing w:after="0"/>
        <w:ind w:left="720" w:hanging="720"/>
      </w:pPr>
      <w:r w:rsidRPr="00F46D0F">
        <w:t>40. Walters SJ, Brazier JE (2005) Comparison of the minimally important difference for two health state utility measures: EQ-5D and SF-6D. Quality of Life Research 14:1523-1532.</w:t>
      </w:r>
    </w:p>
    <w:p w:rsidR="003F5259" w:rsidRPr="00F46D0F" w:rsidRDefault="003F5259" w:rsidP="00F46D0F">
      <w:pPr>
        <w:pStyle w:val="EndNoteBibliography"/>
        <w:ind w:left="720" w:hanging="720"/>
      </w:pPr>
      <w:r w:rsidRPr="00F46D0F">
        <w:t>41. Williams DP, Blakey CM, Hadfield SG, Murray DW, Price AJ, Field RE (2013) Long-term trends in the Oxford knee score following total knee replacement. Bone Joint J 95-B:45-51.</w:t>
      </w:r>
    </w:p>
    <w:p w:rsidR="003F5259" w:rsidRDefault="003F5259" w:rsidP="008C0B5D">
      <w:pPr>
        <w:pStyle w:val="EndNoteBibliography"/>
        <w:ind w:left="720" w:hanging="720"/>
        <w:sectPr w:rsidR="003F5259" w:rsidSect="005F284E">
          <w:pgSz w:w="11906" w:h="16838"/>
          <w:pgMar w:top="1440" w:right="1440" w:bottom="1440" w:left="1440" w:header="708" w:footer="708" w:gutter="0"/>
          <w:cols w:space="708"/>
          <w:docGrid w:linePitch="360"/>
        </w:sectPr>
      </w:pPr>
    </w:p>
    <w:p w:rsidR="003F5259" w:rsidRPr="00FF50BE" w:rsidRDefault="003F5259" w:rsidP="00D20314">
      <w:pPr>
        <w:pStyle w:val="Heading1"/>
        <w:rPr>
          <w:rFonts w:asciiTheme="minorHAnsi" w:hAnsiTheme="minorHAnsi"/>
          <w:szCs w:val="22"/>
        </w:rPr>
      </w:pPr>
      <w:r w:rsidRPr="00FF50BE">
        <w:rPr>
          <w:rFonts w:asciiTheme="minorHAnsi" w:hAnsiTheme="minorHAnsi"/>
          <w:szCs w:val="22"/>
        </w:rPr>
        <w:lastRenderedPageBreak/>
        <w:t xml:space="preserve">Table 1. </w:t>
      </w:r>
      <w:r>
        <w:rPr>
          <w:rFonts w:asciiTheme="minorHAnsi" w:hAnsiTheme="minorHAnsi"/>
          <w:szCs w:val="22"/>
        </w:rPr>
        <w:t>Patient characteristics before and after matching</w:t>
      </w:r>
    </w:p>
    <w:p w:rsidR="003F5259" w:rsidRPr="00FF50BE" w:rsidRDefault="003F5259" w:rsidP="00D20314"/>
    <w:tbl>
      <w:tblPr>
        <w:tblW w:w="13565" w:type="dxa"/>
        <w:tblLayout w:type="fixed"/>
        <w:tblLook w:val="04A0" w:firstRow="1" w:lastRow="0" w:firstColumn="1" w:lastColumn="0" w:noHBand="0" w:noVBand="1"/>
      </w:tblPr>
      <w:tblGrid>
        <w:gridCol w:w="2093"/>
        <w:gridCol w:w="1893"/>
        <w:gridCol w:w="1910"/>
        <w:gridCol w:w="1771"/>
        <w:gridCol w:w="236"/>
        <w:gridCol w:w="1890"/>
        <w:gridCol w:w="2018"/>
        <w:gridCol w:w="1754"/>
      </w:tblGrid>
      <w:tr w:rsidR="003F5259" w:rsidRPr="00FF50BE" w:rsidTr="00194055">
        <w:trPr>
          <w:trHeight w:val="300"/>
        </w:trPr>
        <w:tc>
          <w:tcPr>
            <w:tcW w:w="2093" w:type="dxa"/>
            <w:shd w:val="clear" w:color="auto" w:fill="auto"/>
            <w:noWrap/>
            <w:vAlign w:val="center"/>
          </w:tcPr>
          <w:p w:rsidR="003F5259" w:rsidRPr="00FF50BE" w:rsidRDefault="003F5259" w:rsidP="00194055">
            <w:pPr>
              <w:spacing w:after="0" w:line="240" w:lineRule="auto"/>
              <w:rPr>
                <w:rFonts w:eastAsia="Times New Roman" w:cs="Times New Roman"/>
                <w:lang w:eastAsia="en-GB"/>
              </w:rPr>
            </w:pPr>
          </w:p>
        </w:tc>
        <w:tc>
          <w:tcPr>
            <w:tcW w:w="1893"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r w:rsidRPr="00FF50BE">
              <w:rPr>
                <w:rFonts w:eastAsia="Times New Roman" w:cs="Times New Roman"/>
                <w:color w:val="000000"/>
                <w:lang w:eastAsia="en-GB"/>
              </w:rPr>
              <w:t>Before matching</w:t>
            </w:r>
          </w:p>
        </w:tc>
        <w:tc>
          <w:tcPr>
            <w:tcW w:w="1910"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p>
        </w:tc>
        <w:tc>
          <w:tcPr>
            <w:tcW w:w="1771"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p>
        </w:tc>
        <w:tc>
          <w:tcPr>
            <w:tcW w:w="236" w:type="dxa"/>
            <w:vAlign w:val="center"/>
          </w:tcPr>
          <w:p w:rsidR="003F5259" w:rsidRPr="00FF50BE" w:rsidRDefault="003F5259" w:rsidP="00194055">
            <w:pPr>
              <w:spacing w:after="0" w:line="240" w:lineRule="auto"/>
              <w:rPr>
                <w:rFonts w:eastAsia="Times New Roman" w:cs="Times New Roman"/>
                <w:color w:val="000000"/>
                <w:lang w:eastAsia="en-GB"/>
              </w:rPr>
            </w:pPr>
          </w:p>
        </w:tc>
        <w:tc>
          <w:tcPr>
            <w:tcW w:w="1890"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r w:rsidRPr="00FF50BE">
              <w:rPr>
                <w:rFonts w:eastAsia="Times New Roman" w:cs="Times New Roman"/>
                <w:color w:val="000000"/>
                <w:lang w:eastAsia="en-GB"/>
              </w:rPr>
              <w:t>After matching</w:t>
            </w:r>
          </w:p>
        </w:tc>
        <w:tc>
          <w:tcPr>
            <w:tcW w:w="2018"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p>
        </w:tc>
        <w:tc>
          <w:tcPr>
            <w:tcW w:w="1754" w:type="dxa"/>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p>
        </w:tc>
      </w:tr>
      <w:tr w:rsidR="003F5259" w:rsidRPr="00FF50BE" w:rsidTr="00194055">
        <w:trPr>
          <w:trHeight w:val="300"/>
        </w:trPr>
        <w:tc>
          <w:tcPr>
            <w:tcW w:w="2093" w:type="dxa"/>
            <w:tcBorders>
              <w:bottom w:val="single" w:sz="4" w:space="0" w:color="auto"/>
            </w:tcBorders>
            <w:shd w:val="clear" w:color="auto" w:fill="auto"/>
            <w:noWrap/>
            <w:vAlign w:val="center"/>
            <w:hideMark/>
          </w:tcPr>
          <w:p w:rsidR="003F5259" w:rsidRPr="00FF50BE" w:rsidRDefault="003F5259" w:rsidP="00194055">
            <w:pPr>
              <w:spacing w:after="0" w:line="240" w:lineRule="auto"/>
              <w:rPr>
                <w:rFonts w:eastAsia="Times New Roman" w:cs="Times New Roman"/>
                <w:lang w:eastAsia="en-GB"/>
              </w:rPr>
            </w:pPr>
          </w:p>
        </w:tc>
        <w:tc>
          <w:tcPr>
            <w:tcW w:w="1893" w:type="dxa"/>
            <w:tcBorders>
              <w:bottom w:val="single" w:sz="4" w:space="0" w:color="auto"/>
            </w:tcBorders>
            <w:shd w:val="clear" w:color="auto" w:fill="auto"/>
            <w:noWrap/>
            <w:vAlign w:val="center"/>
            <w:hideMark/>
          </w:tcPr>
          <w:p w:rsidR="003F5259" w:rsidRPr="00FF50BE" w:rsidRDefault="003F5259" w:rsidP="00194055">
            <w:pPr>
              <w:spacing w:after="0" w:line="240" w:lineRule="auto"/>
              <w:rPr>
                <w:rFonts w:eastAsia="Times New Roman" w:cs="Times New Roman"/>
                <w:color w:val="000000"/>
                <w:lang w:eastAsia="en-GB"/>
              </w:rPr>
            </w:pPr>
            <w:r>
              <w:rPr>
                <w:rFonts w:eastAsia="Times New Roman" w:cs="Times New Roman"/>
                <w:color w:val="000000"/>
                <w:lang w:eastAsia="en-GB"/>
              </w:rPr>
              <w:t>TKA</w:t>
            </w:r>
          </w:p>
        </w:tc>
        <w:tc>
          <w:tcPr>
            <w:tcW w:w="1910" w:type="dxa"/>
            <w:tcBorders>
              <w:bottom w:val="single" w:sz="4" w:space="0" w:color="auto"/>
            </w:tcBorders>
            <w:shd w:val="clear" w:color="auto" w:fill="auto"/>
            <w:noWrap/>
            <w:vAlign w:val="center"/>
            <w:hideMark/>
          </w:tcPr>
          <w:p w:rsidR="003F5259" w:rsidRPr="00FF50BE" w:rsidRDefault="003F5259" w:rsidP="00194055">
            <w:pPr>
              <w:spacing w:after="0" w:line="240" w:lineRule="auto"/>
              <w:rPr>
                <w:rFonts w:eastAsia="Times New Roman" w:cs="Times New Roman"/>
                <w:color w:val="000000"/>
                <w:lang w:eastAsia="en-GB"/>
              </w:rPr>
            </w:pPr>
            <w:r>
              <w:rPr>
                <w:rFonts w:eastAsia="Times New Roman" w:cs="Times New Roman"/>
                <w:color w:val="000000"/>
                <w:lang w:eastAsia="en-GB"/>
              </w:rPr>
              <w:t>UKA</w:t>
            </w:r>
          </w:p>
        </w:tc>
        <w:tc>
          <w:tcPr>
            <w:tcW w:w="1771" w:type="dxa"/>
            <w:tcBorders>
              <w:bottom w:val="single" w:sz="4" w:space="0" w:color="auto"/>
            </w:tcBorders>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r>
              <w:t>Standardised Mean Difference</w:t>
            </w:r>
          </w:p>
        </w:tc>
        <w:tc>
          <w:tcPr>
            <w:tcW w:w="236" w:type="dxa"/>
            <w:tcBorders>
              <w:bottom w:val="single" w:sz="4" w:space="0" w:color="auto"/>
            </w:tcBorders>
            <w:vAlign w:val="center"/>
          </w:tcPr>
          <w:p w:rsidR="003F5259" w:rsidRPr="00FF50BE" w:rsidRDefault="003F5259" w:rsidP="00194055">
            <w:pPr>
              <w:spacing w:after="0" w:line="240" w:lineRule="auto"/>
              <w:rPr>
                <w:rFonts w:eastAsia="Times New Roman" w:cs="Times New Roman"/>
                <w:color w:val="000000"/>
                <w:lang w:eastAsia="en-GB"/>
              </w:rPr>
            </w:pPr>
          </w:p>
        </w:tc>
        <w:tc>
          <w:tcPr>
            <w:tcW w:w="1890" w:type="dxa"/>
            <w:tcBorders>
              <w:bottom w:val="single" w:sz="4" w:space="0" w:color="auto"/>
            </w:tcBorders>
            <w:shd w:val="clear" w:color="auto" w:fill="auto"/>
            <w:noWrap/>
            <w:vAlign w:val="center"/>
            <w:hideMark/>
          </w:tcPr>
          <w:p w:rsidR="003F5259" w:rsidRPr="00FF50BE" w:rsidRDefault="003F5259" w:rsidP="00194055">
            <w:pPr>
              <w:spacing w:after="0" w:line="240" w:lineRule="auto"/>
              <w:rPr>
                <w:rFonts w:eastAsia="Times New Roman" w:cs="Times New Roman"/>
                <w:color w:val="000000"/>
                <w:lang w:eastAsia="en-GB"/>
              </w:rPr>
            </w:pPr>
            <w:r>
              <w:rPr>
                <w:rFonts w:eastAsia="Times New Roman" w:cs="Times New Roman"/>
                <w:color w:val="000000"/>
                <w:lang w:eastAsia="en-GB"/>
              </w:rPr>
              <w:t>TKA</w:t>
            </w:r>
          </w:p>
        </w:tc>
        <w:tc>
          <w:tcPr>
            <w:tcW w:w="2018" w:type="dxa"/>
            <w:tcBorders>
              <w:bottom w:val="single" w:sz="4" w:space="0" w:color="auto"/>
            </w:tcBorders>
            <w:shd w:val="clear" w:color="auto" w:fill="auto"/>
            <w:noWrap/>
            <w:vAlign w:val="center"/>
            <w:hideMark/>
          </w:tcPr>
          <w:p w:rsidR="003F5259" w:rsidRPr="00FF50BE" w:rsidRDefault="003F5259" w:rsidP="00194055">
            <w:pPr>
              <w:spacing w:after="0" w:line="240" w:lineRule="auto"/>
              <w:rPr>
                <w:rFonts w:eastAsia="Times New Roman" w:cs="Times New Roman"/>
                <w:color w:val="000000"/>
                <w:lang w:eastAsia="en-GB"/>
              </w:rPr>
            </w:pPr>
            <w:r>
              <w:rPr>
                <w:rFonts w:eastAsia="Times New Roman" w:cs="Times New Roman"/>
                <w:color w:val="000000"/>
                <w:lang w:eastAsia="en-GB"/>
              </w:rPr>
              <w:t>UKA</w:t>
            </w:r>
          </w:p>
        </w:tc>
        <w:tc>
          <w:tcPr>
            <w:tcW w:w="1754" w:type="dxa"/>
            <w:tcBorders>
              <w:bottom w:val="single" w:sz="4" w:space="0" w:color="auto"/>
            </w:tcBorders>
            <w:shd w:val="clear" w:color="auto" w:fill="auto"/>
            <w:noWrap/>
            <w:vAlign w:val="center"/>
          </w:tcPr>
          <w:p w:rsidR="003F5259" w:rsidRPr="00FF50BE" w:rsidRDefault="003F5259" w:rsidP="00194055">
            <w:pPr>
              <w:spacing w:after="0" w:line="240" w:lineRule="auto"/>
              <w:rPr>
                <w:rFonts w:eastAsia="Times New Roman" w:cs="Times New Roman"/>
                <w:color w:val="000000"/>
                <w:lang w:eastAsia="en-GB"/>
              </w:rPr>
            </w:pPr>
            <w:r>
              <w:t>Standardised Mean Difference</w:t>
            </w:r>
          </w:p>
        </w:tc>
      </w:tr>
      <w:tr w:rsidR="003F5259" w:rsidRPr="00FF50BE" w:rsidTr="00A33BFC">
        <w:trPr>
          <w:trHeight w:val="300"/>
        </w:trPr>
        <w:tc>
          <w:tcPr>
            <w:tcW w:w="2093" w:type="dxa"/>
            <w:tcBorders>
              <w:top w:val="single" w:sz="4" w:space="0" w:color="auto"/>
            </w:tcBorders>
            <w:shd w:val="clear" w:color="auto" w:fill="auto"/>
            <w:noWrap/>
            <w:vAlign w:val="center"/>
            <w:hideMark/>
          </w:tcPr>
          <w:p w:rsidR="003F5259" w:rsidRPr="00FF50BE" w:rsidRDefault="003F5259" w:rsidP="00F118B1">
            <w:pPr>
              <w:spacing w:after="0" w:line="240" w:lineRule="auto"/>
              <w:rPr>
                <w:rFonts w:eastAsia="Times New Roman" w:cs="Times New Roman"/>
                <w:color w:val="000000"/>
                <w:lang w:eastAsia="en-GB"/>
              </w:rPr>
            </w:pPr>
            <w:r w:rsidRPr="00FF50BE">
              <w:rPr>
                <w:rFonts w:eastAsia="Times New Roman" w:cs="Times New Roman"/>
                <w:color w:val="000000"/>
                <w:lang w:eastAsia="en-GB"/>
              </w:rPr>
              <w:t>N</w:t>
            </w:r>
          </w:p>
        </w:tc>
        <w:tc>
          <w:tcPr>
            <w:tcW w:w="1893" w:type="dxa"/>
            <w:tcBorders>
              <w:top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1,980</w:t>
            </w:r>
          </w:p>
        </w:tc>
        <w:tc>
          <w:tcPr>
            <w:tcW w:w="1910" w:type="dxa"/>
            <w:tcBorders>
              <w:top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675</w:t>
            </w:r>
          </w:p>
        </w:tc>
        <w:tc>
          <w:tcPr>
            <w:tcW w:w="1771" w:type="dxa"/>
            <w:tcBorders>
              <w:top w:val="single" w:sz="4" w:space="0" w:color="auto"/>
            </w:tcBorders>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p>
        </w:tc>
        <w:tc>
          <w:tcPr>
            <w:tcW w:w="236" w:type="dxa"/>
            <w:tcBorders>
              <w:top w:val="single" w:sz="4" w:space="0" w:color="auto"/>
            </w:tcBorders>
          </w:tcPr>
          <w:p w:rsidR="003F5259" w:rsidRPr="00367498" w:rsidRDefault="003F5259" w:rsidP="00F118B1">
            <w:pPr>
              <w:spacing w:after="0" w:line="240" w:lineRule="auto"/>
              <w:rPr>
                <w:rFonts w:eastAsia="Times New Roman" w:cs="Times New Roman"/>
                <w:color w:val="000000"/>
                <w:lang w:eastAsia="en-GB"/>
              </w:rPr>
            </w:pPr>
          </w:p>
        </w:tc>
        <w:tc>
          <w:tcPr>
            <w:tcW w:w="1890" w:type="dxa"/>
            <w:tcBorders>
              <w:top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590</w:t>
            </w:r>
          </w:p>
        </w:tc>
        <w:tc>
          <w:tcPr>
            <w:tcW w:w="2018" w:type="dxa"/>
            <w:tcBorders>
              <w:top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590</w:t>
            </w:r>
          </w:p>
        </w:tc>
        <w:tc>
          <w:tcPr>
            <w:tcW w:w="1754" w:type="dxa"/>
            <w:tcBorders>
              <w:top w:val="single" w:sz="4" w:space="0" w:color="auto"/>
            </w:tcBorders>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p>
        </w:tc>
      </w:tr>
      <w:tr w:rsidR="003F5259" w:rsidRPr="00FF50BE" w:rsidTr="00A33BFC">
        <w:trPr>
          <w:trHeight w:val="300"/>
        </w:trPr>
        <w:tc>
          <w:tcPr>
            <w:tcW w:w="2093" w:type="dxa"/>
            <w:shd w:val="clear" w:color="auto" w:fill="auto"/>
            <w:noWrap/>
            <w:vAlign w:val="center"/>
            <w:hideMark/>
          </w:tcPr>
          <w:p w:rsidR="003F5259" w:rsidRPr="00FF50BE" w:rsidRDefault="003F5259" w:rsidP="00F118B1">
            <w:pPr>
              <w:spacing w:after="0" w:line="240" w:lineRule="auto"/>
              <w:rPr>
                <w:rFonts w:eastAsia="Times New Roman" w:cs="Times New Roman"/>
                <w:color w:val="000000"/>
                <w:lang w:eastAsia="en-GB"/>
              </w:rPr>
            </w:pPr>
            <w:r w:rsidRPr="00FF50BE">
              <w:rPr>
                <w:rFonts w:eastAsia="Times New Roman" w:cs="Times New Roman"/>
                <w:color w:val="000000"/>
                <w:lang w:eastAsia="en-GB"/>
              </w:rPr>
              <w:t>Age</w:t>
            </w:r>
            <w:r>
              <w:rPr>
                <w:rFonts w:eastAsia="Times New Roman" w:cs="Times New Roman"/>
                <w:color w:val="000000"/>
                <w:lang w:eastAsia="en-GB"/>
              </w:rPr>
              <w:t xml:space="preserve"> (mean, SD)</w:t>
            </w:r>
          </w:p>
        </w:tc>
        <w:tc>
          <w:tcPr>
            <w:tcW w:w="1893"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70.4 (8.2</w:t>
            </w:r>
            <w:r w:rsidRPr="00F118B1">
              <w:rPr>
                <w:rFonts w:ascii="Calibri" w:eastAsia="Times New Roman" w:hAnsi="Calibri" w:cs="Calibri"/>
                <w:color w:val="000000"/>
                <w:lang w:eastAsia="en-GB"/>
              </w:rPr>
              <w:t>)</w:t>
            </w:r>
          </w:p>
        </w:tc>
        <w:tc>
          <w:tcPr>
            <w:tcW w:w="191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66.8 (9.</w:t>
            </w:r>
            <w:r w:rsidRPr="00F118B1">
              <w:rPr>
                <w:rFonts w:ascii="Calibri" w:eastAsia="Times New Roman" w:hAnsi="Calibri" w:cs="Calibri"/>
                <w:color w:val="000000"/>
                <w:lang w:eastAsia="en-GB"/>
              </w:rPr>
              <w:t>6)</w:t>
            </w:r>
          </w:p>
        </w:tc>
        <w:tc>
          <w:tcPr>
            <w:tcW w:w="1771"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0.4</w:t>
            </w:r>
            <w:r>
              <w:rPr>
                <w:rFonts w:ascii="Calibri" w:eastAsia="Times New Roman" w:hAnsi="Calibri" w:cs="Calibri"/>
                <w:color w:val="000000"/>
                <w:lang w:eastAsia="en-GB"/>
              </w:rPr>
              <w:t>0</w:t>
            </w:r>
          </w:p>
        </w:tc>
        <w:tc>
          <w:tcPr>
            <w:tcW w:w="236" w:type="dxa"/>
          </w:tcPr>
          <w:p w:rsidR="003F5259" w:rsidRPr="00367498" w:rsidRDefault="003F5259" w:rsidP="00F118B1">
            <w:pPr>
              <w:spacing w:after="0" w:line="240" w:lineRule="auto"/>
              <w:rPr>
                <w:rFonts w:eastAsia="Times New Roman" w:cs="Times New Roman"/>
                <w:color w:val="000000"/>
                <w:lang w:eastAsia="en-GB"/>
              </w:rPr>
            </w:pPr>
          </w:p>
        </w:tc>
        <w:tc>
          <w:tcPr>
            <w:tcW w:w="189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67.59 (8.37)</w:t>
            </w:r>
          </w:p>
        </w:tc>
        <w:tc>
          <w:tcPr>
            <w:tcW w:w="2018"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67.66 (9.0</w:t>
            </w:r>
            <w:r w:rsidRPr="00F118B1">
              <w:rPr>
                <w:rFonts w:ascii="Calibri" w:eastAsia="Times New Roman" w:hAnsi="Calibri" w:cs="Calibri"/>
                <w:color w:val="000000"/>
                <w:lang w:eastAsia="en-GB"/>
              </w:rPr>
              <w:t>)</w:t>
            </w:r>
          </w:p>
        </w:tc>
        <w:tc>
          <w:tcPr>
            <w:tcW w:w="1754"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0.01</w:t>
            </w:r>
          </w:p>
        </w:tc>
      </w:tr>
      <w:tr w:rsidR="003F5259" w:rsidRPr="00FF50BE" w:rsidTr="00A33BFC">
        <w:trPr>
          <w:trHeight w:val="300"/>
        </w:trPr>
        <w:tc>
          <w:tcPr>
            <w:tcW w:w="2093" w:type="dxa"/>
            <w:shd w:val="clear" w:color="auto" w:fill="auto"/>
            <w:noWrap/>
            <w:vAlign w:val="center"/>
            <w:hideMark/>
          </w:tcPr>
          <w:p w:rsidR="003F5259" w:rsidRPr="00FF50BE" w:rsidRDefault="003F5259" w:rsidP="00F118B1">
            <w:pPr>
              <w:spacing w:after="0" w:line="240" w:lineRule="auto"/>
              <w:rPr>
                <w:rFonts w:eastAsia="Times New Roman" w:cs="Times New Roman"/>
                <w:color w:val="000000"/>
                <w:lang w:eastAsia="en-GB"/>
              </w:rPr>
            </w:pPr>
            <w:r>
              <w:rPr>
                <w:rFonts w:eastAsia="Times New Roman" w:cs="Times New Roman"/>
                <w:color w:val="000000"/>
                <w:lang w:eastAsia="en-GB"/>
              </w:rPr>
              <w:t xml:space="preserve">Gender: </w:t>
            </w:r>
            <w:r w:rsidRPr="00FF50BE">
              <w:rPr>
                <w:rFonts w:eastAsia="Times New Roman" w:cs="Times New Roman"/>
                <w:color w:val="000000"/>
                <w:lang w:eastAsia="en-GB"/>
              </w:rPr>
              <w:t>male</w:t>
            </w:r>
            <w:r>
              <w:rPr>
                <w:rFonts w:eastAsia="Times New Roman" w:cs="Times New Roman"/>
                <w:color w:val="000000"/>
                <w:lang w:eastAsia="en-GB"/>
              </w:rPr>
              <w:t xml:space="preserve"> (n, %)</w:t>
            </w:r>
          </w:p>
        </w:tc>
        <w:tc>
          <w:tcPr>
            <w:tcW w:w="1893"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864 (44%)</w:t>
            </w:r>
          </w:p>
        </w:tc>
        <w:tc>
          <w:tcPr>
            <w:tcW w:w="191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350 (52%)</w:t>
            </w:r>
          </w:p>
        </w:tc>
        <w:tc>
          <w:tcPr>
            <w:tcW w:w="1771"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0.17</w:t>
            </w:r>
          </w:p>
        </w:tc>
        <w:tc>
          <w:tcPr>
            <w:tcW w:w="236" w:type="dxa"/>
          </w:tcPr>
          <w:p w:rsidR="003F5259" w:rsidRPr="00367498" w:rsidRDefault="003F5259" w:rsidP="00F118B1">
            <w:pPr>
              <w:spacing w:after="0" w:line="240" w:lineRule="auto"/>
              <w:rPr>
                <w:rFonts w:eastAsia="Times New Roman" w:cs="Times New Roman"/>
                <w:color w:val="000000"/>
                <w:lang w:eastAsia="en-GB"/>
              </w:rPr>
            </w:pPr>
          </w:p>
        </w:tc>
        <w:tc>
          <w:tcPr>
            <w:tcW w:w="189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292 (49%)</w:t>
            </w:r>
          </w:p>
        </w:tc>
        <w:tc>
          <w:tcPr>
            <w:tcW w:w="2018"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293 (50%)</w:t>
            </w:r>
          </w:p>
        </w:tc>
        <w:tc>
          <w:tcPr>
            <w:tcW w:w="1754"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w:t>
            </w:r>
            <w:r>
              <w:rPr>
                <w:rFonts w:ascii="Calibri" w:eastAsia="Times New Roman" w:hAnsi="Calibri" w:cs="Calibri"/>
                <w:color w:val="000000"/>
                <w:lang w:eastAsia="en-GB"/>
              </w:rPr>
              <w:t>.00</w:t>
            </w:r>
          </w:p>
        </w:tc>
      </w:tr>
      <w:tr w:rsidR="003F5259" w:rsidRPr="00FF50BE" w:rsidTr="00A33BFC">
        <w:trPr>
          <w:trHeight w:val="300"/>
        </w:trPr>
        <w:tc>
          <w:tcPr>
            <w:tcW w:w="2093" w:type="dxa"/>
            <w:shd w:val="clear" w:color="auto" w:fill="auto"/>
            <w:noWrap/>
            <w:vAlign w:val="center"/>
            <w:hideMark/>
          </w:tcPr>
          <w:p w:rsidR="003F5259" w:rsidRPr="00FF50BE" w:rsidRDefault="003F5259" w:rsidP="00F118B1">
            <w:pPr>
              <w:spacing w:after="0" w:line="240" w:lineRule="auto"/>
              <w:rPr>
                <w:rFonts w:eastAsia="Times New Roman" w:cs="Times New Roman"/>
                <w:color w:val="000000"/>
                <w:lang w:eastAsia="en-GB"/>
              </w:rPr>
            </w:pPr>
            <w:r>
              <w:rPr>
                <w:rFonts w:eastAsia="Times New Roman" w:cs="Times New Roman"/>
                <w:color w:val="000000"/>
                <w:lang w:eastAsia="en-GB"/>
              </w:rPr>
              <w:t>Pre-op OKS pain component (mean, SD)</w:t>
            </w:r>
          </w:p>
        </w:tc>
        <w:tc>
          <w:tcPr>
            <w:tcW w:w="1893"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9.61 (4.6</w:t>
            </w:r>
            <w:r w:rsidRPr="00F118B1">
              <w:rPr>
                <w:rFonts w:ascii="Calibri" w:eastAsia="Times New Roman" w:hAnsi="Calibri" w:cs="Calibri"/>
                <w:color w:val="000000"/>
                <w:lang w:eastAsia="en-GB"/>
              </w:rPr>
              <w:t>)</w:t>
            </w:r>
          </w:p>
        </w:tc>
        <w:tc>
          <w:tcPr>
            <w:tcW w:w="1910" w:type="dxa"/>
            <w:shd w:val="clear" w:color="auto" w:fill="auto"/>
            <w:noWrap/>
            <w:vAlign w:val="bottom"/>
          </w:tcPr>
          <w:p w:rsidR="003F5259" w:rsidRPr="0070431F" w:rsidRDefault="003F5259" w:rsidP="00E534CE">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12.63 (5.2</w:t>
            </w:r>
            <w:r w:rsidRPr="00F118B1">
              <w:rPr>
                <w:rFonts w:ascii="Calibri" w:eastAsia="Times New Roman" w:hAnsi="Calibri" w:cs="Calibri"/>
                <w:color w:val="000000"/>
                <w:lang w:eastAsia="en-GB"/>
              </w:rPr>
              <w:t>)</w:t>
            </w:r>
          </w:p>
        </w:tc>
        <w:tc>
          <w:tcPr>
            <w:tcW w:w="1771"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0.62</w:t>
            </w:r>
          </w:p>
        </w:tc>
        <w:tc>
          <w:tcPr>
            <w:tcW w:w="236" w:type="dxa"/>
          </w:tcPr>
          <w:p w:rsidR="003F5259" w:rsidRPr="00367498" w:rsidRDefault="003F5259" w:rsidP="00F118B1">
            <w:pPr>
              <w:spacing w:after="0" w:line="240" w:lineRule="auto"/>
              <w:rPr>
                <w:rFonts w:eastAsia="Times New Roman" w:cs="Times New Roman"/>
                <w:color w:val="000000"/>
                <w:lang w:eastAsia="en-GB"/>
              </w:rPr>
            </w:pPr>
          </w:p>
        </w:tc>
        <w:tc>
          <w:tcPr>
            <w:tcW w:w="189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11.56 (5.2</w:t>
            </w:r>
            <w:r w:rsidRPr="00F118B1">
              <w:rPr>
                <w:rFonts w:ascii="Calibri" w:eastAsia="Times New Roman" w:hAnsi="Calibri" w:cs="Calibri"/>
                <w:color w:val="000000"/>
                <w:lang w:eastAsia="en-GB"/>
              </w:rPr>
              <w:t>)</w:t>
            </w:r>
          </w:p>
        </w:tc>
        <w:tc>
          <w:tcPr>
            <w:tcW w:w="2018"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11.82 (4.8)</w:t>
            </w:r>
          </w:p>
        </w:tc>
        <w:tc>
          <w:tcPr>
            <w:tcW w:w="1754"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0.05</w:t>
            </w:r>
          </w:p>
        </w:tc>
      </w:tr>
      <w:tr w:rsidR="003F5259" w:rsidRPr="00FF50BE" w:rsidTr="00A33BFC">
        <w:trPr>
          <w:trHeight w:val="300"/>
        </w:trPr>
        <w:tc>
          <w:tcPr>
            <w:tcW w:w="2093" w:type="dxa"/>
            <w:shd w:val="clear" w:color="auto" w:fill="auto"/>
            <w:noWrap/>
            <w:vAlign w:val="center"/>
          </w:tcPr>
          <w:p w:rsidR="003F5259" w:rsidRPr="00FF50BE" w:rsidRDefault="003F5259" w:rsidP="00F118B1">
            <w:pPr>
              <w:spacing w:after="0" w:line="240" w:lineRule="auto"/>
              <w:rPr>
                <w:rFonts w:eastAsia="Times New Roman" w:cs="Times New Roman"/>
                <w:color w:val="000000"/>
                <w:lang w:eastAsia="en-GB"/>
              </w:rPr>
            </w:pPr>
            <w:r>
              <w:rPr>
                <w:rFonts w:eastAsia="Times New Roman" w:cs="Times New Roman"/>
                <w:color w:val="000000"/>
                <w:lang w:eastAsia="en-GB"/>
              </w:rPr>
              <w:t>Pre-op OKS function component (mean, SD)</w:t>
            </w:r>
          </w:p>
        </w:tc>
        <w:tc>
          <w:tcPr>
            <w:tcW w:w="1893"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8.57 (3.5</w:t>
            </w:r>
            <w:r w:rsidRPr="00F118B1">
              <w:rPr>
                <w:rFonts w:ascii="Calibri" w:eastAsia="Times New Roman" w:hAnsi="Calibri" w:cs="Calibri"/>
                <w:color w:val="000000"/>
                <w:lang w:eastAsia="en-GB"/>
              </w:rPr>
              <w:t>)</w:t>
            </w:r>
          </w:p>
        </w:tc>
        <w:tc>
          <w:tcPr>
            <w:tcW w:w="191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11.95 (4.0</w:t>
            </w:r>
            <w:r w:rsidRPr="00F118B1">
              <w:rPr>
                <w:rFonts w:ascii="Calibri" w:eastAsia="Times New Roman" w:hAnsi="Calibri" w:cs="Calibri"/>
                <w:color w:val="000000"/>
                <w:lang w:eastAsia="en-GB"/>
              </w:rPr>
              <w:t>)</w:t>
            </w:r>
          </w:p>
        </w:tc>
        <w:tc>
          <w:tcPr>
            <w:tcW w:w="1771"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0.89</w:t>
            </w:r>
          </w:p>
        </w:tc>
        <w:tc>
          <w:tcPr>
            <w:tcW w:w="236" w:type="dxa"/>
          </w:tcPr>
          <w:p w:rsidR="003F5259" w:rsidRPr="00367498" w:rsidRDefault="003F5259" w:rsidP="00F118B1">
            <w:pPr>
              <w:spacing w:after="0" w:line="240" w:lineRule="auto"/>
              <w:rPr>
                <w:rFonts w:eastAsia="Times New Roman" w:cs="Times New Roman"/>
                <w:color w:val="000000"/>
                <w:lang w:eastAsia="en-GB"/>
              </w:rPr>
            </w:pPr>
          </w:p>
        </w:tc>
        <w:tc>
          <w:tcPr>
            <w:tcW w:w="189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10.9 (3.7</w:t>
            </w:r>
            <w:r w:rsidRPr="00F118B1">
              <w:rPr>
                <w:rFonts w:ascii="Calibri" w:eastAsia="Times New Roman" w:hAnsi="Calibri" w:cs="Calibri"/>
                <w:color w:val="000000"/>
                <w:lang w:eastAsia="en-GB"/>
              </w:rPr>
              <w:t>)</w:t>
            </w:r>
          </w:p>
        </w:tc>
        <w:tc>
          <w:tcPr>
            <w:tcW w:w="2018"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11.19 (3.7)</w:t>
            </w:r>
          </w:p>
        </w:tc>
        <w:tc>
          <w:tcPr>
            <w:tcW w:w="1754"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0.08</w:t>
            </w:r>
          </w:p>
        </w:tc>
      </w:tr>
      <w:tr w:rsidR="003F5259" w:rsidRPr="00FF50BE" w:rsidTr="00A33BFC">
        <w:trPr>
          <w:trHeight w:val="300"/>
        </w:trPr>
        <w:tc>
          <w:tcPr>
            <w:tcW w:w="2093" w:type="dxa"/>
            <w:shd w:val="clear" w:color="auto" w:fill="auto"/>
            <w:noWrap/>
            <w:vAlign w:val="center"/>
          </w:tcPr>
          <w:p w:rsidR="003F5259" w:rsidRPr="00FF50BE" w:rsidRDefault="003F5259" w:rsidP="00F118B1">
            <w:pPr>
              <w:spacing w:after="0" w:line="240" w:lineRule="auto"/>
              <w:rPr>
                <w:rFonts w:eastAsia="Times New Roman" w:cs="Times New Roman"/>
                <w:color w:val="000000"/>
                <w:lang w:eastAsia="en-GB"/>
              </w:rPr>
            </w:pPr>
            <w:r>
              <w:rPr>
                <w:rFonts w:eastAsia="Times New Roman" w:cs="Times New Roman"/>
                <w:color w:val="000000"/>
                <w:lang w:eastAsia="en-GB"/>
              </w:rPr>
              <w:t xml:space="preserve">Pre-op </w:t>
            </w:r>
            <w:r w:rsidRPr="00FF50BE">
              <w:rPr>
                <w:rFonts w:eastAsia="Times New Roman" w:cs="Times New Roman"/>
                <w:color w:val="000000"/>
                <w:lang w:eastAsia="en-GB"/>
              </w:rPr>
              <w:t>OKS</w:t>
            </w:r>
            <w:r>
              <w:rPr>
                <w:rFonts w:eastAsia="Times New Roman" w:cs="Times New Roman"/>
                <w:color w:val="000000"/>
                <w:lang w:eastAsia="en-GB"/>
              </w:rPr>
              <w:t xml:space="preserve"> (mean, SD)</w:t>
            </w:r>
          </w:p>
        </w:tc>
        <w:tc>
          <w:tcPr>
            <w:tcW w:w="1893"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18.18 (7.5)</w:t>
            </w:r>
          </w:p>
        </w:tc>
        <w:tc>
          <w:tcPr>
            <w:tcW w:w="191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24.59 (8.7</w:t>
            </w:r>
            <w:r w:rsidRPr="00F118B1">
              <w:rPr>
                <w:rFonts w:ascii="Calibri" w:eastAsia="Times New Roman" w:hAnsi="Calibri" w:cs="Calibri"/>
                <w:color w:val="000000"/>
                <w:lang w:eastAsia="en-GB"/>
              </w:rPr>
              <w:t>)</w:t>
            </w:r>
          </w:p>
        </w:tc>
        <w:tc>
          <w:tcPr>
            <w:tcW w:w="1771"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0.79</w:t>
            </w:r>
          </w:p>
        </w:tc>
        <w:tc>
          <w:tcPr>
            <w:tcW w:w="236" w:type="dxa"/>
          </w:tcPr>
          <w:p w:rsidR="003F5259" w:rsidRPr="00367498" w:rsidRDefault="003F5259" w:rsidP="00F118B1">
            <w:pPr>
              <w:spacing w:after="0" w:line="240" w:lineRule="auto"/>
              <w:rPr>
                <w:rFonts w:eastAsia="Times New Roman" w:cs="Times New Roman"/>
                <w:color w:val="000000"/>
                <w:lang w:eastAsia="en-GB"/>
              </w:rPr>
            </w:pPr>
          </w:p>
        </w:tc>
        <w:tc>
          <w:tcPr>
            <w:tcW w:w="1890"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22.46 (8.3</w:t>
            </w:r>
            <w:r w:rsidRPr="00F118B1">
              <w:rPr>
                <w:rFonts w:ascii="Calibri" w:eastAsia="Times New Roman" w:hAnsi="Calibri" w:cs="Calibri"/>
                <w:color w:val="000000"/>
                <w:lang w:eastAsia="en-GB"/>
              </w:rPr>
              <w:t>)</w:t>
            </w:r>
          </w:p>
        </w:tc>
        <w:tc>
          <w:tcPr>
            <w:tcW w:w="2018" w:type="dxa"/>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23.03 (8.0</w:t>
            </w:r>
            <w:r w:rsidRPr="00F118B1">
              <w:rPr>
                <w:rFonts w:ascii="Calibri" w:eastAsia="Times New Roman" w:hAnsi="Calibri" w:cs="Calibri"/>
                <w:color w:val="000000"/>
                <w:lang w:eastAsia="en-GB"/>
              </w:rPr>
              <w:t>)</w:t>
            </w:r>
          </w:p>
        </w:tc>
        <w:tc>
          <w:tcPr>
            <w:tcW w:w="1754" w:type="dxa"/>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0.07</w:t>
            </w:r>
          </w:p>
        </w:tc>
      </w:tr>
      <w:tr w:rsidR="003F5259" w:rsidRPr="00FF50BE" w:rsidTr="00A33BFC">
        <w:trPr>
          <w:trHeight w:val="300"/>
        </w:trPr>
        <w:tc>
          <w:tcPr>
            <w:tcW w:w="2093" w:type="dxa"/>
            <w:tcBorders>
              <w:bottom w:val="single" w:sz="4" w:space="0" w:color="auto"/>
            </w:tcBorders>
            <w:shd w:val="clear" w:color="auto" w:fill="auto"/>
            <w:noWrap/>
            <w:vAlign w:val="center"/>
          </w:tcPr>
          <w:p w:rsidR="003F5259" w:rsidRPr="00FF50BE" w:rsidRDefault="003F5259" w:rsidP="00F118B1">
            <w:pPr>
              <w:spacing w:after="0" w:line="240" w:lineRule="auto"/>
              <w:rPr>
                <w:rFonts w:eastAsia="Times New Roman" w:cs="Times New Roman"/>
                <w:color w:val="000000"/>
                <w:lang w:eastAsia="en-GB"/>
              </w:rPr>
            </w:pPr>
            <w:r>
              <w:rPr>
                <w:rFonts w:eastAsia="Times New Roman" w:cs="Times New Roman"/>
                <w:color w:val="000000"/>
                <w:lang w:eastAsia="en-GB"/>
              </w:rPr>
              <w:t xml:space="preserve">Pre-op </w:t>
            </w:r>
            <w:r w:rsidRPr="003652C2">
              <w:rPr>
                <w:rFonts w:eastAsia="Times New Roman" w:cs="Times New Roman"/>
                <w:color w:val="000000"/>
                <w:lang w:eastAsia="en-GB"/>
              </w:rPr>
              <w:t>EQ</w:t>
            </w:r>
            <w:r>
              <w:rPr>
                <w:rFonts w:eastAsia="Times New Roman" w:cs="Times New Roman"/>
                <w:color w:val="000000"/>
                <w:lang w:eastAsia="en-GB"/>
              </w:rPr>
              <w:t>-</w:t>
            </w:r>
            <w:r w:rsidRPr="003652C2">
              <w:rPr>
                <w:rFonts w:eastAsia="Times New Roman" w:cs="Times New Roman"/>
                <w:color w:val="000000"/>
                <w:lang w:eastAsia="en-GB"/>
              </w:rPr>
              <w:t xml:space="preserve">5D </w:t>
            </w:r>
            <w:r>
              <w:rPr>
                <w:rFonts w:eastAsia="Times New Roman" w:cs="Times New Roman"/>
                <w:color w:val="000000"/>
                <w:lang w:eastAsia="en-GB"/>
              </w:rPr>
              <w:t>(median, IQR)</w:t>
            </w:r>
          </w:p>
        </w:tc>
        <w:tc>
          <w:tcPr>
            <w:tcW w:w="1893" w:type="dxa"/>
            <w:tcBorders>
              <w:bottom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0.4 (0.2</w:t>
            </w:r>
            <w:r w:rsidRPr="00F118B1">
              <w:rPr>
                <w:rFonts w:ascii="Calibri" w:eastAsia="Times New Roman" w:hAnsi="Calibri" w:cs="Calibri"/>
                <w:color w:val="000000"/>
                <w:lang w:eastAsia="en-GB"/>
              </w:rPr>
              <w:t xml:space="preserve"> to 0.6)</w:t>
            </w:r>
          </w:p>
        </w:tc>
        <w:tc>
          <w:tcPr>
            <w:tcW w:w="1910" w:type="dxa"/>
            <w:tcBorders>
              <w:bottom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 xml:space="preserve">0.61 </w:t>
            </w:r>
            <w:r>
              <w:rPr>
                <w:rFonts w:ascii="Calibri" w:eastAsia="Times New Roman" w:hAnsi="Calibri" w:cs="Calibri"/>
                <w:color w:val="000000"/>
                <w:lang w:eastAsia="en-GB"/>
              </w:rPr>
              <w:t>(0.4 to 0.7</w:t>
            </w:r>
            <w:r w:rsidRPr="00F118B1">
              <w:rPr>
                <w:rFonts w:ascii="Calibri" w:eastAsia="Times New Roman" w:hAnsi="Calibri" w:cs="Calibri"/>
                <w:color w:val="000000"/>
                <w:lang w:eastAsia="en-GB"/>
              </w:rPr>
              <w:t>)</w:t>
            </w:r>
          </w:p>
        </w:tc>
        <w:tc>
          <w:tcPr>
            <w:tcW w:w="1771" w:type="dxa"/>
            <w:tcBorders>
              <w:bottom w:val="single" w:sz="4" w:space="0" w:color="auto"/>
            </w:tcBorders>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0.62</w:t>
            </w:r>
          </w:p>
        </w:tc>
        <w:tc>
          <w:tcPr>
            <w:tcW w:w="236" w:type="dxa"/>
            <w:tcBorders>
              <w:bottom w:val="single" w:sz="4" w:space="0" w:color="auto"/>
            </w:tcBorders>
          </w:tcPr>
          <w:p w:rsidR="003F5259" w:rsidRPr="00367498" w:rsidRDefault="003F5259" w:rsidP="00F118B1">
            <w:pPr>
              <w:spacing w:after="0" w:line="240" w:lineRule="auto"/>
              <w:rPr>
                <w:rFonts w:eastAsia="Times New Roman" w:cs="Times New Roman"/>
                <w:color w:val="000000"/>
                <w:lang w:eastAsia="en-GB"/>
              </w:rPr>
            </w:pPr>
          </w:p>
        </w:tc>
        <w:tc>
          <w:tcPr>
            <w:tcW w:w="1890" w:type="dxa"/>
            <w:tcBorders>
              <w:bottom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0.57 (0.3 to 0.7</w:t>
            </w:r>
            <w:r w:rsidRPr="00F118B1">
              <w:rPr>
                <w:rFonts w:ascii="Calibri" w:eastAsia="Times New Roman" w:hAnsi="Calibri" w:cs="Calibri"/>
                <w:color w:val="000000"/>
                <w:lang w:eastAsia="en-GB"/>
              </w:rPr>
              <w:t>)</w:t>
            </w:r>
          </w:p>
        </w:tc>
        <w:tc>
          <w:tcPr>
            <w:tcW w:w="2018" w:type="dxa"/>
            <w:tcBorders>
              <w:bottom w:val="single" w:sz="4" w:space="0" w:color="auto"/>
            </w:tcBorders>
            <w:shd w:val="clear" w:color="auto" w:fill="auto"/>
            <w:noWrap/>
            <w:vAlign w:val="bottom"/>
          </w:tcPr>
          <w:p w:rsidR="003F5259" w:rsidRPr="0070431F" w:rsidRDefault="003F5259" w:rsidP="00F118B1">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0.58 (0.3 to 0.7</w:t>
            </w:r>
            <w:r w:rsidRPr="00F118B1">
              <w:rPr>
                <w:rFonts w:ascii="Calibri" w:eastAsia="Times New Roman" w:hAnsi="Calibri" w:cs="Calibri"/>
                <w:color w:val="000000"/>
                <w:lang w:eastAsia="en-GB"/>
              </w:rPr>
              <w:t>)</w:t>
            </w:r>
          </w:p>
        </w:tc>
        <w:tc>
          <w:tcPr>
            <w:tcW w:w="1754" w:type="dxa"/>
            <w:tcBorders>
              <w:bottom w:val="single" w:sz="4" w:space="0" w:color="auto"/>
            </w:tcBorders>
            <w:shd w:val="clear" w:color="auto" w:fill="auto"/>
            <w:noWrap/>
            <w:vAlign w:val="bottom"/>
          </w:tcPr>
          <w:p w:rsidR="003F5259" w:rsidRPr="00F066C5" w:rsidRDefault="003F5259" w:rsidP="00F118B1">
            <w:pPr>
              <w:spacing w:after="0" w:line="240" w:lineRule="auto"/>
              <w:rPr>
                <w:rFonts w:ascii="Calibri" w:eastAsia="Times New Roman" w:hAnsi="Calibri" w:cs="Times New Roman"/>
                <w:color w:val="000000"/>
                <w:lang w:eastAsia="en-GB"/>
              </w:rPr>
            </w:pPr>
            <w:r w:rsidRPr="00F118B1">
              <w:rPr>
                <w:rFonts w:ascii="Calibri" w:eastAsia="Times New Roman" w:hAnsi="Calibri" w:cs="Calibri"/>
                <w:color w:val="000000"/>
                <w:lang w:eastAsia="en-GB"/>
              </w:rPr>
              <w:t>0.07</w:t>
            </w:r>
          </w:p>
        </w:tc>
      </w:tr>
    </w:tbl>
    <w:p w:rsidR="003F5259" w:rsidRDefault="003F5259" w:rsidP="00D20314">
      <w:r>
        <w:t>TKA</w:t>
      </w:r>
      <w:r w:rsidRPr="00FF50BE">
        <w:t xml:space="preserve">: total </w:t>
      </w:r>
      <w:r>
        <w:t>knee arthroplasty</w:t>
      </w:r>
      <w:r w:rsidRPr="00FF50BE">
        <w:t xml:space="preserve">, </w:t>
      </w:r>
      <w:r>
        <w:t>UKA</w:t>
      </w:r>
      <w:r w:rsidRPr="00FF50BE">
        <w:t xml:space="preserve">: unicompartmental </w:t>
      </w:r>
      <w:r>
        <w:t>knee arthroplasty</w:t>
      </w:r>
      <w:r w:rsidRPr="00FF50BE">
        <w:t xml:space="preserve">. </w:t>
      </w:r>
      <w:r>
        <w:t>IQR: interquartile range</w:t>
      </w:r>
      <w:r w:rsidRPr="00FF50BE">
        <w:t xml:space="preserve">. </w:t>
      </w:r>
      <w:r>
        <w:t xml:space="preserve">Standardised Mean Difference </w:t>
      </w:r>
      <w:r w:rsidRPr="0005079A">
        <w:t>compares the difference in means in units of the pooled standard deviation.</w:t>
      </w:r>
    </w:p>
    <w:p w:rsidR="003F5259" w:rsidRPr="00A07A3A" w:rsidRDefault="003F5259" w:rsidP="00D20314">
      <w:pPr>
        <w:rPr>
          <w:rFonts w:eastAsiaTheme="majorEastAsia" w:cstheme="majorBidi"/>
          <w:b/>
          <w:caps/>
          <w:color w:val="000000" w:themeColor="text1"/>
        </w:rPr>
      </w:pPr>
      <w:r>
        <w:br w:type="page"/>
      </w:r>
    </w:p>
    <w:p w:rsidR="003F5259" w:rsidRPr="000F254E" w:rsidRDefault="003F5259" w:rsidP="000F254E">
      <w:pPr>
        <w:pStyle w:val="Heading1"/>
        <w:rPr>
          <w:rFonts w:asciiTheme="minorHAnsi" w:hAnsiTheme="minorHAnsi"/>
          <w:szCs w:val="22"/>
        </w:rPr>
      </w:pPr>
      <w:r>
        <w:rPr>
          <w:rFonts w:asciiTheme="minorHAnsi" w:hAnsiTheme="minorHAnsi"/>
          <w:szCs w:val="22"/>
        </w:rPr>
        <w:lastRenderedPageBreak/>
        <w:t>Table 2</w:t>
      </w:r>
      <w:r w:rsidRPr="00FF50BE">
        <w:rPr>
          <w:rFonts w:asciiTheme="minorHAnsi" w:hAnsiTheme="minorHAnsi"/>
          <w:szCs w:val="22"/>
        </w:rPr>
        <w:t xml:space="preserve">. </w:t>
      </w:r>
      <w:r w:rsidRPr="000F254E">
        <w:rPr>
          <w:rFonts w:asciiTheme="minorHAnsi" w:hAnsiTheme="minorHAnsi"/>
          <w:szCs w:val="22"/>
        </w:rPr>
        <w:t xml:space="preserve"> </w:t>
      </w:r>
      <w:r>
        <w:rPr>
          <w:rFonts w:asciiTheme="minorHAnsi" w:hAnsiTheme="minorHAnsi"/>
          <w:szCs w:val="22"/>
        </w:rPr>
        <w:t xml:space="preserve">Effect of Surgical choice and years </w:t>
      </w:r>
      <w:r w:rsidRPr="002C7FF3">
        <w:rPr>
          <w:rFonts w:asciiTheme="minorHAnsi" w:hAnsiTheme="minorHAnsi"/>
          <w:szCs w:val="22"/>
        </w:rPr>
        <w:t xml:space="preserve">since surgery </w:t>
      </w:r>
      <w:r>
        <w:rPr>
          <w:rFonts w:asciiTheme="minorHAnsi" w:hAnsiTheme="minorHAnsi"/>
          <w:szCs w:val="22"/>
        </w:rPr>
        <w:t xml:space="preserve">on </w:t>
      </w:r>
      <w:r w:rsidRPr="00790FE7">
        <w:rPr>
          <w:rFonts w:asciiTheme="minorHAnsi" w:hAnsiTheme="minorHAnsi"/>
          <w:szCs w:val="22"/>
        </w:rPr>
        <w:t>Patient-re</w:t>
      </w:r>
      <w:r>
        <w:rPr>
          <w:rFonts w:asciiTheme="minorHAnsi" w:hAnsiTheme="minorHAnsi"/>
          <w:szCs w:val="22"/>
        </w:rPr>
        <w:t xml:space="preserve">ported outcome Scores OVER 10 YEARS following surgery </w:t>
      </w:r>
    </w:p>
    <w:p w:rsidR="003F5259" w:rsidRDefault="003F5259"/>
    <w:tbl>
      <w:tblPr>
        <w:tblW w:w="14034" w:type="dxa"/>
        <w:tblLook w:val="04A0" w:firstRow="1" w:lastRow="0" w:firstColumn="1" w:lastColumn="0" w:noHBand="0" w:noVBand="1"/>
      </w:tblPr>
      <w:tblGrid>
        <w:gridCol w:w="3331"/>
        <w:gridCol w:w="1566"/>
        <w:gridCol w:w="2902"/>
        <w:gridCol w:w="2705"/>
        <w:gridCol w:w="1384"/>
        <w:gridCol w:w="2146"/>
      </w:tblGrid>
      <w:tr w:rsidR="003F5259" w:rsidRPr="009C70A2" w:rsidTr="00673CC1">
        <w:trPr>
          <w:trHeight w:val="300"/>
        </w:trPr>
        <w:tc>
          <w:tcPr>
            <w:tcW w:w="0" w:type="auto"/>
            <w:tcBorders>
              <w:bottom w:val="single" w:sz="4" w:space="0" w:color="auto"/>
            </w:tcBorders>
            <w:shd w:val="clear" w:color="auto" w:fill="auto"/>
            <w:noWrap/>
            <w:vAlign w:val="center"/>
          </w:tcPr>
          <w:p w:rsidR="003F5259" w:rsidRPr="00D073AE" w:rsidRDefault="003F5259" w:rsidP="009B446E">
            <w:pPr>
              <w:spacing w:after="0" w:line="240" w:lineRule="auto"/>
              <w:rPr>
                <w:rFonts w:eastAsia="Times New Roman" w:cstheme="minorHAnsi"/>
                <w:i/>
                <w:iCs/>
              </w:rPr>
            </w:pPr>
            <w:r>
              <w:br w:type="page"/>
            </w:r>
            <w:r w:rsidRPr="00D073AE">
              <w:rPr>
                <w:rFonts w:eastAsia="Times New Roman" w:cstheme="minorHAnsi"/>
                <w:i/>
                <w:iCs/>
              </w:rPr>
              <w:t> </w:t>
            </w:r>
          </w:p>
        </w:tc>
        <w:tc>
          <w:tcPr>
            <w:tcW w:w="0" w:type="auto"/>
            <w:tcBorders>
              <w:bottom w:val="single" w:sz="4" w:space="0" w:color="auto"/>
            </w:tcBorders>
            <w:vAlign w:val="center"/>
          </w:tcPr>
          <w:p w:rsidR="003F5259" w:rsidRPr="00D073AE" w:rsidRDefault="003F5259" w:rsidP="00EF327A">
            <w:pPr>
              <w:spacing w:after="0" w:line="240" w:lineRule="auto"/>
              <w:jc w:val="center"/>
              <w:rPr>
                <w:rFonts w:eastAsia="Times New Roman" w:cstheme="minorHAnsi"/>
              </w:rPr>
            </w:pPr>
          </w:p>
        </w:tc>
        <w:tc>
          <w:tcPr>
            <w:tcW w:w="0" w:type="auto"/>
            <w:tcBorders>
              <w:bottom w:val="single" w:sz="4" w:space="0" w:color="auto"/>
            </w:tcBorders>
            <w:shd w:val="clear" w:color="auto" w:fill="auto"/>
            <w:noWrap/>
            <w:vAlign w:val="center"/>
          </w:tcPr>
          <w:p w:rsidR="003F5259" w:rsidRPr="00D073AE" w:rsidRDefault="003F5259" w:rsidP="009B446E">
            <w:pPr>
              <w:spacing w:after="0" w:line="240" w:lineRule="auto"/>
              <w:jc w:val="center"/>
              <w:rPr>
                <w:rFonts w:eastAsia="Times New Roman" w:cstheme="minorHAnsi"/>
                <w:i/>
                <w:iCs/>
              </w:rPr>
            </w:pPr>
            <w:r w:rsidRPr="00D073AE">
              <w:rPr>
                <w:rFonts w:eastAsia="Times New Roman" w:cstheme="minorHAnsi"/>
              </w:rPr>
              <w:t>OKS pain com</w:t>
            </w:r>
            <w:r>
              <w:rPr>
                <w:rFonts w:eastAsia="Times New Roman" w:cstheme="minorHAnsi"/>
              </w:rPr>
              <w:t xml:space="preserve">ponent </w:t>
            </w:r>
            <w:r w:rsidRPr="00D073AE">
              <w:rPr>
                <w:rFonts w:eastAsia="Times New Roman" w:cstheme="minorHAnsi"/>
              </w:rPr>
              <w:t>(0 to 28)</w:t>
            </w:r>
          </w:p>
        </w:tc>
        <w:tc>
          <w:tcPr>
            <w:tcW w:w="0" w:type="auto"/>
            <w:tcBorders>
              <w:bottom w:val="single" w:sz="4" w:space="0" w:color="auto"/>
            </w:tcBorders>
          </w:tcPr>
          <w:p w:rsidR="003F5259" w:rsidRDefault="003F5259" w:rsidP="009B446E">
            <w:pPr>
              <w:spacing w:after="0" w:line="240" w:lineRule="auto"/>
              <w:jc w:val="center"/>
              <w:rPr>
                <w:rFonts w:eastAsia="Times New Roman" w:cstheme="minorHAnsi"/>
                <w:i/>
                <w:iCs/>
              </w:rPr>
            </w:pPr>
            <w:r>
              <w:rPr>
                <w:rFonts w:eastAsia="Times New Roman" w:cstheme="minorHAnsi"/>
              </w:rPr>
              <w:t xml:space="preserve">OKS function component </w:t>
            </w:r>
            <w:r w:rsidRPr="00D073AE">
              <w:rPr>
                <w:rFonts w:eastAsia="Times New Roman" w:cstheme="minorHAnsi"/>
              </w:rPr>
              <w:t>(0 to 20)</w:t>
            </w:r>
          </w:p>
        </w:tc>
        <w:tc>
          <w:tcPr>
            <w:tcW w:w="0" w:type="auto"/>
            <w:tcBorders>
              <w:bottom w:val="single" w:sz="4" w:space="0" w:color="auto"/>
            </w:tcBorders>
            <w:shd w:val="clear" w:color="auto" w:fill="auto"/>
            <w:noWrap/>
            <w:vAlign w:val="center"/>
          </w:tcPr>
          <w:p w:rsidR="003F5259" w:rsidRPr="00D073AE" w:rsidRDefault="003F5259" w:rsidP="009B446E">
            <w:pPr>
              <w:spacing w:after="0" w:line="240" w:lineRule="auto"/>
              <w:jc w:val="center"/>
              <w:rPr>
                <w:rFonts w:eastAsia="Times New Roman" w:cstheme="minorHAnsi"/>
                <w:i/>
                <w:iCs/>
              </w:rPr>
            </w:pPr>
            <w:r>
              <w:rPr>
                <w:rFonts w:eastAsia="Times New Roman" w:cstheme="minorHAnsi"/>
              </w:rPr>
              <w:t xml:space="preserve">OKS </w:t>
            </w:r>
            <w:r w:rsidRPr="00D073AE">
              <w:rPr>
                <w:rFonts w:eastAsia="Times New Roman" w:cstheme="minorHAnsi"/>
              </w:rPr>
              <w:t>(0 to 48)</w:t>
            </w:r>
          </w:p>
        </w:tc>
        <w:tc>
          <w:tcPr>
            <w:tcW w:w="2146" w:type="dxa"/>
            <w:tcBorders>
              <w:bottom w:val="single" w:sz="4" w:space="0" w:color="auto"/>
            </w:tcBorders>
          </w:tcPr>
          <w:p w:rsidR="003F5259" w:rsidRDefault="003F5259" w:rsidP="009B446E">
            <w:pPr>
              <w:spacing w:after="0" w:line="240" w:lineRule="auto"/>
              <w:jc w:val="center"/>
              <w:rPr>
                <w:rFonts w:eastAsia="Times New Roman" w:cstheme="minorHAnsi"/>
                <w:i/>
                <w:iCs/>
              </w:rPr>
            </w:pPr>
            <w:r>
              <w:rPr>
                <w:rFonts w:eastAsia="Times New Roman" w:cstheme="minorHAnsi"/>
              </w:rPr>
              <w:t xml:space="preserve">EQ-5D </w:t>
            </w:r>
            <w:r w:rsidRPr="00D073AE">
              <w:rPr>
                <w:rFonts w:eastAsia="Times New Roman" w:cstheme="minorHAnsi"/>
              </w:rPr>
              <w:t>(-0.59 to 1)</w:t>
            </w:r>
          </w:p>
        </w:tc>
      </w:tr>
      <w:tr w:rsidR="003F5259" w:rsidRPr="009C70A2" w:rsidTr="00673CC1">
        <w:trPr>
          <w:trHeight w:val="300"/>
        </w:trPr>
        <w:tc>
          <w:tcPr>
            <w:tcW w:w="0" w:type="auto"/>
            <w:tcBorders>
              <w:top w:val="single" w:sz="4" w:space="0" w:color="auto"/>
            </w:tcBorders>
            <w:shd w:val="clear" w:color="auto" w:fill="auto"/>
            <w:noWrap/>
            <w:vAlign w:val="center"/>
          </w:tcPr>
          <w:p w:rsidR="003F5259" w:rsidRPr="00D073AE" w:rsidRDefault="003F5259" w:rsidP="00EF327A">
            <w:pPr>
              <w:spacing w:after="0" w:line="240" w:lineRule="auto"/>
              <w:jc w:val="center"/>
              <w:rPr>
                <w:rFonts w:eastAsia="Times New Roman" w:cstheme="minorHAnsi"/>
              </w:rPr>
            </w:pPr>
            <w:r w:rsidRPr="00D073AE">
              <w:rPr>
                <w:rFonts w:eastAsia="Times New Roman" w:cstheme="minorHAnsi"/>
              </w:rPr>
              <w:t>Surgery (</w:t>
            </w:r>
            <w:r>
              <w:rPr>
                <w:rFonts w:eastAsia="Times New Roman" w:cstheme="minorHAnsi"/>
              </w:rPr>
              <w:t>UKA</w:t>
            </w:r>
            <w:r w:rsidRPr="00D073AE">
              <w:rPr>
                <w:rFonts w:eastAsia="Times New Roman" w:cstheme="minorHAnsi"/>
              </w:rPr>
              <w:t>)</w:t>
            </w:r>
          </w:p>
        </w:tc>
        <w:tc>
          <w:tcPr>
            <w:tcW w:w="0" w:type="auto"/>
            <w:tcBorders>
              <w:top w:val="single" w:sz="4" w:space="0" w:color="auto"/>
            </w:tcBorders>
            <w:vAlign w:val="center"/>
          </w:tcPr>
          <w:p w:rsidR="003F5259" w:rsidRPr="00D073AE" w:rsidRDefault="003F5259" w:rsidP="00EF327A">
            <w:pPr>
              <w:spacing w:after="0" w:line="240" w:lineRule="auto"/>
              <w:jc w:val="center"/>
              <w:rPr>
                <w:rFonts w:eastAsia="Times New Roman" w:cstheme="minorHAnsi"/>
              </w:rPr>
            </w:pPr>
            <w:r>
              <w:rPr>
                <w:rFonts w:eastAsia="Times New Roman" w:cstheme="minorHAnsi"/>
                <w:i/>
                <w:iCs/>
              </w:rPr>
              <w:t xml:space="preserve">Estimate </w:t>
            </w:r>
            <w:r w:rsidRPr="00D073AE">
              <w:rPr>
                <w:rFonts w:eastAsia="Times New Roman" w:cstheme="minorHAnsi"/>
                <w:i/>
                <w:iCs/>
              </w:rPr>
              <w:t>(95% CI)</w:t>
            </w:r>
          </w:p>
        </w:tc>
        <w:tc>
          <w:tcPr>
            <w:tcW w:w="0" w:type="auto"/>
            <w:tcBorders>
              <w:top w:val="single" w:sz="4" w:space="0" w:color="auto"/>
            </w:tcBorders>
            <w:shd w:val="clear" w:color="auto" w:fill="auto"/>
            <w:noWrap/>
            <w:vAlign w:val="center"/>
          </w:tcPr>
          <w:p w:rsidR="003F5259" w:rsidRPr="00D073AE" w:rsidRDefault="003F5259" w:rsidP="00CA2614">
            <w:pPr>
              <w:spacing w:after="0" w:line="240" w:lineRule="auto"/>
              <w:jc w:val="center"/>
              <w:rPr>
                <w:rFonts w:eastAsia="Times New Roman" w:cstheme="minorHAnsi"/>
              </w:rPr>
            </w:pPr>
            <w:r>
              <w:rPr>
                <w:rFonts w:eastAsia="Times New Roman" w:cstheme="minorHAnsi"/>
                <w:lang w:eastAsia="en-GB"/>
              </w:rPr>
              <w:t>1.7</w:t>
            </w:r>
            <w:r>
              <w:rPr>
                <w:rFonts w:eastAsia="Times New Roman" w:cstheme="minorHAnsi"/>
                <w:lang w:eastAsia="en-GB"/>
              </w:rPr>
              <w:br/>
              <w:t>(1.1 – 2.4</w:t>
            </w:r>
            <w:r w:rsidRPr="00D073AE">
              <w:rPr>
                <w:rFonts w:eastAsia="Times New Roman" w:cstheme="minorHAnsi"/>
                <w:lang w:eastAsia="en-GB"/>
              </w:rPr>
              <w:t>)*</w:t>
            </w:r>
          </w:p>
        </w:tc>
        <w:tc>
          <w:tcPr>
            <w:tcW w:w="0" w:type="auto"/>
            <w:tcBorders>
              <w:top w:val="single" w:sz="4" w:space="0" w:color="auto"/>
            </w:tcBorders>
          </w:tcPr>
          <w:p w:rsidR="003F5259" w:rsidRPr="00D073AE" w:rsidRDefault="003F5259" w:rsidP="00CA2614">
            <w:pPr>
              <w:spacing w:after="0" w:line="240" w:lineRule="auto"/>
              <w:jc w:val="center"/>
              <w:rPr>
                <w:rFonts w:eastAsia="Times New Roman" w:cstheme="minorHAnsi"/>
                <w:lang w:eastAsia="en-GB"/>
              </w:rPr>
            </w:pPr>
            <w:r>
              <w:rPr>
                <w:rFonts w:eastAsia="Times New Roman" w:cstheme="minorHAnsi"/>
                <w:lang w:eastAsia="en-GB"/>
              </w:rPr>
              <w:t>2.2</w:t>
            </w:r>
            <w:r>
              <w:rPr>
                <w:rFonts w:eastAsia="Times New Roman" w:cstheme="minorHAnsi"/>
                <w:lang w:eastAsia="en-GB"/>
              </w:rPr>
              <w:br/>
              <w:t>(1.8 – 2.7)</w:t>
            </w:r>
            <w:r w:rsidRPr="00D073AE">
              <w:rPr>
                <w:rFonts w:eastAsia="Times New Roman" w:cstheme="minorHAnsi"/>
                <w:lang w:eastAsia="en-GB"/>
              </w:rPr>
              <w:t>*</w:t>
            </w:r>
          </w:p>
        </w:tc>
        <w:tc>
          <w:tcPr>
            <w:tcW w:w="0" w:type="auto"/>
            <w:tcBorders>
              <w:top w:val="single" w:sz="4" w:space="0" w:color="auto"/>
            </w:tcBorders>
            <w:shd w:val="clear" w:color="auto" w:fill="auto"/>
            <w:noWrap/>
            <w:vAlign w:val="center"/>
          </w:tcPr>
          <w:p w:rsidR="003F5259" w:rsidRPr="00D073AE" w:rsidRDefault="003F5259" w:rsidP="00CA2614">
            <w:pPr>
              <w:spacing w:after="0" w:line="240" w:lineRule="auto"/>
              <w:jc w:val="center"/>
              <w:rPr>
                <w:rFonts w:eastAsia="Times New Roman" w:cstheme="minorHAnsi"/>
              </w:rPr>
            </w:pPr>
            <w:r>
              <w:rPr>
                <w:rFonts w:eastAsia="Times New Roman" w:cstheme="minorHAnsi"/>
                <w:lang w:eastAsia="en-GB"/>
              </w:rPr>
              <w:t>4.0</w:t>
            </w:r>
            <w:r>
              <w:rPr>
                <w:rFonts w:eastAsia="Times New Roman" w:cstheme="minorHAnsi"/>
                <w:lang w:eastAsia="en-GB"/>
              </w:rPr>
              <w:br/>
              <w:t>(3.1 – 5.0</w:t>
            </w:r>
            <w:r w:rsidRPr="00D073AE">
              <w:rPr>
                <w:rFonts w:eastAsia="Times New Roman" w:cstheme="minorHAnsi"/>
                <w:lang w:eastAsia="en-GB"/>
              </w:rPr>
              <w:t>)*</w:t>
            </w:r>
          </w:p>
        </w:tc>
        <w:tc>
          <w:tcPr>
            <w:tcW w:w="2146" w:type="dxa"/>
            <w:tcBorders>
              <w:top w:val="single" w:sz="4" w:space="0" w:color="auto"/>
            </w:tcBorders>
          </w:tcPr>
          <w:p w:rsidR="003F5259" w:rsidRPr="00D073AE" w:rsidRDefault="003F5259" w:rsidP="00CA2614">
            <w:pPr>
              <w:spacing w:after="0" w:line="240" w:lineRule="auto"/>
              <w:jc w:val="center"/>
              <w:rPr>
                <w:rFonts w:eastAsia="Times New Roman" w:cstheme="minorHAnsi"/>
              </w:rPr>
            </w:pPr>
            <w:r>
              <w:rPr>
                <w:rFonts w:eastAsia="Times New Roman" w:cstheme="minorHAnsi"/>
                <w:lang w:eastAsia="en-GB"/>
              </w:rPr>
              <w:t>0.07</w:t>
            </w:r>
            <w:r>
              <w:rPr>
                <w:rFonts w:eastAsia="Times New Roman" w:cstheme="minorHAnsi"/>
                <w:lang w:eastAsia="en-GB"/>
              </w:rPr>
              <w:br/>
              <w:t>(0.05 – 0.09</w:t>
            </w:r>
            <w:r w:rsidRPr="00D073AE">
              <w:rPr>
                <w:rFonts w:eastAsia="Times New Roman" w:cstheme="minorHAnsi"/>
                <w:lang w:eastAsia="en-GB"/>
              </w:rPr>
              <w:t>)*</w:t>
            </w:r>
          </w:p>
        </w:tc>
      </w:tr>
      <w:tr w:rsidR="003F5259" w:rsidRPr="009C70A2" w:rsidTr="00673CC1">
        <w:trPr>
          <w:trHeight w:val="300"/>
        </w:trPr>
        <w:tc>
          <w:tcPr>
            <w:tcW w:w="0" w:type="auto"/>
            <w:shd w:val="clear" w:color="auto" w:fill="auto"/>
            <w:noWrap/>
            <w:vAlign w:val="center"/>
          </w:tcPr>
          <w:p w:rsidR="003F5259" w:rsidRPr="007C7CEE" w:rsidRDefault="003F5259" w:rsidP="000460BF">
            <w:pPr>
              <w:spacing w:after="0" w:line="240" w:lineRule="auto"/>
              <w:jc w:val="center"/>
              <w:rPr>
                <w:rFonts w:eastAsia="Times New Roman" w:cstheme="minorHAnsi"/>
              </w:rPr>
            </w:pPr>
            <w:r w:rsidRPr="00D073AE">
              <w:rPr>
                <w:rFonts w:eastAsia="Times New Roman" w:cstheme="minorHAnsi"/>
              </w:rPr>
              <w:t>Years since surgery</w:t>
            </w:r>
          </w:p>
        </w:tc>
        <w:tc>
          <w:tcPr>
            <w:tcW w:w="0" w:type="auto"/>
            <w:vAlign w:val="center"/>
          </w:tcPr>
          <w:p w:rsidR="003F5259" w:rsidRDefault="003F5259" w:rsidP="000460BF">
            <w:pPr>
              <w:spacing w:after="0" w:line="240" w:lineRule="auto"/>
              <w:jc w:val="center"/>
              <w:rPr>
                <w:rFonts w:eastAsia="Times New Roman" w:cstheme="minorHAnsi"/>
                <w:i/>
                <w:iCs/>
              </w:rPr>
            </w:pPr>
            <w:r>
              <w:rPr>
                <w:rFonts w:eastAsia="Times New Roman" w:cstheme="minorHAnsi"/>
                <w:i/>
                <w:iCs/>
              </w:rPr>
              <w:t xml:space="preserve">Estimate </w:t>
            </w:r>
            <w:r w:rsidRPr="00D073AE">
              <w:rPr>
                <w:rFonts w:eastAsia="Times New Roman" w:cstheme="minorHAnsi"/>
                <w:i/>
                <w:iCs/>
              </w:rPr>
              <w:t>(95% CI)</w:t>
            </w:r>
          </w:p>
        </w:tc>
        <w:tc>
          <w:tcPr>
            <w:tcW w:w="0" w:type="auto"/>
            <w:shd w:val="clear" w:color="auto" w:fill="auto"/>
            <w:noWrap/>
            <w:vAlign w:val="center"/>
          </w:tcPr>
          <w:p w:rsidR="003F5259" w:rsidRPr="00D073AE" w:rsidRDefault="003F5259" w:rsidP="00CA2614">
            <w:pPr>
              <w:spacing w:after="0" w:line="240" w:lineRule="auto"/>
              <w:jc w:val="center"/>
              <w:rPr>
                <w:rFonts w:eastAsia="Times New Roman" w:cstheme="minorHAnsi"/>
                <w:i/>
                <w:iCs/>
              </w:rPr>
            </w:pPr>
            <w:r>
              <w:rPr>
                <w:rFonts w:eastAsia="Times New Roman" w:cstheme="minorHAnsi"/>
                <w:lang w:eastAsia="en-GB"/>
              </w:rPr>
              <w:t>-0.1</w:t>
            </w:r>
            <w:r>
              <w:rPr>
                <w:rFonts w:eastAsia="Times New Roman" w:cstheme="minorHAnsi"/>
                <w:lang w:eastAsia="en-GB"/>
              </w:rPr>
              <w:br/>
              <w:t>(-0.1 – -0.1)</w:t>
            </w:r>
            <w:r w:rsidRPr="00D073AE">
              <w:rPr>
                <w:rFonts w:eastAsia="Times New Roman" w:cstheme="minorHAnsi"/>
                <w:lang w:eastAsia="en-GB"/>
              </w:rPr>
              <w:t>*</w:t>
            </w:r>
          </w:p>
        </w:tc>
        <w:tc>
          <w:tcPr>
            <w:tcW w:w="0" w:type="auto"/>
            <w:vAlign w:val="center"/>
          </w:tcPr>
          <w:p w:rsidR="003F5259" w:rsidRPr="00D073AE" w:rsidRDefault="003F5259" w:rsidP="00CA2614">
            <w:pPr>
              <w:spacing w:after="0" w:line="240" w:lineRule="auto"/>
              <w:jc w:val="center"/>
              <w:rPr>
                <w:rFonts w:eastAsia="Times New Roman" w:cstheme="minorHAnsi"/>
                <w:lang w:eastAsia="en-GB"/>
              </w:rPr>
            </w:pPr>
            <w:r>
              <w:rPr>
                <w:rFonts w:eastAsia="Times New Roman" w:cstheme="minorHAnsi"/>
                <w:lang w:eastAsia="en-GB"/>
              </w:rPr>
              <w:t>-0.1</w:t>
            </w:r>
            <w:r>
              <w:rPr>
                <w:rFonts w:eastAsia="Times New Roman" w:cstheme="minorHAnsi"/>
                <w:lang w:eastAsia="en-GB"/>
              </w:rPr>
              <w:br/>
              <w:t>(-0.1 – -0.1)</w:t>
            </w:r>
            <w:r w:rsidRPr="00D073AE">
              <w:rPr>
                <w:rFonts w:eastAsia="Times New Roman" w:cstheme="minorHAnsi"/>
                <w:lang w:eastAsia="en-GB"/>
              </w:rPr>
              <w:t>*</w:t>
            </w:r>
          </w:p>
        </w:tc>
        <w:tc>
          <w:tcPr>
            <w:tcW w:w="0" w:type="auto"/>
            <w:shd w:val="clear" w:color="auto" w:fill="auto"/>
            <w:noWrap/>
            <w:vAlign w:val="center"/>
          </w:tcPr>
          <w:p w:rsidR="003F5259" w:rsidRPr="00D073AE" w:rsidRDefault="003F5259" w:rsidP="00CA2614">
            <w:pPr>
              <w:spacing w:after="0" w:line="240" w:lineRule="auto"/>
              <w:jc w:val="center"/>
              <w:rPr>
                <w:rFonts w:eastAsia="Times New Roman" w:cstheme="minorHAnsi"/>
                <w:i/>
                <w:iCs/>
              </w:rPr>
            </w:pPr>
            <w:r>
              <w:rPr>
                <w:rFonts w:eastAsia="Times New Roman" w:cstheme="minorHAnsi"/>
                <w:lang w:eastAsia="en-GB"/>
              </w:rPr>
              <w:t>-0.2</w:t>
            </w:r>
            <w:r>
              <w:rPr>
                <w:rFonts w:eastAsia="Times New Roman" w:cstheme="minorHAnsi"/>
                <w:lang w:eastAsia="en-GB"/>
              </w:rPr>
              <w:br/>
              <w:t>(-0.3 – -0.1</w:t>
            </w:r>
            <w:r w:rsidRPr="00D073AE">
              <w:rPr>
                <w:rFonts w:eastAsia="Times New Roman" w:cstheme="minorHAnsi"/>
                <w:lang w:eastAsia="en-GB"/>
              </w:rPr>
              <w:t>)*</w:t>
            </w:r>
          </w:p>
        </w:tc>
        <w:tc>
          <w:tcPr>
            <w:tcW w:w="2146" w:type="dxa"/>
          </w:tcPr>
          <w:p w:rsidR="003F5259" w:rsidRPr="00D073AE" w:rsidRDefault="003F5259" w:rsidP="00CA2614">
            <w:pPr>
              <w:spacing w:after="0" w:line="240" w:lineRule="auto"/>
              <w:jc w:val="center"/>
              <w:rPr>
                <w:rFonts w:eastAsia="Times New Roman" w:cstheme="minorHAnsi"/>
                <w:i/>
                <w:iCs/>
              </w:rPr>
            </w:pPr>
            <w:r>
              <w:rPr>
                <w:rFonts w:eastAsia="Times New Roman" w:cstheme="minorHAnsi"/>
                <w:lang w:eastAsia="en-GB"/>
              </w:rPr>
              <w:t>-0.00</w:t>
            </w:r>
            <w:r w:rsidRPr="00D073AE">
              <w:rPr>
                <w:rFonts w:eastAsia="Times New Roman" w:cstheme="minorHAnsi"/>
                <w:lang w:eastAsia="en-GB"/>
              </w:rPr>
              <w:br/>
            </w:r>
            <w:r>
              <w:rPr>
                <w:rFonts w:eastAsia="Times New Roman" w:cstheme="minorHAnsi"/>
                <w:lang w:eastAsia="en-GB"/>
              </w:rPr>
              <w:t>(-0.01 – -0.00</w:t>
            </w:r>
            <w:r w:rsidRPr="00D073AE">
              <w:rPr>
                <w:rFonts w:eastAsia="Times New Roman" w:cstheme="minorHAnsi"/>
                <w:lang w:eastAsia="en-GB"/>
              </w:rPr>
              <w:t>)*</w:t>
            </w:r>
          </w:p>
        </w:tc>
      </w:tr>
      <w:tr w:rsidR="003F5259" w:rsidRPr="009C70A2" w:rsidTr="00673CC1">
        <w:trPr>
          <w:trHeight w:val="300"/>
        </w:trPr>
        <w:tc>
          <w:tcPr>
            <w:tcW w:w="0" w:type="auto"/>
            <w:tcBorders>
              <w:bottom w:val="single" w:sz="4" w:space="0" w:color="auto"/>
            </w:tcBorders>
            <w:shd w:val="clear" w:color="auto" w:fill="auto"/>
            <w:noWrap/>
            <w:vAlign w:val="center"/>
          </w:tcPr>
          <w:p w:rsidR="003F5259" w:rsidRPr="00D073AE" w:rsidRDefault="003F5259" w:rsidP="000460BF">
            <w:pPr>
              <w:spacing w:after="0" w:line="240" w:lineRule="auto"/>
              <w:jc w:val="center"/>
              <w:rPr>
                <w:rFonts w:eastAsia="Times New Roman" w:cstheme="minorHAnsi"/>
              </w:rPr>
            </w:pPr>
            <w:r w:rsidRPr="00D073AE">
              <w:rPr>
                <w:rFonts w:eastAsia="Times New Roman" w:cstheme="minorHAnsi"/>
              </w:rPr>
              <w:t>Surgery (</w:t>
            </w:r>
            <w:r>
              <w:rPr>
                <w:rFonts w:eastAsia="Times New Roman" w:cstheme="minorHAnsi"/>
              </w:rPr>
              <w:t>UKA</w:t>
            </w:r>
            <w:r w:rsidRPr="00D073AE">
              <w:rPr>
                <w:rFonts w:eastAsia="Times New Roman" w:cstheme="minorHAnsi"/>
              </w:rPr>
              <w:t>)* Years since surgery</w:t>
            </w:r>
          </w:p>
        </w:tc>
        <w:tc>
          <w:tcPr>
            <w:tcW w:w="0" w:type="auto"/>
            <w:tcBorders>
              <w:bottom w:val="single" w:sz="4" w:space="0" w:color="auto"/>
            </w:tcBorders>
            <w:vAlign w:val="center"/>
          </w:tcPr>
          <w:p w:rsidR="003F5259" w:rsidRPr="00D073AE" w:rsidRDefault="003F5259" w:rsidP="000460BF">
            <w:pPr>
              <w:spacing w:after="0" w:line="240" w:lineRule="auto"/>
              <w:jc w:val="center"/>
              <w:rPr>
                <w:rFonts w:eastAsia="Times New Roman" w:cstheme="minorHAnsi"/>
              </w:rPr>
            </w:pPr>
            <w:r>
              <w:rPr>
                <w:rFonts w:eastAsia="Times New Roman" w:cstheme="minorHAnsi"/>
                <w:i/>
                <w:iCs/>
              </w:rPr>
              <w:t xml:space="preserve">Estimate </w:t>
            </w:r>
            <w:r w:rsidRPr="00D073AE">
              <w:rPr>
                <w:rFonts w:eastAsia="Times New Roman" w:cstheme="minorHAnsi"/>
                <w:i/>
                <w:iCs/>
              </w:rPr>
              <w:t>(95% CI)</w:t>
            </w:r>
          </w:p>
        </w:tc>
        <w:tc>
          <w:tcPr>
            <w:tcW w:w="0" w:type="auto"/>
            <w:tcBorders>
              <w:bottom w:val="single" w:sz="4" w:space="0" w:color="auto"/>
            </w:tcBorders>
            <w:shd w:val="clear" w:color="auto" w:fill="auto"/>
            <w:noWrap/>
            <w:vAlign w:val="center"/>
          </w:tcPr>
          <w:p w:rsidR="003F5259" w:rsidRPr="00D073AE" w:rsidRDefault="003F5259" w:rsidP="00CA2614">
            <w:pPr>
              <w:spacing w:after="0" w:line="240" w:lineRule="auto"/>
              <w:jc w:val="center"/>
              <w:rPr>
                <w:rFonts w:eastAsia="Times New Roman" w:cstheme="minorHAnsi"/>
              </w:rPr>
            </w:pPr>
            <w:r>
              <w:rPr>
                <w:rFonts w:eastAsia="Times New Roman" w:cstheme="minorHAnsi"/>
                <w:lang w:eastAsia="en-GB"/>
              </w:rPr>
              <w:t>0.1</w:t>
            </w:r>
            <w:r>
              <w:rPr>
                <w:rFonts w:eastAsia="Times New Roman" w:cstheme="minorHAnsi"/>
                <w:lang w:eastAsia="en-GB"/>
              </w:rPr>
              <w:br/>
              <w:t>(0.1 – 0.2)</w:t>
            </w:r>
            <w:r w:rsidRPr="00D073AE">
              <w:rPr>
                <w:rFonts w:eastAsia="Times New Roman" w:cstheme="minorHAnsi"/>
                <w:lang w:eastAsia="en-GB"/>
              </w:rPr>
              <w:t>*</w:t>
            </w:r>
          </w:p>
        </w:tc>
        <w:tc>
          <w:tcPr>
            <w:tcW w:w="0" w:type="auto"/>
            <w:tcBorders>
              <w:bottom w:val="single" w:sz="4" w:space="0" w:color="auto"/>
            </w:tcBorders>
          </w:tcPr>
          <w:p w:rsidR="003F5259" w:rsidRPr="00D073AE" w:rsidRDefault="003F5259" w:rsidP="000460BF">
            <w:pPr>
              <w:spacing w:after="0" w:line="240" w:lineRule="auto"/>
              <w:jc w:val="center"/>
              <w:rPr>
                <w:rFonts w:eastAsia="Times New Roman" w:cstheme="minorHAnsi"/>
                <w:lang w:eastAsia="en-GB"/>
              </w:rPr>
            </w:pPr>
            <w:r>
              <w:rPr>
                <w:rFonts w:eastAsia="Times New Roman" w:cstheme="minorHAnsi"/>
                <w:lang w:eastAsia="en-GB"/>
              </w:rPr>
              <w:t>0.0</w:t>
            </w:r>
            <w:r>
              <w:rPr>
                <w:rFonts w:eastAsia="Times New Roman" w:cstheme="minorHAnsi"/>
                <w:lang w:eastAsia="en-GB"/>
              </w:rPr>
              <w:br/>
              <w:t>(-0.0 – 0.1)</w:t>
            </w:r>
            <w:r w:rsidRPr="00801C50">
              <w:rPr>
                <w:rFonts w:eastAsia="Times New Roman" w:cstheme="minorHAnsi"/>
                <w:vertAlign w:val="superscript"/>
                <w:lang w:eastAsia="en-GB"/>
              </w:rPr>
              <w:t>n.s.</w:t>
            </w:r>
          </w:p>
        </w:tc>
        <w:tc>
          <w:tcPr>
            <w:tcW w:w="0" w:type="auto"/>
            <w:tcBorders>
              <w:bottom w:val="single" w:sz="4" w:space="0" w:color="auto"/>
            </w:tcBorders>
            <w:shd w:val="clear" w:color="auto" w:fill="auto"/>
            <w:noWrap/>
            <w:vAlign w:val="center"/>
          </w:tcPr>
          <w:p w:rsidR="003F5259" w:rsidRPr="00D073AE" w:rsidRDefault="003F5259" w:rsidP="00CA2614">
            <w:pPr>
              <w:spacing w:after="0" w:line="240" w:lineRule="auto"/>
              <w:jc w:val="center"/>
              <w:rPr>
                <w:rFonts w:eastAsia="Times New Roman" w:cstheme="minorHAnsi"/>
              </w:rPr>
            </w:pPr>
            <w:r>
              <w:rPr>
                <w:rFonts w:eastAsia="Times New Roman" w:cstheme="minorHAnsi"/>
                <w:lang w:eastAsia="en-GB"/>
              </w:rPr>
              <w:t>0.1</w:t>
            </w:r>
            <w:r>
              <w:rPr>
                <w:rFonts w:eastAsia="Times New Roman" w:cstheme="minorHAnsi"/>
                <w:lang w:eastAsia="en-GB"/>
              </w:rPr>
              <w:br/>
              <w:t>(0.0 – 0.2</w:t>
            </w:r>
            <w:r w:rsidRPr="00D073AE">
              <w:rPr>
                <w:rFonts w:eastAsia="Times New Roman" w:cstheme="minorHAnsi"/>
                <w:lang w:eastAsia="en-GB"/>
              </w:rPr>
              <w:t>)*</w:t>
            </w:r>
          </w:p>
        </w:tc>
        <w:tc>
          <w:tcPr>
            <w:tcW w:w="2146" w:type="dxa"/>
            <w:tcBorders>
              <w:bottom w:val="single" w:sz="4" w:space="0" w:color="auto"/>
            </w:tcBorders>
          </w:tcPr>
          <w:p w:rsidR="003F5259" w:rsidRPr="00D073AE" w:rsidRDefault="003F5259" w:rsidP="000460BF">
            <w:pPr>
              <w:spacing w:after="0" w:line="240" w:lineRule="auto"/>
              <w:jc w:val="center"/>
              <w:rPr>
                <w:rFonts w:eastAsia="Times New Roman" w:cstheme="minorHAnsi"/>
              </w:rPr>
            </w:pPr>
            <w:r w:rsidRPr="00D073AE">
              <w:rPr>
                <w:rFonts w:eastAsia="Times New Roman" w:cstheme="minorHAnsi"/>
                <w:lang w:eastAsia="en-GB"/>
              </w:rPr>
              <w:t>0</w:t>
            </w:r>
            <w:r>
              <w:rPr>
                <w:rFonts w:eastAsia="Times New Roman" w:cstheme="minorHAnsi"/>
                <w:lang w:eastAsia="en-GB"/>
              </w:rPr>
              <w:t>.00</w:t>
            </w:r>
            <w:r>
              <w:rPr>
                <w:rFonts w:eastAsia="Times New Roman" w:cstheme="minorHAnsi"/>
                <w:lang w:eastAsia="en-GB"/>
              </w:rPr>
              <w:br/>
              <w:t>(-0.00 – 0.00</w:t>
            </w:r>
            <w:r w:rsidRPr="00D073AE">
              <w:rPr>
                <w:rFonts w:eastAsia="Times New Roman" w:cstheme="minorHAnsi"/>
                <w:lang w:eastAsia="en-GB"/>
              </w:rPr>
              <w:t>)</w:t>
            </w:r>
            <w:r w:rsidRPr="00801C50">
              <w:rPr>
                <w:rFonts w:eastAsia="Times New Roman" w:cstheme="minorHAnsi"/>
                <w:vertAlign w:val="superscript"/>
                <w:lang w:eastAsia="en-GB"/>
              </w:rPr>
              <w:t>n.s</w:t>
            </w:r>
            <w:r w:rsidRPr="00D073AE">
              <w:rPr>
                <w:rFonts w:eastAsia="Times New Roman" w:cstheme="minorHAnsi"/>
                <w:lang w:eastAsia="en-GB"/>
              </w:rPr>
              <w:t>  </w:t>
            </w:r>
          </w:p>
        </w:tc>
      </w:tr>
    </w:tbl>
    <w:p w:rsidR="003F5259" w:rsidRPr="000F254E" w:rsidRDefault="003F5259" w:rsidP="00EF327A">
      <w:pPr>
        <w:rPr>
          <w:rFonts w:eastAsia="Times New Roman"/>
          <w:i/>
          <w:iCs/>
        </w:rPr>
      </w:pPr>
      <w:r>
        <w:rPr>
          <w:rStyle w:val="Emphasis"/>
          <w:rFonts w:eastAsia="Times New Roman"/>
        </w:rPr>
        <w:t>n.s. not significant *p&lt;.05. Estimated effect of surgical choice from mixed effects linear regressions controlling for y</w:t>
      </w:r>
      <w:r w:rsidRPr="009F5F75">
        <w:rPr>
          <w:rStyle w:val="Emphasis"/>
          <w:rFonts w:eastAsia="Times New Roman"/>
        </w:rPr>
        <w:t>ears since surgery</w:t>
      </w:r>
      <w:r>
        <w:rPr>
          <w:rStyle w:val="Emphasis"/>
          <w:rFonts w:eastAsia="Times New Roman"/>
        </w:rPr>
        <w:t xml:space="preserve">, age group, gender and pre-operative scores </w:t>
      </w:r>
      <w:r w:rsidRPr="00E966FD">
        <w:rPr>
          <w:rStyle w:val="Emphasis"/>
          <w:rFonts w:eastAsia="Times New Roman"/>
        </w:rPr>
        <w:t xml:space="preserve">(Appendix </w:t>
      </w:r>
      <w:r>
        <w:rPr>
          <w:rStyle w:val="Emphasis"/>
          <w:rFonts w:eastAsia="Times New Roman"/>
        </w:rPr>
        <w:t>3</w:t>
      </w:r>
      <w:r w:rsidRPr="00E966FD">
        <w:rPr>
          <w:rStyle w:val="Emphasis"/>
          <w:rFonts w:eastAsia="Times New Roman"/>
        </w:rPr>
        <w:t>).</w:t>
      </w:r>
      <w:r>
        <w:rPr>
          <w:rStyle w:val="Emphasis"/>
          <w:rFonts w:eastAsia="Times New Roman"/>
        </w:rPr>
        <w:t xml:space="preserve"> An interaction term between type of surgery and years since surgery was included in the model. The estimated effect associated with surgical choice is a product of the combination of these three coefficient estimates.  </w:t>
      </w:r>
    </w:p>
    <w:p w:rsidR="003F5259" w:rsidRPr="00D073AE" w:rsidRDefault="003F5259">
      <w:pPr>
        <w:rPr>
          <w:rFonts w:eastAsia="Times New Roman"/>
          <w:i/>
          <w:iCs/>
        </w:rPr>
      </w:pPr>
    </w:p>
    <w:p w:rsidR="003F5259" w:rsidRDefault="003F5259">
      <w:pPr>
        <w:rPr>
          <w:rFonts w:eastAsiaTheme="majorEastAsia" w:cstheme="majorBidi"/>
          <w:b/>
          <w:caps/>
          <w:color w:val="000000" w:themeColor="text1"/>
        </w:rPr>
      </w:pPr>
      <w:r>
        <w:br w:type="page"/>
      </w:r>
    </w:p>
    <w:p w:rsidR="003F5259" w:rsidRDefault="003F5259" w:rsidP="00192FAA">
      <w:pPr>
        <w:pStyle w:val="Heading1"/>
        <w:rPr>
          <w:rStyle w:val="Emphasis"/>
          <w:rFonts w:eastAsia="Times New Roman"/>
        </w:rPr>
      </w:pPr>
      <w:r>
        <w:rPr>
          <w:rFonts w:asciiTheme="minorHAnsi" w:hAnsiTheme="minorHAnsi"/>
          <w:szCs w:val="22"/>
        </w:rPr>
        <w:lastRenderedPageBreak/>
        <w:t>Table 3</w:t>
      </w:r>
      <w:r w:rsidRPr="00FF50BE">
        <w:rPr>
          <w:rFonts w:asciiTheme="minorHAnsi" w:hAnsiTheme="minorHAnsi"/>
          <w:szCs w:val="22"/>
        </w:rPr>
        <w:t xml:space="preserve">. </w:t>
      </w:r>
      <w:r>
        <w:rPr>
          <w:rFonts w:asciiTheme="minorHAnsi" w:hAnsiTheme="minorHAnsi"/>
          <w:szCs w:val="22"/>
        </w:rPr>
        <w:t xml:space="preserve">Effect of Surgical choice on the odds of attaining Successful </w:t>
      </w:r>
      <w:r w:rsidRPr="00790FE7">
        <w:rPr>
          <w:rFonts w:asciiTheme="minorHAnsi" w:hAnsiTheme="minorHAnsi"/>
          <w:szCs w:val="22"/>
        </w:rPr>
        <w:t>Patient-re</w:t>
      </w:r>
      <w:r>
        <w:rPr>
          <w:rFonts w:asciiTheme="minorHAnsi" w:hAnsiTheme="minorHAnsi"/>
          <w:szCs w:val="22"/>
        </w:rPr>
        <w:t xml:space="preserve">ported outcomes OVER 10 YEARS following surgery </w:t>
      </w:r>
    </w:p>
    <w:p w:rsidR="003F5259" w:rsidRDefault="003F5259">
      <w:pPr>
        <w:rPr>
          <w:rStyle w:val="Emphasis"/>
          <w:rFonts w:eastAsia="Times New Roman"/>
        </w:rPr>
      </w:pPr>
    </w:p>
    <w:tbl>
      <w:tblPr>
        <w:tblW w:w="5000" w:type="pct"/>
        <w:tblLook w:val="04A0" w:firstRow="1" w:lastRow="0" w:firstColumn="1" w:lastColumn="0" w:noHBand="0" w:noVBand="1"/>
      </w:tblPr>
      <w:tblGrid>
        <w:gridCol w:w="8623"/>
        <w:gridCol w:w="5335"/>
      </w:tblGrid>
      <w:tr w:rsidR="003F5259" w:rsidRPr="005654C3" w:rsidTr="00374E7A">
        <w:trPr>
          <w:trHeight w:val="300"/>
        </w:trPr>
        <w:tc>
          <w:tcPr>
            <w:tcW w:w="3089" w:type="pct"/>
            <w:shd w:val="clear" w:color="auto" w:fill="auto"/>
            <w:noWrap/>
            <w:vAlign w:val="center"/>
          </w:tcPr>
          <w:p w:rsidR="003F5259" w:rsidRPr="009C024F" w:rsidRDefault="003F5259" w:rsidP="00C27C60">
            <w:pPr>
              <w:spacing w:after="0" w:line="240" w:lineRule="auto"/>
              <w:rPr>
                <w:rFonts w:eastAsia="Times New Roman" w:cstheme="minorHAnsi"/>
              </w:rPr>
            </w:pPr>
          </w:p>
        </w:tc>
        <w:tc>
          <w:tcPr>
            <w:tcW w:w="1911" w:type="pct"/>
            <w:shd w:val="clear" w:color="auto" w:fill="auto"/>
            <w:noWrap/>
            <w:vAlign w:val="center"/>
          </w:tcPr>
          <w:p w:rsidR="003F5259" w:rsidRPr="009C024F" w:rsidRDefault="003F5259" w:rsidP="00C27C60">
            <w:pPr>
              <w:spacing w:after="0" w:line="240" w:lineRule="auto"/>
              <w:jc w:val="center"/>
              <w:rPr>
                <w:rFonts w:eastAsia="Times New Roman" w:cstheme="minorHAnsi"/>
              </w:rPr>
            </w:pPr>
            <w:r w:rsidRPr="009C024F">
              <w:rPr>
                <w:rFonts w:eastAsia="Times New Roman" w:cstheme="minorHAnsi"/>
              </w:rPr>
              <w:t>Surgery (</w:t>
            </w:r>
            <w:r>
              <w:rPr>
                <w:rFonts w:eastAsia="Times New Roman" w:cstheme="minorHAnsi"/>
              </w:rPr>
              <w:t>UKA</w:t>
            </w:r>
            <w:r w:rsidRPr="009C024F">
              <w:rPr>
                <w:rFonts w:eastAsia="Times New Roman" w:cstheme="minorHAnsi"/>
              </w:rPr>
              <w:t>)</w:t>
            </w:r>
          </w:p>
        </w:tc>
      </w:tr>
      <w:tr w:rsidR="003F5259" w:rsidRPr="005654C3" w:rsidTr="00374E7A">
        <w:trPr>
          <w:trHeight w:val="300"/>
        </w:trPr>
        <w:tc>
          <w:tcPr>
            <w:tcW w:w="3089" w:type="pct"/>
            <w:tcBorders>
              <w:bottom w:val="single" w:sz="4" w:space="0" w:color="auto"/>
            </w:tcBorders>
            <w:shd w:val="clear" w:color="auto" w:fill="auto"/>
            <w:noWrap/>
            <w:vAlign w:val="center"/>
          </w:tcPr>
          <w:p w:rsidR="003F5259" w:rsidRPr="009C024F" w:rsidRDefault="003F5259" w:rsidP="00C27C60">
            <w:pPr>
              <w:spacing w:after="0" w:line="240" w:lineRule="auto"/>
              <w:rPr>
                <w:rFonts w:eastAsia="Times New Roman" w:cstheme="minorHAnsi"/>
                <w:iCs/>
              </w:rPr>
            </w:pPr>
          </w:p>
        </w:tc>
        <w:tc>
          <w:tcPr>
            <w:tcW w:w="1911" w:type="pct"/>
            <w:tcBorders>
              <w:bottom w:val="single" w:sz="4" w:space="0" w:color="auto"/>
            </w:tcBorders>
            <w:shd w:val="clear" w:color="auto" w:fill="auto"/>
            <w:noWrap/>
            <w:vAlign w:val="center"/>
          </w:tcPr>
          <w:p w:rsidR="003F5259" w:rsidRPr="009C024F" w:rsidRDefault="003F5259" w:rsidP="00C27C60">
            <w:pPr>
              <w:spacing w:after="0" w:line="240" w:lineRule="auto"/>
              <w:jc w:val="center"/>
              <w:rPr>
                <w:rFonts w:eastAsia="Times New Roman" w:cstheme="minorHAnsi"/>
                <w:i/>
                <w:iCs/>
              </w:rPr>
            </w:pPr>
            <w:r w:rsidRPr="009C024F">
              <w:rPr>
                <w:rFonts w:eastAsia="Times New Roman" w:cstheme="minorHAnsi"/>
                <w:i/>
                <w:iCs/>
              </w:rPr>
              <w:t>OR (95% CI)</w:t>
            </w:r>
          </w:p>
        </w:tc>
      </w:tr>
      <w:tr w:rsidR="003F5259" w:rsidRPr="004D5FB3" w:rsidTr="00374E7A">
        <w:trPr>
          <w:trHeight w:val="300"/>
        </w:trPr>
        <w:tc>
          <w:tcPr>
            <w:tcW w:w="3089" w:type="pct"/>
            <w:tcBorders>
              <w:top w:val="single" w:sz="4" w:space="0" w:color="auto"/>
            </w:tcBorders>
            <w:shd w:val="clear" w:color="auto" w:fill="auto"/>
            <w:noWrap/>
            <w:vAlign w:val="center"/>
          </w:tcPr>
          <w:p w:rsidR="003F5259" w:rsidRPr="009C024F" w:rsidRDefault="003F5259" w:rsidP="000223ED">
            <w:pPr>
              <w:spacing w:after="0" w:line="240" w:lineRule="auto"/>
              <w:rPr>
                <w:rFonts w:eastAsia="Times New Roman" w:cstheme="minorHAnsi"/>
                <w:i/>
              </w:rPr>
            </w:pPr>
            <w:r w:rsidRPr="009C024F">
              <w:rPr>
                <w:rFonts w:eastAsia="Times New Roman" w:cstheme="minorHAnsi"/>
                <w:i/>
                <w:iCs/>
              </w:rPr>
              <w:t>OKS categories</w:t>
            </w:r>
          </w:p>
        </w:tc>
        <w:tc>
          <w:tcPr>
            <w:tcW w:w="1911" w:type="pct"/>
            <w:tcBorders>
              <w:top w:val="single" w:sz="4" w:space="0" w:color="auto"/>
            </w:tcBorders>
            <w:shd w:val="clear" w:color="auto" w:fill="auto"/>
            <w:noWrap/>
            <w:vAlign w:val="center"/>
          </w:tcPr>
          <w:p w:rsidR="003F5259" w:rsidRPr="009C024F" w:rsidRDefault="003F5259" w:rsidP="00C27C60">
            <w:pPr>
              <w:spacing w:after="0" w:line="240" w:lineRule="auto"/>
              <w:jc w:val="center"/>
              <w:rPr>
                <w:rFonts w:eastAsia="Times New Roman" w:cstheme="minorHAnsi"/>
                <w:lang w:eastAsia="en-GB"/>
              </w:rPr>
            </w:pPr>
          </w:p>
        </w:tc>
      </w:tr>
      <w:tr w:rsidR="003F5259" w:rsidRPr="00664B16" w:rsidTr="00374E7A">
        <w:trPr>
          <w:trHeight w:val="300"/>
        </w:trPr>
        <w:tc>
          <w:tcPr>
            <w:tcW w:w="3089" w:type="pct"/>
            <w:shd w:val="clear" w:color="auto" w:fill="auto"/>
            <w:noWrap/>
            <w:vAlign w:val="center"/>
          </w:tcPr>
          <w:p w:rsidR="003F5259" w:rsidRPr="009C024F" w:rsidRDefault="003F5259" w:rsidP="00C27C60">
            <w:pPr>
              <w:spacing w:after="0" w:line="240" w:lineRule="auto"/>
              <w:rPr>
                <w:rFonts w:eastAsia="Times New Roman" w:cstheme="minorHAnsi"/>
              </w:rPr>
            </w:pPr>
            <w:r w:rsidRPr="009C024F">
              <w:rPr>
                <w:rFonts w:eastAsia="Times New Roman" w:cstheme="minorHAnsi"/>
              </w:rPr>
              <w:t>‘Excellent’ (&gt;41)</w:t>
            </w:r>
          </w:p>
        </w:tc>
        <w:tc>
          <w:tcPr>
            <w:tcW w:w="1911" w:type="pct"/>
            <w:shd w:val="clear" w:color="auto" w:fill="auto"/>
            <w:noWrap/>
            <w:vAlign w:val="center"/>
          </w:tcPr>
          <w:p w:rsidR="003F5259" w:rsidRPr="009C024F" w:rsidRDefault="003F5259" w:rsidP="00CA2614">
            <w:pPr>
              <w:spacing w:after="0" w:line="240" w:lineRule="auto"/>
              <w:jc w:val="center"/>
              <w:rPr>
                <w:rFonts w:eastAsia="Times New Roman" w:cstheme="minorHAnsi"/>
                <w:lang w:eastAsia="en-GB"/>
              </w:rPr>
            </w:pPr>
            <w:r>
              <w:rPr>
                <w:rFonts w:cstheme="minorHAnsi"/>
                <w:color w:val="000000"/>
              </w:rPr>
              <w:t>4.6</w:t>
            </w:r>
            <w:r>
              <w:rPr>
                <w:rFonts w:cstheme="minorHAnsi"/>
                <w:color w:val="000000"/>
              </w:rPr>
              <w:br/>
              <w:t>(3.2 – 6.5)</w:t>
            </w:r>
            <w:r w:rsidRPr="009C024F">
              <w:rPr>
                <w:rFonts w:cstheme="minorHAnsi"/>
                <w:color w:val="000000"/>
              </w:rPr>
              <w:t>*</w:t>
            </w:r>
          </w:p>
        </w:tc>
      </w:tr>
      <w:tr w:rsidR="003F5259" w:rsidRPr="00664B16" w:rsidTr="00374E7A">
        <w:trPr>
          <w:trHeight w:val="300"/>
        </w:trPr>
        <w:tc>
          <w:tcPr>
            <w:tcW w:w="3089" w:type="pct"/>
            <w:shd w:val="clear" w:color="auto" w:fill="auto"/>
            <w:noWrap/>
            <w:vAlign w:val="center"/>
          </w:tcPr>
          <w:p w:rsidR="003F5259" w:rsidRPr="009C024F" w:rsidRDefault="003F5259" w:rsidP="00C27C60">
            <w:pPr>
              <w:spacing w:after="0" w:line="240" w:lineRule="auto"/>
              <w:rPr>
                <w:rFonts w:eastAsia="Times New Roman" w:cstheme="minorHAnsi"/>
              </w:rPr>
            </w:pPr>
            <w:r w:rsidRPr="009C024F">
              <w:rPr>
                <w:rFonts w:eastAsia="Times New Roman" w:cstheme="minorHAnsi"/>
              </w:rPr>
              <w:t>‘Excellent’ or ‘good’ (&gt;34)</w:t>
            </w:r>
          </w:p>
        </w:tc>
        <w:tc>
          <w:tcPr>
            <w:tcW w:w="1911" w:type="pct"/>
            <w:shd w:val="clear" w:color="auto" w:fill="auto"/>
            <w:noWrap/>
            <w:vAlign w:val="center"/>
          </w:tcPr>
          <w:p w:rsidR="003F5259" w:rsidRPr="009C024F" w:rsidRDefault="003F5259" w:rsidP="00E534CE">
            <w:pPr>
              <w:spacing w:after="0" w:line="240" w:lineRule="auto"/>
              <w:jc w:val="center"/>
              <w:rPr>
                <w:rFonts w:eastAsia="Times New Roman" w:cstheme="minorHAnsi"/>
                <w:lang w:eastAsia="en-GB"/>
              </w:rPr>
            </w:pPr>
            <w:r>
              <w:rPr>
                <w:rFonts w:cstheme="minorHAnsi"/>
                <w:color w:val="000000"/>
              </w:rPr>
              <w:t>3.8</w:t>
            </w:r>
            <w:r>
              <w:rPr>
                <w:rFonts w:cstheme="minorHAnsi"/>
                <w:color w:val="000000"/>
              </w:rPr>
              <w:br/>
              <w:t>(2.5 – 5.9)</w:t>
            </w:r>
            <w:r w:rsidRPr="009C024F">
              <w:rPr>
                <w:rFonts w:cstheme="minorHAnsi"/>
                <w:color w:val="000000"/>
              </w:rPr>
              <w:t>*</w:t>
            </w:r>
          </w:p>
        </w:tc>
      </w:tr>
      <w:tr w:rsidR="003F5259" w:rsidRPr="00664B16" w:rsidTr="00374E7A">
        <w:trPr>
          <w:trHeight w:val="300"/>
        </w:trPr>
        <w:tc>
          <w:tcPr>
            <w:tcW w:w="3089" w:type="pct"/>
            <w:shd w:val="clear" w:color="auto" w:fill="auto"/>
            <w:noWrap/>
            <w:vAlign w:val="center"/>
          </w:tcPr>
          <w:p w:rsidR="003F5259" w:rsidRPr="009C024F" w:rsidRDefault="003F5259" w:rsidP="00C27C60">
            <w:pPr>
              <w:spacing w:after="0" w:line="240" w:lineRule="auto"/>
              <w:rPr>
                <w:rFonts w:eastAsia="Times New Roman" w:cstheme="minorHAnsi"/>
              </w:rPr>
            </w:pPr>
            <w:r w:rsidRPr="009C024F">
              <w:rPr>
                <w:rFonts w:eastAsia="Times New Roman" w:cstheme="minorHAnsi"/>
              </w:rPr>
              <w:t>‘Excellent’, ‘good’ or ‘fair’ (&gt;27)</w:t>
            </w:r>
          </w:p>
        </w:tc>
        <w:tc>
          <w:tcPr>
            <w:tcW w:w="1911" w:type="pct"/>
            <w:shd w:val="clear" w:color="auto" w:fill="auto"/>
            <w:noWrap/>
            <w:vAlign w:val="center"/>
          </w:tcPr>
          <w:p w:rsidR="003F5259" w:rsidRPr="009C024F" w:rsidRDefault="003F5259" w:rsidP="00C27C60">
            <w:pPr>
              <w:spacing w:after="0" w:line="240" w:lineRule="auto"/>
              <w:jc w:val="center"/>
              <w:rPr>
                <w:rFonts w:eastAsia="Times New Roman" w:cstheme="minorHAnsi"/>
                <w:lang w:eastAsia="en-GB"/>
              </w:rPr>
            </w:pPr>
            <w:r>
              <w:rPr>
                <w:rFonts w:cstheme="minorHAnsi"/>
                <w:color w:val="000000"/>
              </w:rPr>
              <w:t>3.5</w:t>
            </w:r>
            <w:r>
              <w:rPr>
                <w:rFonts w:cstheme="minorHAnsi"/>
                <w:color w:val="000000"/>
              </w:rPr>
              <w:br/>
              <w:t>(2.0 – 6.0)</w:t>
            </w:r>
            <w:r w:rsidRPr="009C024F">
              <w:rPr>
                <w:rFonts w:cstheme="minorHAnsi"/>
                <w:color w:val="000000"/>
              </w:rPr>
              <w:t>*</w:t>
            </w:r>
          </w:p>
        </w:tc>
      </w:tr>
      <w:tr w:rsidR="003F5259" w:rsidRPr="00664B16" w:rsidTr="00374E7A">
        <w:trPr>
          <w:trHeight w:val="300"/>
        </w:trPr>
        <w:tc>
          <w:tcPr>
            <w:tcW w:w="3089" w:type="pct"/>
            <w:shd w:val="clear" w:color="auto" w:fill="auto"/>
            <w:noWrap/>
            <w:vAlign w:val="center"/>
          </w:tcPr>
          <w:p w:rsidR="003F5259" w:rsidRPr="009C024F" w:rsidRDefault="003F5259" w:rsidP="00C27C60">
            <w:pPr>
              <w:spacing w:after="0" w:line="240" w:lineRule="auto"/>
              <w:rPr>
                <w:rFonts w:eastAsia="Times New Roman" w:cstheme="minorHAnsi"/>
                <w:i/>
              </w:rPr>
            </w:pPr>
            <w:r w:rsidRPr="009C024F">
              <w:rPr>
                <w:rFonts w:eastAsia="Times New Roman" w:cstheme="minorHAnsi"/>
                <w:i/>
              </w:rPr>
              <w:t>Change in OKS</w:t>
            </w:r>
          </w:p>
        </w:tc>
        <w:tc>
          <w:tcPr>
            <w:tcW w:w="1911" w:type="pct"/>
            <w:shd w:val="clear" w:color="auto" w:fill="auto"/>
            <w:noWrap/>
            <w:vAlign w:val="center"/>
          </w:tcPr>
          <w:p w:rsidR="003F5259" w:rsidRPr="009C024F" w:rsidRDefault="003F5259" w:rsidP="00C27C60">
            <w:pPr>
              <w:spacing w:after="0" w:line="240" w:lineRule="auto"/>
              <w:jc w:val="center"/>
              <w:rPr>
                <w:rFonts w:eastAsia="Times New Roman" w:cstheme="minorHAnsi"/>
                <w:lang w:eastAsia="en-GB"/>
              </w:rPr>
            </w:pPr>
          </w:p>
        </w:tc>
      </w:tr>
      <w:tr w:rsidR="003F5259" w:rsidRPr="00664B16" w:rsidTr="00374E7A">
        <w:trPr>
          <w:trHeight w:val="300"/>
        </w:trPr>
        <w:tc>
          <w:tcPr>
            <w:tcW w:w="3089" w:type="pct"/>
            <w:shd w:val="clear" w:color="auto" w:fill="auto"/>
            <w:noWrap/>
            <w:vAlign w:val="center"/>
          </w:tcPr>
          <w:p w:rsidR="003F5259" w:rsidRPr="009C024F" w:rsidRDefault="003F5259" w:rsidP="00374E7A">
            <w:pPr>
              <w:spacing w:after="0" w:line="240" w:lineRule="auto"/>
              <w:rPr>
                <w:rFonts w:eastAsia="Times New Roman" w:cstheme="minorHAnsi"/>
              </w:rPr>
            </w:pPr>
            <w:r w:rsidRPr="009C024F">
              <w:rPr>
                <w:rFonts w:eastAsia="Times New Roman" w:cstheme="minorHAnsi"/>
              </w:rPr>
              <w:t>Achieve MCID (≥4)</w:t>
            </w:r>
          </w:p>
        </w:tc>
        <w:tc>
          <w:tcPr>
            <w:tcW w:w="1911" w:type="pct"/>
            <w:shd w:val="clear" w:color="auto" w:fill="auto"/>
            <w:noWrap/>
            <w:vAlign w:val="center"/>
          </w:tcPr>
          <w:p w:rsidR="003F5259" w:rsidRPr="009C024F" w:rsidRDefault="003F5259" w:rsidP="00E534CE">
            <w:pPr>
              <w:spacing w:after="0" w:line="240" w:lineRule="auto"/>
              <w:jc w:val="center"/>
              <w:rPr>
                <w:rFonts w:eastAsia="Times New Roman" w:cstheme="minorHAnsi"/>
                <w:lang w:eastAsia="en-GB"/>
              </w:rPr>
            </w:pPr>
            <w:r>
              <w:rPr>
                <w:rFonts w:cstheme="minorHAnsi"/>
                <w:color w:val="000000"/>
              </w:rPr>
              <w:t>2.9</w:t>
            </w:r>
            <w:r>
              <w:rPr>
                <w:rFonts w:cstheme="minorHAnsi"/>
                <w:color w:val="000000"/>
              </w:rPr>
              <w:br/>
              <w:t>(1.8 – 4.7)</w:t>
            </w:r>
            <w:r w:rsidRPr="009C024F">
              <w:rPr>
                <w:rFonts w:cstheme="minorHAnsi"/>
                <w:color w:val="000000"/>
              </w:rPr>
              <w:t>*</w:t>
            </w:r>
          </w:p>
        </w:tc>
      </w:tr>
      <w:tr w:rsidR="003F5259" w:rsidRPr="00664B16" w:rsidTr="00374E7A">
        <w:trPr>
          <w:trHeight w:val="300"/>
        </w:trPr>
        <w:tc>
          <w:tcPr>
            <w:tcW w:w="3089" w:type="pct"/>
            <w:shd w:val="clear" w:color="auto" w:fill="auto"/>
            <w:noWrap/>
            <w:vAlign w:val="center"/>
          </w:tcPr>
          <w:p w:rsidR="003F5259" w:rsidRPr="009C024F" w:rsidRDefault="003F5259" w:rsidP="00374E7A">
            <w:pPr>
              <w:spacing w:after="0" w:line="240" w:lineRule="auto"/>
              <w:rPr>
                <w:rFonts w:eastAsia="Times New Roman" w:cstheme="minorHAnsi"/>
              </w:rPr>
            </w:pPr>
            <w:r w:rsidRPr="009C024F">
              <w:rPr>
                <w:rFonts w:eastAsia="Times New Roman" w:cstheme="minorHAnsi"/>
              </w:rPr>
              <w:t>No change or improvement (≥0)</w:t>
            </w:r>
          </w:p>
        </w:tc>
        <w:tc>
          <w:tcPr>
            <w:tcW w:w="1911" w:type="pct"/>
            <w:shd w:val="clear" w:color="auto" w:fill="auto"/>
            <w:noWrap/>
            <w:vAlign w:val="center"/>
          </w:tcPr>
          <w:p w:rsidR="003F5259" w:rsidRPr="009C024F" w:rsidRDefault="003F5259" w:rsidP="00E534CE">
            <w:pPr>
              <w:spacing w:after="0" w:line="240" w:lineRule="auto"/>
              <w:jc w:val="center"/>
              <w:rPr>
                <w:rFonts w:eastAsia="Times New Roman" w:cstheme="minorHAnsi"/>
                <w:lang w:eastAsia="en-GB"/>
              </w:rPr>
            </w:pPr>
            <w:r>
              <w:rPr>
                <w:rFonts w:cstheme="minorHAnsi"/>
                <w:color w:val="000000"/>
              </w:rPr>
              <w:t>3.0</w:t>
            </w:r>
            <w:r>
              <w:rPr>
                <w:rFonts w:cstheme="minorHAnsi"/>
                <w:color w:val="000000"/>
              </w:rPr>
              <w:br/>
              <w:t>(1.7 – 5.5)</w:t>
            </w:r>
            <w:r w:rsidRPr="009C024F">
              <w:rPr>
                <w:rFonts w:cstheme="minorHAnsi"/>
                <w:color w:val="000000"/>
              </w:rPr>
              <w:t>*</w:t>
            </w:r>
          </w:p>
        </w:tc>
      </w:tr>
      <w:tr w:rsidR="003F5259" w:rsidRPr="00664B16" w:rsidTr="00374E7A">
        <w:trPr>
          <w:trHeight w:val="300"/>
        </w:trPr>
        <w:tc>
          <w:tcPr>
            <w:tcW w:w="3089" w:type="pct"/>
            <w:shd w:val="clear" w:color="auto" w:fill="auto"/>
            <w:noWrap/>
            <w:vAlign w:val="center"/>
          </w:tcPr>
          <w:p w:rsidR="003F5259" w:rsidRPr="009C024F" w:rsidRDefault="003F5259" w:rsidP="00374E7A">
            <w:pPr>
              <w:spacing w:after="0" w:line="240" w:lineRule="auto"/>
              <w:rPr>
                <w:rFonts w:eastAsia="Times New Roman" w:cstheme="minorHAnsi"/>
                <w:i/>
              </w:rPr>
            </w:pPr>
            <w:r w:rsidRPr="009C024F">
              <w:rPr>
                <w:rFonts w:eastAsia="Times New Roman" w:cstheme="minorHAnsi"/>
                <w:i/>
              </w:rPr>
              <w:t>Change in EQ-5D</w:t>
            </w:r>
          </w:p>
        </w:tc>
        <w:tc>
          <w:tcPr>
            <w:tcW w:w="1911" w:type="pct"/>
            <w:shd w:val="clear" w:color="auto" w:fill="auto"/>
            <w:noWrap/>
            <w:vAlign w:val="center"/>
          </w:tcPr>
          <w:p w:rsidR="003F5259" w:rsidRPr="009C024F" w:rsidRDefault="003F5259" w:rsidP="00374E7A">
            <w:pPr>
              <w:spacing w:after="0" w:line="240" w:lineRule="auto"/>
              <w:jc w:val="center"/>
              <w:rPr>
                <w:rFonts w:eastAsia="Times New Roman" w:cstheme="minorHAnsi"/>
                <w:lang w:eastAsia="en-GB"/>
              </w:rPr>
            </w:pPr>
          </w:p>
        </w:tc>
      </w:tr>
      <w:tr w:rsidR="003F5259" w:rsidRPr="00664B16" w:rsidTr="00374E7A">
        <w:trPr>
          <w:trHeight w:val="300"/>
        </w:trPr>
        <w:tc>
          <w:tcPr>
            <w:tcW w:w="3089" w:type="pct"/>
            <w:shd w:val="clear" w:color="auto" w:fill="auto"/>
            <w:noWrap/>
            <w:vAlign w:val="center"/>
          </w:tcPr>
          <w:p w:rsidR="003F5259" w:rsidRPr="005E2219" w:rsidRDefault="003F5259" w:rsidP="00374E7A">
            <w:pPr>
              <w:spacing w:after="0" w:line="240" w:lineRule="auto"/>
              <w:rPr>
                <w:rFonts w:eastAsia="Times New Roman" w:cstheme="minorHAnsi"/>
              </w:rPr>
            </w:pPr>
            <w:r w:rsidRPr="005E2219">
              <w:rPr>
                <w:rFonts w:eastAsia="Times New Roman" w:cstheme="minorHAnsi"/>
              </w:rPr>
              <w:t>Achieve MCID (≥0.074)</w:t>
            </w:r>
          </w:p>
        </w:tc>
        <w:tc>
          <w:tcPr>
            <w:tcW w:w="1911" w:type="pct"/>
            <w:shd w:val="clear" w:color="auto" w:fill="auto"/>
            <w:noWrap/>
            <w:vAlign w:val="center"/>
          </w:tcPr>
          <w:p w:rsidR="003F5259" w:rsidRPr="005E2219" w:rsidRDefault="003F5259" w:rsidP="00374E7A">
            <w:pPr>
              <w:spacing w:after="0" w:line="240" w:lineRule="auto"/>
              <w:jc w:val="center"/>
              <w:rPr>
                <w:rFonts w:eastAsia="Times New Roman" w:cstheme="minorHAnsi"/>
                <w:lang w:eastAsia="en-GB"/>
              </w:rPr>
            </w:pPr>
            <w:r>
              <w:rPr>
                <w:color w:val="000000"/>
              </w:rPr>
              <w:t>2.5</w:t>
            </w:r>
            <w:r>
              <w:rPr>
                <w:color w:val="000000"/>
              </w:rPr>
              <w:br/>
              <w:t>(1.6 – 3.8)</w:t>
            </w:r>
            <w:r w:rsidRPr="005E2219">
              <w:rPr>
                <w:color w:val="000000"/>
              </w:rPr>
              <w:t>*</w:t>
            </w:r>
          </w:p>
        </w:tc>
      </w:tr>
      <w:tr w:rsidR="003F5259" w:rsidRPr="00664B16" w:rsidTr="00374E7A">
        <w:trPr>
          <w:trHeight w:val="300"/>
        </w:trPr>
        <w:tc>
          <w:tcPr>
            <w:tcW w:w="3089" w:type="pct"/>
            <w:tcBorders>
              <w:bottom w:val="single" w:sz="4" w:space="0" w:color="auto"/>
            </w:tcBorders>
            <w:shd w:val="clear" w:color="auto" w:fill="auto"/>
            <w:noWrap/>
            <w:vAlign w:val="center"/>
          </w:tcPr>
          <w:p w:rsidR="003F5259" w:rsidRPr="005E2219" w:rsidRDefault="003F5259" w:rsidP="00374E7A">
            <w:pPr>
              <w:spacing w:after="0" w:line="240" w:lineRule="auto"/>
              <w:rPr>
                <w:rFonts w:eastAsia="Times New Roman" w:cstheme="minorHAnsi"/>
              </w:rPr>
            </w:pPr>
            <w:r w:rsidRPr="005E2219">
              <w:rPr>
                <w:rFonts w:eastAsia="Times New Roman" w:cstheme="minorHAnsi"/>
              </w:rPr>
              <w:t>No change or improvement (≥0)</w:t>
            </w:r>
          </w:p>
        </w:tc>
        <w:tc>
          <w:tcPr>
            <w:tcW w:w="1911" w:type="pct"/>
            <w:tcBorders>
              <w:bottom w:val="single" w:sz="4" w:space="0" w:color="auto"/>
            </w:tcBorders>
            <w:shd w:val="clear" w:color="auto" w:fill="auto"/>
            <w:noWrap/>
            <w:vAlign w:val="center"/>
          </w:tcPr>
          <w:p w:rsidR="003F5259" w:rsidRPr="005E2219" w:rsidRDefault="003F5259" w:rsidP="00374E7A">
            <w:pPr>
              <w:spacing w:after="0" w:line="240" w:lineRule="auto"/>
              <w:jc w:val="center"/>
              <w:rPr>
                <w:rFonts w:eastAsia="Times New Roman" w:cstheme="minorHAnsi"/>
                <w:lang w:eastAsia="en-GB"/>
              </w:rPr>
            </w:pPr>
            <w:r>
              <w:rPr>
                <w:color w:val="000000"/>
              </w:rPr>
              <w:t>2.1</w:t>
            </w:r>
            <w:r>
              <w:rPr>
                <w:color w:val="000000"/>
              </w:rPr>
              <w:br/>
              <w:t>(1.4 – 3.6)</w:t>
            </w:r>
            <w:r w:rsidRPr="005E2219">
              <w:rPr>
                <w:color w:val="000000"/>
              </w:rPr>
              <w:t>*</w:t>
            </w:r>
          </w:p>
        </w:tc>
      </w:tr>
    </w:tbl>
    <w:p w:rsidR="003F5259" w:rsidRDefault="003F5259" w:rsidP="00DA4EDF">
      <w:pPr>
        <w:spacing w:after="0" w:line="240" w:lineRule="auto"/>
        <w:rPr>
          <w:rStyle w:val="Emphasis"/>
          <w:rFonts w:eastAsia="Times New Roman"/>
        </w:rPr>
      </w:pPr>
      <w:r>
        <w:rPr>
          <w:rStyle w:val="Emphasis"/>
          <w:rFonts w:eastAsia="Times New Roman"/>
        </w:rPr>
        <w:t>** p&lt;.05. OR: Odds ratio (OR) based on mixed effects logistic regression controlling for y</w:t>
      </w:r>
      <w:r w:rsidRPr="009F5F75">
        <w:rPr>
          <w:rStyle w:val="Emphasis"/>
          <w:rFonts w:eastAsia="Times New Roman"/>
        </w:rPr>
        <w:t>ears since surgery</w:t>
      </w:r>
      <w:r>
        <w:rPr>
          <w:rStyle w:val="Emphasis"/>
          <w:rFonts w:eastAsia="Times New Roman"/>
        </w:rPr>
        <w:t xml:space="preserve">, age group, gender and pre-operative scores </w:t>
      </w:r>
      <w:r w:rsidRPr="00E966FD">
        <w:rPr>
          <w:rStyle w:val="Emphasis"/>
          <w:rFonts w:eastAsia="Times New Roman"/>
        </w:rPr>
        <w:t xml:space="preserve">(Appendix </w:t>
      </w:r>
      <w:r>
        <w:rPr>
          <w:rStyle w:val="Emphasis"/>
          <w:rFonts w:eastAsia="Times New Roman"/>
        </w:rPr>
        <w:t>5</w:t>
      </w:r>
      <w:r w:rsidRPr="00E966FD">
        <w:rPr>
          <w:rStyle w:val="Emphasis"/>
          <w:rFonts w:eastAsia="Times New Roman"/>
        </w:rPr>
        <w:t>).</w:t>
      </w:r>
      <w:r>
        <w:rPr>
          <w:rStyle w:val="Emphasis"/>
          <w:rFonts w:eastAsia="Times New Roman"/>
        </w:rPr>
        <w:t xml:space="preserve"> </w:t>
      </w:r>
      <w:r w:rsidRPr="00374E7A">
        <w:rPr>
          <w:rFonts w:eastAsia="Times New Roman" w:cstheme="minorHAnsi"/>
          <w:i/>
          <w:iCs/>
        </w:rPr>
        <w:t>OKS categories</w:t>
      </w:r>
      <w:r>
        <w:rPr>
          <w:rFonts w:eastAsia="Times New Roman" w:cstheme="minorHAnsi"/>
          <w:i/>
          <w:iCs/>
        </w:rPr>
        <w:t xml:space="preserve"> are based on absolute scores while change in OKS and EQ-5D compare patients’ post-operative scores with their pre-operative score.</w:t>
      </w:r>
      <w:r>
        <w:rPr>
          <w:rStyle w:val="Emphasis"/>
          <w:rFonts w:eastAsia="Times New Roman"/>
        </w:rPr>
        <w:t xml:space="preserve"> </w:t>
      </w:r>
      <w:r w:rsidRPr="0080290E">
        <w:rPr>
          <w:i/>
        </w:rPr>
        <w:t xml:space="preserve">Minimally clinically important </w:t>
      </w:r>
      <w:r>
        <w:rPr>
          <w:i/>
        </w:rPr>
        <w:t>difference; MCID:</w:t>
      </w:r>
      <w:r>
        <w:rPr>
          <w:rStyle w:val="Emphasis"/>
          <w:rFonts w:eastAsia="Times New Roman"/>
        </w:rPr>
        <w:t xml:space="preserve"> OKS: Oxford knee score; UKA: Unicompartmental knee arthroplasty; CI: confidence intervals. </w:t>
      </w:r>
    </w:p>
    <w:p w:rsidR="003F5259" w:rsidRDefault="003F5259">
      <w:pPr>
        <w:rPr>
          <w:rStyle w:val="Emphasis"/>
          <w:rFonts w:eastAsia="Times New Roman"/>
        </w:rPr>
      </w:pPr>
    </w:p>
    <w:p w:rsidR="003F5259" w:rsidRDefault="003F5259">
      <w:pPr>
        <w:rPr>
          <w:rStyle w:val="Emphasis"/>
          <w:rFonts w:eastAsia="Times New Roman"/>
        </w:rPr>
      </w:pPr>
    </w:p>
    <w:p w:rsidR="003F5259" w:rsidRDefault="003F5259" w:rsidP="00D20314">
      <w:pPr>
        <w:spacing w:after="0"/>
        <w:rPr>
          <w:rFonts w:eastAsia="Times New Roman"/>
          <w:i/>
          <w:iCs/>
        </w:rPr>
        <w:sectPr w:rsidR="003F5259" w:rsidSect="003902B3">
          <w:pgSz w:w="16838" w:h="11906" w:orient="landscape"/>
          <w:pgMar w:top="1440" w:right="1440" w:bottom="1440" w:left="1440" w:header="708" w:footer="708" w:gutter="0"/>
          <w:cols w:space="708"/>
          <w:docGrid w:linePitch="360"/>
        </w:sectPr>
      </w:pPr>
    </w:p>
    <w:p w:rsidR="003F5259" w:rsidRPr="00D20314" w:rsidRDefault="003F5259" w:rsidP="00D20314">
      <w:pPr>
        <w:pStyle w:val="Heading1"/>
      </w:pPr>
      <w:r>
        <w:lastRenderedPageBreak/>
        <w:t>Fig.1</w:t>
      </w:r>
      <w:r w:rsidRPr="00D20314">
        <w:t xml:space="preserve"> Flow chart of study inclusion </w:t>
      </w:r>
    </w:p>
    <w:p w:rsidR="003F5259" w:rsidRPr="00D20314" w:rsidRDefault="003F5259" w:rsidP="00D20314">
      <w:pPr>
        <w:pStyle w:val="Heading1"/>
      </w:pPr>
      <w:r>
        <w:t>Fig.2</w:t>
      </w:r>
      <w:r w:rsidRPr="00D20314">
        <w:t xml:space="preserve"> Marginal effect of treatment and time on patient reported outcomes from mixed effects regressions.  A higher score indicates better outcomes for each measure. Yearly Point estimates with shaded areas reflecting 95% confidence intervals.</w:t>
      </w:r>
    </w:p>
    <w:p w:rsidR="003F5259" w:rsidRPr="0049542B" w:rsidRDefault="003F5259" w:rsidP="00D20314">
      <w:pPr>
        <w:spacing w:after="0"/>
        <w:rPr>
          <w:rFonts w:eastAsia="Times New Roman"/>
          <w:i/>
          <w:iCs/>
        </w:rPr>
      </w:pPr>
    </w:p>
    <w:p w:rsidR="00D06B6B" w:rsidRDefault="003F5259">
      <w:bookmarkStart w:id="0" w:name="_GoBack"/>
      <w:bookmarkEnd w:id="0"/>
    </w:p>
    <w:sectPr w:rsidR="00D06B6B" w:rsidSect="00D20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819"/>
    <w:multiLevelType w:val="hybridMultilevel"/>
    <w:tmpl w:val="DB6078A6"/>
    <w:lvl w:ilvl="0" w:tplc="A5181062">
      <w:start w:val="3"/>
      <w:numFmt w:val="bullet"/>
      <w:lvlText w:val=""/>
      <w:lvlJc w:val="left"/>
      <w:pPr>
        <w:ind w:left="720" w:hanging="360"/>
      </w:pPr>
      <w:rPr>
        <w:rFonts w:ascii="Wingdings" w:eastAsiaTheme="majorEastAsia" w:hAnsi="Wingdings"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3417C"/>
    <w:multiLevelType w:val="hybridMultilevel"/>
    <w:tmpl w:val="712C2154"/>
    <w:lvl w:ilvl="0" w:tplc="74FA2C0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23882"/>
    <w:multiLevelType w:val="hybridMultilevel"/>
    <w:tmpl w:val="4D3EAECC"/>
    <w:lvl w:ilvl="0" w:tplc="91CA9F2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C7948"/>
    <w:multiLevelType w:val="hybridMultilevel"/>
    <w:tmpl w:val="037CFE9E"/>
    <w:lvl w:ilvl="0" w:tplc="B07ACB5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D0246"/>
    <w:multiLevelType w:val="hybridMultilevel"/>
    <w:tmpl w:val="C270D83E"/>
    <w:lvl w:ilvl="0" w:tplc="A8CC22D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E1A89"/>
    <w:multiLevelType w:val="hybridMultilevel"/>
    <w:tmpl w:val="F028DAF4"/>
    <w:lvl w:ilvl="0" w:tplc="7CA8C2BA">
      <w:start w:val="104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55A76"/>
    <w:multiLevelType w:val="hybridMultilevel"/>
    <w:tmpl w:val="905821AE"/>
    <w:lvl w:ilvl="0" w:tplc="00D2BB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817D2"/>
    <w:multiLevelType w:val="hybridMultilevel"/>
    <w:tmpl w:val="83109DB4"/>
    <w:lvl w:ilvl="0" w:tplc="E1D8CB6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E2A2E"/>
    <w:multiLevelType w:val="hybridMultilevel"/>
    <w:tmpl w:val="C5E2FD82"/>
    <w:lvl w:ilvl="0" w:tplc="40F8C888">
      <w:start w:val="3"/>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D3DA9"/>
    <w:multiLevelType w:val="hybridMultilevel"/>
    <w:tmpl w:val="9B58029C"/>
    <w:lvl w:ilvl="0" w:tplc="B9B4C72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F294D"/>
    <w:multiLevelType w:val="hybridMultilevel"/>
    <w:tmpl w:val="5486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1599A"/>
    <w:multiLevelType w:val="hybridMultilevel"/>
    <w:tmpl w:val="5FCEE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490813"/>
    <w:multiLevelType w:val="hybridMultilevel"/>
    <w:tmpl w:val="F66C18DA"/>
    <w:lvl w:ilvl="0" w:tplc="B81828D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4277B"/>
    <w:multiLevelType w:val="hybridMultilevel"/>
    <w:tmpl w:val="C5D86B34"/>
    <w:lvl w:ilvl="0" w:tplc="8522EF02">
      <w:start w:val="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7"/>
  </w:num>
  <w:num w:numId="6">
    <w:abstractNumId w:val="10"/>
  </w:num>
  <w:num w:numId="7">
    <w:abstractNumId w:val="2"/>
  </w:num>
  <w:num w:numId="8">
    <w:abstractNumId w:val="11"/>
  </w:num>
  <w:num w:numId="9">
    <w:abstractNumId w:val="6"/>
  </w:num>
  <w:num w:numId="10">
    <w:abstractNumId w:val="9"/>
  </w:num>
  <w:num w:numId="11">
    <w:abstractNumId w:val="5"/>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F5259"/>
    <w:rsid w:val="003569C3"/>
    <w:rsid w:val="003F5259"/>
    <w:rsid w:val="00DF3736"/>
    <w:rsid w:val="00FE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3B9BC-8C74-47D1-BD21-108BABB7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59"/>
  </w:style>
  <w:style w:type="paragraph" w:styleId="Heading1">
    <w:name w:val="heading 1"/>
    <w:basedOn w:val="Normal"/>
    <w:next w:val="Normal"/>
    <w:link w:val="Heading1Char"/>
    <w:uiPriority w:val="9"/>
    <w:qFormat/>
    <w:rsid w:val="003F5259"/>
    <w:pPr>
      <w:keepNext/>
      <w:keepLines/>
      <w:spacing w:before="240" w:after="0"/>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unhideWhenUsed/>
    <w:qFormat/>
    <w:rsid w:val="003F525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F5259"/>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rsid w:val="003F52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259"/>
  </w:style>
  <w:style w:type="paragraph" w:styleId="Title">
    <w:name w:val="Title"/>
    <w:basedOn w:val="Normal"/>
    <w:next w:val="Normal"/>
    <w:link w:val="TitleChar"/>
    <w:uiPriority w:val="10"/>
    <w:qFormat/>
    <w:rsid w:val="003F5259"/>
    <w:pPr>
      <w:spacing w:after="0" w:line="360" w:lineRule="auto"/>
      <w:contextualSpacing/>
    </w:pPr>
    <w:rPr>
      <w:rFonts w:asciiTheme="majorHAnsi" w:eastAsiaTheme="majorEastAsia" w:hAnsiTheme="majorHAnsi" w:cstheme="majorBidi"/>
      <w:b/>
      <w:caps/>
      <w:spacing w:val="-10"/>
      <w:kern w:val="28"/>
      <w:sz w:val="36"/>
      <w:szCs w:val="56"/>
    </w:rPr>
  </w:style>
  <w:style w:type="character" w:customStyle="1" w:styleId="TitleChar">
    <w:name w:val="Title Char"/>
    <w:basedOn w:val="DefaultParagraphFont"/>
    <w:link w:val="Title"/>
    <w:uiPriority w:val="10"/>
    <w:rsid w:val="003F5259"/>
    <w:rPr>
      <w:rFonts w:asciiTheme="majorHAnsi" w:eastAsiaTheme="majorEastAsia" w:hAnsiTheme="majorHAnsi" w:cstheme="majorBidi"/>
      <w:b/>
      <w:caps/>
      <w:spacing w:val="-10"/>
      <w:kern w:val="28"/>
      <w:sz w:val="36"/>
      <w:szCs w:val="56"/>
    </w:rPr>
  </w:style>
  <w:style w:type="character" w:customStyle="1" w:styleId="Heading1Char">
    <w:name w:val="Heading 1 Char"/>
    <w:basedOn w:val="DefaultParagraphFont"/>
    <w:link w:val="Heading1"/>
    <w:uiPriority w:val="9"/>
    <w:rsid w:val="003F5259"/>
    <w:rPr>
      <w:rFonts w:asciiTheme="majorHAnsi" w:eastAsiaTheme="majorEastAsia" w:hAnsiTheme="majorHAnsi" w:cstheme="majorBidi"/>
      <w:b/>
      <w:caps/>
      <w:color w:val="000000" w:themeColor="text1"/>
      <w:szCs w:val="32"/>
    </w:rPr>
  </w:style>
  <w:style w:type="character" w:customStyle="1" w:styleId="Heading2Char">
    <w:name w:val="Heading 2 Char"/>
    <w:basedOn w:val="DefaultParagraphFont"/>
    <w:link w:val="Heading2"/>
    <w:uiPriority w:val="9"/>
    <w:rsid w:val="003F5259"/>
    <w:rPr>
      <w:rFonts w:eastAsiaTheme="majorEastAsia" w:cstheme="majorBidi"/>
      <w:b/>
      <w:szCs w:val="26"/>
    </w:rPr>
  </w:style>
  <w:style w:type="character" w:customStyle="1" w:styleId="Heading3Char">
    <w:name w:val="Heading 3 Char"/>
    <w:basedOn w:val="DefaultParagraphFont"/>
    <w:link w:val="Heading3"/>
    <w:uiPriority w:val="9"/>
    <w:rsid w:val="003F5259"/>
    <w:rPr>
      <w:rFonts w:eastAsiaTheme="majorEastAsia" w:cstheme="majorBidi"/>
      <w:szCs w:val="24"/>
    </w:rPr>
  </w:style>
  <w:style w:type="paragraph" w:styleId="ListParagraph">
    <w:name w:val="List Paragraph"/>
    <w:basedOn w:val="Normal"/>
    <w:uiPriority w:val="34"/>
    <w:qFormat/>
    <w:rsid w:val="003F5259"/>
    <w:pPr>
      <w:ind w:left="720"/>
      <w:contextualSpacing/>
    </w:pPr>
  </w:style>
  <w:style w:type="paragraph" w:styleId="NoSpacing">
    <w:name w:val="No Spacing"/>
    <w:uiPriority w:val="1"/>
    <w:qFormat/>
    <w:rsid w:val="003F5259"/>
    <w:pPr>
      <w:spacing w:after="0" w:line="240" w:lineRule="auto"/>
    </w:pPr>
  </w:style>
  <w:style w:type="character" w:customStyle="1" w:styleId="unicode">
    <w:name w:val="unicode"/>
    <w:basedOn w:val="DefaultParagraphFont"/>
    <w:rsid w:val="003F5259"/>
  </w:style>
  <w:style w:type="paragraph" w:customStyle="1" w:styleId="EndNoteBibliographyTitle">
    <w:name w:val="EndNote Bibliography Title"/>
    <w:basedOn w:val="Normal"/>
    <w:link w:val="EndNoteBibliographyTitleChar"/>
    <w:rsid w:val="003F525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F5259"/>
    <w:rPr>
      <w:rFonts w:ascii="Calibri" w:hAnsi="Calibri" w:cs="Calibri"/>
      <w:noProof/>
      <w:lang w:val="en-US"/>
    </w:rPr>
  </w:style>
  <w:style w:type="paragraph" w:customStyle="1" w:styleId="EndNoteBibliography">
    <w:name w:val="EndNote Bibliography"/>
    <w:basedOn w:val="Normal"/>
    <w:link w:val="EndNoteBibliographyChar"/>
    <w:rsid w:val="003F525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F5259"/>
    <w:rPr>
      <w:rFonts w:ascii="Calibri" w:hAnsi="Calibri" w:cs="Calibri"/>
      <w:noProof/>
      <w:lang w:val="en-US"/>
    </w:rPr>
  </w:style>
  <w:style w:type="character" w:styleId="Emphasis">
    <w:name w:val="Emphasis"/>
    <w:basedOn w:val="DefaultParagraphFont"/>
    <w:uiPriority w:val="20"/>
    <w:qFormat/>
    <w:rsid w:val="003F5259"/>
    <w:rPr>
      <w:i/>
      <w:iCs/>
    </w:rPr>
  </w:style>
  <w:style w:type="paragraph" w:styleId="BalloonText">
    <w:name w:val="Balloon Text"/>
    <w:basedOn w:val="Normal"/>
    <w:link w:val="BalloonTextChar"/>
    <w:uiPriority w:val="99"/>
    <w:semiHidden/>
    <w:unhideWhenUsed/>
    <w:rsid w:val="003F5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59"/>
    <w:rPr>
      <w:rFonts w:ascii="Segoe UI" w:hAnsi="Segoe UI" w:cs="Segoe UI"/>
      <w:sz w:val="18"/>
      <w:szCs w:val="18"/>
    </w:rPr>
  </w:style>
  <w:style w:type="character" w:styleId="CommentReference">
    <w:name w:val="annotation reference"/>
    <w:basedOn w:val="DefaultParagraphFont"/>
    <w:uiPriority w:val="99"/>
    <w:semiHidden/>
    <w:unhideWhenUsed/>
    <w:rsid w:val="003F5259"/>
    <w:rPr>
      <w:sz w:val="16"/>
      <w:szCs w:val="16"/>
    </w:rPr>
  </w:style>
  <w:style w:type="paragraph" w:styleId="CommentText">
    <w:name w:val="annotation text"/>
    <w:basedOn w:val="Normal"/>
    <w:link w:val="CommentTextChar"/>
    <w:uiPriority w:val="99"/>
    <w:unhideWhenUsed/>
    <w:rsid w:val="003F5259"/>
    <w:pPr>
      <w:spacing w:line="240" w:lineRule="auto"/>
    </w:pPr>
    <w:rPr>
      <w:sz w:val="20"/>
      <w:szCs w:val="20"/>
    </w:rPr>
  </w:style>
  <w:style w:type="character" w:customStyle="1" w:styleId="CommentTextChar">
    <w:name w:val="Comment Text Char"/>
    <w:basedOn w:val="DefaultParagraphFont"/>
    <w:link w:val="CommentText"/>
    <w:uiPriority w:val="99"/>
    <w:rsid w:val="003F5259"/>
    <w:rPr>
      <w:sz w:val="20"/>
      <w:szCs w:val="20"/>
    </w:rPr>
  </w:style>
  <w:style w:type="paragraph" w:styleId="CommentSubject">
    <w:name w:val="annotation subject"/>
    <w:basedOn w:val="CommentText"/>
    <w:next w:val="CommentText"/>
    <w:link w:val="CommentSubjectChar"/>
    <w:uiPriority w:val="99"/>
    <w:semiHidden/>
    <w:unhideWhenUsed/>
    <w:rsid w:val="003F5259"/>
    <w:rPr>
      <w:b/>
      <w:bCs/>
    </w:rPr>
  </w:style>
  <w:style w:type="character" w:customStyle="1" w:styleId="CommentSubjectChar">
    <w:name w:val="Comment Subject Char"/>
    <w:basedOn w:val="CommentTextChar"/>
    <w:link w:val="CommentSubject"/>
    <w:uiPriority w:val="99"/>
    <w:semiHidden/>
    <w:rsid w:val="003F5259"/>
    <w:rPr>
      <w:b/>
      <w:bCs/>
      <w:sz w:val="20"/>
      <w:szCs w:val="20"/>
    </w:rPr>
  </w:style>
  <w:style w:type="paragraph" w:styleId="Header">
    <w:name w:val="header"/>
    <w:basedOn w:val="Normal"/>
    <w:link w:val="HeaderChar"/>
    <w:uiPriority w:val="99"/>
    <w:unhideWhenUsed/>
    <w:rsid w:val="003F5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259"/>
  </w:style>
  <w:style w:type="paragraph" w:styleId="Footer">
    <w:name w:val="footer"/>
    <w:basedOn w:val="Normal"/>
    <w:link w:val="FooterChar"/>
    <w:uiPriority w:val="99"/>
    <w:unhideWhenUsed/>
    <w:rsid w:val="003F5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259"/>
  </w:style>
  <w:style w:type="paragraph" w:styleId="Revision">
    <w:name w:val="Revision"/>
    <w:hidden/>
    <w:uiPriority w:val="99"/>
    <w:semiHidden/>
    <w:rsid w:val="003F5259"/>
    <w:pPr>
      <w:spacing w:after="0" w:line="240" w:lineRule="auto"/>
    </w:pPr>
  </w:style>
  <w:style w:type="table" w:styleId="TableGrid">
    <w:name w:val="Table Grid"/>
    <w:basedOn w:val="TableNormal"/>
    <w:uiPriority w:val="39"/>
    <w:rsid w:val="003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F5259"/>
  </w:style>
  <w:style w:type="paragraph" w:styleId="PlainText">
    <w:name w:val="Plain Text"/>
    <w:basedOn w:val="Normal"/>
    <w:link w:val="PlainTextChar"/>
    <w:uiPriority w:val="99"/>
    <w:unhideWhenUsed/>
    <w:rsid w:val="003F52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F525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5707</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eburn</dc:creator>
  <cp:keywords/>
  <dc:description/>
  <cp:lastModifiedBy>eburn</cp:lastModifiedBy>
  <cp:revision>1</cp:revision>
  <dcterms:created xsi:type="dcterms:W3CDTF">2016-12-01T17:09:00Z</dcterms:created>
  <dcterms:modified xsi:type="dcterms:W3CDTF">2016-12-01T17:09:00Z</dcterms:modified>
</cp:coreProperties>
</file>