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3644" w14:textId="38D70C5F" w:rsidR="00884638" w:rsidRDefault="00884638" w:rsidP="00884638">
      <w:pPr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WEALTHPOL Inheritance Tax </w:t>
      </w:r>
      <w:r w:rsidRPr="00884638">
        <w:rPr>
          <w:rFonts w:ascii="Garamond" w:hAnsi="Garamond" w:cs="Times New Roman"/>
          <w:b/>
          <w:bCs/>
        </w:rPr>
        <w:t>Codebook</w:t>
      </w:r>
    </w:p>
    <w:p w14:paraId="3C14C274" w14:textId="0374BC94" w:rsidR="00884638" w:rsidRDefault="00884638" w:rsidP="00884638">
      <w:pPr>
        <w:jc w:val="center"/>
        <w:rPr>
          <w:rFonts w:ascii="Garamond" w:hAnsi="Garamond" w:cs="Times New Roman"/>
          <w:b/>
          <w:bCs/>
        </w:rPr>
      </w:pPr>
    </w:p>
    <w:p w14:paraId="3073247A" w14:textId="30CC68BC" w:rsidR="00884638" w:rsidRPr="00884638" w:rsidRDefault="00884638" w:rsidP="00884638">
      <w:pPr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 xml:space="preserve">Laure </w:t>
      </w:r>
      <w:proofErr w:type="spellStart"/>
      <w:r>
        <w:rPr>
          <w:rFonts w:ascii="Garamond" w:hAnsi="Garamond" w:cs="Times New Roman"/>
          <w:b/>
          <w:bCs/>
        </w:rPr>
        <w:t>Bokobza</w:t>
      </w:r>
      <w:proofErr w:type="spellEnd"/>
      <w:r>
        <w:rPr>
          <w:rFonts w:ascii="Garamond" w:hAnsi="Garamond" w:cs="Times New Roman"/>
          <w:b/>
          <w:bCs/>
        </w:rPr>
        <w:t xml:space="preserve">, Mads </w:t>
      </w:r>
      <w:proofErr w:type="spellStart"/>
      <w:r>
        <w:rPr>
          <w:rFonts w:ascii="Garamond" w:hAnsi="Garamond" w:cs="Times New Roman"/>
          <w:b/>
          <w:bCs/>
        </w:rPr>
        <w:t>Elkjær</w:t>
      </w:r>
      <w:proofErr w:type="spellEnd"/>
      <w:r>
        <w:rPr>
          <w:rFonts w:ascii="Garamond" w:hAnsi="Garamond" w:cs="Times New Roman"/>
          <w:b/>
          <w:bCs/>
        </w:rPr>
        <w:t xml:space="preserve"> and Ben Ansell</w:t>
      </w:r>
    </w:p>
    <w:p w14:paraId="64B689F8" w14:textId="125E8DD1" w:rsidR="00884638" w:rsidRDefault="00884638" w:rsidP="00884638">
      <w:pPr>
        <w:jc w:val="both"/>
        <w:rPr>
          <w:rFonts w:ascii="Garamond" w:hAnsi="Garamond"/>
        </w:rPr>
      </w:pPr>
    </w:p>
    <w:p w14:paraId="507338EE" w14:textId="77777777" w:rsidR="0054789E" w:rsidRDefault="0054789E" w:rsidP="00884638">
      <w:pPr>
        <w:jc w:val="both"/>
        <w:rPr>
          <w:rFonts w:ascii="Garamond" w:hAnsi="Garamond"/>
        </w:rPr>
      </w:pPr>
    </w:p>
    <w:p w14:paraId="739505CA" w14:textId="43500CCF" w:rsidR="0054789E" w:rsidRDefault="0054789E" w:rsidP="00884638">
      <w:pPr>
        <w:jc w:val="both"/>
        <w:rPr>
          <w:rFonts w:ascii="Garamond" w:hAnsi="Garamond"/>
        </w:rPr>
      </w:pPr>
      <w:r w:rsidRPr="0054789E">
        <w:rPr>
          <w:rFonts w:ascii="Garamond" w:hAnsi="Garamond"/>
          <w:b/>
          <w:bCs/>
        </w:rPr>
        <w:t>Notes:</w:t>
      </w: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In order to</w:t>
      </w:r>
      <w:proofErr w:type="gramEnd"/>
      <w:r>
        <w:rPr>
          <w:rFonts w:ascii="Garamond" w:hAnsi="Garamond"/>
        </w:rPr>
        <w:t xml:space="preserve"> enable comparisons between countries and across time, </w:t>
      </w:r>
      <w:r>
        <w:rPr>
          <w:rFonts w:ascii="Garamond" w:hAnsi="Garamond"/>
        </w:rPr>
        <w:t>we have</w:t>
      </w:r>
      <w:r>
        <w:rPr>
          <w:rFonts w:ascii="Garamond" w:hAnsi="Garamond"/>
        </w:rPr>
        <w:t xml:space="preserve"> record</w:t>
      </w:r>
      <w:r>
        <w:rPr>
          <w:rFonts w:ascii="Garamond" w:hAnsi="Garamond"/>
        </w:rPr>
        <w:t>ed</w:t>
      </w:r>
      <w:r>
        <w:rPr>
          <w:rFonts w:ascii="Garamond" w:hAnsi="Garamond"/>
        </w:rPr>
        <w:t xml:space="preserve"> the tax rate that applies to low, medium, and high inheritances respectively, defined as multiples of the country’s GDP per capita in Local Currency Unit (LCU) in a given year</w:t>
      </w:r>
      <w:r>
        <w:rPr>
          <w:rFonts w:ascii="Garamond" w:hAnsi="Garamond" w:cs="Times New Roman"/>
        </w:rPr>
        <w:t xml:space="preserve">. </w:t>
      </w:r>
      <w:r>
        <w:rPr>
          <w:rFonts w:ascii="Garamond" w:hAnsi="Garamond"/>
        </w:rPr>
        <w:t>The rate coded is the</w:t>
      </w:r>
      <w:r>
        <w:rPr>
          <w:rFonts w:ascii="Garamond" w:hAnsi="Garamond"/>
        </w:rPr>
        <w:t xml:space="preserve"> tax rate that would apply to the case of a non-minor child who inherits cash only via testament</w:t>
      </w:r>
    </w:p>
    <w:p w14:paraId="710847D9" w14:textId="65B94A30" w:rsidR="0054789E" w:rsidRDefault="0054789E" w:rsidP="00884638">
      <w:pPr>
        <w:jc w:val="both"/>
        <w:rPr>
          <w:rFonts w:ascii="Garamond" w:hAnsi="Garamond"/>
        </w:rPr>
      </w:pPr>
    </w:p>
    <w:p w14:paraId="4EB0A557" w14:textId="77777777" w:rsidR="0054789E" w:rsidRDefault="0054789E" w:rsidP="0054789E">
      <w:pPr>
        <w:jc w:val="both"/>
        <w:rPr>
          <w:rFonts w:ascii="Garamond" w:hAnsi="Garamond"/>
        </w:rPr>
      </w:pPr>
      <w:r w:rsidRPr="004468F7">
        <w:rPr>
          <w:rFonts w:ascii="Garamond" w:hAnsi="Garamond"/>
        </w:rPr>
        <w:t xml:space="preserve">For each country, the </w:t>
      </w:r>
      <w:proofErr w:type="gramStart"/>
      <w:r w:rsidRPr="004468F7">
        <w:rPr>
          <w:rFonts w:ascii="Garamond" w:hAnsi="Garamond"/>
        </w:rPr>
        <w:t>time period</w:t>
      </w:r>
      <w:proofErr w:type="gramEnd"/>
      <w:r w:rsidRPr="004468F7">
        <w:rPr>
          <w:rFonts w:ascii="Garamond" w:hAnsi="Garamond"/>
        </w:rPr>
        <w:t xml:space="preserve"> covered is from 1945 to 2019. Countries included in the dataset </w:t>
      </w:r>
      <w:proofErr w:type="gramStart"/>
      <w:r w:rsidRPr="004468F7">
        <w:rPr>
          <w:rFonts w:ascii="Garamond" w:hAnsi="Garamond"/>
        </w:rPr>
        <w:t>are:</w:t>
      </w:r>
      <w:proofErr w:type="gramEnd"/>
      <w:r w:rsidRPr="004468F7">
        <w:rPr>
          <w:rFonts w:ascii="Garamond" w:hAnsi="Garamond"/>
        </w:rPr>
        <w:t xml:space="preserve"> Australia, Austria, Belgium, Canada, Denmark, Finland, France, Germany, Ireland, Italy, Japan, the Netherlands, New Zealand, Norway, South Korea, Sweden, Switzerland, the United Kingdom, and the United States. </w:t>
      </w:r>
    </w:p>
    <w:p w14:paraId="6591CCD3" w14:textId="04A759F1" w:rsidR="0054789E" w:rsidRDefault="0054789E" w:rsidP="00884638">
      <w:pPr>
        <w:jc w:val="both"/>
        <w:rPr>
          <w:rFonts w:ascii="Garamond" w:hAnsi="Garamond"/>
        </w:rPr>
      </w:pPr>
    </w:p>
    <w:p w14:paraId="23321745" w14:textId="6F9B1B71" w:rsidR="0054789E" w:rsidRPr="0054789E" w:rsidRDefault="0054789E" w:rsidP="00884638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Variables:</w:t>
      </w:r>
    </w:p>
    <w:p w14:paraId="2D01025E" w14:textId="77777777" w:rsidR="0054789E" w:rsidRDefault="0054789E" w:rsidP="00884638">
      <w:pPr>
        <w:jc w:val="both"/>
        <w:rPr>
          <w:rFonts w:ascii="Garamond" w:hAnsi="Garamond"/>
        </w:rPr>
      </w:pPr>
    </w:p>
    <w:p w14:paraId="49D7E2EF" w14:textId="2D026431" w:rsidR="00884638" w:rsidRDefault="00884638" w:rsidP="00884638">
      <w:pPr>
        <w:tabs>
          <w:tab w:val="left" w:pos="1485"/>
        </w:tabs>
        <w:jc w:val="both"/>
        <w:rPr>
          <w:rFonts w:ascii="Garamond" w:hAnsi="Garamond"/>
        </w:rPr>
      </w:pPr>
      <w:r w:rsidRPr="00341E3C">
        <w:rPr>
          <w:rFonts w:ascii="Garamond" w:hAnsi="Garamond"/>
          <w:b/>
          <w:bCs/>
        </w:rPr>
        <w:t>Year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>
        <w:rPr>
          <w:rFonts w:ascii="Garamond" w:hAnsi="Garamond"/>
          <w:i/>
          <w:iCs/>
        </w:rPr>
        <w:t>numeric</w:t>
      </w:r>
      <w:r>
        <w:rPr>
          <w:rFonts w:ascii="Garamond" w:hAnsi="Garamond"/>
        </w:rPr>
        <w:t xml:space="preserve">] – calendar year. Following </w:t>
      </w:r>
      <w:proofErr w:type="spellStart"/>
      <w:r>
        <w:rPr>
          <w:rFonts w:ascii="Garamond" w:hAnsi="Garamond"/>
        </w:rPr>
        <w:t>Plagge</w:t>
      </w:r>
      <w:proofErr w:type="spellEnd"/>
      <w:r>
        <w:rPr>
          <w:rFonts w:ascii="Garamond" w:hAnsi="Garamond"/>
        </w:rPr>
        <w:t xml:space="preserve"> et al. (2011), when a law becomes effective in the first half of the year (January 1 to June 30), we code the law as applying to the entire year in which it became effective. If a law becomes effective in the second half of the year (July 1 to December 31), we code it as coming into effect the following year. </w:t>
      </w:r>
    </w:p>
    <w:p w14:paraId="7A29BD9E" w14:textId="77777777" w:rsidR="00884638" w:rsidRDefault="00884638" w:rsidP="008846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5C4B96" w14:textId="77777777" w:rsidR="00884638" w:rsidRDefault="00884638" w:rsidP="00884638">
      <w:pPr>
        <w:jc w:val="both"/>
        <w:rPr>
          <w:rFonts w:ascii="Garamond" w:hAnsi="Garamond"/>
        </w:rPr>
      </w:pPr>
      <w:r w:rsidRPr="00341E3C">
        <w:rPr>
          <w:rFonts w:ascii="Garamond" w:hAnsi="Garamond"/>
          <w:b/>
          <w:bCs/>
        </w:rPr>
        <w:t>N brackets</w:t>
      </w:r>
      <w:r>
        <w:rPr>
          <w:rFonts w:ascii="Garamond" w:hAnsi="Garamond"/>
        </w:rPr>
        <w:t xml:space="preserve"> [</w:t>
      </w:r>
      <w:r w:rsidRPr="00341E3C">
        <w:rPr>
          <w:rFonts w:ascii="Garamond" w:hAnsi="Garamond"/>
          <w:i/>
          <w:iCs/>
        </w:rPr>
        <w:t>numeric</w:t>
      </w:r>
      <w:r>
        <w:rPr>
          <w:rFonts w:ascii="Garamond" w:hAnsi="Garamond"/>
        </w:rPr>
        <w:t xml:space="preserve">] – number of inheritance tax brackets. </w:t>
      </w:r>
    </w:p>
    <w:p w14:paraId="25CC96A1" w14:textId="77777777" w:rsidR="00884638" w:rsidRDefault="00884638" w:rsidP="00884638">
      <w:pPr>
        <w:jc w:val="both"/>
        <w:rPr>
          <w:rFonts w:ascii="Garamond" w:hAnsi="Garamond"/>
        </w:rPr>
      </w:pPr>
    </w:p>
    <w:p w14:paraId="34BB6FDD" w14:textId="77777777" w:rsidR="00884638" w:rsidRDefault="00884638" w:rsidP="00884638">
      <w:pPr>
        <w:jc w:val="both"/>
        <w:rPr>
          <w:rFonts w:ascii="Garamond" w:hAnsi="Garamond"/>
        </w:rPr>
      </w:pPr>
      <w:r w:rsidRPr="00AD75A8">
        <w:rPr>
          <w:rFonts w:ascii="Garamond" w:hAnsi="Garamond"/>
          <w:b/>
          <w:bCs/>
        </w:rPr>
        <w:t>Exemption threshold (in LCU)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 w:rsidRPr="00AD75A8">
        <w:rPr>
          <w:rFonts w:ascii="Garamond" w:hAnsi="Garamond"/>
          <w:i/>
          <w:iCs/>
        </w:rPr>
        <w:t>numeric</w:t>
      </w:r>
      <w:r>
        <w:rPr>
          <w:rFonts w:ascii="Garamond" w:hAnsi="Garamond"/>
        </w:rPr>
        <w:t xml:space="preserve">]– amount exempt from inheritance taxation, in Local Currency Unit (LCU). </w:t>
      </w:r>
    </w:p>
    <w:p w14:paraId="15BF2ECE" w14:textId="77777777" w:rsidR="00884638" w:rsidRDefault="00884638" w:rsidP="00884638">
      <w:pPr>
        <w:jc w:val="both"/>
        <w:rPr>
          <w:rFonts w:ascii="Garamond" w:hAnsi="Garamond"/>
        </w:rPr>
      </w:pPr>
    </w:p>
    <w:p w14:paraId="62734D2E" w14:textId="77777777" w:rsidR="00884638" w:rsidRDefault="00884638" w:rsidP="00884638">
      <w:pPr>
        <w:jc w:val="both"/>
        <w:rPr>
          <w:rFonts w:ascii="Garamond" w:hAnsi="Garamond"/>
        </w:rPr>
      </w:pPr>
      <w:r w:rsidRPr="0013234D">
        <w:rPr>
          <w:rFonts w:ascii="Garamond" w:hAnsi="Garamond"/>
          <w:b/>
          <w:bCs/>
        </w:rPr>
        <w:t>Lowest tax rate above exemption threshold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 w:rsidRPr="0013234D">
        <w:rPr>
          <w:rFonts w:ascii="Garamond" w:hAnsi="Garamond"/>
          <w:i/>
          <w:iCs/>
        </w:rPr>
        <w:t>numeric</w:t>
      </w:r>
      <w:r>
        <w:rPr>
          <w:rFonts w:ascii="Garamond" w:hAnsi="Garamond"/>
        </w:rPr>
        <w:t xml:space="preserve">] – tax rate, in percent, applying to the first LCU inherited above the exemption threshold. This may be different that Rate 1. </w:t>
      </w:r>
    </w:p>
    <w:p w14:paraId="7C64CE53" w14:textId="77777777" w:rsidR="00884638" w:rsidRDefault="00884638" w:rsidP="00884638">
      <w:pPr>
        <w:jc w:val="both"/>
        <w:rPr>
          <w:rFonts w:ascii="Garamond" w:hAnsi="Garamond"/>
        </w:rPr>
      </w:pPr>
    </w:p>
    <w:p w14:paraId="424C4694" w14:textId="4FCA70CF" w:rsidR="00884638" w:rsidRPr="00566373" w:rsidRDefault="00884638" w:rsidP="00884638">
      <w:pPr>
        <w:jc w:val="both"/>
        <w:rPr>
          <w:rFonts w:ascii="Garamond" w:hAnsi="Garamond"/>
        </w:rPr>
      </w:pPr>
      <w:r w:rsidRPr="009D630C">
        <w:rPr>
          <w:rFonts w:ascii="Garamond" w:hAnsi="Garamond"/>
          <w:b/>
          <w:bCs/>
        </w:rPr>
        <w:t>Threshold 1 / 1xGDPpc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>
        <w:rPr>
          <w:rFonts w:ascii="Garamond" w:hAnsi="Garamond"/>
          <w:i/>
          <w:iCs/>
        </w:rPr>
        <w:t>numeric</w:t>
      </w:r>
      <w:r>
        <w:rPr>
          <w:rFonts w:ascii="Garamond" w:hAnsi="Garamond"/>
        </w:rPr>
        <w:t xml:space="preserve">] </w:t>
      </w:r>
      <w:r>
        <w:rPr>
          <w:rFonts w:ascii="Garamond" w:hAnsi="Garamond"/>
          <w:i/>
          <w:iCs/>
        </w:rPr>
        <w:t xml:space="preserve">– </w:t>
      </w:r>
      <w:r>
        <w:rPr>
          <w:rFonts w:ascii="Garamond" w:hAnsi="Garamond"/>
        </w:rPr>
        <w:t xml:space="preserve">first inheritance threshold, equal to 1 x </w:t>
      </w:r>
      <w:proofErr w:type="spellStart"/>
      <w:r>
        <w:rPr>
          <w:rFonts w:ascii="Garamond" w:hAnsi="Garamond"/>
        </w:rPr>
        <w:t>GDPpc</w:t>
      </w:r>
      <w:proofErr w:type="spellEnd"/>
      <w:r>
        <w:rPr>
          <w:rFonts w:ascii="Garamond" w:hAnsi="Garamond"/>
        </w:rPr>
        <w:t xml:space="preserve"> in that year. </w:t>
      </w:r>
    </w:p>
    <w:p w14:paraId="033C827F" w14:textId="77777777" w:rsidR="00884638" w:rsidRDefault="00884638" w:rsidP="00884638">
      <w:pPr>
        <w:jc w:val="both"/>
        <w:rPr>
          <w:rFonts w:ascii="Garamond" w:hAnsi="Garamond"/>
          <w:i/>
          <w:iCs/>
        </w:rPr>
      </w:pPr>
    </w:p>
    <w:p w14:paraId="4366F6BD" w14:textId="77777777" w:rsidR="00884638" w:rsidRDefault="00884638" w:rsidP="00884638">
      <w:pPr>
        <w:jc w:val="both"/>
        <w:rPr>
          <w:rFonts w:ascii="Garamond" w:hAnsi="Garamond"/>
        </w:rPr>
      </w:pPr>
      <w:r w:rsidRPr="00183BBD">
        <w:rPr>
          <w:rFonts w:ascii="Garamond" w:hAnsi="Garamond"/>
          <w:b/>
          <w:bCs/>
        </w:rPr>
        <w:t>Rate 1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>
        <w:rPr>
          <w:rFonts w:ascii="Garamond" w:hAnsi="Garamond"/>
          <w:i/>
          <w:iCs/>
        </w:rPr>
        <w:t>numeric</w:t>
      </w:r>
      <w:r>
        <w:rPr>
          <w:rFonts w:ascii="Garamond" w:hAnsi="Garamond"/>
        </w:rPr>
        <w:t xml:space="preserve">] </w:t>
      </w:r>
      <w:r>
        <w:rPr>
          <w:rFonts w:ascii="Garamond" w:hAnsi="Garamond"/>
          <w:i/>
          <w:iCs/>
        </w:rPr>
        <w:t xml:space="preserve">– </w:t>
      </w:r>
      <w:r>
        <w:rPr>
          <w:rFonts w:ascii="Garamond" w:hAnsi="Garamond"/>
        </w:rPr>
        <w:t xml:space="preserve">marginal tax rate, in percent, applying to Threshold 1, </w:t>
      </w:r>
      <w:proofErr w:type="gramStart"/>
      <w:r>
        <w:rPr>
          <w:rFonts w:ascii="Garamond" w:hAnsi="Garamond"/>
        </w:rPr>
        <w:t>i.e.</w:t>
      </w:r>
      <w:proofErr w:type="gramEnd"/>
      <w:r>
        <w:rPr>
          <w:rFonts w:ascii="Garamond" w:hAnsi="Garamond"/>
        </w:rPr>
        <w:t xml:space="preserve"> tax rate applying to the last LCU inherited up to Threshold 1, for inheritances that a non-minor child inherits in cash only via a testament.</w:t>
      </w:r>
    </w:p>
    <w:p w14:paraId="601477C5" w14:textId="77777777" w:rsidR="00884638" w:rsidRDefault="00884638" w:rsidP="00884638">
      <w:pPr>
        <w:jc w:val="both"/>
        <w:rPr>
          <w:rFonts w:ascii="Garamond" w:hAnsi="Garamond"/>
        </w:rPr>
      </w:pPr>
    </w:p>
    <w:p w14:paraId="0C439983" w14:textId="24569A34" w:rsidR="00884638" w:rsidRDefault="00884638" w:rsidP="00884638">
      <w:pPr>
        <w:jc w:val="both"/>
        <w:rPr>
          <w:rFonts w:ascii="Garamond" w:hAnsi="Garamond"/>
          <w:i/>
          <w:iCs/>
        </w:rPr>
      </w:pPr>
      <w:r w:rsidRPr="00117C1A">
        <w:rPr>
          <w:rFonts w:ascii="Garamond" w:hAnsi="Garamond"/>
          <w:b/>
          <w:bCs/>
        </w:rPr>
        <w:t>Threshold 2 / 5xGDPpc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>
        <w:rPr>
          <w:rFonts w:ascii="Garamond" w:hAnsi="Garamond"/>
          <w:i/>
          <w:iCs/>
        </w:rPr>
        <w:t>numeric</w:t>
      </w:r>
      <w:r>
        <w:rPr>
          <w:rFonts w:ascii="Garamond" w:hAnsi="Garamond"/>
        </w:rPr>
        <w:t xml:space="preserve">] </w:t>
      </w:r>
      <w:proofErr w:type="gramStart"/>
      <w:r>
        <w:rPr>
          <w:rFonts w:ascii="Garamond" w:hAnsi="Garamond"/>
          <w:i/>
          <w:iCs/>
        </w:rPr>
        <w:t xml:space="preserve">–  </w:t>
      </w:r>
      <w:r>
        <w:rPr>
          <w:rFonts w:ascii="Garamond" w:hAnsi="Garamond"/>
        </w:rPr>
        <w:t>second</w:t>
      </w:r>
      <w:proofErr w:type="gramEnd"/>
      <w:r>
        <w:rPr>
          <w:rFonts w:ascii="Garamond" w:hAnsi="Garamond"/>
        </w:rPr>
        <w:t xml:space="preserve"> inheritance threshold, equal to 5 x </w:t>
      </w:r>
      <w:proofErr w:type="spellStart"/>
      <w:r>
        <w:rPr>
          <w:rFonts w:ascii="Garamond" w:hAnsi="Garamond"/>
        </w:rPr>
        <w:t>GDPpc</w:t>
      </w:r>
      <w:proofErr w:type="spellEnd"/>
      <w:r>
        <w:rPr>
          <w:rFonts w:ascii="Garamond" w:hAnsi="Garamond"/>
        </w:rPr>
        <w:t xml:space="preserve"> in that year. </w:t>
      </w:r>
    </w:p>
    <w:p w14:paraId="1864DB02" w14:textId="77777777" w:rsidR="00884638" w:rsidRDefault="00884638" w:rsidP="00884638">
      <w:pPr>
        <w:jc w:val="both"/>
        <w:rPr>
          <w:rFonts w:ascii="Garamond" w:hAnsi="Garamond"/>
          <w:i/>
          <w:iCs/>
        </w:rPr>
      </w:pPr>
    </w:p>
    <w:p w14:paraId="703299D7" w14:textId="77777777" w:rsidR="00884638" w:rsidRDefault="00884638" w:rsidP="00884638">
      <w:pPr>
        <w:jc w:val="both"/>
        <w:rPr>
          <w:rFonts w:ascii="Garamond" w:hAnsi="Garamond"/>
        </w:rPr>
      </w:pPr>
      <w:r w:rsidRPr="00183BBD">
        <w:rPr>
          <w:rFonts w:ascii="Garamond" w:hAnsi="Garamond"/>
          <w:b/>
          <w:bCs/>
        </w:rPr>
        <w:t xml:space="preserve">Rate </w:t>
      </w:r>
      <w:r>
        <w:rPr>
          <w:rFonts w:ascii="Garamond" w:hAnsi="Garamond"/>
          <w:b/>
          <w:bCs/>
        </w:rPr>
        <w:t>2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>
        <w:rPr>
          <w:rFonts w:ascii="Garamond" w:hAnsi="Garamond"/>
          <w:i/>
          <w:iCs/>
        </w:rPr>
        <w:t>numeric</w:t>
      </w:r>
      <w:r>
        <w:rPr>
          <w:rFonts w:ascii="Garamond" w:hAnsi="Garamond"/>
        </w:rPr>
        <w:t xml:space="preserve">] </w:t>
      </w:r>
      <w:r>
        <w:rPr>
          <w:rFonts w:ascii="Garamond" w:hAnsi="Garamond"/>
          <w:i/>
          <w:iCs/>
        </w:rPr>
        <w:t xml:space="preserve">– </w:t>
      </w:r>
      <w:r>
        <w:rPr>
          <w:rFonts w:ascii="Garamond" w:hAnsi="Garamond"/>
        </w:rPr>
        <w:t xml:space="preserve">marginal tax rate, in percent, applying to Threshold 2, </w:t>
      </w:r>
      <w:proofErr w:type="gramStart"/>
      <w:r>
        <w:rPr>
          <w:rFonts w:ascii="Garamond" w:hAnsi="Garamond"/>
        </w:rPr>
        <w:t>i.e.</w:t>
      </w:r>
      <w:proofErr w:type="gramEnd"/>
      <w:r>
        <w:rPr>
          <w:rFonts w:ascii="Garamond" w:hAnsi="Garamond"/>
        </w:rPr>
        <w:t xml:space="preserve"> tax rate applying to the last LCU inherited up to Threshold 2, for inheritances that a non-minor child inherits in cash only via a testament.</w:t>
      </w:r>
    </w:p>
    <w:p w14:paraId="6044BD32" w14:textId="77777777" w:rsidR="00884638" w:rsidRDefault="00884638" w:rsidP="00884638">
      <w:pPr>
        <w:jc w:val="both"/>
        <w:rPr>
          <w:rFonts w:ascii="Garamond" w:hAnsi="Garamond"/>
          <w:i/>
          <w:iCs/>
        </w:rPr>
      </w:pPr>
    </w:p>
    <w:p w14:paraId="481B1D2D" w14:textId="29669109" w:rsidR="00884638" w:rsidRDefault="00884638" w:rsidP="00884638">
      <w:pPr>
        <w:jc w:val="both"/>
        <w:rPr>
          <w:rFonts w:ascii="Garamond" w:hAnsi="Garamond"/>
          <w:i/>
          <w:iCs/>
        </w:rPr>
      </w:pPr>
      <w:r w:rsidRPr="00117C1A">
        <w:rPr>
          <w:rFonts w:ascii="Garamond" w:hAnsi="Garamond"/>
          <w:b/>
          <w:bCs/>
        </w:rPr>
        <w:t xml:space="preserve">Threshold </w:t>
      </w:r>
      <w:r>
        <w:rPr>
          <w:rFonts w:ascii="Garamond" w:hAnsi="Garamond"/>
          <w:b/>
          <w:bCs/>
        </w:rPr>
        <w:t>3</w:t>
      </w:r>
      <w:r w:rsidRPr="00117C1A">
        <w:rPr>
          <w:rFonts w:ascii="Garamond" w:hAnsi="Garamond"/>
          <w:b/>
          <w:bCs/>
        </w:rPr>
        <w:t xml:space="preserve"> / </w:t>
      </w:r>
      <w:r>
        <w:rPr>
          <w:rFonts w:ascii="Garamond" w:hAnsi="Garamond"/>
          <w:b/>
          <w:bCs/>
        </w:rPr>
        <w:t>10</w:t>
      </w:r>
      <w:r w:rsidRPr="00117C1A">
        <w:rPr>
          <w:rFonts w:ascii="Garamond" w:hAnsi="Garamond"/>
          <w:b/>
          <w:bCs/>
        </w:rPr>
        <w:t>xGDPpc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>
        <w:rPr>
          <w:rFonts w:ascii="Garamond" w:hAnsi="Garamond"/>
          <w:i/>
          <w:iCs/>
        </w:rPr>
        <w:t>numeric</w:t>
      </w:r>
      <w:r>
        <w:rPr>
          <w:rFonts w:ascii="Garamond" w:hAnsi="Garamond"/>
        </w:rPr>
        <w:t xml:space="preserve">] </w:t>
      </w:r>
      <w:proofErr w:type="gramStart"/>
      <w:r>
        <w:rPr>
          <w:rFonts w:ascii="Garamond" w:hAnsi="Garamond"/>
          <w:i/>
          <w:iCs/>
        </w:rPr>
        <w:t xml:space="preserve">–  </w:t>
      </w:r>
      <w:r>
        <w:rPr>
          <w:rFonts w:ascii="Garamond" w:hAnsi="Garamond"/>
        </w:rPr>
        <w:t>third</w:t>
      </w:r>
      <w:proofErr w:type="gramEnd"/>
      <w:r>
        <w:rPr>
          <w:rFonts w:ascii="Garamond" w:hAnsi="Garamond"/>
        </w:rPr>
        <w:t xml:space="preserve"> inheritance threshold, equal to 10 x </w:t>
      </w:r>
      <w:proofErr w:type="spellStart"/>
      <w:r>
        <w:rPr>
          <w:rFonts w:ascii="Garamond" w:hAnsi="Garamond"/>
        </w:rPr>
        <w:t>GDPpc</w:t>
      </w:r>
      <w:proofErr w:type="spellEnd"/>
      <w:r>
        <w:rPr>
          <w:rFonts w:ascii="Garamond" w:hAnsi="Garamond"/>
        </w:rPr>
        <w:t xml:space="preserve"> in that year. </w:t>
      </w:r>
    </w:p>
    <w:p w14:paraId="533B2468" w14:textId="77777777" w:rsidR="00884638" w:rsidRDefault="00884638" w:rsidP="00884638">
      <w:pPr>
        <w:jc w:val="both"/>
        <w:rPr>
          <w:rFonts w:ascii="Garamond" w:hAnsi="Garamond"/>
          <w:i/>
          <w:iCs/>
        </w:rPr>
      </w:pPr>
    </w:p>
    <w:p w14:paraId="1EF09A8D" w14:textId="77777777" w:rsidR="00884638" w:rsidRDefault="00884638" w:rsidP="00884638">
      <w:pPr>
        <w:jc w:val="both"/>
        <w:rPr>
          <w:rFonts w:ascii="Garamond" w:hAnsi="Garamond"/>
        </w:rPr>
      </w:pPr>
      <w:r w:rsidRPr="00183BBD">
        <w:rPr>
          <w:rFonts w:ascii="Garamond" w:hAnsi="Garamond"/>
          <w:b/>
          <w:bCs/>
        </w:rPr>
        <w:t xml:space="preserve">Rate </w:t>
      </w:r>
      <w:r>
        <w:rPr>
          <w:rFonts w:ascii="Garamond" w:hAnsi="Garamond"/>
          <w:b/>
          <w:bCs/>
        </w:rPr>
        <w:t>3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>
        <w:rPr>
          <w:rFonts w:ascii="Garamond" w:hAnsi="Garamond"/>
          <w:i/>
          <w:iCs/>
        </w:rPr>
        <w:t>numeric</w:t>
      </w:r>
      <w:r>
        <w:rPr>
          <w:rFonts w:ascii="Garamond" w:hAnsi="Garamond"/>
        </w:rPr>
        <w:t xml:space="preserve">] </w:t>
      </w:r>
      <w:r>
        <w:rPr>
          <w:rFonts w:ascii="Garamond" w:hAnsi="Garamond"/>
          <w:i/>
          <w:iCs/>
        </w:rPr>
        <w:t xml:space="preserve">– </w:t>
      </w:r>
      <w:r>
        <w:rPr>
          <w:rFonts w:ascii="Garamond" w:hAnsi="Garamond"/>
        </w:rPr>
        <w:t xml:space="preserve">marginal tax rate, in percent, applying to Threshold 3, </w:t>
      </w:r>
      <w:proofErr w:type="gramStart"/>
      <w:r>
        <w:rPr>
          <w:rFonts w:ascii="Garamond" w:hAnsi="Garamond"/>
        </w:rPr>
        <w:t>i.e.</w:t>
      </w:r>
      <w:proofErr w:type="gramEnd"/>
      <w:r>
        <w:rPr>
          <w:rFonts w:ascii="Garamond" w:hAnsi="Garamond"/>
        </w:rPr>
        <w:t xml:space="preserve"> tax rate applying to the last LCU inherited up to Threshold 3, for inheritances that a non-minor child inherits in cash only via a testament.</w:t>
      </w:r>
    </w:p>
    <w:p w14:paraId="0F65D4DD" w14:textId="77777777" w:rsidR="00884638" w:rsidRDefault="00884638" w:rsidP="00884638">
      <w:pPr>
        <w:jc w:val="both"/>
        <w:rPr>
          <w:rFonts w:ascii="Garamond" w:hAnsi="Garamond"/>
          <w:i/>
          <w:iCs/>
        </w:rPr>
      </w:pPr>
    </w:p>
    <w:p w14:paraId="50A3DA42" w14:textId="5ED6DF6F" w:rsidR="00884638" w:rsidRDefault="00884638" w:rsidP="00884638">
      <w:pPr>
        <w:jc w:val="both"/>
        <w:rPr>
          <w:rFonts w:ascii="Garamond" w:hAnsi="Garamond"/>
          <w:i/>
          <w:iCs/>
        </w:rPr>
      </w:pPr>
      <w:r w:rsidRPr="00117C1A">
        <w:rPr>
          <w:rFonts w:ascii="Garamond" w:hAnsi="Garamond"/>
          <w:b/>
          <w:bCs/>
        </w:rPr>
        <w:lastRenderedPageBreak/>
        <w:t xml:space="preserve">Threshold </w:t>
      </w:r>
      <w:r>
        <w:rPr>
          <w:rFonts w:ascii="Garamond" w:hAnsi="Garamond"/>
          <w:b/>
          <w:bCs/>
        </w:rPr>
        <w:t>4</w:t>
      </w:r>
      <w:r w:rsidRPr="00117C1A">
        <w:rPr>
          <w:rFonts w:ascii="Garamond" w:hAnsi="Garamond"/>
          <w:b/>
          <w:bCs/>
        </w:rPr>
        <w:t xml:space="preserve"> / </w:t>
      </w:r>
      <w:r>
        <w:rPr>
          <w:rFonts w:ascii="Garamond" w:hAnsi="Garamond"/>
          <w:b/>
          <w:bCs/>
        </w:rPr>
        <w:t>50</w:t>
      </w:r>
      <w:r w:rsidRPr="00117C1A">
        <w:rPr>
          <w:rFonts w:ascii="Garamond" w:hAnsi="Garamond"/>
          <w:b/>
          <w:bCs/>
        </w:rPr>
        <w:t>xGDPpc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>
        <w:rPr>
          <w:rFonts w:ascii="Garamond" w:hAnsi="Garamond"/>
          <w:i/>
          <w:iCs/>
        </w:rPr>
        <w:t>numeric</w:t>
      </w:r>
      <w:r>
        <w:rPr>
          <w:rFonts w:ascii="Garamond" w:hAnsi="Garamond"/>
        </w:rPr>
        <w:t xml:space="preserve">] </w:t>
      </w:r>
      <w:proofErr w:type="gramStart"/>
      <w:r>
        <w:rPr>
          <w:rFonts w:ascii="Garamond" w:hAnsi="Garamond"/>
          <w:i/>
          <w:iCs/>
        </w:rPr>
        <w:t xml:space="preserve">–  </w:t>
      </w:r>
      <w:r>
        <w:rPr>
          <w:rFonts w:ascii="Garamond" w:hAnsi="Garamond"/>
        </w:rPr>
        <w:t>fourth</w:t>
      </w:r>
      <w:proofErr w:type="gramEnd"/>
      <w:r>
        <w:rPr>
          <w:rFonts w:ascii="Garamond" w:hAnsi="Garamond"/>
        </w:rPr>
        <w:t xml:space="preserve"> inheritance threshold, equal to 50 x </w:t>
      </w:r>
      <w:proofErr w:type="spellStart"/>
      <w:r>
        <w:rPr>
          <w:rFonts w:ascii="Garamond" w:hAnsi="Garamond"/>
        </w:rPr>
        <w:t>GDPpc</w:t>
      </w:r>
      <w:proofErr w:type="spellEnd"/>
      <w:r>
        <w:rPr>
          <w:rFonts w:ascii="Garamond" w:hAnsi="Garamond"/>
        </w:rPr>
        <w:t xml:space="preserve"> in that year. </w:t>
      </w:r>
    </w:p>
    <w:p w14:paraId="38F8E3C1" w14:textId="77777777" w:rsidR="00884638" w:rsidRDefault="00884638" w:rsidP="00884638">
      <w:pPr>
        <w:jc w:val="both"/>
        <w:rPr>
          <w:rFonts w:ascii="Garamond" w:hAnsi="Garamond"/>
          <w:i/>
          <w:iCs/>
        </w:rPr>
      </w:pPr>
    </w:p>
    <w:p w14:paraId="3F462B6B" w14:textId="77777777" w:rsidR="00884638" w:rsidRDefault="00884638" w:rsidP="00884638">
      <w:pPr>
        <w:jc w:val="both"/>
        <w:rPr>
          <w:rFonts w:ascii="Garamond" w:hAnsi="Garamond"/>
        </w:rPr>
      </w:pPr>
      <w:r w:rsidRPr="00183BBD">
        <w:rPr>
          <w:rFonts w:ascii="Garamond" w:hAnsi="Garamond"/>
          <w:b/>
          <w:bCs/>
        </w:rPr>
        <w:t xml:space="preserve">Rate </w:t>
      </w:r>
      <w:r>
        <w:rPr>
          <w:rFonts w:ascii="Garamond" w:hAnsi="Garamond"/>
          <w:b/>
          <w:bCs/>
        </w:rPr>
        <w:t>4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>
        <w:rPr>
          <w:rFonts w:ascii="Garamond" w:hAnsi="Garamond"/>
          <w:i/>
          <w:iCs/>
        </w:rPr>
        <w:t>numeric</w:t>
      </w:r>
      <w:r>
        <w:rPr>
          <w:rFonts w:ascii="Garamond" w:hAnsi="Garamond"/>
        </w:rPr>
        <w:t xml:space="preserve">] </w:t>
      </w:r>
      <w:r>
        <w:rPr>
          <w:rFonts w:ascii="Garamond" w:hAnsi="Garamond"/>
          <w:i/>
          <w:iCs/>
        </w:rPr>
        <w:t xml:space="preserve">– </w:t>
      </w:r>
      <w:r>
        <w:rPr>
          <w:rFonts w:ascii="Garamond" w:hAnsi="Garamond"/>
        </w:rPr>
        <w:t xml:space="preserve">marginal tax rate, in percent, applying to Threshold 4, </w:t>
      </w:r>
      <w:proofErr w:type="gramStart"/>
      <w:r>
        <w:rPr>
          <w:rFonts w:ascii="Garamond" w:hAnsi="Garamond"/>
        </w:rPr>
        <w:t>i.e.</w:t>
      </w:r>
      <w:proofErr w:type="gramEnd"/>
      <w:r>
        <w:rPr>
          <w:rFonts w:ascii="Garamond" w:hAnsi="Garamond"/>
        </w:rPr>
        <w:t xml:space="preserve"> tax rate applying to the last LCU inherited up to Threshold 4, for inheritances that a non-minor child inherits in cash only via a testament.</w:t>
      </w:r>
    </w:p>
    <w:p w14:paraId="01FC8C94" w14:textId="77777777" w:rsidR="00884638" w:rsidRDefault="00884638" w:rsidP="00884638">
      <w:pPr>
        <w:jc w:val="both"/>
        <w:rPr>
          <w:rFonts w:ascii="Garamond" w:hAnsi="Garamond"/>
          <w:i/>
          <w:iCs/>
        </w:rPr>
      </w:pPr>
    </w:p>
    <w:p w14:paraId="50A9C209" w14:textId="74468501" w:rsidR="00884638" w:rsidRDefault="00884638" w:rsidP="00884638">
      <w:pPr>
        <w:jc w:val="both"/>
        <w:rPr>
          <w:rFonts w:ascii="Garamond" w:hAnsi="Garamond"/>
          <w:i/>
          <w:iCs/>
        </w:rPr>
      </w:pPr>
      <w:r w:rsidRPr="00117C1A">
        <w:rPr>
          <w:rFonts w:ascii="Garamond" w:hAnsi="Garamond"/>
          <w:b/>
          <w:bCs/>
        </w:rPr>
        <w:t xml:space="preserve">Threshold </w:t>
      </w:r>
      <w:r>
        <w:rPr>
          <w:rFonts w:ascii="Garamond" w:hAnsi="Garamond"/>
          <w:b/>
          <w:bCs/>
        </w:rPr>
        <w:t>5</w:t>
      </w:r>
      <w:r w:rsidRPr="00117C1A">
        <w:rPr>
          <w:rFonts w:ascii="Garamond" w:hAnsi="Garamond"/>
          <w:b/>
          <w:bCs/>
        </w:rPr>
        <w:t xml:space="preserve"> / </w:t>
      </w:r>
      <w:r>
        <w:rPr>
          <w:rFonts w:ascii="Garamond" w:hAnsi="Garamond"/>
          <w:b/>
          <w:bCs/>
        </w:rPr>
        <w:t>100</w:t>
      </w:r>
      <w:r w:rsidRPr="00117C1A">
        <w:rPr>
          <w:rFonts w:ascii="Garamond" w:hAnsi="Garamond"/>
          <w:b/>
          <w:bCs/>
        </w:rPr>
        <w:t>xGDPpc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>
        <w:rPr>
          <w:rFonts w:ascii="Garamond" w:hAnsi="Garamond"/>
          <w:i/>
          <w:iCs/>
        </w:rPr>
        <w:t>numeric</w:t>
      </w:r>
      <w:r>
        <w:rPr>
          <w:rFonts w:ascii="Garamond" w:hAnsi="Garamond"/>
        </w:rPr>
        <w:t xml:space="preserve">] </w:t>
      </w:r>
      <w:proofErr w:type="gramStart"/>
      <w:r>
        <w:rPr>
          <w:rFonts w:ascii="Garamond" w:hAnsi="Garamond"/>
          <w:i/>
          <w:iCs/>
        </w:rPr>
        <w:t xml:space="preserve">–  </w:t>
      </w:r>
      <w:r>
        <w:rPr>
          <w:rFonts w:ascii="Garamond" w:hAnsi="Garamond"/>
        </w:rPr>
        <w:t>fifth</w:t>
      </w:r>
      <w:proofErr w:type="gramEnd"/>
      <w:r>
        <w:rPr>
          <w:rFonts w:ascii="Garamond" w:hAnsi="Garamond"/>
        </w:rPr>
        <w:t xml:space="preserve"> inheritance threshold, equal to 100 x </w:t>
      </w:r>
      <w:proofErr w:type="spellStart"/>
      <w:r>
        <w:rPr>
          <w:rFonts w:ascii="Garamond" w:hAnsi="Garamond"/>
        </w:rPr>
        <w:t>GDPpc</w:t>
      </w:r>
      <w:proofErr w:type="spellEnd"/>
      <w:r>
        <w:rPr>
          <w:rFonts w:ascii="Garamond" w:hAnsi="Garamond"/>
        </w:rPr>
        <w:t xml:space="preserve"> in that year. </w:t>
      </w:r>
    </w:p>
    <w:p w14:paraId="1B85BCEC" w14:textId="77777777" w:rsidR="00884638" w:rsidRDefault="00884638" w:rsidP="00884638">
      <w:pPr>
        <w:jc w:val="both"/>
        <w:rPr>
          <w:rFonts w:ascii="Garamond" w:hAnsi="Garamond"/>
          <w:i/>
          <w:iCs/>
        </w:rPr>
      </w:pPr>
    </w:p>
    <w:p w14:paraId="74AD788E" w14:textId="77777777" w:rsidR="00884638" w:rsidRDefault="00884638" w:rsidP="00884638">
      <w:pPr>
        <w:jc w:val="both"/>
        <w:rPr>
          <w:rFonts w:ascii="Garamond" w:hAnsi="Garamond"/>
        </w:rPr>
      </w:pPr>
      <w:r w:rsidRPr="00183BBD">
        <w:rPr>
          <w:rFonts w:ascii="Garamond" w:hAnsi="Garamond"/>
          <w:b/>
          <w:bCs/>
        </w:rPr>
        <w:t xml:space="preserve">Rate </w:t>
      </w:r>
      <w:r>
        <w:rPr>
          <w:rFonts w:ascii="Garamond" w:hAnsi="Garamond"/>
          <w:b/>
          <w:bCs/>
        </w:rPr>
        <w:t>5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>
        <w:rPr>
          <w:rFonts w:ascii="Garamond" w:hAnsi="Garamond"/>
          <w:i/>
          <w:iCs/>
        </w:rPr>
        <w:t>numeric</w:t>
      </w:r>
      <w:r>
        <w:rPr>
          <w:rFonts w:ascii="Garamond" w:hAnsi="Garamond"/>
        </w:rPr>
        <w:t xml:space="preserve">] </w:t>
      </w:r>
      <w:r>
        <w:rPr>
          <w:rFonts w:ascii="Garamond" w:hAnsi="Garamond"/>
          <w:i/>
          <w:iCs/>
        </w:rPr>
        <w:t xml:space="preserve">– </w:t>
      </w:r>
      <w:r>
        <w:rPr>
          <w:rFonts w:ascii="Garamond" w:hAnsi="Garamond"/>
        </w:rPr>
        <w:t xml:space="preserve">marginal tax rate, in percent, applying to Threshold 5, </w:t>
      </w:r>
      <w:proofErr w:type="gramStart"/>
      <w:r>
        <w:rPr>
          <w:rFonts w:ascii="Garamond" w:hAnsi="Garamond"/>
        </w:rPr>
        <w:t>i.e.</w:t>
      </w:r>
      <w:proofErr w:type="gramEnd"/>
      <w:r>
        <w:rPr>
          <w:rFonts w:ascii="Garamond" w:hAnsi="Garamond"/>
        </w:rPr>
        <w:t xml:space="preserve"> tax rate applying to the last LCU inherited up to Threshold 5, for inheritances that a non-minor child inherits in cash only via a testament.</w:t>
      </w:r>
    </w:p>
    <w:p w14:paraId="3DF6E316" w14:textId="77777777" w:rsidR="00884638" w:rsidRDefault="00884638" w:rsidP="00884638">
      <w:pPr>
        <w:jc w:val="both"/>
        <w:rPr>
          <w:rFonts w:ascii="Garamond" w:hAnsi="Garamond"/>
          <w:i/>
          <w:iCs/>
        </w:rPr>
      </w:pPr>
    </w:p>
    <w:p w14:paraId="43729470" w14:textId="506975D7" w:rsidR="00884638" w:rsidRDefault="00884638" w:rsidP="00884638">
      <w:pPr>
        <w:jc w:val="both"/>
        <w:rPr>
          <w:rFonts w:ascii="Garamond" w:hAnsi="Garamond"/>
          <w:i/>
          <w:iCs/>
        </w:rPr>
      </w:pPr>
      <w:r w:rsidRPr="00117C1A">
        <w:rPr>
          <w:rFonts w:ascii="Garamond" w:hAnsi="Garamond"/>
          <w:b/>
          <w:bCs/>
        </w:rPr>
        <w:t xml:space="preserve">Threshold </w:t>
      </w:r>
      <w:r>
        <w:rPr>
          <w:rFonts w:ascii="Garamond" w:hAnsi="Garamond"/>
          <w:b/>
          <w:bCs/>
        </w:rPr>
        <w:t>6</w:t>
      </w:r>
      <w:r w:rsidRPr="00117C1A">
        <w:rPr>
          <w:rFonts w:ascii="Garamond" w:hAnsi="Garamond"/>
          <w:b/>
          <w:bCs/>
        </w:rPr>
        <w:t xml:space="preserve"> / </w:t>
      </w:r>
      <w:r>
        <w:rPr>
          <w:rFonts w:ascii="Garamond" w:hAnsi="Garamond"/>
          <w:b/>
          <w:bCs/>
        </w:rPr>
        <w:t>1000</w:t>
      </w:r>
      <w:r w:rsidRPr="00117C1A">
        <w:rPr>
          <w:rFonts w:ascii="Garamond" w:hAnsi="Garamond"/>
          <w:b/>
          <w:bCs/>
        </w:rPr>
        <w:t>xGDPpc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>
        <w:rPr>
          <w:rFonts w:ascii="Garamond" w:hAnsi="Garamond"/>
          <w:i/>
          <w:iCs/>
        </w:rPr>
        <w:t>numeric</w:t>
      </w:r>
      <w:r>
        <w:rPr>
          <w:rFonts w:ascii="Garamond" w:hAnsi="Garamond"/>
        </w:rPr>
        <w:t xml:space="preserve">] </w:t>
      </w:r>
      <w:proofErr w:type="gramStart"/>
      <w:r>
        <w:rPr>
          <w:rFonts w:ascii="Garamond" w:hAnsi="Garamond"/>
          <w:i/>
          <w:iCs/>
        </w:rPr>
        <w:t xml:space="preserve">–  </w:t>
      </w:r>
      <w:r>
        <w:rPr>
          <w:rFonts w:ascii="Garamond" w:hAnsi="Garamond"/>
        </w:rPr>
        <w:t>sixth</w:t>
      </w:r>
      <w:proofErr w:type="gramEnd"/>
      <w:r>
        <w:rPr>
          <w:rFonts w:ascii="Garamond" w:hAnsi="Garamond"/>
        </w:rPr>
        <w:t xml:space="preserve"> inheritance threshold, equal to 1000 x </w:t>
      </w:r>
      <w:proofErr w:type="spellStart"/>
      <w:r>
        <w:rPr>
          <w:rFonts w:ascii="Garamond" w:hAnsi="Garamond"/>
        </w:rPr>
        <w:t>GDPpc</w:t>
      </w:r>
      <w:proofErr w:type="spellEnd"/>
      <w:r>
        <w:rPr>
          <w:rFonts w:ascii="Garamond" w:hAnsi="Garamond"/>
        </w:rPr>
        <w:t xml:space="preserve"> in that year. </w:t>
      </w:r>
    </w:p>
    <w:p w14:paraId="1DB5778A" w14:textId="77777777" w:rsidR="00884638" w:rsidRDefault="00884638" w:rsidP="00884638">
      <w:pPr>
        <w:jc w:val="both"/>
        <w:rPr>
          <w:rFonts w:ascii="Garamond" w:hAnsi="Garamond"/>
          <w:i/>
          <w:iCs/>
        </w:rPr>
      </w:pPr>
    </w:p>
    <w:p w14:paraId="55B79D5B" w14:textId="77777777" w:rsidR="00884638" w:rsidRDefault="00884638" w:rsidP="00884638">
      <w:pPr>
        <w:jc w:val="both"/>
        <w:rPr>
          <w:rFonts w:ascii="Garamond" w:hAnsi="Garamond"/>
        </w:rPr>
      </w:pPr>
      <w:r w:rsidRPr="00183BBD">
        <w:rPr>
          <w:rFonts w:ascii="Garamond" w:hAnsi="Garamond"/>
          <w:b/>
          <w:bCs/>
        </w:rPr>
        <w:t xml:space="preserve">Rate </w:t>
      </w:r>
      <w:r>
        <w:rPr>
          <w:rFonts w:ascii="Garamond" w:hAnsi="Garamond"/>
          <w:b/>
          <w:bCs/>
        </w:rPr>
        <w:t>6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>
        <w:rPr>
          <w:rFonts w:ascii="Garamond" w:hAnsi="Garamond"/>
          <w:i/>
          <w:iCs/>
        </w:rPr>
        <w:t>numeric</w:t>
      </w:r>
      <w:r>
        <w:rPr>
          <w:rFonts w:ascii="Garamond" w:hAnsi="Garamond"/>
        </w:rPr>
        <w:t xml:space="preserve">] </w:t>
      </w:r>
      <w:r>
        <w:rPr>
          <w:rFonts w:ascii="Garamond" w:hAnsi="Garamond"/>
          <w:i/>
          <w:iCs/>
        </w:rPr>
        <w:t xml:space="preserve">– </w:t>
      </w:r>
      <w:r>
        <w:rPr>
          <w:rFonts w:ascii="Garamond" w:hAnsi="Garamond"/>
        </w:rPr>
        <w:t xml:space="preserve">marginal tax rate, in percent, applying to Threshold 6, </w:t>
      </w:r>
      <w:proofErr w:type="gramStart"/>
      <w:r>
        <w:rPr>
          <w:rFonts w:ascii="Garamond" w:hAnsi="Garamond"/>
        </w:rPr>
        <w:t>i.e.</w:t>
      </w:r>
      <w:proofErr w:type="gramEnd"/>
      <w:r>
        <w:rPr>
          <w:rFonts w:ascii="Garamond" w:hAnsi="Garamond"/>
        </w:rPr>
        <w:t xml:space="preserve"> tax rate applying to the last LCU inherited up to Threshold 6, for inheritances that a non-minor child inherits in cash only via a testament.</w:t>
      </w:r>
    </w:p>
    <w:p w14:paraId="001C9D0E" w14:textId="77777777" w:rsidR="00884638" w:rsidRDefault="00884638" w:rsidP="00884638">
      <w:pPr>
        <w:jc w:val="both"/>
        <w:rPr>
          <w:rFonts w:ascii="Garamond" w:hAnsi="Garamond"/>
          <w:i/>
          <w:iCs/>
        </w:rPr>
      </w:pPr>
    </w:p>
    <w:p w14:paraId="64C1D243" w14:textId="77777777" w:rsidR="00884638" w:rsidRPr="00D43958" w:rsidRDefault="00884638" w:rsidP="00884638">
      <w:pPr>
        <w:jc w:val="both"/>
        <w:rPr>
          <w:rFonts w:ascii="Garamond" w:hAnsi="Garamond"/>
        </w:rPr>
      </w:pPr>
      <w:r w:rsidRPr="00BB3F61">
        <w:rPr>
          <w:rFonts w:ascii="Garamond" w:hAnsi="Garamond"/>
          <w:b/>
          <w:bCs/>
        </w:rPr>
        <w:t>Top rate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>
        <w:rPr>
          <w:rFonts w:ascii="Garamond" w:hAnsi="Garamond"/>
          <w:i/>
          <w:iCs/>
        </w:rPr>
        <w:t>numeric</w:t>
      </w:r>
      <w:r>
        <w:rPr>
          <w:rFonts w:ascii="Garamond" w:hAnsi="Garamond"/>
        </w:rPr>
        <w:t xml:space="preserve">] </w:t>
      </w:r>
      <w:proofErr w:type="gramStart"/>
      <w:r>
        <w:rPr>
          <w:rFonts w:ascii="Garamond" w:hAnsi="Garamond"/>
          <w:i/>
          <w:iCs/>
        </w:rPr>
        <w:t xml:space="preserve">–  </w:t>
      </w:r>
      <w:r>
        <w:rPr>
          <w:rFonts w:ascii="Garamond" w:hAnsi="Garamond"/>
        </w:rPr>
        <w:t>highest</w:t>
      </w:r>
      <w:proofErr w:type="gramEnd"/>
      <w:r>
        <w:rPr>
          <w:rFonts w:ascii="Garamond" w:hAnsi="Garamond"/>
        </w:rPr>
        <w:t xml:space="preserve"> marginal rate, for inheritances that a non-minor child inherits in cash only via a testament. This may be different than Rate 6. </w:t>
      </w:r>
    </w:p>
    <w:p w14:paraId="7AAC4CAC" w14:textId="77777777" w:rsidR="00884638" w:rsidRDefault="00884638" w:rsidP="00884638">
      <w:pPr>
        <w:jc w:val="both"/>
        <w:rPr>
          <w:rFonts w:ascii="Garamond" w:hAnsi="Garamond"/>
        </w:rPr>
      </w:pPr>
    </w:p>
    <w:p w14:paraId="3F066622" w14:textId="33BBD30C" w:rsidR="00884638" w:rsidRPr="00897DAF" w:rsidRDefault="00884638" w:rsidP="00884638">
      <w:pPr>
        <w:jc w:val="both"/>
        <w:rPr>
          <w:rFonts w:ascii="Garamond" w:hAnsi="Garamond"/>
        </w:rPr>
      </w:pPr>
      <w:r w:rsidRPr="009241AB">
        <w:rPr>
          <w:rFonts w:ascii="Garamond" w:hAnsi="Garamond"/>
          <w:b/>
          <w:bCs/>
        </w:rPr>
        <w:t>Source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>
        <w:rPr>
          <w:rFonts w:ascii="Garamond" w:hAnsi="Garamond"/>
          <w:i/>
          <w:iCs/>
        </w:rPr>
        <w:t>character</w:t>
      </w:r>
      <w:r>
        <w:rPr>
          <w:rFonts w:ascii="Garamond" w:hAnsi="Garamond"/>
        </w:rPr>
        <w:t xml:space="preserve">] </w:t>
      </w:r>
      <w:r>
        <w:rPr>
          <w:rFonts w:ascii="Garamond" w:hAnsi="Garamond"/>
          <w:i/>
          <w:iCs/>
        </w:rPr>
        <w:t xml:space="preserve">– </w:t>
      </w:r>
      <w:r>
        <w:rPr>
          <w:rFonts w:ascii="Garamond" w:hAnsi="Garamond"/>
        </w:rPr>
        <w:t xml:space="preserve">source(s) for the recorded tax rates, number of brackets and exemption threshold in that year. </w:t>
      </w:r>
    </w:p>
    <w:p w14:paraId="738905BC" w14:textId="77777777" w:rsidR="00884638" w:rsidRDefault="00884638" w:rsidP="00884638">
      <w:pPr>
        <w:jc w:val="both"/>
        <w:rPr>
          <w:rFonts w:ascii="Garamond" w:hAnsi="Garamond"/>
          <w:i/>
          <w:iCs/>
        </w:rPr>
      </w:pPr>
    </w:p>
    <w:p w14:paraId="6AADDFE6" w14:textId="77777777" w:rsidR="00884638" w:rsidRPr="0082624F" w:rsidRDefault="00884638" w:rsidP="00884638">
      <w:pPr>
        <w:jc w:val="both"/>
        <w:rPr>
          <w:rFonts w:ascii="Garamond" w:hAnsi="Garamond"/>
        </w:rPr>
      </w:pPr>
      <w:r w:rsidRPr="009241AB">
        <w:rPr>
          <w:rFonts w:ascii="Garamond" w:hAnsi="Garamond"/>
          <w:b/>
          <w:bCs/>
        </w:rPr>
        <w:t>Link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proofErr w:type="spellStart"/>
      <w:r>
        <w:rPr>
          <w:rFonts w:ascii="Garamond" w:hAnsi="Garamond"/>
          <w:i/>
          <w:iCs/>
        </w:rPr>
        <w:t>url</w:t>
      </w:r>
      <w:proofErr w:type="spellEnd"/>
      <w:r>
        <w:rPr>
          <w:rFonts w:ascii="Garamond" w:hAnsi="Garamond"/>
        </w:rPr>
        <w:t>]</w:t>
      </w:r>
      <w:r>
        <w:rPr>
          <w:rFonts w:ascii="Garamond" w:hAnsi="Garamond"/>
          <w:i/>
          <w:iCs/>
        </w:rPr>
        <w:t xml:space="preserve"> – </w:t>
      </w:r>
      <w:r>
        <w:rPr>
          <w:rFonts w:ascii="Garamond" w:hAnsi="Garamond"/>
        </w:rPr>
        <w:t>if relevant, online source for the recorded tax rates, number of brackets and exemption threshold in that year.</w:t>
      </w:r>
    </w:p>
    <w:p w14:paraId="2B737C42" w14:textId="77777777" w:rsidR="00884638" w:rsidRDefault="00884638" w:rsidP="00884638">
      <w:pPr>
        <w:jc w:val="both"/>
        <w:rPr>
          <w:rFonts w:ascii="Garamond" w:hAnsi="Garamond"/>
          <w:i/>
          <w:iCs/>
        </w:rPr>
      </w:pPr>
    </w:p>
    <w:p w14:paraId="2EF0EC38" w14:textId="77777777" w:rsidR="0054789E" w:rsidRDefault="00884638" w:rsidP="00884638">
      <w:pPr>
        <w:jc w:val="both"/>
        <w:rPr>
          <w:rFonts w:ascii="Garamond" w:hAnsi="Garamond"/>
        </w:rPr>
      </w:pPr>
      <w:r w:rsidRPr="009241AB">
        <w:rPr>
          <w:rFonts w:ascii="Garamond" w:hAnsi="Garamond"/>
          <w:b/>
          <w:bCs/>
        </w:rPr>
        <w:t>Comments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[</w:t>
      </w:r>
      <w:r>
        <w:rPr>
          <w:rFonts w:ascii="Garamond" w:hAnsi="Garamond"/>
          <w:i/>
          <w:iCs/>
        </w:rPr>
        <w:t>character</w:t>
      </w:r>
      <w:r>
        <w:rPr>
          <w:rFonts w:ascii="Garamond" w:hAnsi="Garamond"/>
        </w:rPr>
        <w:t xml:space="preserve">] </w:t>
      </w:r>
      <w:r>
        <w:rPr>
          <w:rFonts w:ascii="Garamond" w:hAnsi="Garamond"/>
          <w:i/>
          <w:iCs/>
        </w:rPr>
        <w:t xml:space="preserve">– </w:t>
      </w:r>
      <w:r>
        <w:rPr>
          <w:rFonts w:ascii="Garamond" w:hAnsi="Garamond"/>
        </w:rPr>
        <w:t>relevant comments pertaining to the coding.</w:t>
      </w:r>
    </w:p>
    <w:p w14:paraId="673C450B" w14:textId="77777777" w:rsidR="0054789E" w:rsidRDefault="0054789E" w:rsidP="00884638">
      <w:pPr>
        <w:jc w:val="both"/>
        <w:rPr>
          <w:rFonts w:ascii="Garamond" w:hAnsi="Garamond"/>
        </w:rPr>
      </w:pPr>
    </w:p>
    <w:p w14:paraId="0872B391" w14:textId="293BF8F1" w:rsidR="00884638" w:rsidRPr="00924B08" w:rsidRDefault="0054789E" w:rsidP="00884638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Rate_top_SS</w:t>
      </w:r>
      <w:proofErr w:type="spellEnd"/>
      <w:r>
        <w:rPr>
          <w:rFonts w:ascii="Garamond" w:hAnsi="Garamond"/>
        </w:rPr>
        <w:t xml:space="preserve">: Top inheritance tax rate according to </w:t>
      </w:r>
      <w:proofErr w:type="spellStart"/>
      <w:r>
        <w:rPr>
          <w:rFonts w:ascii="Garamond" w:hAnsi="Garamond"/>
        </w:rPr>
        <w:t>Plagge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Scheve</w:t>
      </w:r>
      <w:proofErr w:type="spellEnd"/>
      <w:r>
        <w:rPr>
          <w:rFonts w:ascii="Garamond" w:hAnsi="Garamond"/>
        </w:rPr>
        <w:t xml:space="preserve"> and </w:t>
      </w:r>
      <w:proofErr w:type="spellStart"/>
      <w:r>
        <w:rPr>
          <w:rFonts w:ascii="Garamond" w:hAnsi="Garamond"/>
        </w:rPr>
        <w:t>Stasavage</w:t>
      </w:r>
      <w:proofErr w:type="spellEnd"/>
      <w:r w:rsidR="00884638">
        <w:rPr>
          <w:rFonts w:ascii="Garamond" w:hAnsi="Garamond"/>
        </w:rPr>
        <w:t xml:space="preserve"> </w:t>
      </w:r>
      <w:r>
        <w:rPr>
          <w:rFonts w:ascii="Garamond" w:hAnsi="Garamond"/>
        </w:rPr>
        <w:t>(2011)</w:t>
      </w:r>
    </w:p>
    <w:p w14:paraId="2406090F" w14:textId="2C78B1F7" w:rsidR="00DB7705" w:rsidRDefault="00000000"/>
    <w:p w14:paraId="2D502A92" w14:textId="77777777" w:rsidR="0054789E" w:rsidRPr="0054789E" w:rsidRDefault="0054789E">
      <w:pPr>
        <w:rPr>
          <w:b/>
          <w:bCs/>
        </w:rPr>
      </w:pPr>
    </w:p>
    <w:sectPr w:rsidR="0054789E" w:rsidRPr="00547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26839"/>
    <w:multiLevelType w:val="hybridMultilevel"/>
    <w:tmpl w:val="6C741530"/>
    <w:lvl w:ilvl="0" w:tplc="C16C0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89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38"/>
    <w:rsid w:val="003E0F27"/>
    <w:rsid w:val="0054789E"/>
    <w:rsid w:val="00884638"/>
    <w:rsid w:val="00AD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A9F92"/>
  <w15:chartTrackingRefBased/>
  <w15:docId w15:val="{B81753CD-6CAC-2D4D-81AF-8806738F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Ansell</dc:creator>
  <cp:keywords/>
  <dc:description/>
  <cp:lastModifiedBy>Ben Ansell</cp:lastModifiedBy>
  <cp:revision>2</cp:revision>
  <dcterms:created xsi:type="dcterms:W3CDTF">2022-12-13T12:11:00Z</dcterms:created>
  <dcterms:modified xsi:type="dcterms:W3CDTF">2022-12-13T12:16:00Z</dcterms:modified>
</cp:coreProperties>
</file>