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C3" w:rsidRPr="00610AC3" w:rsidRDefault="00610AC3" w:rsidP="00610AC3">
      <w:pPr>
        <w:pStyle w:val="Heading1"/>
        <w:spacing w:line="360" w:lineRule="auto"/>
        <w:ind w:left="0" w:firstLine="0"/>
      </w:pPr>
      <w:proofErr w:type="gramStart"/>
      <w:r w:rsidRPr="00610AC3">
        <w:t>Online appendix 2.</w:t>
      </w:r>
      <w:proofErr w:type="gramEnd"/>
      <w:r w:rsidRPr="00610AC3">
        <w:t xml:space="preserve"> List of the different methods used to measure medication adherence</w:t>
      </w:r>
    </w:p>
    <w:tbl>
      <w:tblPr>
        <w:tblStyle w:val="TableGrid1"/>
        <w:tblW w:w="0" w:type="auto"/>
        <w:tblLook w:val="04A0" w:firstRow="1" w:lastRow="0" w:firstColumn="1" w:lastColumn="0" w:noHBand="0" w:noVBand="1"/>
      </w:tblPr>
      <w:tblGrid>
        <w:gridCol w:w="1963"/>
        <w:gridCol w:w="5132"/>
        <w:gridCol w:w="3631"/>
        <w:gridCol w:w="2014"/>
        <w:gridCol w:w="1434"/>
      </w:tblGrid>
      <w:tr w:rsidR="006B4E8B" w:rsidRPr="00610AC3" w:rsidTr="00642125">
        <w:tc>
          <w:tcPr>
            <w:tcW w:w="0" w:type="auto"/>
            <w:shd w:val="clear" w:color="auto" w:fill="auto"/>
          </w:tcPr>
          <w:p w:rsidR="00642125" w:rsidRPr="00610AC3" w:rsidRDefault="00642125" w:rsidP="00610AC3">
            <w:pPr>
              <w:spacing w:line="360" w:lineRule="auto"/>
              <w:rPr>
                <w:rFonts w:ascii="Arial" w:hAnsi="Arial" w:cs="Arial"/>
                <w:b/>
              </w:rPr>
            </w:pPr>
            <w:r w:rsidRPr="00610AC3">
              <w:rPr>
                <w:rFonts w:ascii="Arial" w:hAnsi="Arial" w:cs="Arial"/>
                <w:b/>
              </w:rPr>
              <w:t>Adherence measure used</w:t>
            </w:r>
          </w:p>
        </w:tc>
        <w:tc>
          <w:tcPr>
            <w:tcW w:w="0" w:type="auto"/>
            <w:shd w:val="clear" w:color="auto" w:fill="auto"/>
          </w:tcPr>
          <w:p w:rsidR="00642125" w:rsidRPr="00610AC3" w:rsidRDefault="00642125" w:rsidP="00610AC3">
            <w:pPr>
              <w:spacing w:line="360" w:lineRule="auto"/>
              <w:rPr>
                <w:rFonts w:ascii="Arial" w:hAnsi="Arial" w:cs="Arial"/>
                <w:b/>
              </w:rPr>
            </w:pPr>
            <w:r w:rsidRPr="00610AC3">
              <w:rPr>
                <w:rFonts w:ascii="Arial" w:hAnsi="Arial" w:cs="Arial"/>
                <w:b/>
              </w:rPr>
              <w:t>Format/characteristic of measure</w:t>
            </w:r>
          </w:p>
        </w:tc>
        <w:tc>
          <w:tcPr>
            <w:tcW w:w="0" w:type="auto"/>
          </w:tcPr>
          <w:p w:rsidR="00642125" w:rsidRPr="00610AC3" w:rsidRDefault="00642125" w:rsidP="00610AC3">
            <w:pPr>
              <w:spacing w:line="360" w:lineRule="auto"/>
              <w:rPr>
                <w:rFonts w:ascii="Arial" w:hAnsi="Arial" w:cs="Arial"/>
                <w:b/>
              </w:rPr>
            </w:pPr>
            <w:r>
              <w:rPr>
                <w:rFonts w:ascii="Arial" w:hAnsi="Arial" w:cs="Arial"/>
                <w:b/>
              </w:rPr>
              <w:t>Validity</w:t>
            </w:r>
          </w:p>
        </w:tc>
        <w:tc>
          <w:tcPr>
            <w:tcW w:w="0" w:type="auto"/>
          </w:tcPr>
          <w:p w:rsidR="00642125" w:rsidRPr="00610AC3" w:rsidRDefault="00642125" w:rsidP="00610AC3">
            <w:pPr>
              <w:spacing w:line="360" w:lineRule="auto"/>
              <w:rPr>
                <w:rFonts w:ascii="Arial" w:hAnsi="Arial" w:cs="Arial"/>
                <w:b/>
              </w:rPr>
            </w:pPr>
            <w:r>
              <w:rPr>
                <w:rFonts w:ascii="Arial" w:hAnsi="Arial" w:cs="Arial"/>
                <w:b/>
              </w:rPr>
              <w:t>Reliability</w:t>
            </w:r>
          </w:p>
        </w:tc>
        <w:tc>
          <w:tcPr>
            <w:tcW w:w="0" w:type="auto"/>
            <w:shd w:val="clear" w:color="auto" w:fill="auto"/>
          </w:tcPr>
          <w:p w:rsidR="00642125" w:rsidRPr="00610AC3" w:rsidRDefault="00642125" w:rsidP="00610AC3">
            <w:pPr>
              <w:spacing w:line="360" w:lineRule="auto"/>
              <w:rPr>
                <w:rFonts w:ascii="Arial" w:hAnsi="Arial" w:cs="Arial"/>
                <w:b/>
              </w:rPr>
            </w:pPr>
            <w:r w:rsidRPr="00610AC3">
              <w:rPr>
                <w:rFonts w:ascii="Arial" w:hAnsi="Arial" w:cs="Arial"/>
                <w:b/>
              </w:rPr>
              <w:t>Trials using measure</w:t>
            </w:r>
          </w:p>
        </w:tc>
      </w:tr>
      <w:tr w:rsidR="00642125" w:rsidRPr="00610AC3" w:rsidTr="00E64BE0">
        <w:tc>
          <w:tcPr>
            <w:tcW w:w="0" w:type="auto"/>
            <w:gridSpan w:val="5"/>
          </w:tcPr>
          <w:p w:rsidR="00642125" w:rsidRPr="00610AC3" w:rsidRDefault="00642125" w:rsidP="00610AC3">
            <w:pPr>
              <w:spacing w:line="360" w:lineRule="auto"/>
              <w:rPr>
                <w:rFonts w:ascii="Arial" w:hAnsi="Arial" w:cs="Arial"/>
                <w:b/>
                <w:lang w:val="en-US"/>
              </w:rPr>
            </w:pPr>
            <w:r w:rsidRPr="00610AC3">
              <w:rPr>
                <w:rFonts w:ascii="Arial" w:hAnsi="Arial" w:cs="Arial"/>
                <w:b/>
              </w:rPr>
              <w:t>Based on patient-reported information</w:t>
            </w:r>
          </w:p>
        </w:tc>
      </w:tr>
      <w:tr w:rsidR="006B4E8B" w:rsidRPr="00610AC3" w:rsidTr="00642125">
        <w:tc>
          <w:tcPr>
            <w:tcW w:w="0" w:type="auto"/>
            <w:shd w:val="clear" w:color="auto" w:fill="auto"/>
          </w:tcPr>
          <w:p w:rsidR="00455CBC" w:rsidRPr="00610AC3" w:rsidRDefault="00455CBC" w:rsidP="00610AC3">
            <w:pPr>
              <w:spacing w:line="360" w:lineRule="auto"/>
              <w:rPr>
                <w:rFonts w:ascii="Arial" w:hAnsi="Arial" w:cs="Arial"/>
                <w:color w:val="FFFFFF" w:themeColor="background1"/>
              </w:rPr>
            </w:pPr>
            <w:proofErr w:type="spellStart"/>
            <w:r w:rsidRPr="00610AC3">
              <w:rPr>
                <w:rFonts w:ascii="Arial" w:hAnsi="Arial" w:cs="Arial"/>
              </w:rPr>
              <w:t>Morisky</w:t>
            </w:r>
            <w:proofErr w:type="spellEnd"/>
            <w:r w:rsidRPr="00610AC3">
              <w:rPr>
                <w:rFonts w:ascii="Arial" w:hAnsi="Arial" w:cs="Arial"/>
              </w:rPr>
              <w:t xml:space="preserve"> Medication Adherence Scale</w:t>
            </w:r>
            <w:r w:rsidRPr="00610AC3">
              <w:rPr>
                <w:rFonts w:ascii="Arial" w:hAnsi="Arial" w:cs="Arial"/>
                <w:noProof/>
              </w:rPr>
              <w:t>[1]</w:t>
            </w:r>
          </w:p>
        </w:tc>
        <w:tc>
          <w:tcPr>
            <w:tcW w:w="0" w:type="auto"/>
            <w:shd w:val="clear" w:color="auto" w:fill="auto"/>
          </w:tcPr>
          <w:p w:rsidR="00455CBC" w:rsidRPr="00610AC3" w:rsidRDefault="00455CBC" w:rsidP="00610AC3">
            <w:pPr>
              <w:spacing w:line="360" w:lineRule="auto"/>
              <w:rPr>
                <w:rFonts w:ascii="Arial" w:hAnsi="Arial" w:cs="Arial"/>
                <w:color w:val="FFFFFF" w:themeColor="background1"/>
              </w:rPr>
            </w:pPr>
            <w:r w:rsidRPr="00610AC3">
              <w:rPr>
                <w:rFonts w:ascii="Arial" w:hAnsi="Arial" w:cs="Arial"/>
              </w:rPr>
              <w:t>8 item self-report. Response categories are yes/no for each item with a dichotomous response and a 5-point Likert response for the last item.</w:t>
            </w:r>
          </w:p>
        </w:tc>
        <w:tc>
          <w:tcPr>
            <w:tcW w:w="0" w:type="auto"/>
          </w:tcPr>
          <w:p w:rsidR="006B4E8B" w:rsidRDefault="006B4E8B" w:rsidP="0032725E">
            <w:pPr>
              <w:spacing w:line="360" w:lineRule="auto"/>
              <w:rPr>
                <w:rFonts w:ascii="Arial" w:hAnsi="Arial" w:cs="Arial"/>
              </w:rPr>
            </w:pPr>
            <w:r>
              <w:rPr>
                <w:rFonts w:ascii="Arial" w:hAnsi="Arial" w:cs="Arial"/>
              </w:rPr>
              <w:t xml:space="preserve">[Adapted from </w:t>
            </w:r>
            <w:r w:rsidRPr="006B4E8B">
              <w:rPr>
                <w:rFonts w:ascii="Arial" w:hAnsi="Arial" w:cs="Arial"/>
              </w:rPr>
              <w:t>Pérez-Escamilla</w:t>
            </w:r>
            <w:r>
              <w:rPr>
                <w:rFonts w:ascii="Arial" w:hAnsi="Arial" w:cs="Arial"/>
              </w:rPr>
              <w:t xml:space="preserve"> et al</w:t>
            </w:r>
            <w:r w:rsidR="00B72F1D">
              <w:rPr>
                <w:rFonts w:ascii="Arial" w:hAnsi="Arial" w:cs="Arial"/>
              </w:rPr>
              <w:t xml:space="preserve"> [2]</w:t>
            </w:r>
            <w:r>
              <w:rPr>
                <w:rFonts w:ascii="Arial" w:hAnsi="Arial" w:cs="Arial"/>
              </w:rPr>
              <w:t>]</w:t>
            </w:r>
          </w:p>
          <w:p w:rsidR="00455CBC" w:rsidRDefault="00455CBC" w:rsidP="0032725E">
            <w:pPr>
              <w:spacing w:line="360" w:lineRule="auto"/>
              <w:rPr>
                <w:rFonts w:ascii="Arial" w:hAnsi="Arial" w:cs="Arial"/>
              </w:rPr>
            </w:pPr>
            <w:r>
              <w:rPr>
                <w:rFonts w:ascii="Arial" w:hAnsi="Arial" w:cs="Arial"/>
              </w:rPr>
              <w:t xml:space="preserve">Construct validity (confirmatory factor </w:t>
            </w:r>
            <w:r w:rsidRPr="00CB651B">
              <w:rPr>
                <w:rFonts w:ascii="Arial" w:hAnsi="Arial" w:cs="Arial"/>
              </w:rPr>
              <w:t>analysis</w:t>
            </w:r>
            <w:r>
              <w:rPr>
                <w:rFonts w:ascii="Arial" w:hAnsi="Arial" w:cs="Arial"/>
              </w:rPr>
              <w:t xml:space="preserve">): </w:t>
            </w:r>
            <w:r w:rsidRPr="00CB651B">
              <w:rPr>
                <w:rFonts w:ascii="Arial" w:hAnsi="Arial" w:cs="Arial"/>
              </w:rPr>
              <w:t>one factor</w:t>
            </w:r>
            <w:r>
              <w:rPr>
                <w:rFonts w:ascii="Arial" w:hAnsi="Arial" w:cs="Arial"/>
              </w:rPr>
              <w:t>.</w:t>
            </w:r>
          </w:p>
          <w:p w:rsidR="00455CBC" w:rsidRPr="00CB651B" w:rsidRDefault="00455CBC" w:rsidP="0032725E">
            <w:pPr>
              <w:spacing w:line="360" w:lineRule="auto"/>
              <w:rPr>
                <w:rFonts w:ascii="Arial" w:hAnsi="Arial" w:cs="Arial"/>
              </w:rPr>
            </w:pPr>
            <w:r w:rsidRPr="00CB651B">
              <w:rPr>
                <w:rFonts w:ascii="Arial" w:hAnsi="Arial" w:cs="Arial"/>
              </w:rPr>
              <w:t>Concurrent validity: questionnaire vs MGL r=0.64, P</w:t>
            </w:r>
            <w:r>
              <w:rPr>
                <w:rFonts w:ascii="Arial" w:hAnsi="Arial" w:cs="Arial"/>
              </w:rPr>
              <w:t>&lt;</w:t>
            </w:r>
            <w:r w:rsidRPr="00CB651B">
              <w:rPr>
                <w:rFonts w:ascii="Arial" w:hAnsi="Arial" w:cs="Arial"/>
              </w:rPr>
              <w:t>0.05</w:t>
            </w:r>
          </w:p>
          <w:p w:rsidR="00455CBC" w:rsidRPr="00CB651B" w:rsidRDefault="00455CBC" w:rsidP="0032725E">
            <w:pPr>
              <w:pStyle w:val="ListParagraph"/>
              <w:numPr>
                <w:ilvl w:val="0"/>
                <w:numId w:val="2"/>
              </w:numPr>
              <w:spacing w:line="360" w:lineRule="auto"/>
              <w:rPr>
                <w:rFonts w:ascii="Arial" w:hAnsi="Arial" w:cs="Arial"/>
              </w:rPr>
            </w:pPr>
            <w:r w:rsidRPr="00CB651B">
              <w:rPr>
                <w:rFonts w:ascii="Arial" w:hAnsi="Arial" w:cs="Arial"/>
              </w:rPr>
              <w:t>S =93.00%</w:t>
            </w:r>
          </w:p>
          <w:p w:rsidR="00455CBC" w:rsidRPr="00CB651B" w:rsidRDefault="00455CBC" w:rsidP="0032725E">
            <w:pPr>
              <w:pStyle w:val="ListParagraph"/>
              <w:numPr>
                <w:ilvl w:val="0"/>
                <w:numId w:val="2"/>
              </w:numPr>
              <w:spacing w:line="360" w:lineRule="auto"/>
              <w:rPr>
                <w:rFonts w:ascii="Arial" w:hAnsi="Arial" w:cs="Arial"/>
              </w:rPr>
            </w:pPr>
            <w:r w:rsidRPr="00CB651B">
              <w:rPr>
                <w:rFonts w:ascii="Arial" w:hAnsi="Arial" w:cs="Arial"/>
              </w:rPr>
              <w:t>SP =53.00%</w:t>
            </w:r>
          </w:p>
          <w:p w:rsidR="00455CBC" w:rsidRDefault="00455CBC" w:rsidP="0032725E">
            <w:pPr>
              <w:spacing w:line="360" w:lineRule="auto"/>
              <w:rPr>
                <w:rFonts w:ascii="Arial" w:hAnsi="Arial" w:cs="Arial"/>
              </w:rPr>
            </w:pPr>
            <w:r w:rsidRPr="00CB651B">
              <w:rPr>
                <w:rFonts w:ascii="Arial" w:hAnsi="Arial" w:cs="Arial"/>
              </w:rPr>
              <w:t>Predictive validity: questionnaire vs</w:t>
            </w:r>
            <w:r>
              <w:rPr>
                <w:rFonts w:ascii="Arial" w:hAnsi="Arial" w:cs="Arial"/>
              </w:rPr>
              <w:t>:</w:t>
            </w:r>
          </w:p>
          <w:p w:rsidR="00455CBC" w:rsidRPr="00CB651B" w:rsidRDefault="00455CBC" w:rsidP="0032725E">
            <w:pPr>
              <w:pStyle w:val="ListParagraph"/>
              <w:numPr>
                <w:ilvl w:val="0"/>
                <w:numId w:val="1"/>
              </w:numPr>
              <w:spacing w:line="360" w:lineRule="auto"/>
              <w:rPr>
                <w:rFonts w:ascii="Arial" w:hAnsi="Arial" w:cs="Arial"/>
              </w:rPr>
            </w:pPr>
            <w:r w:rsidRPr="00CB651B">
              <w:rPr>
                <w:rFonts w:ascii="Arial" w:hAnsi="Arial" w:cs="Arial"/>
              </w:rPr>
              <w:t>BP control (P</w:t>
            </w:r>
            <w:r>
              <w:rPr>
                <w:rFonts w:ascii="Arial" w:hAnsi="Arial" w:cs="Arial"/>
              </w:rPr>
              <w:t>&lt;</w:t>
            </w:r>
            <w:r w:rsidRPr="00CB651B">
              <w:rPr>
                <w:rFonts w:ascii="Arial" w:hAnsi="Arial" w:cs="Arial"/>
              </w:rPr>
              <w:t>0.05)</w:t>
            </w:r>
          </w:p>
          <w:p w:rsidR="00455CBC" w:rsidRPr="00610AC3" w:rsidRDefault="00455CBC" w:rsidP="0032725E">
            <w:pPr>
              <w:pStyle w:val="ListParagraph"/>
              <w:numPr>
                <w:ilvl w:val="0"/>
                <w:numId w:val="1"/>
              </w:numPr>
              <w:spacing w:line="360" w:lineRule="auto"/>
              <w:rPr>
                <w:rFonts w:ascii="Arial" w:hAnsi="Arial" w:cs="Arial"/>
              </w:rPr>
            </w:pPr>
            <w:proofErr w:type="gramStart"/>
            <w:r w:rsidRPr="00CB651B">
              <w:rPr>
                <w:rFonts w:ascii="Arial" w:hAnsi="Arial" w:cs="Arial"/>
              </w:rPr>
              <w:t>knowledge</w:t>
            </w:r>
            <w:proofErr w:type="gramEnd"/>
            <w:r w:rsidRPr="00CB651B">
              <w:rPr>
                <w:rFonts w:ascii="Arial" w:hAnsi="Arial" w:cs="Arial"/>
              </w:rPr>
              <w:t xml:space="preserve">, attitude, social support, stress coping, medication complexity, and patient satisfaction with </w:t>
            </w:r>
            <w:r w:rsidRPr="00CB651B">
              <w:rPr>
                <w:rFonts w:ascii="Arial" w:hAnsi="Arial" w:cs="Arial"/>
              </w:rPr>
              <w:lastRenderedPageBreak/>
              <w:t>clinic visits (P</w:t>
            </w:r>
            <w:r>
              <w:rPr>
                <w:rFonts w:ascii="Arial" w:hAnsi="Arial" w:cs="Arial"/>
              </w:rPr>
              <w:t>&lt;</w:t>
            </w:r>
            <w:r w:rsidRPr="00CB651B">
              <w:rPr>
                <w:rFonts w:ascii="Arial" w:hAnsi="Arial" w:cs="Arial"/>
              </w:rPr>
              <w:t>0.05 for all, except for attitude)</w:t>
            </w:r>
            <w:r>
              <w:rPr>
                <w:rFonts w:ascii="Arial" w:hAnsi="Arial" w:cs="Arial"/>
              </w:rPr>
              <w:t>.</w:t>
            </w:r>
          </w:p>
        </w:tc>
        <w:tc>
          <w:tcPr>
            <w:tcW w:w="0" w:type="auto"/>
          </w:tcPr>
          <w:p w:rsidR="006B4E8B" w:rsidRDefault="00B72F1D" w:rsidP="006B4E8B">
            <w:pPr>
              <w:spacing w:line="360" w:lineRule="auto"/>
              <w:rPr>
                <w:rFonts w:ascii="Arial" w:hAnsi="Arial" w:cs="Arial"/>
              </w:rPr>
            </w:pPr>
            <w:r w:rsidRPr="00B72F1D">
              <w:rPr>
                <w:rFonts w:ascii="Arial" w:hAnsi="Arial" w:cs="Arial"/>
              </w:rPr>
              <w:lastRenderedPageBreak/>
              <w:t>[Adapted from Pérez-Escamilla et al [2]]</w:t>
            </w:r>
          </w:p>
          <w:p w:rsidR="006B4E8B" w:rsidRDefault="006B4E8B" w:rsidP="00CB651B">
            <w:pPr>
              <w:spacing w:line="360" w:lineRule="auto"/>
              <w:rPr>
                <w:rFonts w:ascii="Arial" w:hAnsi="Arial" w:cs="Arial"/>
              </w:rPr>
            </w:pPr>
          </w:p>
          <w:p w:rsidR="00455CBC" w:rsidRDefault="00455CBC" w:rsidP="00CB651B">
            <w:pPr>
              <w:spacing w:line="360" w:lineRule="auto"/>
              <w:rPr>
                <w:rFonts w:ascii="Arial" w:hAnsi="Arial" w:cs="Arial"/>
              </w:rPr>
            </w:pPr>
            <w:r>
              <w:rPr>
                <w:rFonts w:ascii="Arial" w:hAnsi="Arial" w:cs="Arial"/>
              </w:rPr>
              <w:t xml:space="preserve">Internal consistency: </w:t>
            </w:r>
            <w:r w:rsidR="00442E6D">
              <w:rPr>
                <w:rFonts w:ascii="Arial" w:hAnsi="Arial" w:cs="Arial"/>
              </w:rPr>
              <w:t>Cronbach</w:t>
            </w:r>
            <w:r>
              <w:rPr>
                <w:rFonts w:ascii="Arial" w:hAnsi="Arial" w:cs="Arial"/>
              </w:rPr>
              <w:t xml:space="preserve"> α = 0.83); item-total correlations = 0.30-0.59</w:t>
            </w:r>
          </w:p>
          <w:p w:rsidR="00455CBC" w:rsidRPr="00610AC3" w:rsidRDefault="00455CBC" w:rsidP="00CB651B">
            <w:pPr>
              <w:spacing w:line="360" w:lineRule="auto"/>
              <w:rPr>
                <w:rFonts w:ascii="Arial" w:hAnsi="Arial" w:cs="Arial"/>
              </w:rPr>
            </w:pPr>
            <w:r>
              <w:rPr>
                <w:rFonts w:ascii="Arial" w:hAnsi="Arial" w:cs="Arial"/>
              </w:rPr>
              <w:t>Test-retest: not examined</w:t>
            </w:r>
          </w:p>
        </w:tc>
        <w:tc>
          <w:tcPr>
            <w:tcW w:w="0" w:type="auto"/>
            <w:shd w:val="clear" w:color="auto" w:fill="auto"/>
          </w:tcPr>
          <w:p w:rsidR="00455CBC" w:rsidRPr="00610AC3" w:rsidRDefault="00455CBC" w:rsidP="00B72F1D">
            <w:pPr>
              <w:spacing w:line="360" w:lineRule="auto"/>
              <w:rPr>
                <w:rFonts w:ascii="Arial" w:hAnsi="Arial" w:cs="Arial"/>
                <w:color w:val="FFFFFF" w:themeColor="background1"/>
              </w:rPr>
            </w:pPr>
            <w:r w:rsidRPr="00610AC3">
              <w:rPr>
                <w:rFonts w:ascii="Arial" w:hAnsi="Arial" w:cs="Arial"/>
              </w:rPr>
              <w:t xml:space="preserve">Arora et al </w:t>
            </w:r>
            <w:r w:rsidRPr="00610AC3">
              <w:rPr>
                <w:rFonts w:ascii="Arial" w:hAnsi="Arial" w:cs="Arial"/>
                <w:noProof/>
              </w:rPr>
              <w:t>[</w:t>
            </w:r>
            <w:r w:rsidR="00B72F1D">
              <w:rPr>
                <w:rFonts w:ascii="Arial" w:hAnsi="Arial" w:cs="Arial"/>
                <w:noProof/>
              </w:rPr>
              <w:t>3</w:t>
            </w:r>
            <w:r w:rsidRPr="00610AC3">
              <w:rPr>
                <w:rFonts w:ascii="Arial" w:hAnsi="Arial" w:cs="Arial"/>
                <w:noProof/>
              </w:rPr>
              <w:t>]</w:t>
            </w:r>
          </w:p>
        </w:tc>
      </w:tr>
      <w:tr w:rsidR="006B4E8B" w:rsidRPr="00610AC3" w:rsidTr="00642125">
        <w:tc>
          <w:tcPr>
            <w:tcW w:w="0" w:type="auto"/>
            <w:shd w:val="clear" w:color="auto" w:fill="auto"/>
          </w:tcPr>
          <w:p w:rsidR="00455CBC" w:rsidRPr="00610AC3" w:rsidRDefault="00455CBC" w:rsidP="00B72F1D">
            <w:pPr>
              <w:spacing w:line="360" w:lineRule="auto"/>
              <w:rPr>
                <w:rFonts w:ascii="Arial" w:hAnsi="Arial" w:cs="Arial"/>
              </w:rPr>
            </w:pPr>
            <w:r w:rsidRPr="00610AC3">
              <w:rPr>
                <w:rFonts w:ascii="Arial" w:hAnsi="Arial" w:cs="Arial"/>
              </w:rPr>
              <w:lastRenderedPageBreak/>
              <w:t xml:space="preserve">Hill-Bone Compliance Scale </w:t>
            </w:r>
            <w:r w:rsidRPr="00610AC3">
              <w:rPr>
                <w:rFonts w:ascii="Arial" w:hAnsi="Arial" w:cs="Arial"/>
                <w:noProof/>
              </w:rPr>
              <w:t>[</w:t>
            </w:r>
            <w:r w:rsidR="00B72F1D">
              <w:rPr>
                <w:rFonts w:ascii="Arial" w:hAnsi="Arial" w:cs="Arial"/>
                <w:noProof/>
              </w:rPr>
              <w:t>4</w:t>
            </w:r>
            <w:r w:rsidRPr="00610AC3">
              <w:rPr>
                <w:rFonts w:ascii="Arial" w:hAnsi="Arial" w:cs="Arial"/>
                <w:noProof/>
              </w:rPr>
              <w:t>]</w:t>
            </w:r>
          </w:p>
        </w:tc>
        <w:tc>
          <w:tcPr>
            <w:tcW w:w="0" w:type="auto"/>
            <w:shd w:val="clear" w:color="auto" w:fill="auto"/>
          </w:tcPr>
          <w:p w:rsidR="00455CBC" w:rsidRPr="00610AC3" w:rsidRDefault="00455CBC" w:rsidP="00610AC3">
            <w:pPr>
              <w:spacing w:line="360" w:lineRule="auto"/>
              <w:rPr>
                <w:rFonts w:ascii="Arial" w:hAnsi="Arial" w:cs="Arial"/>
              </w:rPr>
            </w:pPr>
            <w:r w:rsidRPr="00610AC3">
              <w:rPr>
                <w:rFonts w:ascii="Arial" w:hAnsi="Arial" w:cs="Arial"/>
              </w:rPr>
              <w:t>8 item self-report of how often and why medication is missed on a 4-point Likert scale.</w:t>
            </w:r>
          </w:p>
        </w:tc>
        <w:tc>
          <w:tcPr>
            <w:tcW w:w="0" w:type="auto"/>
          </w:tcPr>
          <w:p w:rsidR="00455CBC" w:rsidRPr="00610AC3" w:rsidRDefault="00455CBC" w:rsidP="006B4E8B">
            <w:pPr>
              <w:spacing w:line="360" w:lineRule="auto"/>
              <w:rPr>
                <w:rFonts w:ascii="Arial" w:hAnsi="Arial" w:cs="Arial"/>
              </w:rPr>
            </w:pPr>
            <w:r w:rsidRPr="00B051BF">
              <w:rPr>
                <w:rFonts w:ascii="Arial" w:hAnsi="Arial" w:cs="Arial"/>
              </w:rPr>
              <w:t>Construct validity (</w:t>
            </w:r>
            <w:r>
              <w:rPr>
                <w:rFonts w:ascii="Arial" w:hAnsi="Arial" w:cs="Arial"/>
              </w:rPr>
              <w:t>factor</w:t>
            </w:r>
            <w:r w:rsidRPr="00B051BF">
              <w:rPr>
                <w:rFonts w:ascii="Arial" w:hAnsi="Arial" w:cs="Arial"/>
              </w:rPr>
              <w:t xml:space="preserve"> analysis): </w:t>
            </w:r>
            <w:r>
              <w:rPr>
                <w:rFonts w:ascii="Arial" w:hAnsi="Arial" w:cs="Arial"/>
              </w:rPr>
              <w:t xml:space="preserve">two </w:t>
            </w:r>
            <w:r w:rsidRPr="00B051BF">
              <w:rPr>
                <w:rFonts w:ascii="Arial" w:hAnsi="Arial" w:cs="Arial"/>
              </w:rPr>
              <w:t>factor</w:t>
            </w:r>
            <w:r>
              <w:rPr>
                <w:rFonts w:ascii="Arial" w:hAnsi="Arial" w:cs="Arial"/>
              </w:rPr>
              <w:t>s</w:t>
            </w:r>
            <w:r w:rsidRPr="00B051BF">
              <w:rPr>
                <w:rFonts w:ascii="Arial" w:hAnsi="Arial" w:cs="Arial"/>
              </w:rPr>
              <w:t>.</w:t>
            </w:r>
          </w:p>
        </w:tc>
        <w:tc>
          <w:tcPr>
            <w:tcW w:w="0" w:type="auto"/>
          </w:tcPr>
          <w:p w:rsidR="00455CBC" w:rsidRDefault="00455CBC" w:rsidP="00B051BF">
            <w:pPr>
              <w:spacing w:line="360" w:lineRule="auto"/>
              <w:rPr>
                <w:rFonts w:ascii="Arial" w:hAnsi="Arial" w:cs="Arial"/>
              </w:rPr>
            </w:pPr>
            <w:r w:rsidRPr="00B051BF">
              <w:rPr>
                <w:rFonts w:ascii="Arial" w:hAnsi="Arial" w:cs="Arial"/>
              </w:rPr>
              <w:t xml:space="preserve">Internal consistency: </w:t>
            </w:r>
            <w:r w:rsidR="00442E6D" w:rsidRPr="00B051BF">
              <w:rPr>
                <w:rFonts w:ascii="Arial" w:hAnsi="Arial" w:cs="Arial"/>
              </w:rPr>
              <w:t>Cronbach</w:t>
            </w:r>
            <w:r w:rsidRPr="00B051BF">
              <w:rPr>
                <w:rFonts w:ascii="Arial" w:hAnsi="Arial" w:cs="Arial"/>
              </w:rPr>
              <w:t xml:space="preserve"> α </w:t>
            </w:r>
            <w:r w:rsidRPr="00620760">
              <w:rPr>
                <w:rFonts w:ascii="Arial" w:hAnsi="Arial" w:cs="Arial"/>
              </w:rPr>
              <w:t>= 0.</w:t>
            </w:r>
            <w:r>
              <w:rPr>
                <w:rFonts w:ascii="Arial" w:hAnsi="Arial" w:cs="Arial"/>
              </w:rPr>
              <w:t>68</w:t>
            </w:r>
            <w:r w:rsidRPr="00620760">
              <w:rPr>
                <w:rFonts w:ascii="Arial" w:hAnsi="Arial" w:cs="Arial"/>
              </w:rPr>
              <w:t>)</w:t>
            </w:r>
            <w:r>
              <w:rPr>
                <w:rFonts w:ascii="Arial" w:hAnsi="Arial" w:cs="Arial"/>
              </w:rPr>
              <w:t>.</w:t>
            </w:r>
          </w:p>
          <w:p w:rsidR="00455CBC" w:rsidRPr="00610AC3" w:rsidRDefault="00455CBC" w:rsidP="00B051BF">
            <w:pPr>
              <w:spacing w:line="360" w:lineRule="auto"/>
              <w:rPr>
                <w:rFonts w:ascii="Arial" w:hAnsi="Arial" w:cs="Arial"/>
              </w:rPr>
            </w:pPr>
            <w:r w:rsidRPr="00B051BF">
              <w:rPr>
                <w:rFonts w:ascii="Arial" w:hAnsi="Arial" w:cs="Arial"/>
              </w:rPr>
              <w:t>Test-retest: not examined</w:t>
            </w:r>
          </w:p>
        </w:tc>
        <w:tc>
          <w:tcPr>
            <w:tcW w:w="0" w:type="auto"/>
            <w:shd w:val="clear" w:color="auto" w:fill="auto"/>
          </w:tcPr>
          <w:p w:rsidR="00455CBC" w:rsidRPr="00610AC3" w:rsidRDefault="00455CBC" w:rsidP="00B72F1D">
            <w:pPr>
              <w:spacing w:line="360" w:lineRule="auto"/>
              <w:rPr>
                <w:rFonts w:ascii="Arial" w:hAnsi="Arial" w:cs="Arial"/>
              </w:rPr>
            </w:pPr>
            <w:r w:rsidRPr="00610AC3">
              <w:rPr>
                <w:rFonts w:ascii="Arial" w:hAnsi="Arial" w:cs="Arial"/>
              </w:rPr>
              <w:t xml:space="preserve">Fisher et al </w:t>
            </w:r>
            <w:r w:rsidRPr="00610AC3">
              <w:rPr>
                <w:rFonts w:ascii="Arial" w:hAnsi="Arial" w:cs="Arial"/>
                <w:noProof/>
              </w:rPr>
              <w:t>[</w:t>
            </w:r>
            <w:r w:rsidR="00B72F1D">
              <w:rPr>
                <w:rFonts w:ascii="Arial" w:hAnsi="Arial" w:cs="Arial"/>
                <w:noProof/>
              </w:rPr>
              <w:t>5</w:t>
            </w:r>
            <w:r w:rsidRPr="00610AC3">
              <w:rPr>
                <w:rFonts w:ascii="Arial" w:hAnsi="Arial" w:cs="Arial"/>
                <w:noProof/>
              </w:rPr>
              <w:t>]</w:t>
            </w:r>
            <w:r w:rsidRPr="00610AC3">
              <w:rPr>
                <w:rFonts w:ascii="Arial" w:hAnsi="Arial" w:cs="Arial"/>
              </w:rPr>
              <w:t xml:space="preserve"> and Glasgow et al </w:t>
            </w:r>
            <w:r w:rsidRPr="00610AC3">
              <w:rPr>
                <w:rFonts w:ascii="Arial" w:hAnsi="Arial" w:cs="Arial"/>
                <w:noProof/>
              </w:rPr>
              <w:t>[</w:t>
            </w:r>
            <w:r w:rsidR="00B72F1D">
              <w:rPr>
                <w:rFonts w:ascii="Arial" w:hAnsi="Arial" w:cs="Arial"/>
                <w:noProof/>
              </w:rPr>
              <w:t>6</w:t>
            </w:r>
            <w:r w:rsidRPr="00610AC3">
              <w:rPr>
                <w:rFonts w:ascii="Arial" w:hAnsi="Arial" w:cs="Arial"/>
                <w:noProof/>
              </w:rPr>
              <w:t>-</w:t>
            </w:r>
            <w:r w:rsidR="00B72F1D">
              <w:rPr>
                <w:rFonts w:ascii="Arial" w:hAnsi="Arial" w:cs="Arial"/>
                <w:noProof/>
              </w:rPr>
              <w:t>8</w:t>
            </w:r>
            <w:r w:rsidRPr="00610AC3">
              <w:rPr>
                <w:rFonts w:ascii="Arial" w:hAnsi="Arial" w:cs="Arial"/>
                <w:noProof/>
              </w:rPr>
              <w:t>]</w:t>
            </w:r>
          </w:p>
        </w:tc>
      </w:tr>
      <w:tr w:rsidR="006B4E8B" w:rsidRPr="00610AC3" w:rsidTr="00642125">
        <w:tc>
          <w:tcPr>
            <w:tcW w:w="0" w:type="auto"/>
            <w:shd w:val="clear" w:color="auto" w:fill="auto"/>
          </w:tcPr>
          <w:p w:rsidR="00D97F81" w:rsidRPr="00610AC3" w:rsidRDefault="00D97F81" w:rsidP="00B72F1D">
            <w:pPr>
              <w:spacing w:line="360" w:lineRule="auto"/>
              <w:rPr>
                <w:rFonts w:ascii="Arial" w:hAnsi="Arial" w:cs="Arial"/>
              </w:rPr>
            </w:pPr>
            <w:r w:rsidRPr="00610AC3">
              <w:rPr>
                <w:rFonts w:ascii="Arial" w:eastAsia="Times New Roman" w:hAnsi="Arial" w:cs="Arial"/>
                <w:color w:val="000000"/>
                <w:lang w:eastAsia="en-GB"/>
              </w:rPr>
              <w:t xml:space="preserve">Edwards Regimen Adherence Scale </w:t>
            </w:r>
            <w:r w:rsidRPr="00610AC3">
              <w:rPr>
                <w:rFonts w:ascii="Arial" w:eastAsia="Times New Roman" w:hAnsi="Arial" w:cs="Arial"/>
                <w:noProof/>
                <w:color w:val="000000"/>
                <w:lang w:eastAsia="en-GB"/>
              </w:rPr>
              <w:t>[</w:t>
            </w:r>
            <w:r w:rsidR="00B72F1D">
              <w:rPr>
                <w:rFonts w:ascii="Arial" w:eastAsia="Times New Roman" w:hAnsi="Arial" w:cs="Arial"/>
                <w:noProof/>
                <w:color w:val="000000"/>
                <w:lang w:eastAsia="en-GB"/>
              </w:rPr>
              <w:t>9</w:t>
            </w:r>
            <w:r w:rsidRPr="00610AC3">
              <w:rPr>
                <w:rFonts w:ascii="Arial" w:eastAsia="Times New Roman" w:hAnsi="Arial" w:cs="Arial"/>
                <w:noProof/>
                <w:color w:val="000000"/>
                <w:lang w:eastAsia="en-GB"/>
              </w:rPr>
              <w:t>]</w:t>
            </w:r>
          </w:p>
        </w:tc>
        <w:tc>
          <w:tcPr>
            <w:tcW w:w="0" w:type="auto"/>
            <w:shd w:val="clear" w:color="auto" w:fill="auto"/>
          </w:tcPr>
          <w:p w:rsidR="00D97F81" w:rsidRPr="00610AC3" w:rsidRDefault="00D97F81" w:rsidP="00610AC3">
            <w:pPr>
              <w:spacing w:line="360" w:lineRule="auto"/>
              <w:rPr>
                <w:rFonts w:ascii="Arial" w:hAnsi="Arial" w:cs="Arial"/>
              </w:rPr>
            </w:pPr>
            <w:r w:rsidRPr="00610AC3">
              <w:rPr>
                <w:rFonts w:ascii="Arial" w:hAnsi="Arial" w:cs="Arial"/>
              </w:rPr>
              <w:t>6 item self-report measured on 5-point Likert scale.</w:t>
            </w:r>
          </w:p>
        </w:tc>
        <w:tc>
          <w:tcPr>
            <w:tcW w:w="0" w:type="auto"/>
          </w:tcPr>
          <w:p w:rsidR="00D97F81" w:rsidRDefault="00D97F81">
            <w:r w:rsidRPr="00B33214">
              <w:rPr>
                <w:rFonts w:ascii="Arial" w:eastAsia="Times New Roman" w:hAnsi="Arial" w:cs="Arial"/>
                <w:color w:val="000000"/>
                <w:lang w:eastAsia="en-GB"/>
              </w:rPr>
              <w:t>Unclear</w:t>
            </w:r>
          </w:p>
        </w:tc>
        <w:tc>
          <w:tcPr>
            <w:tcW w:w="0" w:type="auto"/>
          </w:tcPr>
          <w:p w:rsidR="00D97F81" w:rsidRDefault="00D97F81">
            <w:r w:rsidRPr="00B33214">
              <w:rPr>
                <w:rFonts w:ascii="Arial" w:eastAsia="Times New Roman" w:hAnsi="Arial" w:cs="Arial"/>
                <w:color w:val="000000"/>
                <w:lang w:eastAsia="en-GB"/>
              </w:rPr>
              <w:t>Unclear</w:t>
            </w:r>
          </w:p>
        </w:tc>
        <w:tc>
          <w:tcPr>
            <w:tcW w:w="0" w:type="auto"/>
            <w:shd w:val="clear" w:color="auto" w:fill="auto"/>
          </w:tcPr>
          <w:p w:rsidR="00D97F81" w:rsidRPr="00610AC3" w:rsidRDefault="00D97F81" w:rsidP="00B72F1D">
            <w:pPr>
              <w:spacing w:line="360" w:lineRule="auto"/>
              <w:rPr>
                <w:rFonts w:ascii="Arial" w:hAnsi="Arial" w:cs="Arial"/>
              </w:rPr>
            </w:pPr>
            <w:r w:rsidRPr="00610AC3">
              <w:rPr>
                <w:rFonts w:ascii="Arial" w:eastAsia="Times New Roman" w:hAnsi="Arial" w:cs="Arial"/>
                <w:color w:val="000000"/>
                <w:lang w:eastAsia="en-GB"/>
              </w:rPr>
              <w:t xml:space="preserve">Wakefield et al </w:t>
            </w:r>
            <w:r w:rsidRPr="00610AC3">
              <w:rPr>
                <w:rFonts w:ascii="Arial" w:eastAsia="Times New Roman" w:hAnsi="Arial" w:cs="Arial"/>
                <w:noProof/>
                <w:color w:val="000000"/>
                <w:lang w:eastAsia="en-GB"/>
              </w:rPr>
              <w:t>[</w:t>
            </w:r>
            <w:r w:rsidR="00B72F1D">
              <w:rPr>
                <w:rFonts w:ascii="Arial" w:eastAsia="Times New Roman" w:hAnsi="Arial" w:cs="Arial"/>
                <w:noProof/>
                <w:color w:val="000000"/>
                <w:lang w:eastAsia="en-GB"/>
              </w:rPr>
              <w:t>10</w:t>
            </w:r>
            <w:r w:rsidRPr="00610AC3">
              <w:rPr>
                <w:rFonts w:ascii="Arial" w:eastAsia="Times New Roman" w:hAnsi="Arial" w:cs="Arial"/>
                <w:noProof/>
                <w:color w:val="000000"/>
                <w:lang w:eastAsia="en-GB"/>
              </w:rPr>
              <w:t>, 1</w:t>
            </w:r>
            <w:r w:rsidR="00B72F1D">
              <w:rPr>
                <w:rFonts w:ascii="Arial" w:eastAsia="Times New Roman" w:hAnsi="Arial" w:cs="Arial"/>
                <w:noProof/>
                <w:color w:val="000000"/>
                <w:lang w:eastAsia="en-GB"/>
              </w:rPr>
              <w:t>1</w:t>
            </w:r>
            <w:r w:rsidRPr="00610AC3">
              <w:rPr>
                <w:rFonts w:ascii="Arial" w:eastAsia="Times New Roman" w:hAnsi="Arial" w:cs="Arial"/>
                <w:noProof/>
                <w:color w:val="000000"/>
                <w:lang w:eastAsia="en-GB"/>
              </w:rPr>
              <w:t>]</w:t>
            </w:r>
          </w:p>
        </w:tc>
      </w:tr>
      <w:tr w:rsidR="006B4E8B" w:rsidRPr="00610AC3" w:rsidTr="00642125">
        <w:tc>
          <w:tcPr>
            <w:tcW w:w="0" w:type="auto"/>
            <w:shd w:val="clear" w:color="auto" w:fill="auto"/>
          </w:tcPr>
          <w:p w:rsidR="00455CBC" w:rsidRPr="00610AC3" w:rsidRDefault="00455CBC" w:rsidP="00B72F1D">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t xml:space="preserve">Self-reported Medication Taking Scale </w:t>
            </w:r>
            <w:r w:rsidRPr="00610AC3">
              <w:rPr>
                <w:rFonts w:ascii="Arial" w:eastAsia="Times New Roman" w:hAnsi="Arial" w:cs="Arial"/>
                <w:noProof/>
                <w:color w:val="000000"/>
                <w:lang w:eastAsia="en-GB"/>
              </w:rPr>
              <w:t>[1</w:t>
            </w:r>
            <w:r w:rsidR="00B72F1D">
              <w:rPr>
                <w:rFonts w:ascii="Arial" w:eastAsia="Times New Roman" w:hAnsi="Arial" w:cs="Arial"/>
                <w:noProof/>
                <w:color w:val="000000"/>
                <w:lang w:eastAsia="en-GB"/>
              </w:rPr>
              <w:t>2</w:t>
            </w:r>
            <w:r w:rsidRPr="00610AC3">
              <w:rPr>
                <w:rFonts w:ascii="Arial" w:eastAsia="Times New Roman" w:hAnsi="Arial" w:cs="Arial"/>
                <w:noProof/>
                <w:color w:val="000000"/>
                <w:lang w:eastAsia="en-GB"/>
              </w:rPr>
              <w:t>]</w:t>
            </w:r>
          </w:p>
        </w:tc>
        <w:tc>
          <w:tcPr>
            <w:tcW w:w="0" w:type="auto"/>
            <w:shd w:val="clear" w:color="auto" w:fill="auto"/>
          </w:tcPr>
          <w:p w:rsidR="00455CBC" w:rsidRPr="00610AC3" w:rsidRDefault="00455CBC" w:rsidP="00610AC3">
            <w:pPr>
              <w:spacing w:line="360" w:lineRule="auto"/>
              <w:rPr>
                <w:rFonts w:ascii="Arial" w:hAnsi="Arial" w:cs="Arial"/>
              </w:rPr>
            </w:pPr>
            <w:r w:rsidRPr="00610AC3">
              <w:rPr>
                <w:rFonts w:ascii="Arial" w:hAnsi="Arial" w:cs="Arial"/>
              </w:rPr>
              <w:t>4items addressing medication in patients with hypertension.</w:t>
            </w:r>
          </w:p>
        </w:tc>
        <w:tc>
          <w:tcPr>
            <w:tcW w:w="0" w:type="auto"/>
          </w:tcPr>
          <w:p w:rsidR="006B4E8B" w:rsidRDefault="00B72F1D" w:rsidP="00455CBC">
            <w:pPr>
              <w:spacing w:line="360" w:lineRule="auto"/>
              <w:rPr>
                <w:rFonts w:ascii="Arial" w:hAnsi="Arial" w:cs="Arial"/>
              </w:rPr>
            </w:pPr>
            <w:r w:rsidRPr="00B72F1D">
              <w:rPr>
                <w:rFonts w:ascii="Arial" w:hAnsi="Arial" w:cs="Arial"/>
              </w:rPr>
              <w:t>[Adapted from Pérez-Escamilla et al [2]]</w:t>
            </w:r>
          </w:p>
          <w:p w:rsidR="00455CBC" w:rsidRPr="00455CBC" w:rsidRDefault="00455CBC" w:rsidP="00455CBC">
            <w:pPr>
              <w:spacing w:line="360" w:lineRule="auto"/>
              <w:rPr>
                <w:rFonts w:ascii="Arial" w:hAnsi="Arial" w:cs="Arial"/>
              </w:rPr>
            </w:pPr>
            <w:r w:rsidRPr="00455CBC">
              <w:rPr>
                <w:rFonts w:ascii="Arial" w:hAnsi="Arial" w:cs="Arial"/>
              </w:rPr>
              <w:t>Comparative test: BP control.</w:t>
            </w:r>
          </w:p>
          <w:p w:rsidR="00455CBC" w:rsidRPr="00455CBC" w:rsidRDefault="00455CBC" w:rsidP="00455CBC">
            <w:pPr>
              <w:spacing w:line="360" w:lineRule="auto"/>
              <w:rPr>
                <w:rFonts w:ascii="Arial" w:hAnsi="Arial" w:cs="Arial"/>
              </w:rPr>
            </w:pPr>
            <w:r w:rsidRPr="00455CBC">
              <w:rPr>
                <w:rFonts w:ascii="Arial" w:hAnsi="Arial" w:cs="Arial"/>
              </w:rPr>
              <w:t>Concurrent validity: r=0.43 (6 months)</w:t>
            </w:r>
          </w:p>
          <w:p w:rsidR="00455CBC" w:rsidRPr="00455CBC" w:rsidRDefault="00455CBC" w:rsidP="00455CBC">
            <w:pPr>
              <w:spacing w:line="360" w:lineRule="auto"/>
              <w:rPr>
                <w:rFonts w:ascii="Arial" w:hAnsi="Arial" w:cs="Arial"/>
              </w:rPr>
            </w:pPr>
            <w:r w:rsidRPr="00455CBC">
              <w:rPr>
                <w:rFonts w:ascii="Arial" w:hAnsi="Arial" w:cs="Arial"/>
              </w:rPr>
              <w:t>Predictive validity: r=0.58 (42 months)</w:t>
            </w:r>
          </w:p>
          <w:p w:rsidR="00455CBC" w:rsidRPr="00455CBC" w:rsidRDefault="00455CBC" w:rsidP="00455CBC">
            <w:pPr>
              <w:pStyle w:val="ListParagraph"/>
              <w:numPr>
                <w:ilvl w:val="0"/>
                <w:numId w:val="4"/>
              </w:numPr>
              <w:tabs>
                <w:tab w:val="left" w:pos="415"/>
              </w:tabs>
              <w:spacing w:line="360" w:lineRule="auto"/>
              <w:ind w:left="145" w:hanging="31"/>
              <w:rPr>
                <w:rFonts w:ascii="Arial" w:hAnsi="Arial" w:cs="Arial"/>
              </w:rPr>
            </w:pPr>
            <w:r w:rsidRPr="00455CBC">
              <w:rPr>
                <w:rFonts w:ascii="Arial" w:hAnsi="Arial" w:cs="Arial"/>
              </w:rPr>
              <w:t>Student’s t-test=6.43, P</w:t>
            </w:r>
            <w:r>
              <w:rPr>
                <w:rFonts w:ascii="Arial" w:hAnsi="Arial" w:cs="Arial"/>
              </w:rPr>
              <w:t>&lt;</w:t>
            </w:r>
            <w:r w:rsidRPr="00455CBC">
              <w:rPr>
                <w:rFonts w:ascii="Arial" w:hAnsi="Arial" w:cs="Arial"/>
              </w:rPr>
              <w:t>0.01</w:t>
            </w:r>
          </w:p>
          <w:p w:rsidR="00455CBC" w:rsidRPr="00455CBC" w:rsidRDefault="00455CBC" w:rsidP="00455CBC">
            <w:pPr>
              <w:pStyle w:val="ListParagraph"/>
              <w:numPr>
                <w:ilvl w:val="0"/>
                <w:numId w:val="4"/>
              </w:numPr>
              <w:tabs>
                <w:tab w:val="left" w:pos="415"/>
              </w:tabs>
              <w:spacing w:line="360" w:lineRule="auto"/>
              <w:ind w:left="145" w:hanging="31"/>
              <w:rPr>
                <w:rFonts w:ascii="Arial" w:hAnsi="Arial" w:cs="Arial"/>
              </w:rPr>
            </w:pPr>
            <w:r w:rsidRPr="00455CBC">
              <w:rPr>
                <w:rFonts w:ascii="Arial" w:hAnsi="Arial" w:cs="Arial"/>
              </w:rPr>
              <w:lastRenderedPageBreak/>
              <w:t>Medication intake vs BP control:</w:t>
            </w:r>
          </w:p>
          <w:p w:rsidR="00455CBC" w:rsidRPr="00455CBC" w:rsidRDefault="00455CBC" w:rsidP="00455CBC">
            <w:pPr>
              <w:pStyle w:val="ListParagraph"/>
              <w:numPr>
                <w:ilvl w:val="0"/>
                <w:numId w:val="5"/>
              </w:numPr>
              <w:spacing w:line="360" w:lineRule="auto"/>
              <w:rPr>
                <w:rFonts w:ascii="Arial" w:hAnsi="Arial" w:cs="Arial"/>
              </w:rPr>
            </w:pPr>
            <w:r w:rsidRPr="00455CBC">
              <w:rPr>
                <w:rFonts w:ascii="Arial" w:hAnsi="Arial" w:cs="Arial"/>
              </w:rPr>
              <w:t>R²=0.33, P</w:t>
            </w:r>
            <w:r>
              <w:rPr>
                <w:rFonts w:ascii="Arial" w:hAnsi="Arial" w:cs="Arial"/>
              </w:rPr>
              <w:t>&lt;</w:t>
            </w:r>
            <w:r w:rsidRPr="00455CBC">
              <w:rPr>
                <w:rFonts w:ascii="Arial" w:hAnsi="Arial" w:cs="Arial"/>
              </w:rPr>
              <w:t>0.01</w:t>
            </w:r>
          </w:p>
          <w:p w:rsidR="00455CBC" w:rsidRPr="00455CBC" w:rsidRDefault="00455CBC" w:rsidP="00455CBC">
            <w:pPr>
              <w:pStyle w:val="ListParagraph"/>
              <w:numPr>
                <w:ilvl w:val="0"/>
                <w:numId w:val="5"/>
              </w:numPr>
              <w:spacing w:line="360" w:lineRule="auto"/>
              <w:rPr>
                <w:rFonts w:ascii="Arial" w:hAnsi="Arial" w:cs="Arial"/>
              </w:rPr>
            </w:pPr>
            <w:r w:rsidRPr="00455CBC">
              <w:rPr>
                <w:rFonts w:ascii="Arial" w:hAnsi="Arial" w:cs="Arial"/>
              </w:rPr>
              <w:t>S =81.00%</w:t>
            </w:r>
          </w:p>
          <w:p w:rsidR="00455CBC" w:rsidRPr="00455CBC" w:rsidRDefault="00455CBC" w:rsidP="00455CBC">
            <w:pPr>
              <w:pStyle w:val="ListParagraph"/>
              <w:numPr>
                <w:ilvl w:val="0"/>
                <w:numId w:val="5"/>
              </w:numPr>
              <w:spacing w:line="360" w:lineRule="auto"/>
              <w:rPr>
                <w:rFonts w:ascii="Arial" w:hAnsi="Arial" w:cs="Arial"/>
              </w:rPr>
            </w:pPr>
            <w:r w:rsidRPr="00455CBC">
              <w:rPr>
                <w:rFonts w:ascii="Arial" w:hAnsi="Arial" w:cs="Arial"/>
              </w:rPr>
              <w:t>SP =44.00%</w:t>
            </w:r>
          </w:p>
          <w:p w:rsidR="00455CBC" w:rsidRPr="00455CBC" w:rsidRDefault="00455CBC" w:rsidP="00455CBC">
            <w:pPr>
              <w:pStyle w:val="ListParagraph"/>
              <w:numPr>
                <w:ilvl w:val="0"/>
                <w:numId w:val="5"/>
              </w:numPr>
              <w:spacing w:line="360" w:lineRule="auto"/>
              <w:rPr>
                <w:rFonts w:ascii="Arial" w:hAnsi="Arial" w:cs="Arial"/>
              </w:rPr>
            </w:pPr>
            <w:r w:rsidRPr="00455CBC">
              <w:rPr>
                <w:rFonts w:ascii="Arial" w:hAnsi="Arial" w:cs="Arial"/>
              </w:rPr>
              <w:t>PPV =75.00%</w:t>
            </w:r>
          </w:p>
          <w:p w:rsidR="00455CBC" w:rsidRPr="00455CBC" w:rsidRDefault="00455CBC" w:rsidP="00455CBC">
            <w:pPr>
              <w:pStyle w:val="ListParagraph"/>
              <w:numPr>
                <w:ilvl w:val="0"/>
                <w:numId w:val="5"/>
              </w:numPr>
              <w:spacing w:line="360" w:lineRule="auto"/>
              <w:rPr>
                <w:rFonts w:ascii="Arial" w:hAnsi="Arial" w:cs="Arial"/>
              </w:rPr>
            </w:pPr>
            <w:r w:rsidRPr="00455CBC">
              <w:rPr>
                <w:rFonts w:ascii="Arial" w:hAnsi="Arial" w:cs="Arial"/>
              </w:rPr>
              <w:t>NPV =52.00%</w:t>
            </w:r>
          </w:p>
        </w:tc>
        <w:tc>
          <w:tcPr>
            <w:tcW w:w="0" w:type="auto"/>
          </w:tcPr>
          <w:p w:rsidR="00455CBC" w:rsidRPr="00455CBC" w:rsidRDefault="00455CBC" w:rsidP="00455CBC">
            <w:pPr>
              <w:spacing w:line="360" w:lineRule="auto"/>
              <w:rPr>
                <w:rFonts w:ascii="Arial" w:eastAsia="Times New Roman" w:hAnsi="Arial" w:cs="Arial"/>
                <w:color w:val="000000"/>
                <w:lang w:eastAsia="en-GB"/>
              </w:rPr>
            </w:pPr>
            <w:r w:rsidRPr="00455CBC">
              <w:rPr>
                <w:rFonts w:ascii="Arial" w:eastAsia="Times New Roman" w:hAnsi="Arial" w:cs="Arial"/>
                <w:color w:val="000000"/>
                <w:lang w:eastAsia="en-GB"/>
              </w:rPr>
              <w:lastRenderedPageBreak/>
              <w:t xml:space="preserve">Internal consistency: </w:t>
            </w:r>
            <w:r w:rsidR="006B4E8B" w:rsidRPr="00455CBC">
              <w:rPr>
                <w:rFonts w:ascii="Arial" w:eastAsia="Times New Roman" w:hAnsi="Arial" w:cs="Arial"/>
                <w:color w:val="000000"/>
                <w:lang w:eastAsia="en-GB"/>
              </w:rPr>
              <w:t>Cronbach</w:t>
            </w:r>
            <w:r w:rsidRPr="00455CBC">
              <w:rPr>
                <w:rFonts w:ascii="Arial" w:eastAsia="Times New Roman" w:hAnsi="Arial" w:cs="Arial"/>
                <w:color w:val="000000"/>
                <w:lang w:eastAsia="en-GB"/>
              </w:rPr>
              <w:t xml:space="preserve"> α = 0.61); item-total correlations = 0.479-0.561</w:t>
            </w:r>
          </w:p>
          <w:p w:rsidR="00455CBC" w:rsidRPr="00610AC3" w:rsidRDefault="00455CBC" w:rsidP="00455CBC">
            <w:pPr>
              <w:spacing w:line="360" w:lineRule="auto"/>
              <w:rPr>
                <w:rFonts w:ascii="Arial" w:eastAsia="Times New Roman" w:hAnsi="Arial" w:cs="Arial"/>
                <w:color w:val="000000"/>
                <w:lang w:eastAsia="en-GB"/>
              </w:rPr>
            </w:pPr>
            <w:r w:rsidRPr="00455CBC">
              <w:rPr>
                <w:rFonts w:ascii="Arial" w:eastAsia="Times New Roman" w:hAnsi="Arial" w:cs="Arial"/>
                <w:color w:val="000000"/>
                <w:lang w:eastAsia="en-GB"/>
              </w:rPr>
              <w:t>Test-retest: not examined</w:t>
            </w:r>
          </w:p>
        </w:tc>
        <w:tc>
          <w:tcPr>
            <w:tcW w:w="0" w:type="auto"/>
            <w:shd w:val="clear" w:color="auto" w:fill="auto"/>
          </w:tcPr>
          <w:p w:rsidR="00455CBC" w:rsidRPr="00610AC3" w:rsidRDefault="00455CBC" w:rsidP="00B72F1D">
            <w:pPr>
              <w:spacing w:line="360" w:lineRule="auto"/>
              <w:rPr>
                <w:rFonts w:ascii="Arial" w:hAnsi="Arial" w:cs="Arial"/>
              </w:rPr>
            </w:pPr>
            <w:r w:rsidRPr="00610AC3">
              <w:rPr>
                <w:rFonts w:ascii="Arial" w:eastAsia="Times New Roman" w:hAnsi="Arial" w:cs="Arial"/>
                <w:color w:val="000000"/>
                <w:lang w:eastAsia="en-GB"/>
              </w:rPr>
              <w:t xml:space="preserve">Wakefield et al </w:t>
            </w:r>
            <w:r w:rsidRPr="00610AC3">
              <w:rPr>
                <w:rFonts w:ascii="Arial" w:eastAsia="Times New Roman" w:hAnsi="Arial" w:cs="Arial"/>
                <w:noProof/>
                <w:color w:val="000000"/>
                <w:lang w:eastAsia="en-GB"/>
              </w:rPr>
              <w:t>[</w:t>
            </w:r>
            <w:r w:rsidR="00B72F1D">
              <w:rPr>
                <w:rFonts w:ascii="Arial" w:eastAsia="Times New Roman" w:hAnsi="Arial" w:cs="Arial"/>
                <w:noProof/>
                <w:color w:val="000000"/>
                <w:lang w:eastAsia="en-GB"/>
              </w:rPr>
              <w:t>10</w:t>
            </w:r>
            <w:r w:rsidRPr="00610AC3">
              <w:rPr>
                <w:rFonts w:ascii="Arial" w:eastAsia="Times New Roman" w:hAnsi="Arial" w:cs="Arial"/>
                <w:noProof/>
                <w:color w:val="000000"/>
                <w:lang w:eastAsia="en-GB"/>
              </w:rPr>
              <w:t>, 1</w:t>
            </w:r>
            <w:r w:rsidR="00B72F1D">
              <w:rPr>
                <w:rFonts w:ascii="Arial" w:eastAsia="Times New Roman" w:hAnsi="Arial" w:cs="Arial"/>
                <w:noProof/>
                <w:color w:val="000000"/>
                <w:lang w:eastAsia="en-GB"/>
              </w:rPr>
              <w:t>1</w:t>
            </w:r>
            <w:r w:rsidRPr="00610AC3">
              <w:rPr>
                <w:rFonts w:ascii="Arial" w:eastAsia="Times New Roman" w:hAnsi="Arial" w:cs="Arial"/>
                <w:noProof/>
                <w:color w:val="000000"/>
                <w:lang w:eastAsia="en-GB"/>
              </w:rPr>
              <w:t>]</w:t>
            </w:r>
          </w:p>
        </w:tc>
      </w:tr>
      <w:tr w:rsidR="006B4E8B" w:rsidRPr="00610AC3" w:rsidTr="00642125">
        <w:tc>
          <w:tcPr>
            <w:tcW w:w="0" w:type="auto"/>
            <w:shd w:val="clear" w:color="auto" w:fill="auto"/>
          </w:tcPr>
          <w:p w:rsidR="00455CBC" w:rsidRPr="00610AC3" w:rsidRDefault="00455CBC" w:rsidP="00610AC3">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lastRenderedPageBreak/>
              <w:t xml:space="preserve">Self-reported questionnaire developed </w:t>
            </w:r>
            <w:r w:rsidRPr="00610AC3">
              <w:rPr>
                <w:rFonts w:ascii="Arial" w:eastAsia="Times New Roman" w:hAnsi="Arial" w:cs="Arial"/>
                <w:i/>
                <w:color w:val="000000"/>
                <w:lang w:eastAsia="en-GB"/>
              </w:rPr>
              <w:t>ad hoc</w:t>
            </w:r>
            <w:r w:rsidRPr="00610AC3">
              <w:rPr>
                <w:rFonts w:ascii="Arial" w:eastAsia="Times New Roman" w:hAnsi="Arial" w:cs="Arial"/>
                <w:color w:val="000000"/>
                <w:lang w:eastAsia="en-GB"/>
              </w:rPr>
              <w:t xml:space="preserve"> by researchers</w:t>
            </w:r>
          </w:p>
        </w:tc>
        <w:tc>
          <w:tcPr>
            <w:tcW w:w="0" w:type="auto"/>
            <w:shd w:val="clear" w:color="auto" w:fill="auto"/>
          </w:tcPr>
          <w:p w:rsidR="00455CBC" w:rsidRPr="00610AC3" w:rsidRDefault="00455CBC" w:rsidP="00610AC3">
            <w:pPr>
              <w:spacing w:line="360" w:lineRule="auto"/>
              <w:rPr>
                <w:rFonts w:ascii="Arial" w:hAnsi="Arial" w:cs="Arial"/>
              </w:rPr>
            </w:pPr>
            <w:r w:rsidRPr="00610AC3">
              <w:rPr>
                <w:rFonts w:ascii="Arial" w:hAnsi="Arial" w:cs="Arial"/>
              </w:rPr>
              <w:t>68 items in total (7 items specifically covering medication adherence). Answered on a 5 point Likert scale. Total score for medication adherence was sum of the 7 items expressed out of 100.</w:t>
            </w:r>
          </w:p>
        </w:tc>
        <w:tc>
          <w:tcPr>
            <w:tcW w:w="0" w:type="auto"/>
          </w:tcPr>
          <w:p w:rsidR="00455CBC" w:rsidRPr="00610AC3" w:rsidRDefault="00DC1F64" w:rsidP="00DC1F64">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Face validity: content of the questionnaire verified </w:t>
            </w:r>
            <w:r w:rsidRPr="00DC1F64">
              <w:rPr>
                <w:rFonts w:ascii="Arial" w:eastAsia="Times New Roman" w:hAnsi="Arial" w:cs="Arial"/>
                <w:color w:val="000000"/>
                <w:lang w:eastAsia="en-GB"/>
              </w:rPr>
              <w:t>by an endocrinologist, a dietician, and eight</w:t>
            </w:r>
            <w:r>
              <w:rPr>
                <w:rFonts w:ascii="Arial" w:eastAsia="Times New Roman" w:hAnsi="Arial" w:cs="Arial"/>
                <w:color w:val="000000"/>
                <w:lang w:eastAsia="en-GB"/>
              </w:rPr>
              <w:t xml:space="preserve"> </w:t>
            </w:r>
            <w:r w:rsidRPr="00DC1F64">
              <w:rPr>
                <w:rFonts w:ascii="Arial" w:eastAsia="Times New Roman" w:hAnsi="Arial" w:cs="Arial"/>
                <w:color w:val="000000"/>
                <w:lang w:eastAsia="en-GB"/>
              </w:rPr>
              <w:t>nurses who had a Master’s degree or PhD</w:t>
            </w:r>
          </w:p>
        </w:tc>
        <w:tc>
          <w:tcPr>
            <w:tcW w:w="0" w:type="auto"/>
          </w:tcPr>
          <w:p w:rsidR="00455CBC" w:rsidRPr="00610AC3" w:rsidRDefault="00DC1F64" w:rsidP="00DC1F64">
            <w:pPr>
              <w:spacing w:line="360" w:lineRule="auto"/>
              <w:rPr>
                <w:rFonts w:ascii="Arial" w:eastAsia="Times New Roman" w:hAnsi="Arial" w:cs="Arial"/>
                <w:color w:val="000000"/>
                <w:lang w:eastAsia="en-GB"/>
              </w:rPr>
            </w:pPr>
            <w:r>
              <w:rPr>
                <w:rFonts w:ascii="Arial" w:eastAsia="Times New Roman" w:hAnsi="Arial" w:cs="Arial"/>
                <w:color w:val="000000"/>
                <w:lang w:eastAsia="en-GB"/>
              </w:rPr>
              <w:t>T</w:t>
            </w:r>
            <w:r w:rsidRPr="00DC1F64">
              <w:rPr>
                <w:rFonts w:ascii="Arial" w:eastAsia="Times New Roman" w:hAnsi="Arial" w:cs="Arial"/>
                <w:color w:val="000000"/>
                <w:lang w:eastAsia="en-GB"/>
              </w:rPr>
              <w:t>est-retest Pearson’s</w:t>
            </w:r>
            <w:r>
              <w:rPr>
                <w:rFonts w:ascii="Arial" w:eastAsia="Times New Roman" w:hAnsi="Arial" w:cs="Arial"/>
                <w:color w:val="000000"/>
                <w:lang w:eastAsia="en-GB"/>
              </w:rPr>
              <w:t xml:space="preserve"> </w:t>
            </w:r>
            <w:r w:rsidRPr="00DC1F64">
              <w:rPr>
                <w:rFonts w:ascii="Arial" w:eastAsia="Times New Roman" w:hAnsi="Arial" w:cs="Arial"/>
                <w:color w:val="000000"/>
                <w:lang w:eastAsia="en-GB"/>
              </w:rPr>
              <w:t xml:space="preserve">correlation coefficient </w:t>
            </w:r>
            <w:r>
              <w:rPr>
                <w:rFonts w:ascii="Arial" w:eastAsia="Times New Roman" w:hAnsi="Arial" w:cs="Arial"/>
                <w:color w:val="000000"/>
                <w:lang w:eastAsia="en-GB"/>
              </w:rPr>
              <w:t xml:space="preserve">= </w:t>
            </w:r>
            <w:r w:rsidRPr="00DC1F64">
              <w:rPr>
                <w:rFonts w:ascii="Arial" w:eastAsia="Times New Roman" w:hAnsi="Arial" w:cs="Arial"/>
                <w:color w:val="000000"/>
                <w:lang w:eastAsia="en-GB"/>
              </w:rPr>
              <w:t>0.9</w:t>
            </w:r>
          </w:p>
        </w:tc>
        <w:tc>
          <w:tcPr>
            <w:tcW w:w="0" w:type="auto"/>
            <w:shd w:val="clear" w:color="auto" w:fill="auto"/>
          </w:tcPr>
          <w:p w:rsidR="00455CBC" w:rsidRPr="00610AC3" w:rsidRDefault="00455CBC" w:rsidP="00B72F1D">
            <w:pPr>
              <w:spacing w:line="360" w:lineRule="auto"/>
              <w:rPr>
                <w:rFonts w:ascii="Arial" w:hAnsi="Arial" w:cs="Arial"/>
              </w:rPr>
            </w:pPr>
            <w:proofErr w:type="spellStart"/>
            <w:r w:rsidRPr="00610AC3">
              <w:rPr>
                <w:rFonts w:ascii="Arial" w:eastAsia="Times New Roman" w:hAnsi="Arial" w:cs="Arial"/>
                <w:color w:val="000000"/>
                <w:lang w:eastAsia="en-GB"/>
              </w:rPr>
              <w:t>Nesari</w:t>
            </w:r>
            <w:proofErr w:type="spellEnd"/>
            <w:r w:rsidRPr="00610AC3">
              <w:rPr>
                <w:rFonts w:ascii="Arial" w:eastAsia="Times New Roman" w:hAnsi="Arial" w:cs="Arial"/>
                <w:color w:val="000000"/>
                <w:lang w:eastAsia="en-GB"/>
              </w:rPr>
              <w:t xml:space="preserve"> et al </w:t>
            </w:r>
            <w:r w:rsidRPr="00610AC3">
              <w:rPr>
                <w:rFonts w:ascii="Arial" w:eastAsia="Times New Roman" w:hAnsi="Arial" w:cs="Arial"/>
                <w:noProof/>
                <w:color w:val="000000"/>
                <w:lang w:eastAsia="en-GB"/>
              </w:rPr>
              <w:t>[1</w:t>
            </w:r>
            <w:r w:rsidR="00B72F1D">
              <w:rPr>
                <w:rFonts w:ascii="Arial" w:eastAsia="Times New Roman" w:hAnsi="Arial" w:cs="Arial"/>
                <w:noProof/>
                <w:color w:val="000000"/>
                <w:lang w:eastAsia="en-GB"/>
              </w:rPr>
              <w:t>3</w:t>
            </w:r>
            <w:r w:rsidRPr="00610AC3">
              <w:rPr>
                <w:rFonts w:ascii="Arial" w:eastAsia="Times New Roman" w:hAnsi="Arial" w:cs="Arial"/>
                <w:noProof/>
                <w:color w:val="000000"/>
                <w:lang w:eastAsia="en-GB"/>
              </w:rPr>
              <w:t>]</w:t>
            </w:r>
          </w:p>
        </w:tc>
      </w:tr>
      <w:tr w:rsidR="006B4E8B" w:rsidRPr="00610AC3" w:rsidTr="00642125">
        <w:tc>
          <w:tcPr>
            <w:tcW w:w="0" w:type="auto"/>
            <w:shd w:val="clear" w:color="auto" w:fill="auto"/>
          </w:tcPr>
          <w:p w:rsidR="00D97F81" w:rsidRPr="00610AC3" w:rsidRDefault="00D97F81" w:rsidP="00610AC3">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t>Question recall technique</w:t>
            </w:r>
          </w:p>
        </w:tc>
        <w:tc>
          <w:tcPr>
            <w:tcW w:w="0" w:type="auto"/>
            <w:shd w:val="clear" w:color="auto" w:fill="auto"/>
          </w:tcPr>
          <w:p w:rsidR="00D97F81" w:rsidRPr="00610AC3" w:rsidRDefault="00D97F81" w:rsidP="00610AC3">
            <w:pPr>
              <w:spacing w:line="360" w:lineRule="auto"/>
              <w:rPr>
                <w:rFonts w:ascii="Arial" w:hAnsi="Arial" w:cs="Arial"/>
              </w:rPr>
            </w:pPr>
            <w:r w:rsidRPr="00610AC3">
              <w:rPr>
                <w:rFonts w:ascii="Arial" w:hAnsi="Arial" w:cs="Arial"/>
              </w:rPr>
              <w:t xml:space="preserve">Includes the following two questions: </w:t>
            </w:r>
            <w:r w:rsidRPr="00610AC3">
              <w:rPr>
                <w:rFonts w:ascii="Arial" w:eastAsia="Times New Roman" w:hAnsi="Arial" w:cs="Arial"/>
                <w:color w:val="000000"/>
                <w:lang w:eastAsia="en-GB"/>
              </w:rPr>
              <w:t>1) "</w:t>
            </w:r>
            <w:r w:rsidRPr="00610AC3">
              <w:rPr>
                <w:rFonts w:ascii="Arial" w:eastAsia="Times New Roman" w:hAnsi="Arial" w:cs="Arial"/>
                <w:i/>
                <w:color w:val="000000"/>
                <w:lang w:eastAsia="en-GB"/>
              </w:rPr>
              <w:t>Taking medications on a regular basis can be difficult. Do you ever find it difficult to remember to take [medication name)?</w:t>
            </w:r>
            <w:proofErr w:type="gramStart"/>
            <w:r w:rsidRPr="00610AC3">
              <w:rPr>
                <w:rFonts w:ascii="Arial" w:eastAsia="Times New Roman" w:hAnsi="Arial" w:cs="Arial"/>
                <w:color w:val="000000"/>
                <w:lang w:eastAsia="en-GB"/>
              </w:rPr>
              <w:t>";</w:t>
            </w:r>
            <w:proofErr w:type="gramEnd"/>
            <w:r w:rsidRPr="00610AC3">
              <w:rPr>
                <w:rFonts w:ascii="Arial" w:eastAsia="Times New Roman" w:hAnsi="Arial" w:cs="Arial"/>
                <w:color w:val="000000"/>
                <w:lang w:eastAsia="en-GB"/>
              </w:rPr>
              <w:t xml:space="preserve"> 2) "</w:t>
            </w:r>
            <w:r w:rsidRPr="00610AC3">
              <w:rPr>
                <w:rFonts w:ascii="Arial" w:eastAsia="Times New Roman" w:hAnsi="Arial" w:cs="Arial"/>
                <w:i/>
                <w:color w:val="000000"/>
                <w:lang w:eastAsia="en-GB"/>
              </w:rPr>
              <w:t>How many times over the last two weeks have you missed a dose?</w:t>
            </w:r>
            <w:r w:rsidRPr="00610AC3">
              <w:rPr>
                <w:rFonts w:ascii="Arial" w:eastAsia="Times New Roman" w:hAnsi="Arial" w:cs="Arial"/>
                <w:color w:val="000000"/>
                <w:lang w:eastAsia="en-GB"/>
              </w:rPr>
              <w:t>"</w:t>
            </w:r>
          </w:p>
        </w:tc>
        <w:tc>
          <w:tcPr>
            <w:tcW w:w="0" w:type="auto"/>
          </w:tcPr>
          <w:p w:rsidR="00D97F81" w:rsidRDefault="00D97F81">
            <w:r w:rsidRPr="00C1125E">
              <w:rPr>
                <w:rFonts w:ascii="Arial" w:eastAsia="Times New Roman" w:hAnsi="Arial" w:cs="Arial"/>
                <w:color w:val="000000"/>
                <w:lang w:eastAsia="en-GB"/>
              </w:rPr>
              <w:t>Unclear</w:t>
            </w:r>
          </w:p>
        </w:tc>
        <w:tc>
          <w:tcPr>
            <w:tcW w:w="0" w:type="auto"/>
          </w:tcPr>
          <w:p w:rsidR="00D97F81" w:rsidRDefault="00D97F81">
            <w:r w:rsidRPr="00C1125E">
              <w:rPr>
                <w:rFonts w:ascii="Arial" w:eastAsia="Times New Roman" w:hAnsi="Arial" w:cs="Arial"/>
                <w:color w:val="000000"/>
                <w:lang w:eastAsia="en-GB"/>
              </w:rPr>
              <w:t>Unclear</w:t>
            </w:r>
          </w:p>
        </w:tc>
        <w:tc>
          <w:tcPr>
            <w:tcW w:w="0" w:type="auto"/>
            <w:shd w:val="clear" w:color="auto" w:fill="auto"/>
          </w:tcPr>
          <w:p w:rsidR="00D97F81" w:rsidRPr="00610AC3" w:rsidRDefault="00D97F81" w:rsidP="00B72F1D">
            <w:pPr>
              <w:spacing w:line="360" w:lineRule="auto"/>
              <w:rPr>
                <w:rFonts w:ascii="Arial" w:hAnsi="Arial" w:cs="Arial"/>
              </w:rPr>
            </w:pPr>
            <w:proofErr w:type="spellStart"/>
            <w:r w:rsidRPr="00610AC3">
              <w:rPr>
                <w:rFonts w:ascii="Arial" w:eastAsia="Times New Roman" w:hAnsi="Arial" w:cs="Arial"/>
                <w:color w:val="000000"/>
                <w:lang w:eastAsia="en-GB"/>
              </w:rPr>
              <w:t>Odegard</w:t>
            </w:r>
            <w:proofErr w:type="spellEnd"/>
            <w:r w:rsidRPr="00610AC3">
              <w:rPr>
                <w:rFonts w:ascii="Arial" w:eastAsia="Times New Roman" w:hAnsi="Arial" w:cs="Arial"/>
                <w:color w:val="000000"/>
                <w:lang w:eastAsia="en-GB"/>
              </w:rPr>
              <w:t xml:space="preserve"> et al. </w:t>
            </w:r>
            <w:r w:rsidRPr="00610AC3">
              <w:rPr>
                <w:rFonts w:ascii="Arial" w:eastAsia="Times New Roman" w:hAnsi="Arial" w:cs="Arial"/>
                <w:bCs/>
                <w:noProof/>
                <w:color w:val="000000"/>
                <w:lang w:eastAsia="en-GB"/>
              </w:rPr>
              <w:t>[1</w:t>
            </w:r>
            <w:r w:rsidR="00B72F1D">
              <w:rPr>
                <w:rFonts w:ascii="Arial" w:eastAsia="Times New Roman" w:hAnsi="Arial" w:cs="Arial"/>
                <w:bCs/>
                <w:noProof/>
                <w:color w:val="000000"/>
                <w:lang w:eastAsia="en-GB"/>
              </w:rPr>
              <w:t>4</w:t>
            </w:r>
            <w:r w:rsidRPr="00610AC3">
              <w:rPr>
                <w:rFonts w:ascii="Arial" w:eastAsia="Times New Roman" w:hAnsi="Arial" w:cs="Arial"/>
                <w:bCs/>
                <w:noProof/>
                <w:color w:val="000000"/>
                <w:lang w:eastAsia="en-GB"/>
              </w:rPr>
              <w:t>]</w:t>
            </w:r>
          </w:p>
        </w:tc>
      </w:tr>
      <w:tr w:rsidR="006B4E8B" w:rsidRPr="00610AC3" w:rsidTr="00642125">
        <w:tc>
          <w:tcPr>
            <w:tcW w:w="0" w:type="auto"/>
            <w:shd w:val="clear" w:color="auto" w:fill="auto"/>
          </w:tcPr>
          <w:p w:rsidR="00D97F81" w:rsidRPr="00610AC3" w:rsidRDefault="00D97F81" w:rsidP="00610AC3">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t>Question about use of medication</w:t>
            </w:r>
          </w:p>
        </w:tc>
        <w:tc>
          <w:tcPr>
            <w:tcW w:w="0" w:type="auto"/>
            <w:shd w:val="clear" w:color="auto" w:fill="auto"/>
          </w:tcPr>
          <w:p w:rsidR="00D97F81" w:rsidRDefault="00D97F81" w:rsidP="00D97F81">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t>"</w:t>
            </w:r>
            <w:r w:rsidRPr="00610AC3">
              <w:rPr>
                <w:rFonts w:ascii="Arial" w:eastAsia="Times New Roman" w:hAnsi="Arial" w:cs="Arial"/>
                <w:i/>
                <w:color w:val="000000"/>
                <w:lang w:eastAsia="en-GB"/>
              </w:rPr>
              <w:t>Are you taking your medications as prescribed?</w:t>
            </w:r>
            <w:r>
              <w:rPr>
                <w:rFonts w:ascii="Arial" w:eastAsia="Times New Roman" w:hAnsi="Arial" w:cs="Arial"/>
                <w:color w:val="000000"/>
                <w:lang w:eastAsia="en-GB"/>
              </w:rPr>
              <w:t>”</w:t>
            </w:r>
          </w:p>
          <w:p w:rsidR="00D97F81" w:rsidRPr="00610AC3" w:rsidRDefault="00D97F81" w:rsidP="00D97F81">
            <w:pPr>
              <w:spacing w:line="360" w:lineRule="auto"/>
              <w:rPr>
                <w:rFonts w:ascii="Arial" w:hAnsi="Arial" w:cs="Arial"/>
              </w:rPr>
            </w:pPr>
            <w:r w:rsidRPr="00D97F81">
              <w:rPr>
                <w:rFonts w:ascii="Arial" w:eastAsia="Times New Roman" w:hAnsi="Arial" w:cs="Arial"/>
                <w:color w:val="000000"/>
                <w:lang w:eastAsia="en-GB"/>
              </w:rPr>
              <w:t>Adherence</w:t>
            </w:r>
            <w:r>
              <w:rPr>
                <w:rFonts w:ascii="Arial" w:eastAsia="Times New Roman" w:hAnsi="Arial" w:cs="Arial"/>
                <w:color w:val="000000"/>
                <w:lang w:eastAsia="en-GB"/>
              </w:rPr>
              <w:t xml:space="preserve"> </w:t>
            </w:r>
            <w:r w:rsidRPr="00D97F81">
              <w:rPr>
                <w:rFonts w:ascii="Arial" w:eastAsia="Times New Roman" w:hAnsi="Arial" w:cs="Arial"/>
                <w:color w:val="000000"/>
                <w:lang w:eastAsia="en-GB"/>
              </w:rPr>
              <w:t>scores represent the proportion of medications for which the responses</w:t>
            </w:r>
            <w:r>
              <w:rPr>
                <w:rFonts w:ascii="Arial" w:eastAsia="Times New Roman" w:hAnsi="Arial" w:cs="Arial"/>
                <w:color w:val="000000"/>
                <w:lang w:eastAsia="en-GB"/>
              </w:rPr>
              <w:t xml:space="preserve"> </w:t>
            </w:r>
            <w:r w:rsidRPr="00D97F81">
              <w:rPr>
                <w:rFonts w:ascii="Arial" w:eastAsia="Times New Roman" w:hAnsi="Arial" w:cs="Arial"/>
                <w:color w:val="000000"/>
                <w:lang w:eastAsia="en-GB"/>
              </w:rPr>
              <w:t>agreed with the directions for use on the VA Pharmacy</w:t>
            </w:r>
            <w:r>
              <w:rPr>
                <w:rFonts w:ascii="Arial" w:eastAsia="Times New Roman" w:hAnsi="Arial" w:cs="Arial"/>
                <w:color w:val="000000"/>
                <w:lang w:eastAsia="en-GB"/>
              </w:rPr>
              <w:t xml:space="preserve"> </w:t>
            </w:r>
            <w:r w:rsidRPr="00D97F81">
              <w:rPr>
                <w:rFonts w:ascii="Arial" w:eastAsia="Times New Roman" w:hAnsi="Arial" w:cs="Arial"/>
                <w:color w:val="000000"/>
                <w:lang w:eastAsia="en-GB"/>
              </w:rPr>
              <w:lastRenderedPageBreak/>
              <w:t>medication profile.</w:t>
            </w:r>
          </w:p>
        </w:tc>
        <w:tc>
          <w:tcPr>
            <w:tcW w:w="0" w:type="auto"/>
          </w:tcPr>
          <w:p w:rsidR="00D97F81" w:rsidRPr="00610AC3" w:rsidRDefault="00D97F81" w:rsidP="0032725E">
            <w:pPr>
              <w:spacing w:line="360" w:lineRule="auto"/>
              <w:rPr>
                <w:rFonts w:ascii="Arial" w:eastAsia="Times New Roman" w:hAnsi="Arial" w:cs="Arial"/>
                <w:color w:val="000000"/>
                <w:lang w:eastAsia="en-GB"/>
              </w:rPr>
            </w:pPr>
            <w:r>
              <w:rPr>
                <w:rFonts w:ascii="Arial" w:eastAsia="Times New Roman" w:hAnsi="Arial" w:cs="Arial"/>
                <w:color w:val="000000"/>
                <w:lang w:eastAsia="en-GB"/>
              </w:rPr>
              <w:lastRenderedPageBreak/>
              <w:t>Unclear</w:t>
            </w:r>
          </w:p>
        </w:tc>
        <w:tc>
          <w:tcPr>
            <w:tcW w:w="0" w:type="auto"/>
          </w:tcPr>
          <w:p w:rsidR="00D97F81" w:rsidRPr="00610AC3" w:rsidRDefault="00D97F81" w:rsidP="0032725E">
            <w:pPr>
              <w:spacing w:line="360" w:lineRule="auto"/>
              <w:rPr>
                <w:rFonts w:ascii="Arial" w:eastAsia="Times New Roman" w:hAnsi="Arial" w:cs="Arial"/>
                <w:color w:val="000000"/>
                <w:lang w:eastAsia="en-GB"/>
              </w:rPr>
            </w:pPr>
            <w:r w:rsidRPr="00D97F81">
              <w:rPr>
                <w:rFonts w:ascii="Arial" w:eastAsia="Times New Roman" w:hAnsi="Arial" w:cs="Arial"/>
                <w:color w:val="000000"/>
                <w:lang w:eastAsia="en-GB"/>
              </w:rPr>
              <w:t>Unclear</w:t>
            </w:r>
          </w:p>
        </w:tc>
        <w:tc>
          <w:tcPr>
            <w:tcW w:w="0" w:type="auto"/>
            <w:shd w:val="clear" w:color="auto" w:fill="auto"/>
          </w:tcPr>
          <w:p w:rsidR="00D97F81" w:rsidRPr="00610AC3" w:rsidRDefault="00D97F81" w:rsidP="00B72F1D">
            <w:pPr>
              <w:spacing w:line="360" w:lineRule="auto"/>
              <w:rPr>
                <w:rFonts w:ascii="Arial" w:hAnsi="Arial" w:cs="Arial"/>
              </w:rPr>
            </w:pPr>
            <w:r w:rsidRPr="00610AC3">
              <w:rPr>
                <w:rFonts w:ascii="Arial" w:eastAsia="Times New Roman" w:hAnsi="Arial" w:cs="Arial"/>
                <w:color w:val="000000"/>
                <w:lang w:eastAsia="en-GB"/>
              </w:rPr>
              <w:t xml:space="preserve">Wakefield et al </w:t>
            </w:r>
            <w:r w:rsidRPr="00610AC3">
              <w:rPr>
                <w:rFonts w:ascii="Arial" w:eastAsia="Times New Roman" w:hAnsi="Arial" w:cs="Arial"/>
                <w:noProof/>
                <w:color w:val="000000"/>
                <w:lang w:eastAsia="en-GB"/>
              </w:rPr>
              <w:t>[</w:t>
            </w:r>
            <w:r w:rsidR="00B72F1D">
              <w:rPr>
                <w:rFonts w:ascii="Arial" w:eastAsia="Times New Roman" w:hAnsi="Arial" w:cs="Arial"/>
                <w:noProof/>
                <w:color w:val="000000"/>
                <w:lang w:eastAsia="en-GB"/>
              </w:rPr>
              <w:t>10</w:t>
            </w:r>
            <w:r w:rsidRPr="00610AC3">
              <w:rPr>
                <w:rFonts w:ascii="Arial" w:eastAsia="Times New Roman" w:hAnsi="Arial" w:cs="Arial"/>
                <w:noProof/>
                <w:color w:val="000000"/>
                <w:lang w:eastAsia="en-GB"/>
              </w:rPr>
              <w:t>, 1</w:t>
            </w:r>
            <w:r w:rsidR="00B72F1D">
              <w:rPr>
                <w:rFonts w:ascii="Arial" w:eastAsia="Times New Roman" w:hAnsi="Arial" w:cs="Arial"/>
                <w:noProof/>
                <w:color w:val="000000"/>
                <w:lang w:eastAsia="en-GB"/>
              </w:rPr>
              <w:t>1</w:t>
            </w:r>
            <w:r w:rsidRPr="00610AC3">
              <w:rPr>
                <w:rFonts w:ascii="Arial" w:eastAsia="Times New Roman" w:hAnsi="Arial" w:cs="Arial"/>
                <w:noProof/>
                <w:color w:val="000000"/>
                <w:lang w:eastAsia="en-GB"/>
              </w:rPr>
              <w:t>]</w:t>
            </w:r>
          </w:p>
        </w:tc>
      </w:tr>
      <w:tr w:rsidR="006B4E8B" w:rsidRPr="00610AC3" w:rsidTr="00642125">
        <w:tc>
          <w:tcPr>
            <w:tcW w:w="0" w:type="auto"/>
            <w:shd w:val="clear" w:color="auto" w:fill="auto"/>
          </w:tcPr>
          <w:p w:rsidR="00D97F81" w:rsidRPr="00610AC3" w:rsidRDefault="00D97F81" w:rsidP="00610AC3">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lastRenderedPageBreak/>
              <w:t>Daily diary</w:t>
            </w:r>
          </w:p>
        </w:tc>
        <w:tc>
          <w:tcPr>
            <w:tcW w:w="0" w:type="auto"/>
            <w:shd w:val="clear" w:color="auto" w:fill="auto"/>
          </w:tcPr>
          <w:p w:rsidR="00D97F81" w:rsidRPr="00610AC3" w:rsidRDefault="00D97F81" w:rsidP="00610AC3">
            <w:pPr>
              <w:spacing w:line="360" w:lineRule="auto"/>
              <w:rPr>
                <w:rFonts w:ascii="Arial" w:hAnsi="Arial" w:cs="Arial"/>
              </w:rPr>
            </w:pPr>
            <w:r w:rsidRPr="00610AC3">
              <w:rPr>
                <w:rFonts w:ascii="Arial" w:hAnsi="Arial" w:cs="Arial"/>
              </w:rPr>
              <w:t>Patients were requested to maintain a diary to note the deviations in physical activity, diet or drug per week which was quantified at the clinic visits.</w:t>
            </w:r>
          </w:p>
        </w:tc>
        <w:tc>
          <w:tcPr>
            <w:tcW w:w="0" w:type="auto"/>
          </w:tcPr>
          <w:p w:rsidR="00D97F81" w:rsidRDefault="00D97F81">
            <w:r w:rsidRPr="00506DCB">
              <w:rPr>
                <w:rFonts w:ascii="Arial" w:eastAsia="Times New Roman" w:hAnsi="Arial" w:cs="Arial"/>
                <w:color w:val="000000"/>
                <w:lang w:eastAsia="en-GB"/>
              </w:rPr>
              <w:t>Unclear</w:t>
            </w:r>
          </w:p>
        </w:tc>
        <w:tc>
          <w:tcPr>
            <w:tcW w:w="0" w:type="auto"/>
          </w:tcPr>
          <w:p w:rsidR="00D97F81" w:rsidRDefault="00D97F81">
            <w:r w:rsidRPr="00506DCB">
              <w:rPr>
                <w:rFonts w:ascii="Arial" w:eastAsia="Times New Roman" w:hAnsi="Arial" w:cs="Arial"/>
                <w:color w:val="000000"/>
                <w:lang w:eastAsia="en-GB"/>
              </w:rPr>
              <w:t>Unclear</w:t>
            </w:r>
          </w:p>
        </w:tc>
        <w:tc>
          <w:tcPr>
            <w:tcW w:w="0" w:type="auto"/>
            <w:shd w:val="clear" w:color="auto" w:fill="auto"/>
          </w:tcPr>
          <w:p w:rsidR="00D97F81" w:rsidRPr="00610AC3" w:rsidRDefault="00D97F81" w:rsidP="00B72F1D">
            <w:pPr>
              <w:spacing w:line="360" w:lineRule="auto"/>
              <w:rPr>
                <w:rFonts w:ascii="Arial" w:hAnsi="Arial" w:cs="Arial"/>
              </w:rPr>
            </w:pPr>
            <w:r w:rsidRPr="00610AC3">
              <w:rPr>
                <w:rFonts w:ascii="Arial" w:eastAsia="Times New Roman" w:hAnsi="Arial" w:cs="Arial"/>
                <w:bCs/>
                <w:color w:val="000000"/>
                <w:lang w:eastAsia="en-GB"/>
              </w:rPr>
              <w:t xml:space="preserve">Shetty et al </w:t>
            </w:r>
            <w:r w:rsidRPr="00610AC3">
              <w:rPr>
                <w:rFonts w:ascii="Arial" w:eastAsia="Times New Roman" w:hAnsi="Arial" w:cs="Arial"/>
                <w:bCs/>
                <w:noProof/>
                <w:color w:val="000000"/>
                <w:lang w:eastAsia="en-GB"/>
              </w:rPr>
              <w:t>[1</w:t>
            </w:r>
            <w:r w:rsidR="00B72F1D">
              <w:rPr>
                <w:rFonts w:ascii="Arial" w:eastAsia="Times New Roman" w:hAnsi="Arial" w:cs="Arial"/>
                <w:bCs/>
                <w:noProof/>
                <w:color w:val="000000"/>
                <w:lang w:eastAsia="en-GB"/>
              </w:rPr>
              <w:t>5</w:t>
            </w:r>
            <w:r w:rsidRPr="00610AC3">
              <w:rPr>
                <w:rFonts w:ascii="Arial" w:eastAsia="Times New Roman" w:hAnsi="Arial" w:cs="Arial"/>
                <w:bCs/>
                <w:noProof/>
                <w:color w:val="000000"/>
                <w:lang w:eastAsia="en-GB"/>
              </w:rPr>
              <w:t>]</w:t>
            </w:r>
          </w:p>
        </w:tc>
      </w:tr>
      <w:tr w:rsidR="00455CBC" w:rsidRPr="00610AC3" w:rsidTr="00C02A7E">
        <w:tc>
          <w:tcPr>
            <w:tcW w:w="0" w:type="auto"/>
            <w:gridSpan w:val="5"/>
          </w:tcPr>
          <w:p w:rsidR="00455CBC" w:rsidRPr="00610AC3" w:rsidRDefault="00455CBC" w:rsidP="00610AC3">
            <w:pPr>
              <w:spacing w:line="360" w:lineRule="auto"/>
              <w:rPr>
                <w:rFonts w:ascii="Arial" w:hAnsi="Arial" w:cs="Arial"/>
              </w:rPr>
            </w:pPr>
            <w:r w:rsidRPr="00610AC3">
              <w:rPr>
                <w:rFonts w:ascii="Arial" w:hAnsi="Arial" w:cs="Arial"/>
                <w:b/>
              </w:rPr>
              <w:t>Based on electronic monitoring</w:t>
            </w:r>
          </w:p>
        </w:tc>
      </w:tr>
      <w:tr w:rsidR="006B4E8B" w:rsidRPr="00610AC3" w:rsidTr="00642125">
        <w:tc>
          <w:tcPr>
            <w:tcW w:w="0" w:type="auto"/>
            <w:shd w:val="clear" w:color="auto" w:fill="auto"/>
          </w:tcPr>
          <w:p w:rsidR="00464ECB" w:rsidRPr="00610AC3" w:rsidRDefault="00464ECB" w:rsidP="00610AC3">
            <w:pPr>
              <w:spacing w:line="360" w:lineRule="auto"/>
              <w:rPr>
                <w:rFonts w:ascii="Arial" w:eastAsia="Times New Roman" w:hAnsi="Arial" w:cs="Arial"/>
                <w:color w:val="000000"/>
                <w:lang w:eastAsia="en-GB"/>
              </w:rPr>
            </w:pPr>
            <w:r w:rsidRPr="00610AC3">
              <w:rPr>
                <w:rFonts w:ascii="Arial" w:eastAsia="Times New Roman" w:hAnsi="Arial" w:cs="Arial"/>
                <w:bCs/>
                <w:color w:val="000000"/>
                <w:lang w:eastAsia="en-GB"/>
              </w:rPr>
              <w:t>Electronic blister data</w:t>
            </w:r>
          </w:p>
        </w:tc>
        <w:tc>
          <w:tcPr>
            <w:tcW w:w="0" w:type="auto"/>
            <w:shd w:val="clear" w:color="auto" w:fill="auto"/>
          </w:tcPr>
          <w:p w:rsidR="00464ECB" w:rsidRPr="00610AC3" w:rsidRDefault="00464ECB" w:rsidP="000D394C">
            <w:pPr>
              <w:spacing w:line="360" w:lineRule="auto"/>
              <w:rPr>
                <w:rFonts w:ascii="Arial" w:hAnsi="Arial" w:cs="Arial"/>
              </w:rPr>
            </w:pPr>
            <w:r w:rsidRPr="00610AC3">
              <w:rPr>
                <w:rFonts w:ascii="Arial" w:hAnsi="Arial" w:cs="Arial"/>
              </w:rPr>
              <w:t xml:space="preserve">Electronic medication blisters were used as add-ons to standard medication blisters. Medication intake rate </w:t>
            </w:r>
            <w:r>
              <w:rPr>
                <w:rFonts w:ascii="Arial" w:hAnsi="Arial" w:cs="Arial"/>
              </w:rPr>
              <w:t>(</w:t>
            </w:r>
            <w:r w:rsidRPr="00610AC3">
              <w:rPr>
                <w:rFonts w:ascii="Arial" w:hAnsi="Arial" w:cs="Arial"/>
              </w:rPr>
              <w:t>doses taken divided by prescribed doses) was then measured.</w:t>
            </w:r>
          </w:p>
        </w:tc>
        <w:tc>
          <w:tcPr>
            <w:tcW w:w="0" w:type="auto"/>
            <w:vMerge w:val="restart"/>
          </w:tcPr>
          <w:p w:rsidR="00464ECB" w:rsidRPr="00610AC3" w:rsidRDefault="00511FD3" w:rsidP="0032725E">
            <w:pPr>
              <w:spacing w:line="36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Face validity: </w:t>
            </w:r>
            <w:r w:rsidR="00464ECB">
              <w:rPr>
                <w:rFonts w:ascii="Arial" w:eastAsia="Times New Roman" w:hAnsi="Arial" w:cs="Arial"/>
                <w:bCs/>
                <w:color w:val="000000"/>
                <w:lang w:eastAsia="en-GB"/>
              </w:rPr>
              <w:t>This method is based on the pill removal, but does not measure whether or not the participants actually take the medication.</w:t>
            </w:r>
          </w:p>
        </w:tc>
        <w:tc>
          <w:tcPr>
            <w:tcW w:w="0" w:type="auto"/>
            <w:vMerge w:val="restart"/>
          </w:tcPr>
          <w:p w:rsidR="00464ECB" w:rsidRPr="00610AC3" w:rsidRDefault="00464ECB" w:rsidP="0032725E">
            <w:pPr>
              <w:spacing w:line="360" w:lineRule="auto"/>
              <w:rPr>
                <w:rFonts w:ascii="Arial" w:eastAsia="Times New Roman" w:hAnsi="Arial" w:cs="Arial"/>
                <w:bCs/>
                <w:color w:val="000000"/>
                <w:lang w:eastAsia="en-GB"/>
              </w:rPr>
            </w:pPr>
            <w:r>
              <w:rPr>
                <w:rFonts w:ascii="Arial" w:eastAsia="Times New Roman" w:hAnsi="Arial" w:cs="Arial"/>
                <w:bCs/>
                <w:color w:val="000000"/>
                <w:lang w:eastAsia="en-GB"/>
              </w:rPr>
              <w:t>Highly reliable</w:t>
            </w:r>
          </w:p>
        </w:tc>
        <w:tc>
          <w:tcPr>
            <w:tcW w:w="0" w:type="auto"/>
            <w:shd w:val="clear" w:color="auto" w:fill="auto"/>
          </w:tcPr>
          <w:p w:rsidR="00464ECB" w:rsidRPr="00610AC3" w:rsidRDefault="00464ECB" w:rsidP="00B72F1D">
            <w:pPr>
              <w:spacing w:line="360" w:lineRule="auto"/>
              <w:rPr>
                <w:rFonts w:ascii="Arial" w:hAnsi="Arial" w:cs="Arial"/>
              </w:rPr>
            </w:pPr>
            <w:proofErr w:type="spellStart"/>
            <w:r w:rsidRPr="00610AC3">
              <w:rPr>
                <w:rFonts w:ascii="Arial" w:eastAsia="Times New Roman" w:hAnsi="Arial" w:cs="Arial"/>
                <w:bCs/>
                <w:color w:val="000000"/>
                <w:lang w:eastAsia="en-GB"/>
              </w:rPr>
              <w:t>Brath</w:t>
            </w:r>
            <w:proofErr w:type="spellEnd"/>
            <w:r w:rsidRPr="00610AC3">
              <w:rPr>
                <w:rFonts w:ascii="Arial" w:eastAsia="Times New Roman" w:hAnsi="Arial" w:cs="Arial"/>
                <w:bCs/>
                <w:color w:val="000000"/>
                <w:lang w:eastAsia="en-GB"/>
              </w:rPr>
              <w:t xml:space="preserve"> et al </w:t>
            </w:r>
            <w:r w:rsidRPr="00610AC3">
              <w:rPr>
                <w:rFonts w:ascii="Arial" w:eastAsia="Times New Roman" w:hAnsi="Arial" w:cs="Arial"/>
                <w:bCs/>
                <w:noProof/>
                <w:color w:val="000000"/>
                <w:lang w:eastAsia="en-GB"/>
              </w:rPr>
              <w:t>[1</w:t>
            </w:r>
            <w:r w:rsidR="00B72F1D">
              <w:rPr>
                <w:rFonts w:ascii="Arial" w:eastAsia="Times New Roman" w:hAnsi="Arial" w:cs="Arial"/>
                <w:bCs/>
                <w:noProof/>
                <w:color w:val="000000"/>
                <w:lang w:eastAsia="en-GB"/>
              </w:rPr>
              <w:t>6</w:t>
            </w:r>
            <w:r w:rsidRPr="00610AC3">
              <w:rPr>
                <w:rFonts w:ascii="Arial" w:eastAsia="Times New Roman" w:hAnsi="Arial" w:cs="Arial"/>
                <w:bCs/>
                <w:noProof/>
                <w:color w:val="000000"/>
                <w:lang w:eastAsia="en-GB"/>
              </w:rPr>
              <w:t>]</w:t>
            </w:r>
          </w:p>
        </w:tc>
      </w:tr>
      <w:tr w:rsidR="006B4E8B" w:rsidRPr="00610AC3" w:rsidTr="00642125">
        <w:tc>
          <w:tcPr>
            <w:tcW w:w="0" w:type="auto"/>
            <w:shd w:val="clear" w:color="auto" w:fill="auto"/>
          </w:tcPr>
          <w:p w:rsidR="00464ECB" w:rsidRPr="00610AC3" w:rsidRDefault="00464ECB" w:rsidP="00610AC3">
            <w:pPr>
              <w:spacing w:line="360" w:lineRule="auto"/>
              <w:rPr>
                <w:rFonts w:ascii="Arial" w:eastAsia="Times New Roman" w:hAnsi="Arial" w:cs="Arial"/>
                <w:bCs/>
                <w:color w:val="000000"/>
                <w:lang w:eastAsia="en-GB"/>
              </w:rPr>
            </w:pPr>
            <w:r w:rsidRPr="00610AC3">
              <w:rPr>
                <w:rFonts w:ascii="Arial" w:eastAsia="Times New Roman" w:hAnsi="Arial" w:cs="Arial"/>
                <w:bCs/>
                <w:color w:val="000000"/>
                <w:lang w:eastAsia="en-GB"/>
              </w:rPr>
              <w:t>Real Time Medication Monitoring</w:t>
            </w:r>
          </w:p>
        </w:tc>
        <w:tc>
          <w:tcPr>
            <w:tcW w:w="0" w:type="auto"/>
            <w:shd w:val="clear" w:color="auto" w:fill="auto"/>
          </w:tcPr>
          <w:p w:rsidR="00464ECB" w:rsidRPr="00610AC3" w:rsidRDefault="00464ECB" w:rsidP="00610AC3">
            <w:pPr>
              <w:spacing w:line="360" w:lineRule="auto"/>
              <w:rPr>
                <w:rFonts w:ascii="Arial" w:hAnsi="Arial" w:cs="Arial"/>
              </w:rPr>
            </w:pPr>
            <w:r w:rsidRPr="00610AC3">
              <w:rPr>
                <w:rFonts w:ascii="Arial" w:hAnsi="Arial" w:cs="Arial"/>
              </w:rPr>
              <w:t>Based on an electronic medication dispenser which monitors patients’ medication use, registering this data in real time at a central server. The following measures were used: a) doses taken divided by prescribed doses; b) doses taken within correct time interval divided by number of prescribed doses.</w:t>
            </w:r>
          </w:p>
        </w:tc>
        <w:tc>
          <w:tcPr>
            <w:tcW w:w="0" w:type="auto"/>
            <w:vMerge/>
          </w:tcPr>
          <w:p w:rsidR="00464ECB" w:rsidRPr="00610AC3" w:rsidRDefault="00464ECB" w:rsidP="0032725E">
            <w:pPr>
              <w:spacing w:line="360" w:lineRule="auto"/>
              <w:rPr>
                <w:rFonts w:ascii="Arial" w:eastAsia="Times New Roman" w:hAnsi="Arial" w:cs="Arial"/>
                <w:bCs/>
                <w:color w:val="000000"/>
                <w:lang w:eastAsia="en-GB"/>
              </w:rPr>
            </w:pPr>
          </w:p>
        </w:tc>
        <w:tc>
          <w:tcPr>
            <w:tcW w:w="0" w:type="auto"/>
            <w:vMerge/>
          </w:tcPr>
          <w:p w:rsidR="00464ECB" w:rsidRPr="00610AC3" w:rsidRDefault="00464ECB" w:rsidP="0032725E">
            <w:pPr>
              <w:spacing w:line="360" w:lineRule="auto"/>
              <w:rPr>
                <w:rFonts w:ascii="Arial" w:eastAsia="Times New Roman" w:hAnsi="Arial" w:cs="Arial"/>
                <w:bCs/>
                <w:color w:val="000000"/>
                <w:lang w:eastAsia="en-GB"/>
              </w:rPr>
            </w:pPr>
          </w:p>
        </w:tc>
        <w:tc>
          <w:tcPr>
            <w:tcW w:w="0" w:type="auto"/>
            <w:shd w:val="clear" w:color="auto" w:fill="auto"/>
          </w:tcPr>
          <w:p w:rsidR="00464ECB" w:rsidRPr="00610AC3" w:rsidRDefault="00464ECB" w:rsidP="00B72F1D">
            <w:pPr>
              <w:spacing w:line="360" w:lineRule="auto"/>
              <w:rPr>
                <w:rFonts w:ascii="Arial" w:eastAsia="Times New Roman" w:hAnsi="Arial" w:cs="Arial"/>
                <w:bCs/>
                <w:color w:val="000000"/>
                <w:lang w:eastAsia="en-GB"/>
              </w:rPr>
            </w:pPr>
            <w:proofErr w:type="spellStart"/>
            <w:r w:rsidRPr="00610AC3">
              <w:rPr>
                <w:rFonts w:ascii="Arial" w:eastAsia="Times New Roman" w:hAnsi="Arial" w:cs="Arial"/>
                <w:bCs/>
                <w:color w:val="000000"/>
                <w:lang w:eastAsia="en-GB"/>
              </w:rPr>
              <w:t>Vervloet</w:t>
            </w:r>
            <w:proofErr w:type="spellEnd"/>
            <w:r w:rsidRPr="00610AC3">
              <w:rPr>
                <w:rFonts w:ascii="Arial" w:eastAsia="Times New Roman" w:hAnsi="Arial" w:cs="Arial"/>
                <w:bCs/>
                <w:color w:val="000000"/>
                <w:lang w:eastAsia="en-GB"/>
              </w:rPr>
              <w:t xml:space="preserve"> et al </w:t>
            </w:r>
            <w:r w:rsidRPr="00610AC3">
              <w:rPr>
                <w:rFonts w:ascii="Arial" w:eastAsia="Times New Roman" w:hAnsi="Arial" w:cs="Arial"/>
                <w:bCs/>
                <w:noProof/>
                <w:color w:val="000000"/>
                <w:lang w:eastAsia="en-GB"/>
              </w:rPr>
              <w:t>[1</w:t>
            </w:r>
            <w:r w:rsidR="00B72F1D">
              <w:rPr>
                <w:rFonts w:ascii="Arial" w:eastAsia="Times New Roman" w:hAnsi="Arial" w:cs="Arial"/>
                <w:bCs/>
                <w:noProof/>
                <w:color w:val="000000"/>
                <w:lang w:eastAsia="en-GB"/>
              </w:rPr>
              <w:t>7</w:t>
            </w:r>
            <w:r w:rsidRPr="00610AC3">
              <w:rPr>
                <w:rFonts w:ascii="Arial" w:eastAsia="Times New Roman" w:hAnsi="Arial" w:cs="Arial"/>
                <w:bCs/>
                <w:noProof/>
                <w:color w:val="000000"/>
                <w:lang w:eastAsia="en-GB"/>
              </w:rPr>
              <w:t>-</w:t>
            </w:r>
            <w:r w:rsidR="00B72F1D">
              <w:rPr>
                <w:rFonts w:ascii="Arial" w:eastAsia="Times New Roman" w:hAnsi="Arial" w:cs="Arial"/>
                <w:bCs/>
                <w:noProof/>
                <w:color w:val="000000"/>
                <w:lang w:eastAsia="en-GB"/>
              </w:rPr>
              <w:t>20</w:t>
            </w:r>
            <w:r w:rsidRPr="00610AC3">
              <w:rPr>
                <w:rFonts w:ascii="Arial" w:eastAsia="Times New Roman" w:hAnsi="Arial" w:cs="Arial"/>
                <w:bCs/>
                <w:noProof/>
                <w:color w:val="000000"/>
                <w:lang w:eastAsia="en-GB"/>
              </w:rPr>
              <w:t>]</w:t>
            </w:r>
          </w:p>
        </w:tc>
      </w:tr>
      <w:tr w:rsidR="006B4E8B" w:rsidRPr="00610AC3" w:rsidTr="00642125">
        <w:tc>
          <w:tcPr>
            <w:tcW w:w="0" w:type="auto"/>
            <w:shd w:val="clear" w:color="auto" w:fill="auto"/>
          </w:tcPr>
          <w:p w:rsidR="00464ECB" w:rsidRPr="00610AC3" w:rsidRDefault="00464ECB" w:rsidP="00610AC3">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t>Medication Event Monitoring System [MEMs] caps</w:t>
            </w:r>
          </w:p>
        </w:tc>
        <w:tc>
          <w:tcPr>
            <w:tcW w:w="0" w:type="auto"/>
            <w:shd w:val="clear" w:color="auto" w:fill="auto"/>
          </w:tcPr>
          <w:p w:rsidR="00464ECB" w:rsidRPr="00610AC3" w:rsidRDefault="00464ECB" w:rsidP="00610AC3">
            <w:pPr>
              <w:spacing w:line="360" w:lineRule="auto"/>
              <w:rPr>
                <w:rFonts w:ascii="Arial" w:hAnsi="Arial" w:cs="Arial"/>
              </w:rPr>
            </w:pPr>
            <w:r w:rsidRPr="00610AC3">
              <w:rPr>
                <w:rFonts w:ascii="Arial" w:hAnsi="Arial" w:cs="Arial"/>
              </w:rPr>
              <w:t xml:space="preserve">System in which microelectronic monitors on pill bottles provide the precise date and time of container opening. Adherence was defined as the percentage of prescribed doses taken, which was calculated as the number of doses taken divided </w:t>
            </w:r>
            <w:r w:rsidRPr="00610AC3">
              <w:rPr>
                <w:rFonts w:ascii="Arial" w:hAnsi="Arial" w:cs="Arial"/>
              </w:rPr>
              <w:lastRenderedPageBreak/>
              <w:t>by the number of doses prescribed during the observation period. Adherence was dichotomized at a threshold of 80%.</w:t>
            </w:r>
          </w:p>
        </w:tc>
        <w:tc>
          <w:tcPr>
            <w:tcW w:w="0" w:type="auto"/>
            <w:vMerge/>
          </w:tcPr>
          <w:p w:rsidR="00464ECB" w:rsidRPr="00610AC3" w:rsidRDefault="00464ECB" w:rsidP="0032725E">
            <w:pPr>
              <w:spacing w:line="360" w:lineRule="auto"/>
              <w:rPr>
                <w:rFonts w:ascii="Arial" w:eastAsia="Times New Roman" w:hAnsi="Arial" w:cs="Arial"/>
                <w:bCs/>
                <w:color w:val="000000"/>
                <w:lang w:eastAsia="en-GB"/>
              </w:rPr>
            </w:pPr>
          </w:p>
        </w:tc>
        <w:tc>
          <w:tcPr>
            <w:tcW w:w="0" w:type="auto"/>
            <w:vMerge/>
          </w:tcPr>
          <w:p w:rsidR="00464ECB" w:rsidRPr="00610AC3" w:rsidRDefault="00464ECB" w:rsidP="0032725E">
            <w:pPr>
              <w:spacing w:line="360" w:lineRule="auto"/>
              <w:rPr>
                <w:rFonts w:ascii="Arial" w:eastAsia="Times New Roman" w:hAnsi="Arial" w:cs="Arial"/>
                <w:bCs/>
                <w:color w:val="000000"/>
                <w:lang w:eastAsia="en-GB"/>
              </w:rPr>
            </w:pPr>
          </w:p>
        </w:tc>
        <w:tc>
          <w:tcPr>
            <w:tcW w:w="0" w:type="auto"/>
            <w:shd w:val="clear" w:color="auto" w:fill="auto"/>
          </w:tcPr>
          <w:p w:rsidR="00464ECB" w:rsidRPr="00610AC3" w:rsidRDefault="00464ECB" w:rsidP="00B72F1D">
            <w:pPr>
              <w:spacing w:line="360" w:lineRule="auto"/>
              <w:rPr>
                <w:rFonts w:ascii="Arial" w:hAnsi="Arial" w:cs="Arial"/>
              </w:rPr>
            </w:pPr>
            <w:proofErr w:type="spellStart"/>
            <w:r w:rsidRPr="00610AC3">
              <w:rPr>
                <w:rFonts w:ascii="Arial" w:eastAsia="Times New Roman" w:hAnsi="Arial" w:cs="Arial"/>
                <w:bCs/>
                <w:color w:val="000000"/>
                <w:lang w:eastAsia="en-GB"/>
              </w:rPr>
              <w:t>Bogner</w:t>
            </w:r>
            <w:proofErr w:type="spellEnd"/>
            <w:r w:rsidRPr="00610AC3">
              <w:rPr>
                <w:rFonts w:ascii="Arial" w:eastAsia="Times New Roman" w:hAnsi="Arial" w:cs="Arial"/>
                <w:bCs/>
                <w:color w:val="000000"/>
                <w:lang w:eastAsia="en-GB"/>
              </w:rPr>
              <w:t xml:space="preserve"> et al </w:t>
            </w:r>
            <w:r w:rsidRPr="00610AC3">
              <w:rPr>
                <w:rFonts w:ascii="Arial" w:eastAsia="Times New Roman" w:hAnsi="Arial" w:cs="Arial"/>
                <w:bCs/>
                <w:noProof/>
                <w:color w:val="000000"/>
                <w:lang w:eastAsia="en-GB"/>
              </w:rPr>
              <w:t>[2</w:t>
            </w:r>
            <w:r w:rsidR="00B72F1D">
              <w:rPr>
                <w:rFonts w:ascii="Arial" w:eastAsia="Times New Roman" w:hAnsi="Arial" w:cs="Arial"/>
                <w:bCs/>
                <w:noProof/>
                <w:color w:val="000000"/>
                <w:lang w:eastAsia="en-GB"/>
              </w:rPr>
              <w:t>1</w:t>
            </w:r>
            <w:r w:rsidRPr="00610AC3">
              <w:rPr>
                <w:rFonts w:ascii="Arial" w:eastAsia="Times New Roman" w:hAnsi="Arial" w:cs="Arial"/>
                <w:bCs/>
                <w:noProof/>
                <w:color w:val="000000"/>
                <w:lang w:eastAsia="en-GB"/>
              </w:rPr>
              <w:t>]</w:t>
            </w:r>
          </w:p>
        </w:tc>
      </w:tr>
      <w:tr w:rsidR="00455CBC" w:rsidRPr="00610AC3" w:rsidTr="006E6E98">
        <w:tc>
          <w:tcPr>
            <w:tcW w:w="0" w:type="auto"/>
            <w:gridSpan w:val="5"/>
          </w:tcPr>
          <w:p w:rsidR="00455CBC" w:rsidRPr="00610AC3" w:rsidRDefault="00455CBC" w:rsidP="00610AC3">
            <w:pPr>
              <w:spacing w:line="360" w:lineRule="auto"/>
              <w:rPr>
                <w:rFonts w:ascii="Arial" w:hAnsi="Arial" w:cs="Arial"/>
              </w:rPr>
            </w:pPr>
            <w:r w:rsidRPr="00610AC3">
              <w:rPr>
                <w:rFonts w:ascii="Arial" w:hAnsi="Arial" w:cs="Arial"/>
                <w:b/>
              </w:rPr>
              <w:lastRenderedPageBreak/>
              <w:t>Based on pharmacy data</w:t>
            </w:r>
          </w:p>
        </w:tc>
      </w:tr>
      <w:tr w:rsidR="00D67ABF" w:rsidRPr="00610AC3" w:rsidTr="00642125">
        <w:tc>
          <w:tcPr>
            <w:tcW w:w="0" w:type="auto"/>
            <w:shd w:val="clear" w:color="auto" w:fill="auto"/>
          </w:tcPr>
          <w:p w:rsidR="00D67ABF" w:rsidRPr="00610AC3" w:rsidRDefault="00D67ABF" w:rsidP="00610AC3">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t>Pharmacy refill data</w:t>
            </w:r>
          </w:p>
        </w:tc>
        <w:tc>
          <w:tcPr>
            <w:tcW w:w="0" w:type="auto"/>
            <w:shd w:val="clear" w:color="auto" w:fill="auto"/>
          </w:tcPr>
          <w:p w:rsidR="00D67ABF" w:rsidRPr="00610AC3" w:rsidRDefault="00D67ABF" w:rsidP="00610AC3">
            <w:pPr>
              <w:spacing w:line="360" w:lineRule="auto"/>
              <w:rPr>
                <w:rFonts w:ascii="Arial" w:hAnsi="Arial" w:cs="Arial"/>
              </w:rPr>
            </w:pPr>
            <w:r w:rsidRPr="00610AC3">
              <w:rPr>
                <w:rFonts w:ascii="Arial" w:hAnsi="Arial" w:cs="Arial"/>
              </w:rPr>
              <w:t>Number of days dispensed divided by days on study period.</w:t>
            </w:r>
          </w:p>
        </w:tc>
        <w:tc>
          <w:tcPr>
            <w:tcW w:w="0" w:type="auto"/>
            <w:vMerge w:val="restart"/>
          </w:tcPr>
          <w:p w:rsidR="00511FD3" w:rsidRDefault="00511FD3" w:rsidP="00025831">
            <w:pPr>
              <w:spacing w:line="360" w:lineRule="auto"/>
              <w:rPr>
                <w:rFonts w:ascii="Arial" w:eastAsia="Times New Roman" w:hAnsi="Arial" w:cs="Arial"/>
                <w:bCs/>
                <w:color w:val="000000"/>
                <w:lang w:eastAsia="en-GB"/>
              </w:rPr>
            </w:pPr>
            <w:r w:rsidRPr="00511FD3">
              <w:rPr>
                <w:rFonts w:ascii="Arial" w:eastAsia="Times New Roman" w:hAnsi="Arial" w:cs="Arial"/>
                <w:bCs/>
                <w:color w:val="000000"/>
                <w:lang w:eastAsia="en-GB"/>
              </w:rPr>
              <w:t xml:space="preserve">Face validity: This method is based on </w:t>
            </w:r>
            <w:r>
              <w:rPr>
                <w:rFonts w:ascii="Arial" w:eastAsia="Times New Roman" w:hAnsi="Arial" w:cs="Arial"/>
                <w:bCs/>
                <w:color w:val="000000"/>
                <w:lang w:eastAsia="en-GB"/>
              </w:rPr>
              <w:t>refilling medication</w:t>
            </w:r>
            <w:r w:rsidRPr="00511FD3">
              <w:rPr>
                <w:rFonts w:ascii="Arial" w:eastAsia="Times New Roman" w:hAnsi="Arial" w:cs="Arial"/>
                <w:bCs/>
                <w:color w:val="000000"/>
                <w:lang w:eastAsia="en-GB"/>
              </w:rPr>
              <w:t>, but does not measure whether or not the participants actually take the medication.</w:t>
            </w:r>
          </w:p>
          <w:p w:rsidR="00D67ABF" w:rsidRDefault="00D67ABF" w:rsidP="00025831">
            <w:pPr>
              <w:spacing w:line="360" w:lineRule="auto"/>
              <w:rPr>
                <w:rFonts w:ascii="Arial" w:eastAsia="Times New Roman" w:hAnsi="Arial" w:cs="Arial"/>
                <w:bCs/>
                <w:color w:val="000000"/>
                <w:lang w:eastAsia="en-GB"/>
              </w:rPr>
            </w:pPr>
            <w:r w:rsidRPr="005F75A4">
              <w:rPr>
                <w:rFonts w:ascii="Arial" w:eastAsia="Times New Roman" w:hAnsi="Arial" w:cs="Arial"/>
                <w:bCs/>
                <w:color w:val="000000"/>
                <w:lang w:eastAsia="en-GB"/>
              </w:rPr>
              <w:t>Concurrent validity</w:t>
            </w:r>
            <w:r w:rsidR="006B4E8B">
              <w:rPr>
                <w:rFonts w:ascii="Arial" w:eastAsia="Times New Roman" w:hAnsi="Arial" w:cs="Arial"/>
                <w:bCs/>
                <w:color w:val="000000"/>
                <w:lang w:eastAsia="en-GB"/>
              </w:rPr>
              <w:t xml:space="preserve"> [Adapted from </w:t>
            </w:r>
            <w:r w:rsidR="006B4E8B" w:rsidRPr="006B4E8B">
              <w:rPr>
                <w:rFonts w:ascii="Arial" w:eastAsia="Times New Roman" w:hAnsi="Arial" w:cs="Arial"/>
                <w:bCs/>
                <w:color w:val="000000"/>
                <w:lang w:eastAsia="en-GB"/>
              </w:rPr>
              <w:t xml:space="preserve">Steiner </w:t>
            </w:r>
            <w:r w:rsidR="006B4E8B">
              <w:rPr>
                <w:rFonts w:ascii="Arial" w:eastAsia="Times New Roman" w:hAnsi="Arial" w:cs="Arial"/>
                <w:bCs/>
                <w:color w:val="000000"/>
                <w:lang w:eastAsia="en-GB"/>
              </w:rPr>
              <w:t xml:space="preserve">et al </w:t>
            </w:r>
            <w:r w:rsidR="00B72F1D">
              <w:rPr>
                <w:rFonts w:ascii="Arial" w:eastAsia="Times New Roman" w:hAnsi="Arial" w:cs="Arial"/>
                <w:bCs/>
                <w:color w:val="000000"/>
                <w:lang w:eastAsia="en-GB"/>
              </w:rPr>
              <w:t>[22]</w:t>
            </w:r>
            <w:r w:rsidR="006B4E8B">
              <w:rPr>
                <w:rFonts w:ascii="Arial" w:eastAsia="Times New Roman" w:hAnsi="Arial" w:cs="Arial"/>
                <w:bCs/>
                <w:color w:val="000000"/>
                <w:lang w:eastAsia="en-GB"/>
              </w:rPr>
              <w:t>]</w:t>
            </w:r>
            <w:r w:rsidRPr="005F75A4">
              <w:rPr>
                <w:rFonts w:ascii="Arial" w:eastAsia="Times New Roman" w:hAnsi="Arial" w:cs="Arial"/>
                <w:bCs/>
                <w:color w:val="000000"/>
                <w:lang w:eastAsia="en-GB"/>
              </w:rPr>
              <w:t>:</w:t>
            </w:r>
          </w:p>
          <w:p w:rsidR="00D67ABF" w:rsidRPr="005F75A4" w:rsidRDefault="00D67ABF" w:rsidP="005F75A4">
            <w:pPr>
              <w:pStyle w:val="ListParagraph"/>
              <w:numPr>
                <w:ilvl w:val="0"/>
                <w:numId w:val="6"/>
              </w:numPr>
              <w:spacing w:line="360" w:lineRule="auto"/>
              <w:ind w:left="170" w:hanging="179"/>
              <w:rPr>
                <w:rFonts w:ascii="Arial" w:eastAsia="Times New Roman" w:hAnsi="Arial" w:cs="Arial"/>
                <w:bCs/>
                <w:color w:val="000000"/>
                <w:lang w:eastAsia="en-GB"/>
              </w:rPr>
            </w:pPr>
            <w:r w:rsidRPr="005F75A4">
              <w:rPr>
                <w:rFonts w:ascii="Arial" w:eastAsia="Times New Roman" w:hAnsi="Arial" w:cs="Arial"/>
                <w:bCs/>
                <w:color w:val="000000"/>
                <w:lang w:eastAsia="en-GB"/>
              </w:rPr>
              <w:t>Refill compliance correlate</w:t>
            </w:r>
            <w:r w:rsidRPr="005F75A4">
              <w:rPr>
                <w:rFonts w:ascii="Arial" w:eastAsia="Times New Roman" w:hAnsi="Arial" w:cs="Arial"/>
                <w:bCs/>
                <w:color w:val="000000"/>
                <w:lang w:eastAsia="en-GB"/>
              </w:rPr>
              <w:t xml:space="preserve"> significantly with other compliance </w:t>
            </w:r>
            <w:r w:rsidRPr="005F75A4">
              <w:rPr>
                <w:rFonts w:ascii="Arial" w:eastAsia="Times New Roman" w:hAnsi="Arial" w:cs="Arial"/>
                <w:bCs/>
                <w:color w:val="000000"/>
                <w:lang w:eastAsia="en-GB"/>
              </w:rPr>
              <w:t>behaviours</w:t>
            </w:r>
            <w:r w:rsidRPr="005F75A4">
              <w:rPr>
                <w:rFonts w:ascii="Arial" w:eastAsia="Times New Roman" w:hAnsi="Arial" w:cs="Arial"/>
                <w:bCs/>
                <w:color w:val="000000"/>
                <w:lang w:eastAsia="en-GB"/>
              </w:rPr>
              <w:t xml:space="preserve"> (such as appointment-keeping or medication</w:t>
            </w:r>
            <w:r w:rsidRPr="005F75A4">
              <w:rPr>
                <w:rFonts w:ascii="Arial" w:eastAsia="Times New Roman" w:hAnsi="Arial" w:cs="Arial"/>
                <w:bCs/>
                <w:color w:val="000000"/>
                <w:lang w:eastAsia="en-GB"/>
              </w:rPr>
              <w:t xml:space="preserve"> </w:t>
            </w:r>
            <w:r w:rsidRPr="005F75A4">
              <w:rPr>
                <w:rFonts w:ascii="Arial" w:eastAsia="Times New Roman" w:hAnsi="Arial" w:cs="Arial"/>
                <w:bCs/>
                <w:color w:val="000000"/>
                <w:lang w:eastAsia="en-GB"/>
              </w:rPr>
              <w:t>consumption) in most studies.</w:t>
            </w:r>
          </w:p>
          <w:p w:rsidR="00D67ABF" w:rsidRDefault="00D67ABF" w:rsidP="005F75A4">
            <w:pPr>
              <w:pStyle w:val="ListParagraph"/>
              <w:numPr>
                <w:ilvl w:val="0"/>
                <w:numId w:val="6"/>
              </w:numPr>
              <w:spacing w:line="360" w:lineRule="auto"/>
              <w:ind w:left="170" w:hanging="179"/>
              <w:rPr>
                <w:rFonts w:ascii="Arial" w:eastAsia="Times New Roman" w:hAnsi="Arial" w:cs="Arial"/>
                <w:bCs/>
                <w:color w:val="000000"/>
                <w:lang w:eastAsia="en-GB"/>
              </w:rPr>
            </w:pPr>
            <w:r w:rsidRPr="005F75A4">
              <w:rPr>
                <w:rFonts w:ascii="Arial" w:eastAsia="Times New Roman" w:hAnsi="Arial" w:cs="Arial"/>
                <w:bCs/>
                <w:color w:val="000000"/>
                <w:lang w:eastAsia="en-GB"/>
              </w:rPr>
              <w:t>S</w:t>
            </w:r>
            <w:r w:rsidRPr="005F75A4">
              <w:rPr>
                <w:rFonts w:ascii="Arial" w:eastAsia="Times New Roman" w:hAnsi="Arial" w:cs="Arial"/>
                <w:bCs/>
                <w:color w:val="000000"/>
                <w:lang w:eastAsia="en-GB"/>
              </w:rPr>
              <w:t>tudies also found moderate correlations</w:t>
            </w:r>
            <w:r w:rsidRPr="005F75A4">
              <w:rPr>
                <w:rFonts w:ascii="Arial" w:eastAsia="Times New Roman" w:hAnsi="Arial" w:cs="Arial"/>
                <w:bCs/>
                <w:color w:val="000000"/>
                <w:lang w:eastAsia="en-GB"/>
              </w:rPr>
              <w:t xml:space="preserve"> </w:t>
            </w:r>
            <w:r w:rsidRPr="005F75A4">
              <w:rPr>
                <w:rFonts w:ascii="Arial" w:eastAsia="Times New Roman" w:hAnsi="Arial" w:cs="Arial"/>
                <w:bCs/>
                <w:color w:val="000000"/>
                <w:lang w:eastAsia="en-GB"/>
              </w:rPr>
              <w:t>between refill compliance measures and serum drug levels</w:t>
            </w:r>
            <w:r w:rsidRPr="005F75A4">
              <w:rPr>
                <w:rFonts w:ascii="Arial" w:eastAsia="Times New Roman" w:hAnsi="Arial" w:cs="Arial"/>
                <w:bCs/>
                <w:color w:val="000000"/>
                <w:lang w:eastAsia="en-GB"/>
              </w:rPr>
              <w:t xml:space="preserve"> </w:t>
            </w:r>
            <w:r w:rsidRPr="005F75A4">
              <w:rPr>
                <w:rFonts w:ascii="Arial" w:eastAsia="Times New Roman" w:hAnsi="Arial" w:cs="Arial"/>
                <w:bCs/>
                <w:color w:val="000000"/>
                <w:lang w:eastAsia="en-GB"/>
              </w:rPr>
              <w:t>or drug effects</w:t>
            </w:r>
            <w:r>
              <w:rPr>
                <w:rFonts w:ascii="Arial" w:eastAsia="Times New Roman" w:hAnsi="Arial" w:cs="Arial"/>
                <w:bCs/>
                <w:color w:val="000000"/>
                <w:lang w:eastAsia="en-GB"/>
              </w:rPr>
              <w:t xml:space="preserve"> such </w:t>
            </w:r>
            <w:r>
              <w:rPr>
                <w:rFonts w:ascii="Arial" w:eastAsia="Times New Roman" w:hAnsi="Arial" w:cs="Arial"/>
                <w:bCs/>
                <w:color w:val="000000"/>
                <w:lang w:eastAsia="en-GB"/>
              </w:rPr>
              <w:lastRenderedPageBreak/>
              <w:t>as blood pressure control</w:t>
            </w:r>
          </w:p>
          <w:p w:rsidR="00D67ABF" w:rsidRPr="005F75A4" w:rsidRDefault="00D67ABF" w:rsidP="00D67ABF">
            <w:pPr>
              <w:pStyle w:val="ListParagraph"/>
              <w:numPr>
                <w:ilvl w:val="0"/>
                <w:numId w:val="6"/>
              </w:numPr>
              <w:spacing w:line="360" w:lineRule="auto"/>
              <w:ind w:left="170" w:hanging="179"/>
              <w:rPr>
                <w:rFonts w:ascii="Arial" w:eastAsia="Times New Roman" w:hAnsi="Arial" w:cs="Arial"/>
                <w:bCs/>
                <w:color w:val="000000"/>
                <w:lang w:eastAsia="en-GB"/>
              </w:rPr>
            </w:pPr>
            <w:r w:rsidRPr="00D67ABF">
              <w:rPr>
                <w:rFonts w:ascii="Arial" w:eastAsia="Times New Roman" w:hAnsi="Arial" w:cs="Arial"/>
                <w:bCs/>
                <w:color w:val="000000"/>
                <w:lang w:eastAsia="en-GB"/>
              </w:rPr>
              <w:t>Specific</w:t>
            </w:r>
            <w:r w:rsidRPr="00D67ABF">
              <w:rPr>
                <w:rFonts w:ascii="Arial" w:eastAsia="Times New Roman" w:hAnsi="Arial" w:cs="Arial"/>
                <w:bCs/>
                <w:color w:val="000000"/>
                <w:lang w:eastAsia="en-GB"/>
              </w:rPr>
              <w:t xml:space="preserve"> but insensitive measure</w:t>
            </w:r>
            <w:r w:rsidRPr="00D67ABF">
              <w:rPr>
                <w:rFonts w:ascii="Arial" w:eastAsia="Times New Roman" w:hAnsi="Arial" w:cs="Arial"/>
                <w:bCs/>
                <w:color w:val="000000"/>
                <w:lang w:eastAsia="en-GB"/>
              </w:rPr>
              <w:t xml:space="preserve"> </w:t>
            </w:r>
            <w:r w:rsidRPr="00D67ABF">
              <w:rPr>
                <w:rFonts w:ascii="Arial" w:eastAsia="Times New Roman" w:hAnsi="Arial" w:cs="Arial"/>
                <w:bCs/>
                <w:color w:val="000000"/>
                <w:lang w:eastAsia="en-GB"/>
              </w:rPr>
              <w:t>of partial compliance as assessed by other means</w:t>
            </w:r>
          </w:p>
        </w:tc>
        <w:tc>
          <w:tcPr>
            <w:tcW w:w="0" w:type="auto"/>
            <w:vMerge w:val="restart"/>
          </w:tcPr>
          <w:p w:rsidR="00D67ABF" w:rsidRPr="00610AC3" w:rsidRDefault="00D67ABF" w:rsidP="0032725E">
            <w:pPr>
              <w:spacing w:line="360" w:lineRule="auto"/>
              <w:rPr>
                <w:rFonts w:ascii="Arial" w:eastAsia="Times New Roman" w:hAnsi="Arial" w:cs="Arial"/>
                <w:bCs/>
                <w:color w:val="000000"/>
                <w:lang w:eastAsia="en-GB"/>
              </w:rPr>
            </w:pPr>
            <w:r>
              <w:rPr>
                <w:rFonts w:ascii="Arial" w:eastAsia="Times New Roman" w:hAnsi="Arial" w:cs="Arial"/>
                <w:bCs/>
                <w:color w:val="000000"/>
                <w:lang w:eastAsia="en-GB"/>
              </w:rPr>
              <w:lastRenderedPageBreak/>
              <w:t>Unclear</w:t>
            </w:r>
          </w:p>
        </w:tc>
        <w:tc>
          <w:tcPr>
            <w:tcW w:w="0" w:type="auto"/>
            <w:shd w:val="clear" w:color="auto" w:fill="auto"/>
          </w:tcPr>
          <w:p w:rsidR="00D67ABF" w:rsidRPr="00610AC3" w:rsidRDefault="00D67ABF" w:rsidP="00B72F1D">
            <w:pPr>
              <w:spacing w:line="360" w:lineRule="auto"/>
              <w:rPr>
                <w:rFonts w:ascii="Arial" w:hAnsi="Arial" w:cs="Arial"/>
              </w:rPr>
            </w:pPr>
            <w:proofErr w:type="spellStart"/>
            <w:r w:rsidRPr="00610AC3">
              <w:rPr>
                <w:rFonts w:ascii="Arial" w:eastAsia="Times New Roman" w:hAnsi="Arial" w:cs="Arial"/>
                <w:bCs/>
                <w:color w:val="000000"/>
                <w:lang w:eastAsia="en-GB"/>
              </w:rPr>
              <w:t>Vervloet</w:t>
            </w:r>
            <w:proofErr w:type="spellEnd"/>
            <w:r w:rsidRPr="00610AC3">
              <w:rPr>
                <w:rFonts w:ascii="Arial" w:eastAsia="Times New Roman" w:hAnsi="Arial" w:cs="Arial"/>
                <w:bCs/>
                <w:color w:val="000000"/>
                <w:lang w:eastAsia="en-GB"/>
              </w:rPr>
              <w:t xml:space="preserve"> et al </w:t>
            </w:r>
            <w:r w:rsidRPr="00610AC3">
              <w:rPr>
                <w:rFonts w:ascii="Arial" w:eastAsia="Times New Roman" w:hAnsi="Arial" w:cs="Arial"/>
                <w:bCs/>
                <w:noProof/>
                <w:color w:val="000000"/>
                <w:lang w:eastAsia="en-GB"/>
              </w:rPr>
              <w:t>[</w:t>
            </w:r>
            <w:r w:rsidR="00B72F1D">
              <w:rPr>
                <w:rFonts w:ascii="Arial" w:eastAsia="Times New Roman" w:hAnsi="Arial" w:cs="Arial"/>
                <w:bCs/>
                <w:noProof/>
                <w:color w:val="000000"/>
                <w:lang w:eastAsia="en-GB"/>
              </w:rPr>
              <w:t>19</w:t>
            </w:r>
            <w:r w:rsidRPr="00610AC3">
              <w:rPr>
                <w:rFonts w:ascii="Arial" w:eastAsia="Times New Roman" w:hAnsi="Arial" w:cs="Arial"/>
                <w:bCs/>
                <w:noProof/>
                <w:color w:val="000000"/>
                <w:lang w:eastAsia="en-GB"/>
              </w:rPr>
              <w:t>]</w:t>
            </w:r>
          </w:p>
        </w:tc>
      </w:tr>
      <w:tr w:rsidR="00D67ABF" w:rsidRPr="00610AC3" w:rsidTr="00642125">
        <w:tc>
          <w:tcPr>
            <w:tcW w:w="0" w:type="auto"/>
            <w:shd w:val="clear" w:color="auto" w:fill="auto"/>
          </w:tcPr>
          <w:p w:rsidR="00D67ABF" w:rsidRPr="00610AC3" w:rsidRDefault="00D67ABF" w:rsidP="00610AC3">
            <w:pPr>
              <w:spacing w:line="360" w:lineRule="auto"/>
              <w:rPr>
                <w:rFonts w:ascii="Arial" w:eastAsia="Times New Roman" w:hAnsi="Arial" w:cs="Arial"/>
                <w:color w:val="000000"/>
                <w:lang w:eastAsia="en-GB"/>
              </w:rPr>
            </w:pPr>
            <w:r w:rsidRPr="00610AC3">
              <w:rPr>
                <w:rFonts w:ascii="Arial" w:eastAsia="Times New Roman" w:hAnsi="Arial" w:cs="Arial"/>
                <w:color w:val="000000"/>
                <w:lang w:eastAsia="en-GB"/>
              </w:rPr>
              <w:t>Redeemed prescriptions</w:t>
            </w:r>
          </w:p>
        </w:tc>
        <w:tc>
          <w:tcPr>
            <w:tcW w:w="0" w:type="auto"/>
            <w:shd w:val="clear" w:color="auto" w:fill="auto"/>
          </w:tcPr>
          <w:p w:rsidR="00D67ABF" w:rsidRPr="00610AC3" w:rsidRDefault="00D67ABF" w:rsidP="00610AC3">
            <w:pPr>
              <w:spacing w:line="360" w:lineRule="auto"/>
              <w:rPr>
                <w:rFonts w:ascii="Arial" w:hAnsi="Arial" w:cs="Arial"/>
              </w:rPr>
            </w:pPr>
            <w:r w:rsidRPr="00610AC3">
              <w:rPr>
                <w:rFonts w:ascii="Arial" w:hAnsi="Arial" w:cs="Arial"/>
              </w:rPr>
              <w:t>Calculated as percentage of patients who redeemed prescriptions during 15 months following introduction of a feedback system.</w:t>
            </w:r>
          </w:p>
        </w:tc>
        <w:tc>
          <w:tcPr>
            <w:tcW w:w="0" w:type="auto"/>
            <w:vMerge/>
          </w:tcPr>
          <w:p w:rsidR="00D67ABF" w:rsidRPr="00610AC3" w:rsidRDefault="00D67ABF" w:rsidP="0032725E">
            <w:pPr>
              <w:spacing w:line="360" w:lineRule="auto"/>
              <w:rPr>
                <w:rFonts w:ascii="Arial" w:eastAsia="Times New Roman" w:hAnsi="Arial" w:cs="Arial"/>
                <w:bCs/>
                <w:color w:val="000000"/>
                <w:lang w:eastAsia="en-GB"/>
              </w:rPr>
            </w:pPr>
          </w:p>
        </w:tc>
        <w:tc>
          <w:tcPr>
            <w:tcW w:w="0" w:type="auto"/>
            <w:vMerge/>
          </w:tcPr>
          <w:p w:rsidR="00D67ABF" w:rsidRPr="00610AC3" w:rsidRDefault="00D67ABF" w:rsidP="0032725E">
            <w:pPr>
              <w:spacing w:line="360" w:lineRule="auto"/>
              <w:rPr>
                <w:rFonts w:ascii="Arial" w:eastAsia="Times New Roman" w:hAnsi="Arial" w:cs="Arial"/>
                <w:bCs/>
                <w:color w:val="000000"/>
                <w:lang w:eastAsia="en-GB"/>
              </w:rPr>
            </w:pPr>
          </w:p>
        </w:tc>
        <w:tc>
          <w:tcPr>
            <w:tcW w:w="0" w:type="auto"/>
            <w:shd w:val="clear" w:color="auto" w:fill="auto"/>
          </w:tcPr>
          <w:p w:rsidR="00D67ABF" w:rsidRPr="00610AC3" w:rsidRDefault="00D67ABF" w:rsidP="00B72F1D">
            <w:pPr>
              <w:spacing w:line="360" w:lineRule="auto"/>
              <w:rPr>
                <w:rFonts w:ascii="Arial" w:hAnsi="Arial" w:cs="Arial"/>
              </w:rPr>
            </w:pPr>
            <w:proofErr w:type="spellStart"/>
            <w:r w:rsidRPr="00610AC3">
              <w:rPr>
                <w:rFonts w:ascii="Arial" w:eastAsia="Times New Roman" w:hAnsi="Arial" w:cs="Arial"/>
                <w:bCs/>
                <w:color w:val="000000"/>
                <w:lang w:eastAsia="en-GB"/>
              </w:rPr>
              <w:t>Guldberg</w:t>
            </w:r>
            <w:proofErr w:type="spellEnd"/>
            <w:r w:rsidRPr="00610AC3">
              <w:rPr>
                <w:rFonts w:ascii="Arial" w:eastAsia="Times New Roman" w:hAnsi="Arial" w:cs="Arial"/>
                <w:bCs/>
                <w:color w:val="000000"/>
                <w:lang w:eastAsia="en-GB"/>
              </w:rPr>
              <w:t xml:space="preserve"> et al </w:t>
            </w:r>
            <w:r w:rsidRPr="00610AC3">
              <w:rPr>
                <w:rFonts w:ascii="Arial" w:eastAsia="Times New Roman" w:hAnsi="Arial" w:cs="Arial"/>
                <w:bCs/>
                <w:noProof/>
                <w:color w:val="000000"/>
                <w:lang w:eastAsia="en-GB"/>
              </w:rPr>
              <w:t>[2</w:t>
            </w:r>
            <w:r w:rsidR="00B72F1D">
              <w:rPr>
                <w:rFonts w:ascii="Arial" w:eastAsia="Times New Roman" w:hAnsi="Arial" w:cs="Arial"/>
                <w:bCs/>
                <w:noProof/>
                <w:color w:val="000000"/>
                <w:lang w:eastAsia="en-GB"/>
              </w:rPr>
              <w:t>3</w:t>
            </w:r>
            <w:r w:rsidRPr="00610AC3">
              <w:rPr>
                <w:rFonts w:ascii="Arial" w:eastAsia="Times New Roman" w:hAnsi="Arial" w:cs="Arial"/>
                <w:bCs/>
                <w:noProof/>
                <w:color w:val="000000"/>
                <w:lang w:eastAsia="en-GB"/>
              </w:rPr>
              <w:t>]</w:t>
            </w:r>
          </w:p>
        </w:tc>
      </w:tr>
    </w:tbl>
    <w:p w:rsidR="00610AC3" w:rsidRPr="00610AC3" w:rsidRDefault="00657E3A" w:rsidP="00610AC3">
      <w:pPr>
        <w:spacing w:line="360" w:lineRule="auto"/>
        <w:rPr>
          <w:rFonts w:ascii="Arial" w:hAnsi="Arial" w:cs="Arial"/>
        </w:rPr>
      </w:pPr>
      <w:r w:rsidRPr="00657E3A">
        <w:rPr>
          <w:rFonts w:ascii="Arial" w:hAnsi="Arial" w:cs="Arial"/>
        </w:rPr>
        <w:lastRenderedPageBreak/>
        <w:t xml:space="preserve">MGL, </w:t>
      </w:r>
      <w:proofErr w:type="spellStart"/>
      <w:r w:rsidRPr="00657E3A">
        <w:rPr>
          <w:rFonts w:ascii="Arial" w:hAnsi="Arial" w:cs="Arial"/>
        </w:rPr>
        <w:t>Morisky</w:t>
      </w:r>
      <w:proofErr w:type="spellEnd"/>
      <w:r w:rsidRPr="00657E3A">
        <w:rPr>
          <w:rFonts w:ascii="Arial" w:hAnsi="Arial" w:cs="Arial"/>
        </w:rPr>
        <w:t>–Green–Levine (scale)</w:t>
      </w:r>
      <w:r>
        <w:rPr>
          <w:rFonts w:ascii="Arial" w:hAnsi="Arial" w:cs="Arial"/>
        </w:rPr>
        <w:t xml:space="preserve">; </w:t>
      </w:r>
      <w:r w:rsidRPr="00657E3A">
        <w:rPr>
          <w:rFonts w:ascii="Arial" w:hAnsi="Arial" w:cs="Arial"/>
        </w:rPr>
        <w:t>PPV, positive predictive value; S, sensitivity; SBP, systolic blood pressure;</w:t>
      </w:r>
      <w:r>
        <w:rPr>
          <w:rFonts w:ascii="Arial" w:hAnsi="Arial" w:cs="Arial"/>
        </w:rPr>
        <w:t xml:space="preserve"> SP, specificity</w:t>
      </w:r>
    </w:p>
    <w:p w:rsidR="00610AC3" w:rsidRPr="00610AC3" w:rsidRDefault="00610AC3" w:rsidP="00610AC3">
      <w:pPr>
        <w:spacing w:line="360" w:lineRule="auto"/>
        <w:rPr>
          <w:rFonts w:ascii="Arial" w:hAnsi="Arial" w:cs="Arial"/>
        </w:rPr>
      </w:pPr>
    </w:p>
    <w:p w:rsidR="006B4E8B" w:rsidRDefault="006B4E8B" w:rsidP="00610AC3">
      <w:pPr>
        <w:spacing w:after="200" w:line="360" w:lineRule="auto"/>
        <w:rPr>
          <w:rFonts w:ascii="Arial" w:hAnsi="Arial" w:cs="Arial"/>
          <w:noProof/>
          <w:lang w:val="en-US"/>
        </w:rPr>
        <w:sectPr w:rsidR="006B4E8B" w:rsidSect="00CB651B">
          <w:footerReference w:type="default" r:id="rId8"/>
          <w:pgSz w:w="16838" w:h="11906" w:orient="landscape"/>
          <w:pgMar w:top="1440" w:right="1440" w:bottom="1440" w:left="1440" w:header="708" w:footer="708" w:gutter="0"/>
          <w:cols w:space="708"/>
          <w:docGrid w:linePitch="360"/>
        </w:sectPr>
      </w:pPr>
    </w:p>
    <w:p w:rsidR="00610AC3" w:rsidRPr="00610AC3" w:rsidRDefault="00610AC3" w:rsidP="00610AC3">
      <w:pPr>
        <w:spacing w:after="0" w:line="360" w:lineRule="auto"/>
        <w:rPr>
          <w:rFonts w:ascii="Arial" w:hAnsi="Arial" w:cs="Arial"/>
          <w:noProof/>
          <w:lang w:val="en-US"/>
        </w:rPr>
      </w:pPr>
      <w:r w:rsidRPr="00610AC3">
        <w:rPr>
          <w:rFonts w:ascii="Arial" w:hAnsi="Arial" w:cs="Arial"/>
          <w:noProof/>
          <w:lang w:val="en-US"/>
        </w:rPr>
        <w:lastRenderedPageBreak/>
        <w:t>REFERENCES</w:t>
      </w:r>
    </w:p>
    <w:p w:rsidR="00610AC3" w:rsidRPr="00610AC3" w:rsidRDefault="00610AC3" w:rsidP="00610AC3">
      <w:pPr>
        <w:spacing w:after="0" w:line="360" w:lineRule="auto"/>
        <w:rPr>
          <w:rFonts w:ascii="Arial" w:hAnsi="Arial" w:cs="Arial"/>
          <w:noProof/>
          <w:lang w:val="en-US"/>
        </w:rPr>
      </w:pP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Morisky DE, Ang A, Krousel-Wood M, Ward HJ. Predictive Validity of a Medication Adherence Measure in an Outpatient Setting. J Clin Hypertens (Greenwich) 2008; 10: 348-54.</w:t>
      </w:r>
    </w:p>
    <w:p w:rsidR="00B72F1D" w:rsidRDefault="00B72F1D" w:rsidP="00B72F1D">
      <w:pPr>
        <w:pStyle w:val="ListParagraph"/>
        <w:numPr>
          <w:ilvl w:val="0"/>
          <w:numId w:val="7"/>
        </w:numPr>
        <w:spacing w:after="0" w:line="360" w:lineRule="auto"/>
        <w:rPr>
          <w:rFonts w:ascii="Arial" w:hAnsi="Arial" w:cs="Arial"/>
          <w:noProof/>
          <w:lang w:val="en-US"/>
        </w:rPr>
      </w:pPr>
      <w:r w:rsidRPr="00B72F1D">
        <w:rPr>
          <w:rFonts w:ascii="Arial" w:hAnsi="Arial" w:cs="Arial"/>
          <w:noProof/>
          <w:lang w:val="en-US"/>
        </w:rPr>
        <w:t>Perez-Escamilla B, Franco-Trigo L, Moullin JC, Martinez-Martinez F, Garcia-Corpas JP. Identification of validated questionnaires to measure adherence to pharmacological antihypertensive treatments. Patient Prefer Adherence. 2015;9:569-578.</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Arora S, Peters AL, Burner E, Lam CN, Menchine M. Trial to examine text message-based mHealth in emergency department patients with diabetes (TExT-MED): a randomized controlled trial. Ann Emerg Med 2014; 63: 745-54.</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Krousel-Wood M, Muntner P, Jannu A, Desalvo K, Re RN. Reliability of a Medication Adherence Measure in an Outpatient Setting. Am J Med Sci 2005; 330: 128-33.</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Fisher L, Hessler D, Glasgow RE, Arean PA, Masharani U, Naranjo D, et al. REDEEM: a pragmatic trial to reduce diabetes distress. Diabetes Care 2013; 36: 2551-8.</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Glasgow R, Christiansen SM, Kurz D, King DK, Woolley T, Faber AJ, et al. Engagement in a diabetes self-management website: usage patterns and generalizability of program use. J Med Internet Res 2011; 13: e9.</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Glasgow RE, Kurz D, King D, Dickman JM, Faber AJ, Halterman E, et al. Outcomes of minimal and moderate support versions of an internet-based diabetes self-management support program. J Gen Intern Med 2010; 25: 1315-22.</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Glasgow RE, Kurz D, King D, Dickman JM, Faber AJ, Halterman E, et al. Twelve-month outcomes of an Internet-based diabetes self-management support program. Patient Educ Couns 2012; 87: 81-92.</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D E. Psychological factors affecting adherence to metabolic control in diabetes mellitus. Iowa: University of Iowa; 1998.</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Wakefield BJ, Holman JE, Ray A, Scherubel M, Adams MR, Hillis SL, et al. Effectiveness of home telehealth in comorbid diabetes and hypertension: a randomized, controlled trial. Telemed J E Health 2011; 17: 254-61.</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Wakefield BJ, Holman JE, Ray A, Scherubel M, Adams MR, Hills SL, et al. Outcomes of a home telehealth intervention for patients with diabetes and hypertension. Telemed J E Health 2012; 18: 575-9.</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Morisky DE, Green LW, Levine DM. Concurrent and predictive validity of a self-reported measure of medication adherence. Med Care 1986; 24: 67-74.</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lastRenderedPageBreak/>
        <w:t>Nesari M, Zakerimoghadam M, Rajab A, Bassampour S, Faghihzadeh S. Effect of telephone follow-up on adherence to a diabetes therapeutic regimen. Jpn J Nurs Sci 2010; 7: 121-8.</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Odegard PS, Goo A, Hummel J, Williams KL, Gray SL. Caring for poorly controlled diabetes mellitus: a randomized pharmacist intervention. Ann Pharmacother 2005; 39: 433-40.</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Shetty AS, Chamukuttan S, Nanditha A, Raj RK, Ramachandran A. Reinforcement of adherence to prescription recommendations in Asian Indian diabetes patients using short message service (SMS): a pilot study. J Assoc Physicians India 2011;59:711-4.</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Brath H, Morak J, Kastenbauer T, Modre-Osprian R, Strohner-Kastenbauer H, Schwarz M, et al. Mobile health (mHealth) based medication adherence measurement: a pilot trial using electronic blisters in diabetes patients. Br J Clin Pharmacol 2013; 76: 47-55.</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Vervloet M, Dijk L, Santen-Reestman J, Vlijmen B, Wingerden P, Bouvy ML, et al. SMS reminders improve adherence to oral medication in type 2 diabetes patients who are real time electronically monitored. Int J Med Inform 2012; 81: 594-604.</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Vervloet M, Linn AJ, van Weert JCM, de Bakker DH, Bouvy ML, van Dijk L. The effectiveness of interventions using electronic reminders to improve adherence to chronic medication: a systematic review of the literature. J Am Med Inform Assoc 2012; 19: 696-704.</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Vervloet M, van Dijk L, de Bakker DH, Souverein PC, Santen-Reestman J, van Vlijmen B, et al. Short- and long-term effects of real-time medication monitoring with short message service (SMS) reminders for missed doses on the refill adherence of people with Type 2 diabetes: evidence from a randomized controlled trial. Diabet Med 2014; 31: 821–8.</w:t>
      </w:r>
    </w:p>
    <w:p w:rsidR="00610AC3" w:rsidRPr="006B4E8B"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Vervloet M, van Dijk L, Santen-Reestman J, van Vlijmen B, Bouvy ML, de Bakker DH. Improving medication adherence in diabetes type 2 patients through Real Time Medication Monitoring: a Randomised Controlled Trial to evaluate the effect of monitoring patients' medication use combined with short message service (SMS) reminders. BMC Health Serv Res 2011; 11: 5.</w:t>
      </w:r>
    </w:p>
    <w:p w:rsidR="00610AC3" w:rsidRDefault="00610AC3" w:rsidP="006B4E8B">
      <w:pPr>
        <w:pStyle w:val="ListParagraph"/>
        <w:numPr>
          <w:ilvl w:val="0"/>
          <w:numId w:val="7"/>
        </w:numPr>
        <w:spacing w:after="0" w:line="360" w:lineRule="auto"/>
        <w:rPr>
          <w:rFonts w:ascii="Arial" w:hAnsi="Arial" w:cs="Arial"/>
          <w:noProof/>
          <w:lang w:val="en-US"/>
        </w:rPr>
      </w:pPr>
      <w:r w:rsidRPr="006B4E8B">
        <w:rPr>
          <w:rFonts w:ascii="Arial" w:hAnsi="Arial" w:cs="Arial"/>
          <w:noProof/>
          <w:lang w:val="en-US"/>
        </w:rPr>
        <w:t>Bogner HR, Morales KH, de Vries HF, Cappola AR. Integrated management of type 2 diabetes mellitus and depression treatment to improve medication adherence: a randomized controlled trial. Ann Fam Med 2012; 10: 15-22.</w:t>
      </w:r>
    </w:p>
    <w:p w:rsidR="00B72F1D" w:rsidRPr="006B4E8B" w:rsidRDefault="00B72F1D" w:rsidP="00B72F1D">
      <w:pPr>
        <w:pStyle w:val="ListParagraph"/>
        <w:numPr>
          <w:ilvl w:val="0"/>
          <w:numId w:val="7"/>
        </w:numPr>
        <w:spacing w:after="0" w:line="360" w:lineRule="auto"/>
        <w:rPr>
          <w:rFonts w:ascii="Arial" w:hAnsi="Arial" w:cs="Arial"/>
          <w:noProof/>
          <w:lang w:val="en-US"/>
        </w:rPr>
      </w:pPr>
      <w:r w:rsidRPr="00B72F1D">
        <w:rPr>
          <w:rFonts w:ascii="Arial" w:hAnsi="Arial" w:cs="Arial"/>
          <w:noProof/>
          <w:lang w:val="en-US"/>
        </w:rPr>
        <w:t>Steiner JF, Prochazka AV. The assessment of refill compliance using pharmacy records: Methods, validity, and applications. Journal of Clinical Epidemiology. 1997;50(1):105-116.</w:t>
      </w:r>
    </w:p>
    <w:p w:rsidR="00610AC3" w:rsidRPr="006B4E8B" w:rsidRDefault="00610AC3" w:rsidP="00B72F1D">
      <w:pPr>
        <w:pStyle w:val="ListParagraph"/>
        <w:numPr>
          <w:ilvl w:val="0"/>
          <w:numId w:val="7"/>
        </w:numPr>
        <w:spacing w:line="360" w:lineRule="auto"/>
        <w:rPr>
          <w:rFonts w:ascii="Arial" w:hAnsi="Arial" w:cs="Arial"/>
          <w:noProof/>
          <w:lang w:val="en-US"/>
        </w:rPr>
      </w:pPr>
      <w:r w:rsidRPr="00B72F1D">
        <w:rPr>
          <w:rFonts w:ascii="Arial" w:hAnsi="Arial" w:cs="Arial"/>
          <w:noProof/>
          <w:lang w:val="en-US"/>
        </w:rPr>
        <w:lastRenderedPageBreak/>
        <w:t>Guldberg TL, Vedsted P, Kristensen JK, Lauritzen T. Improved quality of Type 2 diabetes care following electronic feedback of treatment status to general practitioners: a cluster randomized controlled trial. Diabet Med 2011; 28: 325-32.</w:t>
      </w:r>
      <w:bookmarkStart w:id="0" w:name="_GoBack"/>
      <w:bookmarkEnd w:id="0"/>
    </w:p>
    <w:sectPr w:rsidR="00610AC3" w:rsidRPr="006B4E8B" w:rsidSect="006B4E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7ED" w:rsidRDefault="001577ED" w:rsidP="00610AC3">
      <w:pPr>
        <w:spacing w:after="0" w:line="240" w:lineRule="auto"/>
      </w:pPr>
      <w:r>
        <w:separator/>
      </w:r>
    </w:p>
  </w:endnote>
  <w:endnote w:type="continuationSeparator" w:id="0">
    <w:p w:rsidR="001577ED" w:rsidRDefault="001577ED" w:rsidP="0061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691208"/>
      <w:docPartObj>
        <w:docPartGallery w:val="Page Numbers (Bottom of Page)"/>
        <w:docPartUnique/>
      </w:docPartObj>
    </w:sdtPr>
    <w:sdtEndPr>
      <w:rPr>
        <w:noProof/>
      </w:rPr>
    </w:sdtEndPr>
    <w:sdtContent>
      <w:p w:rsidR="00610AC3" w:rsidRDefault="00610AC3">
        <w:pPr>
          <w:pStyle w:val="Footer"/>
          <w:jc w:val="right"/>
        </w:pPr>
        <w:r>
          <w:fldChar w:fldCharType="begin"/>
        </w:r>
        <w:r>
          <w:instrText xml:space="preserve"> PAGE   \* MERGEFORMAT </w:instrText>
        </w:r>
        <w:r>
          <w:fldChar w:fldCharType="separate"/>
        </w:r>
        <w:r w:rsidR="00B72F1D">
          <w:rPr>
            <w:noProof/>
          </w:rPr>
          <w:t>1</w:t>
        </w:r>
        <w:r>
          <w:rPr>
            <w:noProof/>
          </w:rPr>
          <w:fldChar w:fldCharType="end"/>
        </w:r>
      </w:p>
    </w:sdtContent>
  </w:sdt>
  <w:p w:rsidR="00610AC3" w:rsidRDefault="00610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7ED" w:rsidRDefault="001577ED" w:rsidP="00610AC3">
      <w:pPr>
        <w:spacing w:after="0" w:line="240" w:lineRule="auto"/>
      </w:pPr>
      <w:r>
        <w:separator/>
      </w:r>
    </w:p>
  </w:footnote>
  <w:footnote w:type="continuationSeparator" w:id="0">
    <w:p w:rsidR="001577ED" w:rsidRDefault="001577ED" w:rsidP="00610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79A"/>
    <w:multiLevelType w:val="hybridMultilevel"/>
    <w:tmpl w:val="A1A6DB8A"/>
    <w:lvl w:ilvl="0" w:tplc="0EA88B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8546B5"/>
    <w:multiLevelType w:val="hybridMultilevel"/>
    <w:tmpl w:val="50A65A3E"/>
    <w:lvl w:ilvl="0" w:tplc="0EA88B04">
      <w:numFmt w:val="bullet"/>
      <w:lvlText w:val=""/>
      <w:lvlJc w:val="left"/>
      <w:pPr>
        <w:ind w:left="720" w:hanging="360"/>
      </w:pPr>
      <w:rPr>
        <w:rFonts w:ascii="Symbol" w:eastAsiaTheme="minorHAnsi" w:hAnsi="Symbol" w:cs="Arial" w:hint="default"/>
      </w:rPr>
    </w:lvl>
    <w:lvl w:ilvl="1" w:tplc="7B7493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D235FC"/>
    <w:multiLevelType w:val="hybridMultilevel"/>
    <w:tmpl w:val="838CF04A"/>
    <w:lvl w:ilvl="0" w:tplc="0EA88B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CC0926"/>
    <w:multiLevelType w:val="hybridMultilevel"/>
    <w:tmpl w:val="37B6C6BA"/>
    <w:lvl w:ilvl="0" w:tplc="0EA88B04">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5B800BF9"/>
    <w:multiLevelType w:val="hybridMultilevel"/>
    <w:tmpl w:val="0EF884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815D25"/>
    <w:multiLevelType w:val="hybridMultilevel"/>
    <w:tmpl w:val="1A6C2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D655047"/>
    <w:multiLevelType w:val="hybridMultilevel"/>
    <w:tmpl w:val="1A76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appx5whasdtrev0empsrduaaftsvsssxzz&quot;&gt;My EndNote Library-Saved&lt;record-ids&gt;&lt;item&gt;150&lt;/item&gt;&lt;/record-ids&gt;&lt;/item&gt;&lt;/Libraries&gt;"/>
  </w:docVars>
  <w:rsids>
    <w:rsidRoot w:val="00610AC3"/>
    <w:rsid w:val="00025831"/>
    <w:rsid w:val="000D394C"/>
    <w:rsid w:val="001577ED"/>
    <w:rsid w:val="002B2E48"/>
    <w:rsid w:val="00442E6D"/>
    <w:rsid w:val="00455CBC"/>
    <w:rsid w:val="00464ECB"/>
    <w:rsid w:val="004D6FF3"/>
    <w:rsid w:val="00511FD3"/>
    <w:rsid w:val="005F75A4"/>
    <w:rsid w:val="00610AC3"/>
    <w:rsid w:val="00620760"/>
    <w:rsid w:val="00642125"/>
    <w:rsid w:val="00657E3A"/>
    <w:rsid w:val="006B4E8B"/>
    <w:rsid w:val="006B6F7A"/>
    <w:rsid w:val="00AC6163"/>
    <w:rsid w:val="00B051BF"/>
    <w:rsid w:val="00B51684"/>
    <w:rsid w:val="00B72F1D"/>
    <w:rsid w:val="00BC3B24"/>
    <w:rsid w:val="00C37A3F"/>
    <w:rsid w:val="00CB651B"/>
    <w:rsid w:val="00D67ABF"/>
    <w:rsid w:val="00D97F81"/>
    <w:rsid w:val="00DC1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8B"/>
    <w:pPr>
      <w:spacing w:after="160" w:line="259" w:lineRule="auto"/>
    </w:pPr>
  </w:style>
  <w:style w:type="paragraph" w:styleId="Heading1">
    <w:name w:val="heading 1"/>
    <w:basedOn w:val="Normal"/>
    <w:next w:val="BodyText"/>
    <w:link w:val="Heading1Char"/>
    <w:uiPriority w:val="9"/>
    <w:qFormat/>
    <w:rsid w:val="00610AC3"/>
    <w:pPr>
      <w:keepNext/>
      <w:keepLines/>
      <w:spacing w:after="0" w:line="480" w:lineRule="auto"/>
      <w:ind w:left="720" w:hanging="720"/>
      <w:contextualSpacing/>
      <w:outlineLvl w:val="0"/>
    </w:pPr>
    <w:rPr>
      <w:rFonts w:ascii="Arial" w:eastAsia="MS Gothic" w:hAnsi="Arial" w:cs="Arial"/>
      <w:b/>
      <w:bCs/>
      <w:cap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AC3"/>
    <w:rPr>
      <w:rFonts w:ascii="Arial" w:eastAsia="MS Gothic" w:hAnsi="Arial" w:cs="Arial"/>
      <w:b/>
      <w:bCs/>
      <w:caps/>
      <w:sz w:val="24"/>
      <w:szCs w:val="24"/>
      <w:lang w:eastAsia="en-GB"/>
    </w:rPr>
  </w:style>
  <w:style w:type="table" w:customStyle="1" w:styleId="TableGrid1">
    <w:name w:val="Table Grid1"/>
    <w:basedOn w:val="TableNormal"/>
    <w:uiPriority w:val="59"/>
    <w:rsid w:val="0061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10AC3"/>
    <w:pPr>
      <w:spacing w:after="120"/>
    </w:pPr>
  </w:style>
  <w:style w:type="character" w:customStyle="1" w:styleId="BodyTextChar">
    <w:name w:val="Body Text Char"/>
    <w:basedOn w:val="DefaultParagraphFont"/>
    <w:link w:val="BodyText"/>
    <w:uiPriority w:val="99"/>
    <w:semiHidden/>
    <w:rsid w:val="00610AC3"/>
  </w:style>
  <w:style w:type="paragraph" w:styleId="Header">
    <w:name w:val="header"/>
    <w:basedOn w:val="Normal"/>
    <w:link w:val="HeaderChar"/>
    <w:uiPriority w:val="99"/>
    <w:unhideWhenUsed/>
    <w:rsid w:val="00610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AC3"/>
  </w:style>
  <w:style w:type="paragraph" w:styleId="Footer">
    <w:name w:val="footer"/>
    <w:basedOn w:val="Normal"/>
    <w:link w:val="FooterChar"/>
    <w:uiPriority w:val="99"/>
    <w:unhideWhenUsed/>
    <w:rsid w:val="00610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AC3"/>
  </w:style>
  <w:style w:type="paragraph" w:styleId="BalloonText">
    <w:name w:val="Balloon Text"/>
    <w:basedOn w:val="Normal"/>
    <w:link w:val="BalloonTextChar"/>
    <w:uiPriority w:val="99"/>
    <w:semiHidden/>
    <w:unhideWhenUsed/>
    <w:rsid w:val="0064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125"/>
    <w:rPr>
      <w:rFonts w:ascii="Tahoma" w:hAnsi="Tahoma" w:cs="Tahoma"/>
      <w:sz w:val="16"/>
      <w:szCs w:val="16"/>
    </w:rPr>
  </w:style>
  <w:style w:type="paragraph" w:customStyle="1" w:styleId="Pa22">
    <w:name w:val="Pa22"/>
    <w:basedOn w:val="Normal"/>
    <w:next w:val="Normal"/>
    <w:uiPriority w:val="99"/>
    <w:rsid w:val="00CB651B"/>
    <w:pPr>
      <w:autoSpaceDE w:val="0"/>
      <w:autoSpaceDN w:val="0"/>
      <w:adjustRightInd w:val="0"/>
      <w:spacing w:after="0" w:line="141" w:lineRule="atLeast"/>
    </w:pPr>
    <w:rPr>
      <w:rFonts w:ascii="Times New Roman" w:hAnsi="Times New Roman" w:cs="Times New Roman"/>
      <w:sz w:val="24"/>
      <w:szCs w:val="24"/>
    </w:rPr>
  </w:style>
  <w:style w:type="paragraph" w:styleId="ListParagraph">
    <w:name w:val="List Paragraph"/>
    <w:basedOn w:val="Normal"/>
    <w:uiPriority w:val="34"/>
    <w:qFormat/>
    <w:rsid w:val="00CB651B"/>
    <w:pPr>
      <w:ind w:left="720"/>
      <w:contextualSpacing/>
    </w:pPr>
  </w:style>
  <w:style w:type="paragraph" w:customStyle="1" w:styleId="EndNoteBibliographyTitle">
    <w:name w:val="EndNote Bibliography Title"/>
    <w:basedOn w:val="Normal"/>
    <w:link w:val="EndNoteBibliographyTitleChar"/>
    <w:rsid w:val="005F75A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F75A4"/>
    <w:rPr>
      <w:rFonts w:ascii="Calibri" w:hAnsi="Calibri"/>
      <w:noProof/>
      <w:lang w:val="en-US"/>
    </w:rPr>
  </w:style>
  <w:style w:type="paragraph" w:customStyle="1" w:styleId="EndNoteBibliography">
    <w:name w:val="EndNote Bibliography"/>
    <w:basedOn w:val="Normal"/>
    <w:link w:val="EndNoteBibliographyChar"/>
    <w:rsid w:val="005F75A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F75A4"/>
    <w:rPr>
      <w:rFonts w:ascii="Calibri" w:hAnsi="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8B"/>
    <w:pPr>
      <w:spacing w:after="160" w:line="259" w:lineRule="auto"/>
    </w:pPr>
  </w:style>
  <w:style w:type="paragraph" w:styleId="Heading1">
    <w:name w:val="heading 1"/>
    <w:basedOn w:val="Normal"/>
    <w:next w:val="BodyText"/>
    <w:link w:val="Heading1Char"/>
    <w:uiPriority w:val="9"/>
    <w:qFormat/>
    <w:rsid w:val="00610AC3"/>
    <w:pPr>
      <w:keepNext/>
      <w:keepLines/>
      <w:spacing w:after="0" w:line="480" w:lineRule="auto"/>
      <w:ind w:left="720" w:hanging="720"/>
      <w:contextualSpacing/>
      <w:outlineLvl w:val="0"/>
    </w:pPr>
    <w:rPr>
      <w:rFonts w:ascii="Arial" w:eastAsia="MS Gothic" w:hAnsi="Arial" w:cs="Arial"/>
      <w:b/>
      <w:bCs/>
      <w:cap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AC3"/>
    <w:rPr>
      <w:rFonts w:ascii="Arial" w:eastAsia="MS Gothic" w:hAnsi="Arial" w:cs="Arial"/>
      <w:b/>
      <w:bCs/>
      <w:caps/>
      <w:sz w:val="24"/>
      <w:szCs w:val="24"/>
      <w:lang w:eastAsia="en-GB"/>
    </w:rPr>
  </w:style>
  <w:style w:type="table" w:customStyle="1" w:styleId="TableGrid1">
    <w:name w:val="Table Grid1"/>
    <w:basedOn w:val="TableNormal"/>
    <w:uiPriority w:val="59"/>
    <w:rsid w:val="00610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10AC3"/>
    <w:pPr>
      <w:spacing w:after="120"/>
    </w:pPr>
  </w:style>
  <w:style w:type="character" w:customStyle="1" w:styleId="BodyTextChar">
    <w:name w:val="Body Text Char"/>
    <w:basedOn w:val="DefaultParagraphFont"/>
    <w:link w:val="BodyText"/>
    <w:uiPriority w:val="99"/>
    <w:semiHidden/>
    <w:rsid w:val="00610AC3"/>
  </w:style>
  <w:style w:type="paragraph" w:styleId="Header">
    <w:name w:val="header"/>
    <w:basedOn w:val="Normal"/>
    <w:link w:val="HeaderChar"/>
    <w:uiPriority w:val="99"/>
    <w:unhideWhenUsed/>
    <w:rsid w:val="00610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AC3"/>
  </w:style>
  <w:style w:type="paragraph" w:styleId="Footer">
    <w:name w:val="footer"/>
    <w:basedOn w:val="Normal"/>
    <w:link w:val="FooterChar"/>
    <w:uiPriority w:val="99"/>
    <w:unhideWhenUsed/>
    <w:rsid w:val="00610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AC3"/>
  </w:style>
  <w:style w:type="paragraph" w:styleId="BalloonText">
    <w:name w:val="Balloon Text"/>
    <w:basedOn w:val="Normal"/>
    <w:link w:val="BalloonTextChar"/>
    <w:uiPriority w:val="99"/>
    <w:semiHidden/>
    <w:unhideWhenUsed/>
    <w:rsid w:val="0064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125"/>
    <w:rPr>
      <w:rFonts w:ascii="Tahoma" w:hAnsi="Tahoma" w:cs="Tahoma"/>
      <w:sz w:val="16"/>
      <w:szCs w:val="16"/>
    </w:rPr>
  </w:style>
  <w:style w:type="paragraph" w:customStyle="1" w:styleId="Pa22">
    <w:name w:val="Pa22"/>
    <w:basedOn w:val="Normal"/>
    <w:next w:val="Normal"/>
    <w:uiPriority w:val="99"/>
    <w:rsid w:val="00CB651B"/>
    <w:pPr>
      <w:autoSpaceDE w:val="0"/>
      <w:autoSpaceDN w:val="0"/>
      <w:adjustRightInd w:val="0"/>
      <w:spacing w:after="0" w:line="141" w:lineRule="atLeast"/>
    </w:pPr>
    <w:rPr>
      <w:rFonts w:ascii="Times New Roman" w:hAnsi="Times New Roman" w:cs="Times New Roman"/>
      <w:sz w:val="24"/>
      <w:szCs w:val="24"/>
    </w:rPr>
  </w:style>
  <w:style w:type="paragraph" w:styleId="ListParagraph">
    <w:name w:val="List Paragraph"/>
    <w:basedOn w:val="Normal"/>
    <w:uiPriority w:val="34"/>
    <w:qFormat/>
    <w:rsid w:val="00CB651B"/>
    <w:pPr>
      <w:ind w:left="720"/>
      <w:contextualSpacing/>
    </w:pPr>
  </w:style>
  <w:style w:type="paragraph" w:customStyle="1" w:styleId="EndNoteBibliographyTitle">
    <w:name w:val="EndNote Bibliography Title"/>
    <w:basedOn w:val="Normal"/>
    <w:link w:val="EndNoteBibliographyTitleChar"/>
    <w:rsid w:val="005F75A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F75A4"/>
    <w:rPr>
      <w:rFonts w:ascii="Calibri" w:hAnsi="Calibri"/>
      <w:noProof/>
      <w:lang w:val="en-US"/>
    </w:rPr>
  </w:style>
  <w:style w:type="paragraph" w:customStyle="1" w:styleId="EndNoteBibliography">
    <w:name w:val="EndNote Bibliography"/>
    <w:basedOn w:val="Normal"/>
    <w:link w:val="EndNoteBibliographyChar"/>
    <w:rsid w:val="005F75A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F75A4"/>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9</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Ricci Cabello</dc:creator>
  <cp:lastModifiedBy>Ignacio Ricci Cabello</cp:lastModifiedBy>
  <cp:revision>5</cp:revision>
  <cp:lastPrinted>2015-07-20T09:15:00Z</cp:lastPrinted>
  <dcterms:created xsi:type="dcterms:W3CDTF">2015-05-27T10:51:00Z</dcterms:created>
  <dcterms:modified xsi:type="dcterms:W3CDTF">2015-07-23T10:27:00Z</dcterms:modified>
</cp:coreProperties>
</file>