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20" w:rsidRPr="00791505" w:rsidRDefault="00095220" w:rsidP="000952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B52">
        <w:rPr>
          <w:rFonts w:ascii="Times New Roman" w:hAnsi="Times New Roman" w:cs="Times New Roman"/>
          <w:b/>
          <w:sz w:val="24"/>
          <w:szCs w:val="24"/>
        </w:rPr>
        <w:t>Table S1.</w:t>
      </w:r>
      <w:r w:rsidRPr="00791505">
        <w:rPr>
          <w:rFonts w:ascii="Times New Roman" w:hAnsi="Times New Roman" w:cs="Times New Roman"/>
          <w:b/>
          <w:sz w:val="24"/>
          <w:szCs w:val="24"/>
        </w:rPr>
        <w:t xml:space="preserve"> Baseline clinical characteristics of all 692 TBM participants by </w:t>
      </w:r>
      <w:r>
        <w:rPr>
          <w:rFonts w:ascii="Times New Roman" w:hAnsi="Times New Roman" w:cs="Times New Roman"/>
          <w:b/>
          <w:sz w:val="24"/>
          <w:szCs w:val="24"/>
        </w:rPr>
        <w:t>HIV infection</w:t>
      </w:r>
    </w:p>
    <w:tbl>
      <w:tblPr>
        <w:tblW w:w="14140" w:type="dxa"/>
        <w:jc w:val="center"/>
        <w:tblLook w:val="04A0" w:firstRow="1" w:lastRow="0" w:firstColumn="1" w:lastColumn="0" w:noHBand="0" w:noVBand="1"/>
      </w:tblPr>
      <w:tblGrid>
        <w:gridCol w:w="4316"/>
        <w:gridCol w:w="576"/>
        <w:gridCol w:w="2196"/>
        <w:gridCol w:w="576"/>
        <w:gridCol w:w="2384"/>
        <w:gridCol w:w="576"/>
        <w:gridCol w:w="2196"/>
        <w:gridCol w:w="1320"/>
      </w:tblGrid>
      <w:tr w:rsidR="00095220" w:rsidRPr="00E47C6A" w:rsidTr="00095220">
        <w:trPr>
          <w:trHeight w:val="315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Characteristic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All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HIV-uninfected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HIV-infected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 values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Summary statistic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Summary statistic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Summary statistic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 (years) – median (IQR)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(29,46)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(28,55)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(30,37)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 sex – no. (%)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692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475 (68.6)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404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239 (59.2)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288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236 (81.9)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&lt;0.0001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Weight (kg) – median (IQR)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(44,54.5)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(45,55)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(42.75,52.05)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Duration of illness (days) – median (IQR)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(10,30)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(10,23)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(8,30)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0.997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Glasgow coma score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(12,15)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(13,15)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(12,15)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0.612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arm</w:t>
            </w:r>
            <w:r w:rsidRPr="00791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15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Standard arm</w:t>
            </w:r>
            <w:r w:rsidRPr="00791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no. (%)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692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345 (49.9)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404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202 (50.0)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288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143 (49.7)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0.928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1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#</w:t>
            </w:r>
            <w:r w:rsidRPr="00791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BMRC Grade – no. (%)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692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404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288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0.168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Grade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266 (38.4)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145 (35.9)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121 (42.0)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Grade 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302 (43.6)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188 (46.5)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114 (39.6)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Grade 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124 (17.9)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71 (17.6)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53 (18.4)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sz w:val="24"/>
                <w:szCs w:val="24"/>
              </w:rPr>
              <w:t>Diagnostic tests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CSF-Smear -</w:t>
            </w:r>
            <w:r w:rsidRPr="00E47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Positive – 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 (%)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684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257 (37.6)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399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121 (30.3)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285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136 (47.7)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CSF-MGIT culture -</w:t>
            </w:r>
            <w:r w:rsidRPr="00E47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Positive – 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 (%)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682</w:t>
            </w:r>
          </w:p>
        </w:tc>
        <w:tc>
          <w:tcPr>
            <w:tcW w:w="2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281 (41.2)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125 (31.3)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282</w:t>
            </w:r>
          </w:p>
        </w:tc>
        <w:tc>
          <w:tcPr>
            <w:tcW w:w="2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156 (55.3)</w:t>
            </w:r>
          </w:p>
        </w:tc>
        <w:tc>
          <w:tcPr>
            <w:tcW w:w="1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CSF-GeneXpert-</w:t>
            </w:r>
            <w:r w:rsidRPr="00E47C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Positive – 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 (%)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692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293 (42.3)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404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128 (31.7)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288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165 (57.3)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1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Diagnostic category – no. (%)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692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404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288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D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efinite TBM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393 (56.8)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188 (46.5)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205 (71.2)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robable TBM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172 (24.9)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117 (29.0)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55 (19.1)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ossible TBM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127 (18.4)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99 (24.5)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</w:rPr>
              <w:t>28 (9.7)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Blood - median (IQR)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-Sodium (mmol/l)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(123,133)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(125,133)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(122,131)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</w:tr>
      <w:tr w:rsidR="00095220" w:rsidRPr="00E47C6A" w:rsidTr="0061637D">
        <w:trPr>
          <w:trHeight w:val="37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-Leucocytes total (x 10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6 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cells/ml)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 (6.8,12.0)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 (8.2,13.1)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7.17 (5.4,10.0)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-Neutrophils (%)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(72,87)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(73,87)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(71,85)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-Lymphocytes (%)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(7,17)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(7,17)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(7,17)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0.381</w:t>
            </w:r>
          </w:p>
        </w:tc>
      </w:tr>
      <w:tr w:rsidR="00095220" w:rsidRPr="00E47C6A" w:rsidTr="0061637D">
        <w:trPr>
          <w:trHeight w:val="37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-CD4 cell count (x 10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3 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cells/ml)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(15,108)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Cerebrospinal fluid - median (IQR)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220" w:rsidRPr="00E47C6A" w:rsidTr="0061637D">
        <w:trPr>
          <w:trHeight w:val="37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-Leucocytes total (x 10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3 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cells/ml)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(35,284)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(40,264)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(27,351)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0.493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-Neutrophils (%)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(0,32)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(0,20)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(0,45)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-Lymphocytes (%)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(68,100)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(80,100)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82.5 (51,100)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-Protein (g/l)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(0.6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,1.9)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,1.7)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 (0.8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,2.2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-Glucose (mmol/l)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(1.3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,2.7)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 (1.3,2.9)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,2.5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095220" w:rsidRPr="00E47C6A" w:rsidTr="0061637D">
        <w:trPr>
          <w:trHeight w:val="315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220" w:rsidRPr="00E47C6A" w:rsidRDefault="00095220" w:rsidP="0061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-Lactate (mmol/l)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 (3.5,6.5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 (3.6,6.4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4.89 (3.6,6.6</w:t>
            </w: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20" w:rsidRPr="00E47C6A" w:rsidRDefault="00095220" w:rsidP="0061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</w:tr>
    </w:tbl>
    <w:p w:rsidR="00095220" w:rsidRDefault="00095220" w:rsidP="00E47C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5220" w:rsidRPr="00791505" w:rsidRDefault="00095220" w:rsidP="000952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1505">
        <w:rPr>
          <w:rFonts w:ascii="Times New Roman" w:hAnsi="Times New Roman" w:cs="Times New Roman"/>
          <w:sz w:val="20"/>
          <w:szCs w:val="20"/>
        </w:rPr>
        <w:t>All summary statistics are absolute counts (%) for categorical variables and median (inter-quartile range = IQR) for continuous data. n refers to the number of patients with non-missing data for the corresponding variable.</w:t>
      </w:r>
    </w:p>
    <w:p w:rsidR="00095220" w:rsidRPr="00791505" w:rsidRDefault="00095220" w:rsidP="000952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1505">
        <w:rPr>
          <w:rFonts w:ascii="Times New Roman" w:hAnsi="Times New Roman" w:cs="Times New Roman"/>
          <w:sz w:val="20"/>
          <w:szCs w:val="20"/>
        </w:rPr>
        <w:t>p values are descriptive only and based on χ</w:t>
      </w:r>
      <w:r w:rsidRPr="007915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91505">
        <w:rPr>
          <w:rFonts w:ascii="Times New Roman" w:hAnsi="Times New Roman" w:cs="Times New Roman"/>
          <w:sz w:val="20"/>
          <w:szCs w:val="20"/>
        </w:rPr>
        <w:t xml:space="preserve"> test for categorical data and Mann-Whitney test for continuous data.</w:t>
      </w:r>
    </w:p>
    <w:p w:rsidR="00095220" w:rsidRPr="00791505" w:rsidRDefault="00095220" w:rsidP="000952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1505"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 w:rsidRPr="00791505">
        <w:rPr>
          <w:rFonts w:ascii="Times New Roman" w:hAnsi="Times New Roman" w:cs="Times New Roman"/>
          <w:sz w:val="20"/>
          <w:szCs w:val="20"/>
        </w:rPr>
        <w:t>BMRC denotes modified British Medical Research Council criteria. Grade I indicates a GCS of 15 with no neurologic signs (baseline), grade II a score of 11 to 14 (or 15 with focal neurologic signs), and grade III a score of 10 or less.</w:t>
      </w:r>
    </w:p>
    <w:p w:rsidR="00095220" w:rsidRPr="00791505" w:rsidRDefault="00095220" w:rsidP="000952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1505">
        <w:rPr>
          <w:rFonts w:ascii="Times New Roman" w:hAnsi="Times New Roman" w:cs="Times New Roman"/>
          <w:sz w:val="20"/>
          <w:szCs w:val="20"/>
        </w:rPr>
        <w:t>*Diagnostic categories were assigned according to the consensus case definition.</w:t>
      </w:r>
      <w:r w:rsidRPr="00791505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791505">
        <w:rPr>
          <w:rFonts w:ascii="Times New Roman" w:hAnsi="Times New Roman" w:cs="Times New Roman"/>
          <w:sz w:val="20"/>
          <w:szCs w:val="20"/>
        </w:rPr>
        <w:t>Patients with an unlikely diagnosis of tuberculous meningitis had a score of &lt;6. Confirmed other diagnosis was only made based on microbiological evidence (</w:t>
      </w:r>
      <w:r w:rsidRPr="00791505">
        <w:rPr>
          <w:rFonts w:ascii="Times New Roman" w:hAnsi="Times New Roman" w:cs="Times New Roman"/>
          <w:noProof/>
          <w:sz w:val="20"/>
          <w:szCs w:val="20"/>
        </w:rPr>
        <w:t xml:space="preserve">Marais et al.; The Lancet Infectious diseases. 2010; </w:t>
      </w:r>
      <w:r w:rsidRPr="007B50A3">
        <w:rPr>
          <w:rFonts w:ascii="Times New Roman" w:hAnsi="Times New Roman" w:cs="Times New Roman"/>
          <w:noProof/>
          <w:sz w:val="20"/>
          <w:szCs w:val="20"/>
        </w:rPr>
        <w:t>10(11</w:t>
      </w:r>
      <w:r w:rsidRPr="00791505">
        <w:rPr>
          <w:rFonts w:ascii="Times New Roman" w:hAnsi="Times New Roman" w:cs="Times New Roman"/>
          <w:noProof/>
          <w:sz w:val="20"/>
          <w:szCs w:val="20"/>
        </w:rPr>
        <w:t>): 803-12)</w:t>
      </w:r>
    </w:p>
    <w:p w:rsidR="00E47C6A" w:rsidRDefault="00E47C6A" w:rsidP="00846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7C6A" w:rsidRDefault="00E47C6A" w:rsidP="00846F15">
      <w:pPr>
        <w:rPr>
          <w:rFonts w:ascii="Times New Roman" w:hAnsi="Times New Roman" w:cs="Times New Roman"/>
          <w:sz w:val="24"/>
          <w:szCs w:val="24"/>
        </w:rPr>
        <w:sectPr w:rsidR="00E47C6A" w:rsidSect="00E47C6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4B67AF" w:rsidRDefault="00936A65" w:rsidP="00936A65">
      <w:pPr>
        <w:tabs>
          <w:tab w:val="left" w:pos="17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6A65">
        <w:rPr>
          <w:noProof/>
        </w:rPr>
        <w:lastRenderedPageBreak/>
        <w:drawing>
          <wp:inline distT="0" distB="0" distL="0" distR="0" wp14:anchorId="2895A5AA" wp14:editId="04761146">
            <wp:extent cx="5800299" cy="2264348"/>
            <wp:effectExtent l="0" t="0" r="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2639" cy="226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95B" w:rsidRPr="00E4757A" w:rsidRDefault="00922D8B" w:rsidP="001A78E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B18CB">
        <w:rPr>
          <w:rFonts w:ascii="Times New Roman" w:hAnsi="Times New Roman" w:cs="Times New Roman"/>
          <w:b/>
          <w:sz w:val="24"/>
          <w:szCs w:val="24"/>
        </w:rPr>
        <w:t>Figure S1.</w:t>
      </w:r>
      <w:r w:rsidRPr="003C44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5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57A" w:rsidRPr="00E475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Conversion of Ct values by GeneXpert to bacterial numbers</w:t>
      </w:r>
    </w:p>
    <w:p w:rsidR="00E523D7" w:rsidRPr="00E4757A" w:rsidRDefault="00E4757A" w:rsidP="00F84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r w:rsidRPr="00572FB2">
        <w:rPr>
          <w:rFonts w:ascii="Times New Roman" w:hAnsi="Times New Roman" w:cs="Times New Roman"/>
          <w:sz w:val="24"/>
          <w:szCs w:val="24"/>
        </w:rPr>
        <w:t>Standard curve of Ct values by GeneXpert versus log</w:t>
      </w:r>
      <w:r w:rsidRPr="00572FB2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572FB2">
        <w:rPr>
          <w:rFonts w:ascii="Times New Roman" w:hAnsi="Times New Roman" w:cs="Times New Roman"/>
          <w:sz w:val="24"/>
          <w:szCs w:val="24"/>
        </w:rPr>
        <w:t xml:space="preserve"> </w:t>
      </w:r>
      <w:r w:rsidR="002D66B4">
        <w:rPr>
          <w:rFonts w:ascii="Times New Roman" w:hAnsi="Times New Roman" w:cs="Times New Roman"/>
          <w:sz w:val="24"/>
          <w:szCs w:val="24"/>
        </w:rPr>
        <w:t>of</w:t>
      </w:r>
      <w:r w:rsidR="00E73614">
        <w:rPr>
          <w:rFonts w:ascii="Times New Roman" w:hAnsi="Times New Roman" w:cs="Times New Roman"/>
          <w:sz w:val="24"/>
          <w:szCs w:val="24"/>
        </w:rPr>
        <w:t xml:space="preserve"> </w:t>
      </w:r>
      <w:r w:rsidRPr="00572FB2">
        <w:rPr>
          <w:rFonts w:ascii="Times New Roman" w:hAnsi="Times New Roman" w:cs="Times New Roman"/>
          <w:sz w:val="24"/>
          <w:szCs w:val="24"/>
        </w:rPr>
        <w:t xml:space="preserve">colony forming units </w:t>
      </w:r>
      <w:r w:rsidR="00E73614">
        <w:rPr>
          <w:rFonts w:ascii="Times New Roman" w:hAnsi="Times New Roman" w:cs="Times New Roman"/>
          <w:sz w:val="24"/>
          <w:szCs w:val="24"/>
        </w:rPr>
        <w:t>(</w:t>
      </w:r>
      <w:r w:rsidRPr="00572FB2">
        <w:rPr>
          <w:rFonts w:ascii="Times New Roman" w:hAnsi="Times New Roman" w:cs="Times New Roman"/>
          <w:sz w:val="24"/>
          <w:szCs w:val="24"/>
        </w:rPr>
        <w:t>CFU)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2AFE">
        <w:rPr>
          <w:rFonts w:ascii="Times New Roman" w:hAnsi="Times New Roman" w:cs="Times New Roman"/>
          <w:sz w:val="24"/>
          <w:szCs w:val="24"/>
        </w:rPr>
        <w:t xml:space="preserve">BCG strain was cultured, </w:t>
      </w:r>
      <w:r w:rsidR="00B72AFE" w:rsidRPr="00D54147">
        <w:rPr>
          <w:rFonts w:ascii="Times New Roman" w:hAnsi="Times New Roman" w:cs="Times New Roman"/>
          <w:sz w:val="24"/>
          <w:szCs w:val="24"/>
        </w:rPr>
        <w:t xml:space="preserve">quantified </w:t>
      </w:r>
      <w:r w:rsidRPr="00572FB2">
        <w:rPr>
          <w:rFonts w:ascii="Times New Roman" w:hAnsi="Times New Roman" w:cs="Times New Roman"/>
          <w:sz w:val="24"/>
          <w:szCs w:val="24"/>
        </w:rPr>
        <w:t xml:space="preserve">by Miles and Misra method (The Journal of </w:t>
      </w:r>
      <w:r w:rsidR="002D66B4">
        <w:rPr>
          <w:rFonts w:ascii="Times New Roman" w:hAnsi="Times New Roman" w:cs="Times New Roman"/>
          <w:sz w:val="24"/>
          <w:szCs w:val="24"/>
        </w:rPr>
        <w:t>H</w:t>
      </w:r>
      <w:r w:rsidR="002D66B4" w:rsidRPr="00572FB2">
        <w:rPr>
          <w:rFonts w:ascii="Times New Roman" w:hAnsi="Times New Roman" w:cs="Times New Roman"/>
          <w:sz w:val="24"/>
          <w:szCs w:val="24"/>
        </w:rPr>
        <w:t>ygiene</w:t>
      </w:r>
      <w:r w:rsidRPr="00572FB2">
        <w:rPr>
          <w:rFonts w:ascii="Times New Roman" w:hAnsi="Times New Roman" w:cs="Times New Roman"/>
          <w:sz w:val="24"/>
          <w:szCs w:val="24"/>
        </w:rPr>
        <w:t>. 1938;38(6):732-49</w:t>
      </w:r>
      <w:r w:rsidRPr="00572FB2">
        <w:rPr>
          <w:rFonts w:ascii="Times New Roman" w:hAnsi="Times New Roman" w:cs="Times New Roman"/>
          <w:sz w:val="24"/>
          <w:szCs w:val="24"/>
        </w:rPr>
        <w:fldChar w:fldCharType="begin"/>
      </w:r>
      <w:r w:rsidRPr="00572FB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&lt;EndNote&gt;&lt;Cite&gt;&lt;Author&gt;Miles&lt;/Author&gt;&lt;Year&gt;1938&lt;/Year&gt;&lt;RecNum&gt;50&lt;/RecNum&gt;&lt;DisplayText&gt;(13)&lt;/DisplayText&gt;&lt;record&gt;&lt;rec-number&gt;50&lt;/rec-number&gt;&lt;foreign-keys&gt;&lt;key app="EN" db-id="29e9s5ptydppa2eevp9vdxwktpp0x9frprxa"&gt;50&lt;/key&gt;&lt;/foreign-keys&gt;&lt;ref-type name="Journal Article"&gt;17&lt;/ref-type&gt;&lt;contributors&gt;&lt;authors&gt;&lt;author&gt;Miles, A. A.&lt;/author&gt;&lt;author&gt;Misra, S. S.&lt;/author&gt;&lt;author&gt;Irwin, J. O.&lt;/author&gt;&lt;/authors&gt;&lt;/contributors&gt;&lt;titles&gt;&lt;title&gt;The estimation of the bactericidal power of the blood&lt;/title&gt;&lt;secondary-title&gt;J Hyg (Lond)&lt;/secondary-title&gt;&lt;alt-title&gt;The Journal of hygiene&lt;/alt-title&gt;&lt;/titles&gt;&lt;periodical&gt;&lt;full-title&gt;J Hyg (Lond)&lt;/full-title&gt;&lt;abbr-1&gt;The Journal of hygiene&lt;/abbr-1&gt;&lt;/periodical&gt;&lt;alt-periodical&gt;&lt;full-title&gt;J Hyg (Lond)&lt;/full-title&gt;&lt;abbr-1&gt;The Journal of hygiene&lt;/abbr-1&gt;&lt;/alt-periodical&gt;&lt;pages&gt;732-49&lt;/pages&gt;&lt;volume&gt;38&lt;/volume&gt;&lt;number&gt;6&lt;/number&gt;&lt;edition&gt;1938/11/01&lt;/edition&gt;&lt;dates&gt;&lt;year&gt;1938&lt;/year&gt;&lt;pub-dates&gt;&lt;date&gt;Nov&lt;/date&gt;&lt;/pub-dates&gt;&lt;/dates&gt;&lt;isbn&gt;0022-1724 (Print)&amp;#xD;0022-1724 (Linking)&lt;/isbn&gt;&lt;accession-num&gt;20475467&lt;/accession-num&gt;&lt;urls&gt;&lt;related-urls&gt;&lt;url&gt;http://www.ncbi.nlm.nih.gov/pubmed/20475467&lt;/url&gt;&lt;/related-urls&gt;&lt;/urls&gt;&lt;custom2&gt;2199673&lt;/custom2&gt;&lt;language&gt;eng&lt;/language&gt;&lt;/record&gt;&lt;/Cite&gt;&lt;/EndNote&gt;</w:instrText>
      </w:r>
      <w:r w:rsidRPr="00572FB2">
        <w:rPr>
          <w:rFonts w:ascii="Times New Roman" w:hAnsi="Times New Roman" w:cs="Times New Roman"/>
          <w:sz w:val="24"/>
          <w:szCs w:val="24"/>
        </w:rPr>
        <w:fldChar w:fldCharType="separate"/>
      </w:r>
      <w:r w:rsidRPr="00572FB2">
        <w:rPr>
          <w:rFonts w:ascii="Times New Roman" w:hAnsi="Times New Roman" w:cs="Times New Roman"/>
          <w:noProof/>
          <w:sz w:val="24"/>
          <w:szCs w:val="24"/>
        </w:rPr>
        <w:t>)</w:t>
      </w:r>
      <w:r w:rsidRPr="00572FB2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AFE">
        <w:rPr>
          <w:rFonts w:ascii="Times New Roman" w:hAnsi="Times New Roman" w:cs="Times New Roman"/>
          <w:sz w:val="24"/>
          <w:szCs w:val="24"/>
        </w:rPr>
        <w:t xml:space="preserve">and </w:t>
      </w:r>
      <w:r w:rsidR="00B72AFE" w:rsidRPr="00D54147">
        <w:rPr>
          <w:rFonts w:ascii="Times New Roman" w:hAnsi="Times New Roman" w:cs="Times New Roman"/>
          <w:sz w:val="24"/>
          <w:szCs w:val="24"/>
        </w:rPr>
        <w:t xml:space="preserve">tested with the GeneXpert </w:t>
      </w:r>
      <w:r w:rsidR="00B72AFE">
        <w:rPr>
          <w:rFonts w:ascii="Times New Roman" w:hAnsi="Times New Roman" w:cs="Times New Roman"/>
          <w:sz w:val="24"/>
          <w:szCs w:val="24"/>
        </w:rPr>
        <w:t>MTB</w:t>
      </w:r>
      <w:r w:rsidR="00B72AFE" w:rsidRPr="00D54147">
        <w:rPr>
          <w:rFonts w:ascii="Times New Roman" w:hAnsi="Times New Roman" w:cs="Times New Roman"/>
          <w:sz w:val="24"/>
          <w:szCs w:val="24"/>
        </w:rPr>
        <w:t>/RIF assay</w:t>
      </w:r>
      <w:r w:rsidR="00B72AFE">
        <w:rPr>
          <w:rFonts w:ascii="Times New Roman" w:hAnsi="Times New Roman" w:cs="Times New Roman"/>
          <w:sz w:val="24"/>
          <w:szCs w:val="24"/>
        </w:rPr>
        <w:t xml:space="preserve">. </w:t>
      </w:r>
      <w:r w:rsidR="00922D8B" w:rsidRPr="003C4455">
        <w:rPr>
          <w:rFonts w:ascii="Times New Roman" w:hAnsi="Times New Roman" w:cs="Times New Roman"/>
          <w:sz w:val="24"/>
          <w:szCs w:val="24"/>
        </w:rPr>
        <w:t>The standard curve obtained from DNA extracted from 10-fold dilutions of BCG from 10</w:t>
      </w:r>
      <w:r w:rsidR="000352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22D8B" w:rsidRPr="003C4455">
        <w:rPr>
          <w:rFonts w:ascii="Times New Roman" w:hAnsi="Times New Roman" w:cs="Times New Roman"/>
          <w:sz w:val="24"/>
          <w:szCs w:val="24"/>
        </w:rPr>
        <w:t xml:space="preserve"> to 10</w:t>
      </w:r>
      <w:r w:rsidR="00922D8B" w:rsidRPr="003C4455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922D8B" w:rsidRPr="003C4455">
        <w:rPr>
          <w:rFonts w:ascii="Times New Roman" w:hAnsi="Times New Roman" w:cs="Times New Roman"/>
          <w:sz w:val="24"/>
          <w:szCs w:val="24"/>
        </w:rPr>
        <w:t xml:space="preserve"> CFU showed coefficient of determination r</w:t>
      </w:r>
      <w:r w:rsidR="00922D8B" w:rsidRPr="003C44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22D8B" w:rsidRPr="003C4455">
        <w:rPr>
          <w:rFonts w:ascii="Times New Roman" w:hAnsi="Times New Roman" w:cs="Times New Roman"/>
          <w:sz w:val="24"/>
          <w:szCs w:val="24"/>
        </w:rPr>
        <w:t xml:space="preserve">=0.992 and the number of bacteria was converted from the Ct value by using the equation: </w:t>
      </w:r>
      <w:r w:rsidR="00922D8B" w:rsidRPr="003C4455">
        <w:rPr>
          <w:rFonts w:ascii="Times New Roman" w:eastAsia="Times New Roman" w:hAnsi="Times New Roman" w:cs="Times New Roman"/>
          <w:color w:val="000000"/>
          <w:sz w:val="24"/>
          <w:szCs w:val="24"/>
        </w:rPr>
        <w:t>y = - 0.243 x + 9.880.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(B) </w:t>
      </w:r>
      <w:r w:rsidRPr="00572FB2">
        <w:rPr>
          <w:rFonts w:ascii="Times New Roman" w:hAnsi="Times New Roman" w:cs="Times New Roman"/>
          <w:sz w:val="24"/>
          <w:szCs w:val="24"/>
        </w:rPr>
        <w:t>Ct values of CSF samples from TBM patients in the study were converted to number of bacteria using the standard curve in Figure 1A.</w:t>
      </w:r>
      <w:r w:rsidR="00E523D7">
        <w:rPr>
          <w:rFonts w:ascii="Times New Roman" w:hAnsi="Times New Roman" w:cs="Times New Roman"/>
          <w:sz w:val="24"/>
          <w:szCs w:val="24"/>
        </w:rPr>
        <w:t xml:space="preserve"> Bacterial numbers of </w:t>
      </w:r>
      <w:r w:rsidR="00E523D7" w:rsidRPr="00E4757A">
        <w:rPr>
          <w:rFonts w:ascii="Times New Roman" w:hAnsi="Times New Roman" w:cs="Times New Roman"/>
          <w:sz w:val="24"/>
          <w:szCs w:val="24"/>
        </w:rPr>
        <w:t xml:space="preserve">very low bacterial loads </w:t>
      </w:r>
      <w:r w:rsidR="00E523D7">
        <w:rPr>
          <w:rFonts w:ascii="Times New Roman" w:hAnsi="Times New Roman" w:cs="Times New Roman"/>
          <w:sz w:val="24"/>
          <w:szCs w:val="24"/>
        </w:rPr>
        <w:t>range from 8 to 1.2</w:t>
      </w:r>
      <w:r w:rsidR="00E523D7" w:rsidRPr="00F257EC">
        <w:rPr>
          <w:rFonts w:ascii="Times New Roman" w:hAnsi="Times New Roman" w:cs="Times New Roman"/>
          <w:sz w:val="24"/>
          <w:szCs w:val="24"/>
        </w:rPr>
        <w:sym w:font="Symbol" w:char="F0B4"/>
      </w:r>
      <w:r w:rsidR="00E523D7" w:rsidRPr="00F257EC">
        <w:rPr>
          <w:rFonts w:ascii="Times New Roman" w:hAnsi="Times New Roman" w:cs="Times New Roman"/>
          <w:sz w:val="24"/>
          <w:szCs w:val="24"/>
        </w:rPr>
        <w:t>10</w:t>
      </w:r>
      <w:r w:rsidR="00E523D7" w:rsidRPr="00F257E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523D7">
        <w:rPr>
          <w:rFonts w:ascii="Times New Roman" w:hAnsi="Times New Roman" w:cs="Times New Roman"/>
          <w:sz w:val="24"/>
          <w:szCs w:val="24"/>
        </w:rPr>
        <w:t xml:space="preserve"> (median = 0.</w:t>
      </w:r>
      <w:r w:rsidR="00E523D7" w:rsidRPr="00F257EC">
        <w:rPr>
          <w:rFonts w:ascii="Times New Roman" w:hAnsi="Times New Roman" w:cs="Times New Roman"/>
          <w:sz w:val="24"/>
          <w:szCs w:val="24"/>
        </w:rPr>
        <w:t>2</w:t>
      </w:r>
      <w:r w:rsidR="00E523D7" w:rsidRPr="00F257EC">
        <w:rPr>
          <w:rFonts w:ascii="Times New Roman" w:hAnsi="Times New Roman" w:cs="Times New Roman"/>
          <w:sz w:val="24"/>
          <w:szCs w:val="24"/>
        </w:rPr>
        <w:sym w:font="Symbol" w:char="F0B4"/>
      </w:r>
      <w:r w:rsidR="00E523D7" w:rsidRPr="00F257EC">
        <w:rPr>
          <w:rFonts w:ascii="Times New Roman" w:hAnsi="Times New Roman" w:cs="Times New Roman"/>
          <w:sz w:val="24"/>
          <w:szCs w:val="24"/>
        </w:rPr>
        <w:t>10</w:t>
      </w:r>
      <w:r w:rsidR="00E523D7" w:rsidRPr="00F257E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523D7">
        <w:rPr>
          <w:rFonts w:ascii="Times New Roman" w:hAnsi="Times New Roman" w:cs="Times New Roman"/>
          <w:sz w:val="24"/>
          <w:szCs w:val="24"/>
        </w:rPr>
        <w:t xml:space="preserve">/ reaction), </w:t>
      </w:r>
      <w:r w:rsidR="00E523D7" w:rsidRPr="00E4757A">
        <w:rPr>
          <w:rFonts w:ascii="Times New Roman" w:hAnsi="Times New Roman" w:cs="Times New Roman"/>
          <w:sz w:val="24"/>
          <w:szCs w:val="24"/>
        </w:rPr>
        <w:t>low loads</w:t>
      </w:r>
      <w:r w:rsidR="00E523D7">
        <w:rPr>
          <w:rFonts w:ascii="Times New Roman" w:hAnsi="Times New Roman" w:cs="Times New Roman"/>
          <w:sz w:val="24"/>
          <w:szCs w:val="24"/>
        </w:rPr>
        <w:t xml:space="preserve"> range from 1.2</w:t>
      </w:r>
      <w:r w:rsidR="00E523D7" w:rsidRPr="00F257EC">
        <w:rPr>
          <w:rFonts w:ascii="Times New Roman" w:hAnsi="Times New Roman" w:cs="Times New Roman"/>
          <w:sz w:val="24"/>
          <w:szCs w:val="24"/>
        </w:rPr>
        <w:sym w:font="Symbol" w:char="F0B4"/>
      </w:r>
      <w:r w:rsidR="00E523D7" w:rsidRPr="00F257EC">
        <w:rPr>
          <w:rFonts w:ascii="Times New Roman" w:hAnsi="Times New Roman" w:cs="Times New Roman"/>
          <w:sz w:val="24"/>
          <w:szCs w:val="24"/>
        </w:rPr>
        <w:t>10</w:t>
      </w:r>
      <w:r w:rsidR="00E523D7" w:rsidRPr="00F257E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523D7">
        <w:rPr>
          <w:rFonts w:ascii="Times New Roman" w:hAnsi="Times New Roman" w:cs="Times New Roman"/>
          <w:sz w:val="24"/>
          <w:szCs w:val="24"/>
        </w:rPr>
        <w:t xml:space="preserve">  to 34.7</w:t>
      </w:r>
      <w:r w:rsidR="00E523D7" w:rsidRPr="00F257EC">
        <w:rPr>
          <w:rFonts w:ascii="Times New Roman" w:hAnsi="Times New Roman" w:cs="Times New Roman"/>
          <w:sz w:val="24"/>
          <w:szCs w:val="24"/>
        </w:rPr>
        <w:sym w:font="Symbol" w:char="F0B4"/>
      </w:r>
      <w:r w:rsidR="00E523D7" w:rsidRPr="00F257EC">
        <w:rPr>
          <w:rFonts w:ascii="Times New Roman" w:hAnsi="Times New Roman" w:cs="Times New Roman"/>
          <w:sz w:val="24"/>
          <w:szCs w:val="24"/>
        </w:rPr>
        <w:t>10</w:t>
      </w:r>
      <w:r w:rsidR="00E523D7" w:rsidRPr="00F257E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523D7">
        <w:rPr>
          <w:rFonts w:ascii="Times New Roman" w:hAnsi="Times New Roman" w:cs="Times New Roman"/>
          <w:sz w:val="24"/>
          <w:szCs w:val="24"/>
        </w:rPr>
        <w:t xml:space="preserve">  (median = 3.7</w:t>
      </w:r>
      <w:r w:rsidR="00E523D7" w:rsidRPr="00F257EC">
        <w:rPr>
          <w:rFonts w:ascii="Times New Roman" w:hAnsi="Times New Roman" w:cs="Times New Roman"/>
          <w:sz w:val="24"/>
          <w:szCs w:val="24"/>
        </w:rPr>
        <w:sym w:font="Symbol" w:char="F0B4"/>
      </w:r>
      <w:r w:rsidR="00E523D7" w:rsidRPr="00F257EC">
        <w:rPr>
          <w:rFonts w:ascii="Times New Roman" w:hAnsi="Times New Roman" w:cs="Times New Roman"/>
          <w:sz w:val="24"/>
          <w:szCs w:val="24"/>
        </w:rPr>
        <w:t>10</w:t>
      </w:r>
      <w:r w:rsidR="00E523D7" w:rsidRPr="00F257E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523D7">
        <w:rPr>
          <w:rFonts w:ascii="Times New Roman" w:hAnsi="Times New Roman" w:cs="Times New Roman"/>
          <w:sz w:val="24"/>
          <w:szCs w:val="24"/>
        </w:rPr>
        <w:t xml:space="preserve">/ reaction) and </w:t>
      </w:r>
      <w:r w:rsidR="00E523D7" w:rsidRPr="00E4757A">
        <w:rPr>
          <w:rFonts w:ascii="Times New Roman" w:hAnsi="Times New Roman" w:cs="Times New Roman"/>
          <w:sz w:val="24"/>
          <w:szCs w:val="24"/>
        </w:rPr>
        <w:t>medium loads</w:t>
      </w:r>
      <w:r w:rsidR="00E523D7">
        <w:rPr>
          <w:rFonts w:ascii="Times New Roman" w:hAnsi="Times New Roman" w:cs="Times New Roman"/>
          <w:sz w:val="24"/>
          <w:szCs w:val="24"/>
        </w:rPr>
        <w:t xml:space="preserve"> range from 34.7</w:t>
      </w:r>
      <w:r w:rsidR="00E523D7" w:rsidRPr="00F257EC">
        <w:rPr>
          <w:rFonts w:ascii="Times New Roman" w:hAnsi="Times New Roman" w:cs="Times New Roman"/>
          <w:sz w:val="24"/>
          <w:szCs w:val="24"/>
        </w:rPr>
        <w:sym w:font="Symbol" w:char="F0B4"/>
      </w:r>
      <w:r w:rsidR="00E523D7" w:rsidRPr="00F257EC">
        <w:rPr>
          <w:rFonts w:ascii="Times New Roman" w:hAnsi="Times New Roman" w:cs="Times New Roman"/>
          <w:sz w:val="24"/>
          <w:szCs w:val="24"/>
        </w:rPr>
        <w:t>10</w:t>
      </w:r>
      <w:r w:rsidR="00E523D7" w:rsidRPr="00F257E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523D7">
        <w:rPr>
          <w:rFonts w:ascii="Times New Roman" w:hAnsi="Times New Roman" w:cs="Times New Roman"/>
          <w:sz w:val="24"/>
          <w:szCs w:val="24"/>
        </w:rPr>
        <w:t xml:space="preserve">  to 324.6</w:t>
      </w:r>
      <w:r w:rsidR="00E523D7" w:rsidRPr="00F257EC">
        <w:rPr>
          <w:rFonts w:ascii="Times New Roman" w:hAnsi="Times New Roman" w:cs="Times New Roman"/>
          <w:sz w:val="24"/>
          <w:szCs w:val="24"/>
        </w:rPr>
        <w:sym w:font="Symbol" w:char="F0B4"/>
      </w:r>
      <w:r w:rsidR="00E523D7" w:rsidRPr="00F257EC">
        <w:rPr>
          <w:rFonts w:ascii="Times New Roman" w:hAnsi="Times New Roman" w:cs="Times New Roman"/>
          <w:sz w:val="24"/>
          <w:szCs w:val="24"/>
        </w:rPr>
        <w:t>10</w:t>
      </w:r>
      <w:r w:rsidR="00E523D7" w:rsidRPr="00F257E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523D7">
        <w:rPr>
          <w:rFonts w:ascii="Times New Roman" w:hAnsi="Times New Roman" w:cs="Times New Roman"/>
          <w:sz w:val="24"/>
          <w:szCs w:val="24"/>
        </w:rPr>
        <w:t xml:space="preserve">  (median = 34.7</w:t>
      </w:r>
      <w:r w:rsidR="00E523D7" w:rsidRPr="00F257EC">
        <w:rPr>
          <w:rFonts w:ascii="Times New Roman" w:hAnsi="Times New Roman" w:cs="Times New Roman"/>
          <w:sz w:val="24"/>
          <w:szCs w:val="24"/>
        </w:rPr>
        <w:sym w:font="Symbol" w:char="F0B4"/>
      </w:r>
      <w:r w:rsidR="00E523D7" w:rsidRPr="00F257EC">
        <w:rPr>
          <w:rFonts w:ascii="Times New Roman" w:hAnsi="Times New Roman" w:cs="Times New Roman"/>
          <w:sz w:val="24"/>
          <w:szCs w:val="24"/>
        </w:rPr>
        <w:t>10</w:t>
      </w:r>
      <w:r w:rsidR="00E523D7" w:rsidRPr="00F257E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523D7">
        <w:rPr>
          <w:rFonts w:ascii="Times New Roman" w:hAnsi="Times New Roman" w:cs="Times New Roman"/>
          <w:sz w:val="24"/>
          <w:szCs w:val="24"/>
        </w:rPr>
        <w:t>/ reaction). Volumes of CSF per reaction range from 1</w:t>
      </w:r>
      <w:r w:rsidR="002B18CB">
        <w:rPr>
          <w:rFonts w:ascii="Times New Roman" w:hAnsi="Times New Roman" w:cs="Times New Roman"/>
          <w:sz w:val="24"/>
          <w:szCs w:val="24"/>
        </w:rPr>
        <w:t>.0</w:t>
      </w:r>
      <w:r w:rsidR="00E523D7">
        <w:rPr>
          <w:rFonts w:ascii="Times New Roman" w:hAnsi="Times New Roman" w:cs="Times New Roman"/>
          <w:sz w:val="24"/>
          <w:szCs w:val="24"/>
        </w:rPr>
        <w:t xml:space="preserve">-1.7 ml </w:t>
      </w:r>
      <w:r w:rsidR="002B18CB">
        <w:rPr>
          <w:rFonts w:ascii="Times New Roman" w:hAnsi="Times New Roman" w:cs="Times New Roman"/>
          <w:sz w:val="24"/>
          <w:szCs w:val="24"/>
        </w:rPr>
        <w:t>(one third of 3-5 m</w:t>
      </w:r>
      <w:r w:rsidR="006E3F95">
        <w:rPr>
          <w:rFonts w:ascii="Times New Roman" w:hAnsi="Times New Roman" w:cs="Times New Roman"/>
          <w:sz w:val="24"/>
          <w:szCs w:val="24"/>
        </w:rPr>
        <w:t>l</w:t>
      </w:r>
      <w:r w:rsidR="002B18CB">
        <w:rPr>
          <w:rFonts w:ascii="Times New Roman" w:hAnsi="Times New Roman" w:cs="Times New Roman"/>
          <w:sz w:val="24"/>
          <w:szCs w:val="24"/>
        </w:rPr>
        <w:t xml:space="preserve"> sample) </w:t>
      </w:r>
      <w:r w:rsidR="00E523D7">
        <w:rPr>
          <w:rFonts w:ascii="Times New Roman" w:hAnsi="Times New Roman" w:cs="Times New Roman"/>
          <w:sz w:val="24"/>
          <w:szCs w:val="24"/>
        </w:rPr>
        <w:t xml:space="preserve">depending on </w:t>
      </w:r>
      <w:r w:rsidR="002B18CB">
        <w:rPr>
          <w:rFonts w:ascii="Times New Roman" w:hAnsi="Times New Roman" w:cs="Times New Roman"/>
          <w:sz w:val="24"/>
          <w:szCs w:val="24"/>
        </w:rPr>
        <w:t>the</w:t>
      </w:r>
      <w:r w:rsidR="00E73614">
        <w:rPr>
          <w:rFonts w:ascii="Times New Roman" w:hAnsi="Times New Roman" w:cs="Times New Roman"/>
          <w:sz w:val="24"/>
          <w:szCs w:val="24"/>
        </w:rPr>
        <w:t xml:space="preserve"> </w:t>
      </w:r>
      <w:r w:rsidR="00E523D7">
        <w:rPr>
          <w:rFonts w:ascii="Times New Roman" w:hAnsi="Times New Roman" w:cs="Times New Roman"/>
          <w:sz w:val="24"/>
          <w:szCs w:val="24"/>
        </w:rPr>
        <w:t xml:space="preserve">sample </w:t>
      </w:r>
      <w:r w:rsidR="002B18CB">
        <w:rPr>
          <w:rFonts w:ascii="Times New Roman" w:hAnsi="Times New Roman" w:cs="Times New Roman"/>
          <w:sz w:val="24"/>
          <w:szCs w:val="24"/>
        </w:rPr>
        <w:t xml:space="preserve">collected from </w:t>
      </w:r>
      <w:r w:rsidR="00E523D7">
        <w:rPr>
          <w:rFonts w:ascii="Times New Roman" w:hAnsi="Times New Roman" w:cs="Times New Roman"/>
          <w:sz w:val="24"/>
          <w:szCs w:val="24"/>
        </w:rPr>
        <w:t xml:space="preserve">each patient. </w:t>
      </w:r>
    </w:p>
    <w:p w:rsidR="00E4757A" w:rsidRDefault="00E4757A" w:rsidP="00E475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B67AF" w:rsidRDefault="004B67AF" w:rsidP="001A78ED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4B67AF" w:rsidRDefault="004B67AF" w:rsidP="00846F15">
      <w:pPr>
        <w:rPr>
          <w:rFonts w:ascii="Times New Roman" w:hAnsi="Times New Roman" w:cs="Times New Roman"/>
          <w:sz w:val="24"/>
          <w:szCs w:val="24"/>
        </w:rPr>
      </w:pPr>
    </w:p>
    <w:p w:rsidR="004B67AF" w:rsidRDefault="004B67AF" w:rsidP="00846F15">
      <w:pPr>
        <w:rPr>
          <w:rFonts w:ascii="Times New Roman" w:hAnsi="Times New Roman" w:cs="Times New Roman"/>
          <w:sz w:val="24"/>
          <w:szCs w:val="24"/>
        </w:rPr>
      </w:pPr>
    </w:p>
    <w:p w:rsidR="004B67AF" w:rsidRDefault="004B67AF" w:rsidP="00846F15">
      <w:pPr>
        <w:rPr>
          <w:rFonts w:ascii="Times New Roman" w:hAnsi="Times New Roman" w:cs="Times New Roman"/>
          <w:sz w:val="24"/>
          <w:szCs w:val="24"/>
        </w:rPr>
      </w:pPr>
    </w:p>
    <w:p w:rsidR="004B67AF" w:rsidRDefault="004B67AF" w:rsidP="00846F15">
      <w:pPr>
        <w:rPr>
          <w:rFonts w:ascii="Times New Roman" w:hAnsi="Times New Roman" w:cs="Times New Roman"/>
          <w:sz w:val="24"/>
          <w:szCs w:val="24"/>
        </w:rPr>
      </w:pPr>
    </w:p>
    <w:p w:rsidR="004B67AF" w:rsidRDefault="004B67AF" w:rsidP="00846F15">
      <w:pPr>
        <w:rPr>
          <w:rFonts w:ascii="Times New Roman" w:hAnsi="Times New Roman" w:cs="Times New Roman"/>
          <w:sz w:val="24"/>
          <w:szCs w:val="24"/>
        </w:rPr>
      </w:pPr>
    </w:p>
    <w:p w:rsidR="004B67AF" w:rsidRDefault="004B67AF" w:rsidP="00846F15">
      <w:pPr>
        <w:rPr>
          <w:rFonts w:ascii="Times New Roman" w:hAnsi="Times New Roman" w:cs="Times New Roman"/>
          <w:sz w:val="24"/>
          <w:szCs w:val="24"/>
        </w:rPr>
      </w:pPr>
    </w:p>
    <w:p w:rsidR="004B67AF" w:rsidRDefault="004B67AF" w:rsidP="00846F15">
      <w:pPr>
        <w:rPr>
          <w:rFonts w:ascii="Times New Roman" w:hAnsi="Times New Roman" w:cs="Times New Roman"/>
          <w:sz w:val="24"/>
          <w:szCs w:val="24"/>
        </w:rPr>
      </w:pPr>
    </w:p>
    <w:p w:rsidR="004B67AF" w:rsidRDefault="004B67AF" w:rsidP="00846F15">
      <w:pPr>
        <w:rPr>
          <w:rFonts w:ascii="Times New Roman" w:hAnsi="Times New Roman" w:cs="Times New Roman"/>
          <w:sz w:val="24"/>
          <w:szCs w:val="24"/>
        </w:rPr>
      </w:pPr>
    </w:p>
    <w:p w:rsidR="004B67AF" w:rsidRDefault="008E3E38" w:rsidP="00846F15">
      <w:pPr>
        <w:rPr>
          <w:rFonts w:ascii="Times New Roman" w:hAnsi="Times New Roman" w:cs="Times New Roman"/>
          <w:sz w:val="24"/>
          <w:szCs w:val="24"/>
        </w:rPr>
      </w:pPr>
      <w:r w:rsidRPr="008E3E3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3B97262D" wp14:editId="30A05B07">
            <wp:simplePos x="0" y="0"/>
            <wp:positionH relativeFrom="margin">
              <wp:posOffset>1248355</wp:posOffset>
            </wp:positionH>
            <wp:positionV relativeFrom="margin">
              <wp:posOffset>270344</wp:posOffset>
            </wp:positionV>
            <wp:extent cx="3937883" cy="2574373"/>
            <wp:effectExtent l="19050" t="19050" r="26670" b="14605"/>
            <wp:wrapTight wrapText="bothSides">
              <wp:wrapPolygon edited="0">
                <wp:start x="-105" y="-160"/>
                <wp:lineTo x="-105" y="21563"/>
                <wp:lineTo x="21642" y="21563"/>
                <wp:lineTo x="21642" y="-160"/>
                <wp:lineTo x="-105" y="-160"/>
              </wp:wrapPolygon>
            </wp:wrapTight>
            <wp:docPr id="1" name="Picture 10" descr="W:\05TB\MtbLOAD\Analyse to 2017\Vinh\HinhTongHo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W:\05TB\MtbLOAD\Analyse to 2017\Vinh\HinhTongHo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904" b="73239"/>
                    <a:stretch/>
                  </pic:blipFill>
                  <pic:spPr bwMode="auto">
                    <a:xfrm>
                      <a:off x="0" y="0"/>
                      <a:ext cx="3935730" cy="2576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</wp:anchor>
        </w:drawing>
      </w:r>
    </w:p>
    <w:p w:rsidR="004B67AF" w:rsidRDefault="004B67AF" w:rsidP="00846F15">
      <w:pPr>
        <w:rPr>
          <w:rFonts w:ascii="Times New Roman" w:hAnsi="Times New Roman" w:cs="Times New Roman"/>
          <w:sz w:val="24"/>
          <w:szCs w:val="24"/>
        </w:rPr>
      </w:pPr>
    </w:p>
    <w:p w:rsidR="00F84096" w:rsidRDefault="00F84096" w:rsidP="001A78E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84096" w:rsidRDefault="00F84096" w:rsidP="001A78E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84096" w:rsidRDefault="00F84096" w:rsidP="001A78E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84096" w:rsidRDefault="00F84096" w:rsidP="001A78E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84096" w:rsidRDefault="00F84096" w:rsidP="001A78E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84096" w:rsidRDefault="00F84096" w:rsidP="001A78E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E3F95" w:rsidRDefault="006E3F95" w:rsidP="001A78E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0795B" w:rsidRPr="003C4455" w:rsidRDefault="00922D8B" w:rsidP="001A78ED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4455">
        <w:rPr>
          <w:rFonts w:ascii="Times New Roman" w:hAnsi="Times New Roman" w:cs="Times New Roman"/>
          <w:b/>
          <w:sz w:val="24"/>
          <w:szCs w:val="24"/>
        </w:rPr>
        <w:t>Figure S2.</w:t>
      </w:r>
      <w:r w:rsidRPr="003C4455">
        <w:rPr>
          <w:rFonts w:ascii="Times New Roman" w:hAnsi="Times New Roman" w:cs="Times New Roman"/>
          <w:sz w:val="24"/>
          <w:szCs w:val="24"/>
        </w:rPr>
        <w:t xml:space="preserve"> </w:t>
      </w:r>
      <w:r w:rsidRPr="003C4455">
        <w:rPr>
          <w:rFonts w:ascii="Times New Roman" w:hAnsi="Times New Roman" w:cs="Times New Roman"/>
          <w:b/>
          <w:sz w:val="24"/>
          <w:szCs w:val="24"/>
        </w:rPr>
        <w:t xml:space="preserve">Coefficients of ten cytokines by </w:t>
      </w:r>
      <w:r w:rsidRPr="003C4455">
        <w:rPr>
          <w:rFonts w:ascii="Times New Roman" w:hAnsi="Times New Roman" w:cs="Times New Roman"/>
          <w:b/>
          <w:color w:val="000000"/>
          <w:sz w:val="24"/>
          <w:szCs w:val="24"/>
        </w:rPr>
        <w:t>pr</w:t>
      </w:r>
      <w:r w:rsidR="0030795B" w:rsidRPr="003C4455">
        <w:rPr>
          <w:rFonts w:ascii="Times New Roman" w:hAnsi="Times New Roman" w:cs="Times New Roman"/>
          <w:b/>
          <w:color w:val="000000"/>
          <w:sz w:val="24"/>
          <w:szCs w:val="24"/>
        </w:rPr>
        <w:t>incipal component analysis</w:t>
      </w:r>
      <w:r w:rsidR="0030795B" w:rsidRPr="003C4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5852" w:rsidRPr="003C4455">
        <w:rPr>
          <w:rFonts w:ascii="Times New Roman" w:hAnsi="Times New Roman" w:cs="Times New Roman"/>
          <w:b/>
          <w:color w:val="000000"/>
          <w:sz w:val="24"/>
          <w:szCs w:val="24"/>
        </w:rPr>
        <w:t>(PC</w:t>
      </w:r>
      <w:r w:rsidR="00F65852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F65852" w:rsidRPr="003C445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514D18" w:rsidRPr="003C4455" w:rsidRDefault="0030795B" w:rsidP="00F84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4455">
        <w:rPr>
          <w:rFonts w:ascii="Times New Roman" w:hAnsi="Times New Roman" w:cs="Times New Roman"/>
          <w:color w:val="000000"/>
          <w:sz w:val="24"/>
          <w:szCs w:val="24"/>
        </w:rPr>
        <w:t xml:space="preserve">Baseline concentrations of the ten CSF cytokines, consisting of </w:t>
      </w:r>
      <w:r w:rsidRPr="003C4455">
        <w:rPr>
          <w:rFonts w:ascii="Times New Roman" w:hAnsi="Times New Roman" w:cs="Times New Roman"/>
          <w:sz w:val="24"/>
          <w:szCs w:val="24"/>
        </w:rPr>
        <w:t>IL-1β, IL-2, IL-4, IL-5, IL-6, IL-10, IL-12p70, IL-13, IFN-γ, TNF-α,</w:t>
      </w:r>
      <w:r w:rsidRPr="003C4455">
        <w:rPr>
          <w:rFonts w:ascii="Times New Roman" w:hAnsi="Times New Roman" w:cs="Times New Roman"/>
          <w:color w:val="000000"/>
          <w:sz w:val="24"/>
          <w:szCs w:val="24"/>
        </w:rPr>
        <w:t xml:space="preserve"> were analysed using </w:t>
      </w:r>
      <w:r w:rsidR="001A78ED" w:rsidRPr="003C4455">
        <w:rPr>
          <w:rFonts w:ascii="Times New Roman" w:hAnsi="Times New Roman" w:cs="Times New Roman"/>
          <w:color w:val="000000"/>
          <w:sz w:val="24"/>
          <w:szCs w:val="24"/>
        </w:rPr>
        <w:t>PC</w:t>
      </w:r>
      <w:r w:rsidR="00F6585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C445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C4455">
        <w:rPr>
          <w:rFonts w:ascii="Times New Roman" w:hAnsi="Times New Roman" w:cs="Times New Roman"/>
          <w:sz w:val="24"/>
          <w:szCs w:val="24"/>
        </w:rPr>
        <w:t xml:space="preserve"> </w:t>
      </w:r>
      <w:r w:rsidR="00922D8B" w:rsidRPr="003C4455">
        <w:rPr>
          <w:rFonts w:ascii="Times New Roman" w:hAnsi="Times New Roman" w:cs="Times New Roman"/>
          <w:sz w:val="24"/>
          <w:szCs w:val="24"/>
        </w:rPr>
        <w:t xml:space="preserve">The center of the panel corresponds to the data point that has average cytokine value, the PC1 shows the scale of the cytokine </w:t>
      </w:r>
      <w:r w:rsidR="00F65852">
        <w:rPr>
          <w:rFonts w:ascii="Times New Roman" w:hAnsi="Times New Roman" w:cs="Times New Roman"/>
          <w:sz w:val="24"/>
          <w:szCs w:val="24"/>
        </w:rPr>
        <w:t xml:space="preserve">concentration </w:t>
      </w:r>
      <w:r w:rsidR="00CB71CC">
        <w:rPr>
          <w:rFonts w:ascii="Times New Roman" w:hAnsi="Times New Roman" w:cs="Times New Roman"/>
          <w:sz w:val="24"/>
          <w:szCs w:val="24"/>
        </w:rPr>
        <w:t>representing</w:t>
      </w:r>
      <w:r w:rsidR="00922D8B" w:rsidRPr="003C4455">
        <w:rPr>
          <w:rFonts w:ascii="Times New Roman" w:hAnsi="Times New Roman" w:cs="Times New Roman"/>
          <w:sz w:val="24"/>
          <w:szCs w:val="24"/>
        </w:rPr>
        <w:t xml:space="preserve"> 71.</w:t>
      </w:r>
      <w:r w:rsidR="00265D73">
        <w:rPr>
          <w:rFonts w:ascii="Times New Roman" w:hAnsi="Times New Roman" w:cs="Times New Roman"/>
          <w:sz w:val="24"/>
          <w:szCs w:val="24"/>
        </w:rPr>
        <w:t>37</w:t>
      </w:r>
      <w:r w:rsidR="00922D8B" w:rsidRPr="003C4455">
        <w:rPr>
          <w:rFonts w:ascii="Times New Roman" w:hAnsi="Times New Roman" w:cs="Times New Roman"/>
          <w:sz w:val="24"/>
          <w:szCs w:val="24"/>
        </w:rPr>
        <w:t>% of the variance, and PC2 contributing 6.</w:t>
      </w:r>
      <w:r w:rsidR="00265D73">
        <w:rPr>
          <w:rFonts w:ascii="Times New Roman" w:hAnsi="Times New Roman" w:cs="Times New Roman"/>
          <w:sz w:val="24"/>
          <w:szCs w:val="24"/>
        </w:rPr>
        <w:t>38</w:t>
      </w:r>
      <w:r w:rsidR="00922D8B" w:rsidRPr="003C4455">
        <w:rPr>
          <w:rFonts w:ascii="Times New Roman" w:hAnsi="Times New Roman" w:cs="Times New Roman"/>
          <w:sz w:val="24"/>
          <w:szCs w:val="24"/>
        </w:rPr>
        <w:t xml:space="preserve">% of the variance.  </w:t>
      </w:r>
      <w:r w:rsidR="00514D18" w:rsidRPr="00F257EC">
        <w:rPr>
          <w:rFonts w:ascii="Times New Roman" w:hAnsi="Times New Roman" w:cs="Times New Roman"/>
          <w:sz w:val="24"/>
          <w:szCs w:val="24"/>
        </w:rPr>
        <w:t xml:space="preserve">Because all of the coefficients </w:t>
      </w:r>
      <w:r w:rsidR="00096487">
        <w:rPr>
          <w:rFonts w:ascii="Times New Roman" w:hAnsi="Times New Roman" w:cs="Times New Roman"/>
          <w:sz w:val="24"/>
          <w:szCs w:val="24"/>
        </w:rPr>
        <w:t>a</w:t>
      </w:r>
      <w:r w:rsidR="00514D18" w:rsidRPr="00F257EC">
        <w:rPr>
          <w:rFonts w:ascii="Times New Roman" w:hAnsi="Times New Roman" w:cs="Times New Roman"/>
          <w:sz w:val="24"/>
          <w:szCs w:val="24"/>
        </w:rPr>
        <w:t>re located in quadrant</w:t>
      </w:r>
      <w:r w:rsidR="00096487">
        <w:rPr>
          <w:rFonts w:ascii="Times New Roman" w:hAnsi="Times New Roman" w:cs="Times New Roman"/>
          <w:sz w:val="24"/>
          <w:szCs w:val="24"/>
        </w:rPr>
        <w:t>s</w:t>
      </w:r>
      <w:r w:rsidR="00514D18" w:rsidRPr="00F257EC">
        <w:rPr>
          <w:rFonts w:ascii="Times New Roman" w:hAnsi="Times New Roman" w:cs="Times New Roman"/>
          <w:sz w:val="24"/>
          <w:szCs w:val="24"/>
        </w:rPr>
        <w:t xml:space="preserve"> I and IV, </w:t>
      </w:r>
      <w:r w:rsidR="00514D18">
        <w:rPr>
          <w:rFonts w:ascii="Times New Roman" w:hAnsi="Times New Roman" w:cs="Times New Roman"/>
          <w:sz w:val="24"/>
          <w:szCs w:val="24"/>
        </w:rPr>
        <w:t>a</w:t>
      </w:r>
      <w:r w:rsidR="00514D18" w:rsidRPr="00F257EC">
        <w:rPr>
          <w:rFonts w:ascii="Times New Roman" w:hAnsi="Times New Roman" w:cs="Times New Roman"/>
          <w:sz w:val="24"/>
          <w:szCs w:val="24"/>
        </w:rPr>
        <w:t xml:space="preserve"> positive value of PC1 implies high concentration across all cytokines. In other words, these cytokines were in strong co-co</w:t>
      </w:r>
      <w:r w:rsidR="00514D18">
        <w:rPr>
          <w:rFonts w:ascii="Times New Roman" w:hAnsi="Times New Roman" w:cs="Times New Roman"/>
          <w:sz w:val="24"/>
          <w:szCs w:val="24"/>
        </w:rPr>
        <w:t xml:space="preserve">rrelation with each other. </w:t>
      </w:r>
      <w:r w:rsidR="00096487">
        <w:rPr>
          <w:rFonts w:ascii="Times New Roman" w:hAnsi="Times New Roman" w:cs="Times New Roman"/>
          <w:sz w:val="24"/>
          <w:szCs w:val="24"/>
        </w:rPr>
        <w:t>Meanw</w:t>
      </w:r>
      <w:r w:rsidR="00514D18" w:rsidRPr="00F257EC">
        <w:rPr>
          <w:rFonts w:ascii="Times New Roman" w:hAnsi="Times New Roman" w:cs="Times New Roman"/>
          <w:sz w:val="24"/>
          <w:szCs w:val="24"/>
        </w:rPr>
        <w:t>hile the PC2</w:t>
      </w:r>
      <w:r w:rsidR="00514D18">
        <w:rPr>
          <w:rFonts w:ascii="Times New Roman" w:hAnsi="Times New Roman" w:cs="Times New Roman"/>
          <w:sz w:val="24"/>
          <w:szCs w:val="24"/>
        </w:rPr>
        <w:t xml:space="preserve"> </w:t>
      </w:r>
      <w:r w:rsidR="00514D18" w:rsidRPr="00F257EC">
        <w:rPr>
          <w:rFonts w:ascii="Times New Roman" w:hAnsi="Times New Roman" w:cs="Times New Roman"/>
          <w:sz w:val="24"/>
          <w:szCs w:val="24"/>
        </w:rPr>
        <w:t>explains the difference in cytokine concentrations of two groups</w:t>
      </w:r>
      <w:r w:rsidR="00514D18">
        <w:rPr>
          <w:rFonts w:ascii="Times New Roman" w:hAnsi="Times New Roman" w:cs="Times New Roman"/>
          <w:sz w:val="24"/>
          <w:szCs w:val="24"/>
        </w:rPr>
        <w:t xml:space="preserve">, which are </w:t>
      </w:r>
      <w:r w:rsidR="00514D18" w:rsidRPr="00F257EC">
        <w:rPr>
          <w:rFonts w:ascii="Times New Roman" w:hAnsi="Times New Roman" w:cs="Times New Roman"/>
          <w:sz w:val="24"/>
          <w:szCs w:val="24"/>
        </w:rPr>
        <w:t>IL-13, IFN-γ, IL-10</w:t>
      </w:r>
      <w:r w:rsidR="00514D18">
        <w:rPr>
          <w:rFonts w:ascii="Times New Roman" w:hAnsi="Times New Roman" w:cs="Times New Roman"/>
          <w:sz w:val="24"/>
          <w:szCs w:val="24"/>
        </w:rPr>
        <w:t xml:space="preserve"> and</w:t>
      </w:r>
      <w:r w:rsidR="00514D18" w:rsidRPr="00F257EC">
        <w:rPr>
          <w:rFonts w:ascii="Times New Roman" w:hAnsi="Times New Roman" w:cs="Times New Roman"/>
          <w:sz w:val="24"/>
          <w:szCs w:val="24"/>
        </w:rPr>
        <w:t xml:space="preserve"> IL-5 </w:t>
      </w:r>
      <w:r w:rsidR="00514D18">
        <w:rPr>
          <w:rFonts w:ascii="Times New Roman" w:hAnsi="Times New Roman" w:cs="Times New Roman"/>
          <w:sz w:val="24"/>
          <w:szCs w:val="24"/>
        </w:rPr>
        <w:t xml:space="preserve">in group 1, </w:t>
      </w:r>
      <w:r w:rsidR="00514D18" w:rsidRPr="00F257EC">
        <w:rPr>
          <w:rFonts w:ascii="Times New Roman" w:hAnsi="Times New Roman" w:cs="Times New Roman"/>
          <w:sz w:val="24"/>
          <w:szCs w:val="24"/>
        </w:rPr>
        <w:t xml:space="preserve">and </w:t>
      </w:r>
      <w:r w:rsidR="00514D18">
        <w:rPr>
          <w:rFonts w:ascii="Times New Roman" w:hAnsi="Times New Roman" w:cs="Times New Roman"/>
          <w:sz w:val="24"/>
          <w:szCs w:val="24"/>
        </w:rPr>
        <w:t>other cytokines in group 2</w:t>
      </w:r>
      <w:r w:rsidR="00514D18" w:rsidRPr="00F257EC">
        <w:rPr>
          <w:rFonts w:ascii="Times New Roman" w:hAnsi="Times New Roman" w:cs="Times New Roman"/>
          <w:sz w:val="24"/>
          <w:szCs w:val="24"/>
        </w:rPr>
        <w:t>.</w:t>
      </w:r>
    </w:p>
    <w:p w:rsidR="004B67AF" w:rsidRPr="003C4455" w:rsidRDefault="004B67AF" w:rsidP="00846F15">
      <w:pPr>
        <w:rPr>
          <w:rFonts w:ascii="Times New Roman" w:hAnsi="Times New Roman" w:cs="Times New Roman"/>
          <w:sz w:val="24"/>
          <w:szCs w:val="24"/>
        </w:rPr>
      </w:pPr>
    </w:p>
    <w:p w:rsidR="00054520" w:rsidRDefault="00054520">
      <w:pPr>
        <w:rPr>
          <w:rFonts w:ascii="Times New Roman" w:hAnsi="Times New Roman" w:cs="Times New Roman"/>
          <w:sz w:val="24"/>
          <w:szCs w:val="24"/>
        </w:rPr>
      </w:pPr>
    </w:p>
    <w:p w:rsidR="00054520" w:rsidRDefault="00054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4520" w:rsidRDefault="00054520">
      <w:pPr>
        <w:rPr>
          <w:rFonts w:ascii="Times New Roman" w:hAnsi="Times New Roman" w:cs="Times New Roman"/>
          <w:sz w:val="24"/>
          <w:szCs w:val="24"/>
        </w:rPr>
        <w:sectPr w:rsidR="00054520" w:rsidSect="008B4B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54520" w:rsidRDefault="00032B69">
      <w:pPr>
        <w:rPr>
          <w:rFonts w:ascii="Times New Roman" w:hAnsi="Times New Roman" w:cs="Times New Roman"/>
          <w:sz w:val="24"/>
          <w:szCs w:val="24"/>
        </w:rPr>
      </w:pPr>
      <w:r w:rsidRPr="00032B69">
        <w:rPr>
          <w:noProof/>
        </w:rPr>
        <w:lastRenderedPageBreak/>
        <w:drawing>
          <wp:inline distT="0" distB="0" distL="0" distR="0" wp14:anchorId="37E688DF" wp14:editId="6A9F4C48">
            <wp:extent cx="8229600" cy="41484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75E" w:rsidRPr="00F84096" w:rsidRDefault="0030675E" w:rsidP="00306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096">
        <w:rPr>
          <w:rFonts w:ascii="Times New Roman" w:hAnsi="Times New Roman" w:cs="Times New Roman"/>
          <w:b/>
          <w:sz w:val="24"/>
          <w:szCs w:val="24"/>
        </w:rPr>
        <w:t xml:space="preserve">Figure S3. Relationship of </w:t>
      </w:r>
      <w:r w:rsidRPr="00F84096">
        <w:rPr>
          <w:rFonts w:ascii="Times New Roman" w:hAnsi="Times New Roman" w:cs="Times New Roman"/>
          <w:b/>
          <w:i/>
          <w:sz w:val="24"/>
          <w:szCs w:val="24"/>
        </w:rPr>
        <w:t>Mtb</w:t>
      </w:r>
      <w:r w:rsidRPr="00F84096">
        <w:rPr>
          <w:rFonts w:ascii="Times New Roman" w:hAnsi="Times New Roman" w:cs="Times New Roman"/>
          <w:b/>
          <w:sz w:val="24"/>
          <w:szCs w:val="24"/>
        </w:rPr>
        <w:t xml:space="preserve"> load and neutrophils and TNFα in CSF from TBM patients by Spearman correlation</w:t>
      </w:r>
    </w:p>
    <w:p w:rsidR="0030675E" w:rsidRPr="00F84096" w:rsidRDefault="0030675E" w:rsidP="0030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096">
        <w:rPr>
          <w:rFonts w:ascii="Times New Roman" w:hAnsi="Times New Roman" w:cs="Times New Roman"/>
          <w:sz w:val="24"/>
          <w:szCs w:val="24"/>
        </w:rPr>
        <w:t xml:space="preserve">Correlations between </w:t>
      </w:r>
      <w:r w:rsidRPr="00F84096">
        <w:rPr>
          <w:rFonts w:ascii="Times New Roman" w:hAnsi="Times New Roman" w:cs="Times New Roman"/>
          <w:i/>
          <w:sz w:val="24"/>
          <w:szCs w:val="24"/>
        </w:rPr>
        <w:t>Mtb</w:t>
      </w:r>
      <w:r w:rsidRPr="00F84096">
        <w:rPr>
          <w:rFonts w:ascii="Times New Roman" w:hAnsi="Times New Roman" w:cs="Times New Roman"/>
          <w:sz w:val="24"/>
          <w:szCs w:val="24"/>
        </w:rPr>
        <w:t xml:space="preserve"> load and CSF neutrophils in all TBM patients (A), HIV-uninfected (B) and HIV-uninfected (C).  Correlations between </w:t>
      </w:r>
      <w:r w:rsidRPr="00F84096">
        <w:rPr>
          <w:rFonts w:ascii="Times New Roman" w:hAnsi="Times New Roman" w:cs="Times New Roman"/>
          <w:i/>
          <w:sz w:val="24"/>
          <w:szCs w:val="24"/>
        </w:rPr>
        <w:t>Mtb</w:t>
      </w:r>
      <w:r w:rsidRPr="00F84096">
        <w:rPr>
          <w:rFonts w:ascii="Times New Roman" w:hAnsi="Times New Roman" w:cs="Times New Roman"/>
          <w:sz w:val="24"/>
          <w:szCs w:val="24"/>
        </w:rPr>
        <w:t xml:space="preserve"> load and CSF TNFα concentration in all TBM patients (D), HIV-uninfected (E) and HIV-uninfected (F).  </w:t>
      </w:r>
    </w:p>
    <w:p w:rsidR="0030675E" w:rsidRPr="00F84096" w:rsidRDefault="0030675E" w:rsidP="0030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096">
        <w:rPr>
          <w:rFonts w:ascii="Times New Roman" w:hAnsi="Times New Roman" w:cs="Times New Roman"/>
          <w:sz w:val="24"/>
          <w:szCs w:val="24"/>
        </w:rPr>
        <w:t>Analyses were performed using GeneXpert Ct values and log</w:t>
      </w:r>
      <w:r w:rsidRPr="00F84096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 w:rsidRPr="00F84096">
        <w:rPr>
          <w:rFonts w:ascii="Times New Roman" w:hAnsi="Times New Roman" w:cs="Times New Roman"/>
          <w:sz w:val="24"/>
          <w:szCs w:val="24"/>
        </w:rPr>
        <w:t>-transformed cell counts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4096">
        <w:rPr>
          <w:rFonts w:ascii="Times New Roman" w:hAnsi="Times New Roman" w:cs="Times New Roman"/>
          <w:sz w:val="24"/>
          <w:szCs w:val="24"/>
        </w:rPr>
        <w:t>and TNF-α</w:t>
      </w:r>
      <w:r>
        <w:rPr>
          <w:rFonts w:ascii="Times New Roman" w:hAnsi="Times New Roman" w:cs="Times New Roman"/>
          <w:sz w:val="24"/>
          <w:szCs w:val="24"/>
        </w:rPr>
        <w:t xml:space="preserve"> concentration.</w:t>
      </w:r>
    </w:p>
    <w:p w:rsidR="0030675E" w:rsidRPr="0030675E" w:rsidRDefault="0030675E" w:rsidP="00306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096">
        <w:rPr>
          <w:rFonts w:ascii="Times New Roman" w:hAnsi="Times New Roman" w:cs="Times New Roman"/>
          <w:sz w:val="24"/>
          <w:szCs w:val="24"/>
        </w:rPr>
        <w:t xml:space="preserve">r: Spearman’s rho correlation coefficient, </w:t>
      </w:r>
      <w:r>
        <w:rPr>
          <w:rFonts w:ascii="Times New Roman" w:hAnsi="Times New Roman" w:cs="Times New Roman"/>
          <w:sz w:val="24"/>
          <w:szCs w:val="24"/>
        </w:rPr>
        <w:t xml:space="preserve">p values </w:t>
      </w:r>
      <w:r w:rsidRPr="00F84096">
        <w:rPr>
          <w:rFonts w:ascii="Times New Roman" w:hAnsi="Times New Roman" w:cs="Times New Roman"/>
          <w:sz w:val="24"/>
          <w:szCs w:val="24"/>
        </w:rPr>
        <w:t xml:space="preserve">adjusted </w:t>
      </w:r>
      <w:r>
        <w:rPr>
          <w:rFonts w:ascii="Times New Roman" w:hAnsi="Times New Roman" w:cs="Times New Roman"/>
          <w:sz w:val="24"/>
          <w:szCs w:val="24"/>
        </w:rPr>
        <w:t>by</w:t>
      </w:r>
      <w:r w:rsidRPr="00F84096">
        <w:rPr>
          <w:rFonts w:ascii="Times New Roman" w:hAnsi="Times New Roman" w:cs="Times New Roman"/>
          <w:sz w:val="24"/>
          <w:szCs w:val="24"/>
        </w:rPr>
        <w:t xml:space="preserve"> the Hochberg method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096">
        <w:rPr>
          <w:rFonts w:ascii="Times New Roman" w:hAnsi="Times New Roman" w:cs="Times New Roman"/>
          <w:sz w:val="24"/>
          <w:szCs w:val="24"/>
        </w:rPr>
        <w:t>&lt; 0.0</w:t>
      </w:r>
      <w:r>
        <w:rPr>
          <w:rFonts w:ascii="Times New Roman" w:hAnsi="Times New Roman" w:cs="Times New Roman"/>
          <w:sz w:val="24"/>
          <w:szCs w:val="24"/>
        </w:rPr>
        <w:t>001 for all these tests</w:t>
      </w:r>
      <w:r w:rsidRPr="00F840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75E">
        <w:rPr>
          <w:rFonts w:ascii="Times New Roman" w:hAnsi="Times New Roman" w:cs="Times New Roman"/>
          <w:sz w:val="24"/>
          <w:szCs w:val="24"/>
        </w:rPr>
        <w:t>Best-fit</w:t>
      </w:r>
    </w:p>
    <w:p w:rsidR="0030675E" w:rsidRPr="00F84096" w:rsidRDefault="0030675E" w:rsidP="0030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75E">
        <w:rPr>
          <w:rFonts w:ascii="Times New Roman" w:hAnsi="Times New Roman" w:cs="Times New Roman"/>
          <w:sz w:val="24"/>
          <w:szCs w:val="24"/>
        </w:rPr>
        <w:t>regression lines are shown with 95% confidence intervals</w:t>
      </w:r>
      <w:r w:rsidR="002614CE">
        <w:rPr>
          <w:rFonts w:ascii="Times New Roman" w:hAnsi="Times New Roman" w:cs="Times New Roman"/>
          <w:sz w:val="24"/>
          <w:szCs w:val="24"/>
        </w:rPr>
        <w:t>.</w:t>
      </w:r>
    </w:p>
    <w:p w:rsidR="004B67AF" w:rsidRPr="00054520" w:rsidRDefault="004B67AF">
      <w:pPr>
        <w:rPr>
          <w:rFonts w:ascii="Times New Roman" w:hAnsi="Times New Roman" w:cs="Times New Roman"/>
          <w:b/>
          <w:sz w:val="24"/>
          <w:szCs w:val="24"/>
        </w:rPr>
      </w:pPr>
    </w:p>
    <w:p w:rsidR="00054520" w:rsidRDefault="00054520" w:rsidP="00846F15">
      <w:pPr>
        <w:rPr>
          <w:rFonts w:ascii="Times New Roman" w:hAnsi="Times New Roman" w:cs="Times New Roman"/>
          <w:sz w:val="24"/>
          <w:szCs w:val="24"/>
        </w:rPr>
        <w:sectPr w:rsidR="00054520" w:rsidSect="0005452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22D8B" w:rsidRDefault="00922D8B" w:rsidP="00846F15">
      <w:pPr>
        <w:rPr>
          <w:rFonts w:ascii="Times New Roman" w:hAnsi="Times New Roman" w:cs="Times New Roman"/>
          <w:sz w:val="24"/>
          <w:szCs w:val="24"/>
        </w:rPr>
      </w:pPr>
    </w:p>
    <w:p w:rsidR="00922D8B" w:rsidRDefault="003B6361" w:rsidP="003B6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3B6361">
        <w:rPr>
          <w:noProof/>
        </w:rPr>
        <w:drawing>
          <wp:inline distT="0" distB="0" distL="0" distR="0" wp14:anchorId="64C3EDBB" wp14:editId="2CD03674">
            <wp:extent cx="4032914" cy="2930326"/>
            <wp:effectExtent l="0" t="0" r="5715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9872" cy="293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8ED" w:rsidRPr="003C4455" w:rsidRDefault="00922D8B" w:rsidP="00306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487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F012C9" w:rsidRPr="00096487">
        <w:rPr>
          <w:rFonts w:ascii="Times New Roman" w:hAnsi="Times New Roman" w:cs="Times New Roman"/>
          <w:b/>
          <w:sz w:val="24"/>
          <w:szCs w:val="24"/>
        </w:rPr>
        <w:t>S4</w:t>
      </w:r>
      <w:r w:rsidRPr="00096487">
        <w:rPr>
          <w:rFonts w:ascii="Times New Roman" w:hAnsi="Times New Roman" w:cs="Times New Roman"/>
          <w:b/>
          <w:sz w:val="24"/>
          <w:szCs w:val="24"/>
        </w:rPr>
        <w:t>.</w:t>
      </w:r>
      <w:r w:rsidRPr="003C44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455">
        <w:rPr>
          <w:rFonts w:ascii="Times New Roman" w:hAnsi="Times New Roman" w:cs="Times New Roman"/>
          <w:b/>
          <w:i/>
          <w:sz w:val="24"/>
          <w:szCs w:val="24"/>
        </w:rPr>
        <w:t>LTA4H</w:t>
      </w:r>
      <w:r w:rsidRPr="003C4455">
        <w:rPr>
          <w:rFonts w:ascii="Times New Roman" w:hAnsi="Times New Roman" w:cs="Times New Roman"/>
          <w:b/>
          <w:sz w:val="24"/>
          <w:szCs w:val="24"/>
        </w:rPr>
        <w:t xml:space="preserve"> genotype and </w:t>
      </w:r>
      <w:r w:rsidR="001A78ED" w:rsidRPr="003C4455">
        <w:rPr>
          <w:rFonts w:ascii="Times New Roman" w:hAnsi="Times New Roman" w:cs="Times New Roman"/>
          <w:b/>
          <w:sz w:val="24"/>
          <w:szCs w:val="24"/>
        </w:rPr>
        <w:t>pre-treatment</w:t>
      </w:r>
      <w:r w:rsidR="001A78ED" w:rsidRPr="003C44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C4455">
        <w:rPr>
          <w:rFonts w:ascii="Times New Roman" w:hAnsi="Times New Roman" w:cs="Times New Roman"/>
          <w:b/>
          <w:i/>
          <w:sz w:val="24"/>
          <w:szCs w:val="24"/>
        </w:rPr>
        <w:t>Mtb</w:t>
      </w:r>
      <w:r w:rsidRPr="003C4455">
        <w:rPr>
          <w:rFonts w:ascii="Times New Roman" w:hAnsi="Times New Roman" w:cs="Times New Roman"/>
          <w:b/>
          <w:sz w:val="24"/>
          <w:szCs w:val="24"/>
        </w:rPr>
        <w:t xml:space="preserve"> load </w:t>
      </w:r>
      <w:r w:rsidR="001A78ED" w:rsidRPr="003C4455">
        <w:rPr>
          <w:rFonts w:ascii="Times New Roman" w:hAnsi="Times New Roman" w:cs="Times New Roman"/>
          <w:b/>
          <w:sz w:val="24"/>
          <w:szCs w:val="24"/>
        </w:rPr>
        <w:t>from TBM adults stratified by HIV infection</w:t>
      </w:r>
    </w:p>
    <w:p w:rsidR="004B67AF" w:rsidRDefault="00922D8B" w:rsidP="0030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455">
        <w:rPr>
          <w:rFonts w:ascii="Times New Roman" w:hAnsi="Times New Roman" w:cs="Times New Roman"/>
          <w:sz w:val="24"/>
          <w:szCs w:val="24"/>
        </w:rPr>
        <w:t xml:space="preserve">Data are for </w:t>
      </w:r>
      <w:r w:rsidRPr="003C4455">
        <w:rPr>
          <w:rFonts w:ascii="Times New Roman" w:hAnsi="Times New Roman" w:cs="Times New Roman"/>
          <w:i/>
          <w:sz w:val="24"/>
          <w:szCs w:val="24"/>
        </w:rPr>
        <w:t>LTA4H</w:t>
      </w:r>
      <w:r w:rsidRPr="003C4455">
        <w:rPr>
          <w:rFonts w:ascii="Times New Roman" w:hAnsi="Times New Roman" w:cs="Times New Roman"/>
          <w:sz w:val="24"/>
          <w:szCs w:val="24"/>
        </w:rPr>
        <w:t xml:space="preserve"> genotype with 48 CC, 62 CT and 73 TT in HIV-uninfected and 68 CC, 73 CT and 19 TT in HIV-infected. Statistical analyses by Mann-Whitney between two groups, TT vs CC, p=0.</w:t>
      </w:r>
      <w:r w:rsidR="00D40BFC">
        <w:rPr>
          <w:rFonts w:ascii="Times New Roman" w:hAnsi="Times New Roman" w:cs="Times New Roman"/>
          <w:sz w:val="24"/>
          <w:szCs w:val="24"/>
        </w:rPr>
        <w:t>0</w:t>
      </w:r>
      <w:r w:rsidRPr="003C4455">
        <w:rPr>
          <w:rFonts w:ascii="Times New Roman" w:hAnsi="Times New Roman" w:cs="Times New Roman"/>
          <w:sz w:val="24"/>
          <w:szCs w:val="24"/>
        </w:rPr>
        <w:t>51 and TT vs CT, p=0.</w:t>
      </w:r>
      <w:r w:rsidR="00D40BFC">
        <w:rPr>
          <w:rFonts w:ascii="Times New Roman" w:hAnsi="Times New Roman" w:cs="Times New Roman"/>
          <w:sz w:val="24"/>
          <w:szCs w:val="24"/>
        </w:rPr>
        <w:t>0</w:t>
      </w:r>
      <w:r w:rsidRPr="003C4455">
        <w:rPr>
          <w:rFonts w:ascii="Times New Roman" w:hAnsi="Times New Roman" w:cs="Times New Roman"/>
          <w:sz w:val="24"/>
          <w:szCs w:val="24"/>
        </w:rPr>
        <w:t>15 in HIV-uninfected; linear trend test for 3 genotypes, p = 0.302.</w:t>
      </w:r>
      <w:r w:rsidR="004B67AF">
        <w:rPr>
          <w:rFonts w:ascii="Times New Roman" w:hAnsi="Times New Roman" w:cs="Times New Roman"/>
          <w:sz w:val="24"/>
          <w:szCs w:val="24"/>
        </w:rPr>
        <w:br w:type="page"/>
      </w:r>
    </w:p>
    <w:p w:rsidR="008B4B21" w:rsidRDefault="006B58F2" w:rsidP="00846F15">
      <w:pPr>
        <w:rPr>
          <w:rFonts w:ascii="Times New Roman" w:hAnsi="Times New Roman" w:cs="Times New Roman"/>
          <w:sz w:val="24"/>
          <w:szCs w:val="24"/>
        </w:rPr>
      </w:pPr>
      <w:r w:rsidRPr="006B58F2">
        <w:rPr>
          <w:noProof/>
        </w:rPr>
        <w:lastRenderedPageBreak/>
        <w:drawing>
          <wp:inline distT="0" distB="0" distL="0" distR="0" wp14:anchorId="0A27E250" wp14:editId="20253D69">
            <wp:extent cx="5943600" cy="28962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B21" w:rsidRPr="003C4455" w:rsidRDefault="008B4B21" w:rsidP="00306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459B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F012C9" w:rsidRPr="00E0459B">
        <w:rPr>
          <w:rFonts w:ascii="Times New Roman" w:hAnsi="Times New Roman" w:cs="Times New Roman"/>
          <w:b/>
          <w:sz w:val="24"/>
          <w:szCs w:val="24"/>
        </w:rPr>
        <w:t>S5</w:t>
      </w:r>
      <w:r w:rsidRPr="00E0459B">
        <w:rPr>
          <w:rFonts w:ascii="Times New Roman" w:hAnsi="Times New Roman" w:cs="Times New Roman"/>
          <w:b/>
          <w:sz w:val="24"/>
          <w:szCs w:val="24"/>
        </w:rPr>
        <w:t>.</w:t>
      </w:r>
      <w:r w:rsidRPr="003C4455">
        <w:rPr>
          <w:rFonts w:ascii="Times New Roman" w:hAnsi="Times New Roman" w:cs="Times New Roman"/>
          <w:b/>
          <w:sz w:val="24"/>
          <w:szCs w:val="24"/>
        </w:rPr>
        <w:t xml:space="preserve"> Kaplan-Meier curves </w:t>
      </w:r>
      <w:r w:rsidR="00946E2D" w:rsidRPr="003C4455">
        <w:rPr>
          <w:rFonts w:ascii="Times New Roman" w:hAnsi="Times New Roman" w:cs="Times New Roman"/>
          <w:b/>
          <w:sz w:val="24"/>
          <w:szCs w:val="24"/>
        </w:rPr>
        <w:t xml:space="preserve">of new neurological events and survival </w:t>
      </w:r>
      <w:r w:rsidRPr="003C4455">
        <w:rPr>
          <w:rFonts w:ascii="Times New Roman" w:hAnsi="Times New Roman" w:cs="Times New Roman"/>
          <w:b/>
          <w:sz w:val="24"/>
          <w:szCs w:val="24"/>
        </w:rPr>
        <w:t>stratified by HIV status</w:t>
      </w:r>
    </w:p>
    <w:p w:rsidR="008B4B21" w:rsidRPr="00DF5712" w:rsidRDefault="008B4B21" w:rsidP="0030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455">
        <w:rPr>
          <w:rFonts w:ascii="Times New Roman" w:hAnsi="Times New Roman" w:cs="Times New Roman"/>
          <w:sz w:val="24"/>
          <w:szCs w:val="24"/>
        </w:rPr>
        <w:t xml:space="preserve">(A) </w:t>
      </w:r>
      <w:r w:rsidR="00946E2D" w:rsidRPr="003C4455">
        <w:rPr>
          <w:rFonts w:ascii="Times New Roman" w:hAnsi="Times New Roman" w:cs="Times New Roman"/>
          <w:sz w:val="24"/>
          <w:szCs w:val="24"/>
        </w:rPr>
        <w:t>N</w:t>
      </w:r>
      <w:r w:rsidRPr="003C4455">
        <w:rPr>
          <w:rFonts w:ascii="Times New Roman" w:hAnsi="Times New Roman" w:cs="Times New Roman"/>
          <w:sz w:val="24"/>
          <w:szCs w:val="24"/>
        </w:rPr>
        <w:t>ew neurological event</w:t>
      </w:r>
      <w:r w:rsidR="00946E2D" w:rsidRPr="003C4455">
        <w:rPr>
          <w:rFonts w:ascii="Times New Roman" w:hAnsi="Times New Roman" w:cs="Times New Roman"/>
          <w:sz w:val="24"/>
          <w:szCs w:val="24"/>
        </w:rPr>
        <w:t>s</w:t>
      </w:r>
      <w:r w:rsidRPr="003C4455">
        <w:rPr>
          <w:rFonts w:ascii="Times New Roman" w:hAnsi="Times New Roman" w:cs="Times New Roman"/>
          <w:sz w:val="24"/>
          <w:szCs w:val="24"/>
        </w:rPr>
        <w:t>. (B) Survival</w:t>
      </w:r>
      <w:r w:rsidR="00946E2D" w:rsidRPr="003C4455">
        <w:rPr>
          <w:rFonts w:ascii="Times New Roman" w:hAnsi="Times New Roman" w:cs="Times New Roman"/>
          <w:sz w:val="24"/>
          <w:szCs w:val="24"/>
        </w:rPr>
        <w:t>.</w:t>
      </w:r>
      <w:r w:rsidRPr="003C4455">
        <w:rPr>
          <w:rFonts w:ascii="Times New Roman" w:hAnsi="Times New Roman" w:cs="Times New Roman"/>
          <w:sz w:val="24"/>
          <w:szCs w:val="24"/>
        </w:rPr>
        <w:t xml:space="preserve">  Solid lines represent HIV-uninfected</w:t>
      </w:r>
      <w:r w:rsidR="00DF5712">
        <w:rPr>
          <w:rFonts w:ascii="Times New Roman" w:hAnsi="Times New Roman" w:cs="Times New Roman"/>
          <w:sz w:val="24"/>
          <w:szCs w:val="24"/>
        </w:rPr>
        <w:t xml:space="preserve"> patients</w:t>
      </w:r>
      <w:r w:rsidRPr="003C4455">
        <w:rPr>
          <w:rFonts w:ascii="Times New Roman" w:hAnsi="Times New Roman" w:cs="Times New Roman"/>
          <w:sz w:val="24"/>
          <w:szCs w:val="24"/>
        </w:rPr>
        <w:t xml:space="preserve">; dashed lines represent </w:t>
      </w:r>
      <w:r w:rsidR="006D2C15" w:rsidRPr="003C4455">
        <w:rPr>
          <w:rFonts w:ascii="Times New Roman" w:hAnsi="Times New Roman" w:cs="Times New Roman"/>
          <w:sz w:val="24"/>
          <w:szCs w:val="24"/>
        </w:rPr>
        <w:t>HIV-</w:t>
      </w:r>
      <w:r w:rsidR="006D2C15" w:rsidRPr="00DF5712">
        <w:rPr>
          <w:rFonts w:ascii="Times New Roman" w:hAnsi="Times New Roman" w:cs="Times New Roman"/>
          <w:sz w:val="24"/>
          <w:szCs w:val="24"/>
        </w:rPr>
        <w:t>infected</w:t>
      </w:r>
      <w:r w:rsidR="00DF5712">
        <w:rPr>
          <w:rFonts w:ascii="Times New Roman" w:hAnsi="Times New Roman" w:cs="Times New Roman"/>
          <w:sz w:val="24"/>
          <w:szCs w:val="24"/>
        </w:rPr>
        <w:t xml:space="preserve"> patients</w:t>
      </w:r>
      <w:r w:rsidR="00A20460" w:rsidRPr="00DF5712">
        <w:rPr>
          <w:rFonts w:ascii="Times New Roman" w:hAnsi="Times New Roman" w:cs="Times New Roman"/>
          <w:sz w:val="24"/>
          <w:szCs w:val="24"/>
        </w:rPr>
        <w:t xml:space="preserve">. Data are for </w:t>
      </w:r>
      <w:r w:rsidR="006B6A9F" w:rsidRPr="00DF5712">
        <w:rPr>
          <w:rFonts w:ascii="Times New Roman" w:hAnsi="Times New Roman" w:cs="Times New Roman"/>
          <w:sz w:val="24"/>
          <w:szCs w:val="24"/>
        </w:rPr>
        <w:t xml:space="preserve">397 </w:t>
      </w:r>
      <w:r w:rsidR="00A20460" w:rsidRPr="00DF5712">
        <w:rPr>
          <w:rFonts w:ascii="Times New Roman" w:hAnsi="Times New Roman" w:cs="Times New Roman"/>
          <w:sz w:val="24"/>
          <w:szCs w:val="24"/>
        </w:rPr>
        <w:t xml:space="preserve">survival, </w:t>
      </w:r>
      <w:r w:rsidR="0066181F" w:rsidRPr="00DF5712">
        <w:rPr>
          <w:rFonts w:ascii="Times New Roman" w:hAnsi="Times New Roman" w:cs="Times New Roman"/>
          <w:sz w:val="24"/>
          <w:szCs w:val="24"/>
        </w:rPr>
        <w:t>103</w:t>
      </w:r>
      <w:r w:rsidR="00A20460" w:rsidRPr="00DF5712">
        <w:rPr>
          <w:rFonts w:ascii="Times New Roman" w:hAnsi="Times New Roman" w:cs="Times New Roman"/>
          <w:sz w:val="24"/>
          <w:szCs w:val="24"/>
        </w:rPr>
        <w:t xml:space="preserve"> new neurological events and </w:t>
      </w:r>
      <w:r w:rsidR="0066181F" w:rsidRPr="00DF5712">
        <w:rPr>
          <w:rFonts w:ascii="Times New Roman" w:hAnsi="Times New Roman" w:cs="Times New Roman"/>
          <w:sz w:val="24"/>
          <w:szCs w:val="24"/>
        </w:rPr>
        <w:t>192</w:t>
      </w:r>
      <w:r w:rsidR="00A20460" w:rsidRPr="00DF5712">
        <w:rPr>
          <w:rFonts w:ascii="Times New Roman" w:hAnsi="Times New Roman" w:cs="Times New Roman"/>
          <w:sz w:val="24"/>
          <w:szCs w:val="24"/>
        </w:rPr>
        <w:t xml:space="preserve"> death.</w:t>
      </w:r>
    </w:p>
    <w:p w:rsidR="00FB296B" w:rsidRDefault="00FB296B" w:rsidP="0030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296B" w:rsidRDefault="00FB296B" w:rsidP="001A78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B296B" w:rsidRPr="003C4455" w:rsidRDefault="003B6361" w:rsidP="001A78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B6361">
        <w:rPr>
          <w:noProof/>
        </w:rPr>
        <w:drawing>
          <wp:inline distT="0" distB="0" distL="0" distR="0" wp14:anchorId="5B000C27" wp14:editId="2F753BEC">
            <wp:extent cx="5943600" cy="231076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96B" w:rsidRDefault="00FB296B" w:rsidP="0030675E">
      <w:pPr>
        <w:spacing w:line="240" w:lineRule="auto"/>
        <w:rPr>
          <w:rFonts w:ascii="Times New Roman" w:hAnsi="Times New Roman" w:cs="Times New Roman"/>
          <w:b/>
        </w:rPr>
      </w:pPr>
      <w:r w:rsidRPr="0078384F">
        <w:rPr>
          <w:rFonts w:ascii="Times New Roman" w:hAnsi="Times New Roman" w:cs="Times New Roman"/>
          <w:b/>
        </w:rPr>
        <w:t xml:space="preserve">Figure </w:t>
      </w:r>
      <w:r w:rsidR="00F012C9" w:rsidRPr="0078384F">
        <w:rPr>
          <w:rFonts w:ascii="Times New Roman" w:hAnsi="Times New Roman" w:cs="Times New Roman"/>
          <w:b/>
        </w:rPr>
        <w:t>S6</w:t>
      </w:r>
      <w:r w:rsidRPr="0078384F">
        <w:rPr>
          <w:rFonts w:ascii="Times New Roman" w:hAnsi="Times New Roman" w:cs="Times New Roman"/>
          <w:b/>
        </w:rPr>
        <w:t>.</w:t>
      </w:r>
      <w:r w:rsidRPr="0078384F">
        <w:rPr>
          <w:rFonts w:ascii="Times New Roman" w:hAnsi="Times New Roman" w:cs="Times New Roman"/>
        </w:rPr>
        <w:t xml:space="preserve"> </w:t>
      </w:r>
      <w:r w:rsidRPr="0078384F">
        <w:rPr>
          <w:rFonts w:ascii="Times New Roman" w:hAnsi="Times New Roman" w:cs="Times New Roman"/>
          <w:b/>
        </w:rPr>
        <w:t>Associations</w:t>
      </w:r>
      <w:r w:rsidRPr="006B0A8F">
        <w:rPr>
          <w:rFonts w:ascii="Times New Roman" w:hAnsi="Times New Roman" w:cs="Times New Roman"/>
          <w:b/>
        </w:rPr>
        <w:t xml:space="preserve"> between pre-treatment CSF bacterial load and </w:t>
      </w:r>
      <w:r>
        <w:rPr>
          <w:rFonts w:ascii="Times New Roman" w:hAnsi="Times New Roman" w:cs="Times New Roman"/>
          <w:b/>
        </w:rPr>
        <w:t xml:space="preserve">time to </w:t>
      </w:r>
      <w:r w:rsidRPr="006B0A8F">
        <w:rPr>
          <w:rFonts w:ascii="Times New Roman" w:hAnsi="Times New Roman" w:cs="Times New Roman"/>
          <w:b/>
        </w:rPr>
        <w:t>new neurological events or death</w:t>
      </w:r>
    </w:p>
    <w:p w:rsidR="00FB296B" w:rsidRDefault="00FB296B" w:rsidP="0030675E">
      <w:pPr>
        <w:spacing w:line="240" w:lineRule="auto"/>
        <w:rPr>
          <w:rFonts w:ascii="Times New Roman" w:hAnsi="Times New Roman" w:cs="Times New Roman"/>
        </w:rPr>
      </w:pPr>
      <w:r w:rsidRPr="00091018"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/>
        </w:rPr>
        <w:t xml:space="preserve">Bacterial load in early </w:t>
      </w:r>
      <w:r w:rsidRPr="00091018">
        <w:rPr>
          <w:rFonts w:ascii="Times New Roman" w:hAnsi="Times New Roman" w:cs="Times New Roman"/>
        </w:rPr>
        <w:t>new neurological events</w:t>
      </w:r>
      <w:r>
        <w:rPr>
          <w:rFonts w:ascii="Times New Roman" w:hAnsi="Times New Roman" w:cs="Times New Roman"/>
        </w:rPr>
        <w:t xml:space="preserve"> (EN, &lt; 30 days) and late </w:t>
      </w:r>
      <w:r w:rsidRPr="00091018">
        <w:rPr>
          <w:rFonts w:ascii="Times New Roman" w:hAnsi="Times New Roman" w:cs="Times New Roman"/>
        </w:rPr>
        <w:t>neurological events</w:t>
      </w:r>
      <w:r>
        <w:rPr>
          <w:rFonts w:ascii="Times New Roman" w:hAnsi="Times New Roman" w:cs="Times New Roman"/>
        </w:rPr>
        <w:t xml:space="preserve"> (LN, ≥ 30 days) in 27 HIV-uninfected patients (12 EN, 15 LN) and in 30 HIV-infected patients (18 EN, 12 LN). (B) Bacterial load in early dead (ED, &lt; 90 days) and late dead (LD, ≥ 90 days) in 24 HIV-uninfected patients (11 ED, 13 LD) and in 59 HIV-infected patients (40 ED, 19 LD). </w:t>
      </w:r>
      <w:r w:rsidRPr="00F03462">
        <w:rPr>
          <w:rFonts w:ascii="Times New Roman" w:hAnsi="Times New Roman" w:cs="Times New Roman"/>
        </w:rPr>
        <w:t>Bars in plots represent median and inter-quantile range values</w:t>
      </w:r>
      <w:r>
        <w:rPr>
          <w:rFonts w:ascii="Times New Roman" w:hAnsi="Times New Roman" w:cs="Times New Roman"/>
        </w:rPr>
        <w:t xml:space="preserve">. </w:t>
      </w:r>
      <w:r w:rsidRPr="00F03462">
        <w:rPr>
          <w:rFonts w:ascii="Times New Roman" w:hAnsi="Times New Roman" w:cs="Times New Roman"/>
        </w:rPr>
        <w:t xml:space="preserve">Statistical comparisons </w:t>
      </w:r>
      <w:r>
        <w:rPr>
          <w:rFonts w:ascii="Times New Roman" w:hAnsi="Times New Roman" w:cs="Times New Roman"/>
        </w:rPr>
        <w:t xml:space="preserve">between early versus late </w:t>
      </w:r>
      <w:r w:rsidRPr="00091018">
        <w:rPr>
          <w:rFonts w:ascii="Times New Roman" w:hAnsi="Times New Roman" w:cs="Times New Roman"/>
        </w:rPr>
        <w:t>new neurological events</w:t>
      </w:r>
      <w:r>
        <w:rPr>
          <w:rFonts w:ascii="Times New Roman" w:hAnsi="Times New Roman" w:cs="Times New Roman"/>
        </w:rPr>
        <w:t xml:space="preserve"> or early versus late death </w:t>
      </w:r>
      <w:r w:rsidRPr="00F03462">
        <w:rPr>
          <w:rFonts w:ascii="Times New Roman" w:hAnsi="Times New Roman" w:cs="Times New Roman"/>
        </w:rPr>
        <w:t>were made using</w:t>
      </w:r>
      <w:r>
        <w:rPr>
          <w:rFonts w:ascii="Times New Roman" w:hAnsi="Times New Roman" w:cs="Times New Roman"/>
        </w:rPr>
        <w:t xml:space="preserve"> Mann-Whitney tests, all p-values &gt; 0.05. </w:t>
      </w:r>
    </w:p>
    <w:p w:rsidR="008B4B21" w:rsidRPr="003C4455" w:rsidRDefault="008B4B21" w:rsidP="001A78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8B4B21" w:rsidRPr="003C4455" w:rsidSect="008B4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65B" w:rsidRDefault="000D065B" w:rsidP="003C4455">
      <w:pPr>
        <w:spacing w:after="0" w:line="240" w:lineRule="auto"/>
      </w:pPr>
      <w:r>
        <w:separator/>
      </w:r>
    </w:p>
  </w:endnote>
  <w:endnote w:type="continuationSeparator" w:id="0">
    <w:p w:rsidR="000D065B" w:rsidRDefault="000D065B" w:rsidP="003C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65B" w:rsidRDefault="000D065B" w:rsidP="003C4455">
      <w:pPr>
        <w:spacing w:after="0" w:line="240" w:lineRule="auto"/>
      </w:pPr>
      <w:r>
        <w:separator/>
      </w:r>
    </w:p>
  </w:footnote>
  <w:footnote w:type="continuationSeparator" w:id="0">
    <w:p w:rsidR="000D065B" w:rsidRDefault="000D065B" w:rsidP="003C4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A8"/>
    <w:rsid w:val="00032B69"/>
    <w:rsid w:val="00035206"/>
    <w:rsid w:val="00054520"/>
    <w:rsid w:val="00074FA4"/>
    <w:rsid w:val="00095220"/>
    <w:rsid w:val="00096487"/>
    <w:rsid w:val="000B2A7A"/>
    <w:rsid w:val="000D065B"/>
    <w:rsid w:val="000E5C85"/>
    <w:rsid w:val="00180AE5"/>
    <w:rsid w:val="001975A2"/>
    <w:rsid w:val="001A78ED"/>
    <w:rsid w:val="001D1CCA"/>
    <w:rsid w:val="001F2FE0"/>
    <w:rsid w:val="002244E8"/>
    <w:rsid w:val="002433CE"/>
    <w:rsid w:val="002614CE"/>
    <w:rsid w:val="00265D73"/>
    <w:rsid w:val="00282FC8"/>
    <w:rsid w:val="002B18CB"/>
    <w:rsid w:val="002D4989"/>
    <w:rsid w:val="002D66B4"/>
    <w:rsid w:val="0030675E"/>
    <w:rsid w:val="0030795B"/>
    <w:rsid w:val="00330355"/>
    <w:rsid w:val="00381114"/>
    <w:rsid w:val="003B6361"/>
    <w:rsid w:val="003C0304"/>
    <w:rsid w:val="003C0737"/>
    <w:rsid w:val="003C43F5"/>
    <w:rsid w:val="003C4455"/>
    <w:rsid w:val="003F2C7E"/>
    <w:rsid w:val="00471DB6"/>
    <w:rsid w:val="004B67AF"/>
    <w:rsid w:val="004D6084"/>
    <w:rsid w:val="00514D18"/>
    <w:rsid w:val="00572FB2"/>
    <w:rsid w:val="005E7A70"/>
    <w:rsid w:val="006069CE"/>
    <w:rsid w:val="0066181F"/>
    <w:rsid w:val="00667255"/>
    <w:rsid w:val="006804D1"/>
    <w:rsid w:val="006B58F2"/>
    <w:rsid w:val="006B6A9F"/>
    <w:rsid w:val="006D2C15"/>
    <w:rsid w:val="006E3F95"/>
    <w:rsid w:val="00730ED3"/>
    <w:rsid w:val="0078384F"/>
    <w:rsid w:val="007915F8"/>
    <w:rsid w:val="00796358"/>
    <w:rsid w:val="0079721C"/>
    <w:rsid w:val="007A42F9"/>
    <w:rsid w:val="007A7F21"/>
    <w:rsid w:val="007B5FDA"/>
    <w:rsid w:val="00846F15"/>
    <w:rsid w:val="008852BA"/>
    <w:rsid w:val="008B4B21"/>
    <w:rsid w:val="008C5B55"/>
    <w:rsid w:val="008E3E38"/>
    <w:rsid w:val="00922D8B"/>
    <w:rsid w:val="00936A65"/>
    <w:rsid w:val="00946E2D"/>
    <w:rsid w:val="00954F7C"/>
    <w:rsid w:val="00A10392"/>
    <w:rsid w:val="00A20460"/>
    <w:rsid w:val="00A251F7"/>
    <w:rsid w:val="00A357E3"/>
    <w:rsid w:val="00A449A4"/>
    <w:rsid w:val="00A64D3B"/>
    <w:rsid w:val="00AC00D2"/>
    <w:rsid w:val="00AD1D8D"/>
    <w:rsid w:val="00AE24FE"/>
    <w:rsid w:val="00B346A4"/>
    <w:rsid w:val="00B72AFE"/>
    <w:rsid w:val="00B86E69"/>
    <w:rsid w:val="00B9481E"/>
    <w:rsid w:val="00B96299"/>
    <w:rsid w:val="00BB4CE8"/>
    <w:rsid w:val="00BD40A8"/>
    <w:rsid w:val="00BF5B52"/>
    <w:rsid w:val="00C046E6"/>
    <w:rsid w:val="00C059E6"/>
    <w:rsid w:val="00C167FC"/>
    <w:rsid w:val="00C47A9E"/>
    <w:rsid w:val="00C47C2C"/>
    <w:rsid w:val="00C601FA"/>
    <w:rsid w:val="00CB71CC"/>
    <w:rsid w:val="00D40BFC"/>
    <w:rsid w:val="00D84173"/>
    <w:rsid w:val="00DF5712"/>
    <w:rsid w:val="00E0459B"/>
    <w:rsid w:val="00E06CCC"/>
    <w:rsid w:val="00E4757A"/>
    <w:rsid w:val="00E47C6A"/>
    <w:rsid w:val="00E523D7"/>
    <w:rsid w:val="00E62AD3"/>
    <w:rsid w:val="00E73614"/>
    <w:rsid w:val="00EC101A"/>
    <w:rsid w:val="00EF6069"/>
    <w:rsid w:val="00F012C9"/>
    <w:rsid w:val="00F17F01"/>
    <w:rsid w:val="00F65852"/>
    <w:rsid w:val="00F7607F"/>
    <w:rsid w:val="00F84096"/>
    <w:rsid w:val="00F97FEB"/>
    <w:rsid w:val="00FB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B09C22"/>
  <w15:docId w15:val="{BD98CFE4-4F1E-495D-94D5-C7174487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97FEB"/>
    <w:rPr>
      <w:b/>
      <w:bCs/>
    </w:rPr>
  </w:style>
  <w:style w:type="paragraph" w:styleId="ListParagraph">
    <w:name w:val="List Paragraph"/>
    <w:basedOn w:val="Normal"/>
    <w:uiPriority w:val="34"/>
    <w:qFormat/>
    <w:rsid w:val="008B4B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6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E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E2D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B67A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455"/>
  </w:style>
  <w:style w:type="paragraph" w:styleId="Footer">
    <w:name w:val="footer"/>
    <w:basedOn w:val="Normal"/>
    <w:link w:val="FooterChar"/>
    <w:uiPriority w:val="99"/>
    <w:unhideWhenUsed/>
    <w:rsid w:val="003C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455"/>
  </w:style>
  <w:style w:type="paragraph" w:styleId="PlainText">
    <w:name w:val="Plain Text"/>
    <w:basedOn w:val="Normal"/>
    <w:link w:val="PlainTextChar"/>
    <w:uiPriority w:val="99"/>
    <w:unhideWhenUsed/>
    <w:rsid w:val="007A42F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42F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4B19-DD88-4767-A6C6-E137C15E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Nuffield Department of Clinical Medecine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thuongntt</dc:creator>
  <cp:lastModifiedBy>Thuong Nguyen Thuy Thuong</cp:lastModifiedBy>
  <cp:revision>3</cp:revision>
  <dcterms:created xsi:type="dcterms:W3CDTF">2018-08-30T01:45:00Z</dcterms:created>
  <dcterms:modified xsi:type="dcterms:W3CDTF">2018-08-30T01:51:00Z</dcterms:modified>
</cp:coreProperties>
</file>