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6E649" w14:textId="77777777" w:rsidR="00B22EE5" w:rsidRPr="00887AAC" w:rsidRDefault="00B22EE5" w:rsidP="00B22EE5">
      <w:pPr>
        <w:rPr>
          <w:b/>
          <w:u w:val="single"/>
        </w:rPr>
      </w:pPr>
      <w:r w:rsidRPr="00887AAC">
        <w:rPr>
          <w:b/>
          <w:u w:val="single"/>
        </w:rPr>
        <w:t>Supplemental material:</w:t>
      </w:r>
    </w:p>
    <w:p w14:paraId="4AD3C035" w14:textId="77777777" w:rsidR="00B22EE5" w:rsidRPr="00887AAC" w:rsidRDefault="00B22EE5" w:rsidP="000A33ED">
      <w:pPr>
        <w:spacing w:line="360" w:lineRule="auto"/>
        <w:rPr>
          <w:rFonts w:eastAsia="SimSun" w:cs="Arial"/>
          <w:b/>
          <w:bCs/>
          <w:color w:val="000000"/>
          <w:sz w:val="22"/>
          <w:szCs w:val="22"/>
        </w:rPr>
      </w:pPr>
    </w:p>
    <w:p w14:paraId="38818CE4" w14:textId="77777777" w:rsidR="00B22EE5" w:rsidRPr="00887AAC" w:rsidRDefault="00B22EE5" w:rsidP="000A33ED">
      <w:pPr>
        <w:spacing w:line="360" w:lineRule="auto"/>
        <w:rPr>
          <w:rFonts w:eastAsia="SimSun" w:cs="Arial"/>
          <w:b/>
          <w:bCs/>
          <w:color w:val="000000"/>
          <w:sz w:val="22"/>
          <w:szCs w:val="22"/>
        </w:rPr>
      </w:pPr>
    </w:p>
    <w:p w14:paraId="2BB8282A" w14:textId="57CC721F" w:rsidR="002B2372" w:rsidRPr="00887AAC" w:rsidRDefault="002B2372" w:rsidP="002B2372">
      <w:pPr>
        <w:spacing w:line="360" w:lineRule="auto"/>
        <w:rPr>
          <w:rFonts w:cs="Helvetica"/>
          <w:b/>
          <w:sz w:val="22"/>
          <w:szCs w:val="22"/>
        </w:rPr>
      </w:pPr>
      <w:r w:rsidRPr="00887AAC">
        <w:rPr>
          <w:rFonts w:cs="Helvetica"/>
          <w:b/>
          <w:sz w:val="22"/>
          <w:szCs w:val="22"/>
        </w:rPr>
        <w:t>“Efficacy of artesunate-mefloquine against high-grade chloroquine-resistant </w:t>
      </w:r>
      <w:r w:rsidRPr="00887AAC">
        <w:rPr>
          <w:rFonts w:cs="Helvetica"/>
          <w:b/>
          <w:i/>
          <w:iCs/>
          <w:sz w:val="22"/>
          <w:szCs w:val="22"/>
        </w:rPr>
        <w:t>Plasmodium vivax</w:t>
      </w:r>
      <w:r w:rsidRPr="00887AAC">
        <w:rPr>
          <w:rFonts w:cs="Helvetica"/>
          <w:b/>
          <w:sz w:val="22"/>
          <w:szCs w:val="22"/>
        </w:rPr>
        <w:t xml:space="preserve"> malaria in Malaysia: an open-label randomised controlled trial”</w:t>
      </w:r>
    </w:p>
    <w:p w14:paraId="5942FBD5" w14:textId="77777777" w:rsidR="002B2372" w:rsidRPr="00887AAC" w:rsidRDefault="002B2372" w:rsidP="002B2372">
      <w:pPr>
        <w:spacing w:line="360" w:lineRule="auto"/>
        <w:rPr>
          <w:rFonts w:cs="Times"/>
          <w:b/>
          <w:color w:val="141413"/>
          <w:sz w:val="22"/>
          <w:szCs w:val="22"/>
        </w:rPr>
      </w:pPr>
    </w:p>
    <w:p w14:paraId="00812675" w14:textId="77777777" w:rsidR="002B2372" w:rsidRPr="00887AAC" w:rsidRDefault="002B2372" w:rsidP="002B2372">
      <w:pPr>
        <w:spacing w:line="360" w:lineRule="auto"/>
        <w:rPr>
          <w:rFonts w:cs="Calibri"/>
          <w:b/>
          <w:sz w:val="20"/>
          <w:szCs w:val="20"/>
        </w:rPr>
      </w:pPr>
      <w:r w:rsidRPr="00887AAC">
        <w:rPr>
          <w:rFonts w:cs="Calibri"/>
          <w:b/>
          <w:sz w:val="20"/>
          <w:szCs w:val="20"/>
        </w:rPr>
        <w:t>*Corresponding author:</w:t>
      </w:r>
    </w:p>
    <w:p w14:paraId="75AD1969" w14:textId="77777777" w:rsidR="002B2372" w:rsidRPr="00887AAC" w:rsidRDefault="002B2372" w:rsidP="002B2372">
      <w:pPr>
        <w:spacing w:line="360" w:lineRule="auto"/>
        <w:rPr>
          <w:rFonts w:cs="Calibri"/>
          <w:sz w:val="20"/>
          <w:szCs w:val="20"/>
        </w:rPr>
      </w:pPr>
      <w:r w:rsidRPr="00887AAC">
        <w:rPr>
          <w:rFonts w:cs="Calibri"/>
          <w:sz w:val="20"/>
          <w:szCs w:val="20"/>
        </w:rPr>
        <w:t>Dr Matthew Grigg</w:t>
      </w:r>
    </w:p>
    <w:p w14:paraId="0CB4D938" w14:textId="77777777" w:rsidR="002B2372" w:rsidRPr="00887AAC" w:rsidRDefault="002B2372" w:rsidP="002B2372">
      <w:pPr>
        <w:spacing w:line="360" w:lineRule="auto"/>
        <w:rPr>
          <w:rFonts w:cs="Calibri"/>
          <w:sz w:val="20"/>
          <w:szCs w:val="20"/>
        </w:rPr>
      </w:pPr>
      <w:r w:rsidRPr="00887AAC">
        <w:rPr>
          <w:rFonts w:cs="Calibri"/>
          <w:sz w:val="20"/>
          <w:szCs w:val="20"/>
        </w:rPr>
        <w:t>Global and Tropical Health Division, Menzies School of Health Research</w:t>
      </w:r>
    </w:p>
    <w:p w14:paraId="10FDF2F8" w14:textId="77777777" w:rsidR="002B2372" w:rsidRPr="00887AAC" w:rsidRDefault="002B2372" w:rsidP="002B2372">
      <w:pPr>
        <w:spacing w:line="360" w:lineRule="auto"/>
        <w:rPr>
          <w:rFonts w:cs="Calibri"/>
          <w:sz w:val="20"/>
          <w:szCs w:val="20"/>
        </w:rPr>
      </w:pPr>
      <w:r w:rsidRPr="00887AAC">
        <w:rPr>
          <w:rFonts w:cs="Calibri"/>
          <w:sz w:val="20"/>
          <w:szCs w:val="20"/>
        </w:rPr>
        <w:t>PO Box 41096, Casuarina, Darwin 0811, Northern Territory, Australia</w:t>
      </w:r>
    </w:p>
    <w:p w14:paraId="787A2242" w14:textId="795EBB5A" w:rsidR="002B2372" w:rsidRPr="00887AAC" w:rsidRDefault="00496ED3" w:rsidP="002B2372">
      <w:pPr>
        <w:spacing w:line="360" w:lineRule="auto"/>
        <w:rPr>
          <w:rFonts w:cs="Times"/>
          <w:b/>
          <w:color w:val="141413"/>
          <w:sz w:val="20"/>
          <w:szCs w:val="20"/>
        </w:rPr>
      </w:pPr>
      <w:hyperlink r:id="rId5" w:history="1">
        <w:r w:rsidR="002B2372" w:rsidRPr="00887AAC">
          <w:rPr>
            <w:rStyle w:val="Hyperlink"/>
            <w:rFonts w:cs="Calibri"/>
            <w:sz w:val="20"/>
            <w:szCs w:val="20"/>
          </w:rPr>
          <w:t>matthew.grigg@menzies.edu.au</w:t>
        </w:r>
      </w:hyperlink>
      <w:r w:rsidR="002B2372" w:rsidRPr="00887AAC">
        <w:rPr>
          <w:rFonts w:cs="Calibri"/>
          <w:sz w:val="20"/>
          <w:szCs w:val="20"/>
        </w:rPr>
        <w:t xml:space="preserve">    </w:t>
      </w:r>
    </w:p>
    <w:p w14:paraId="0217F645" w14:textId="77777777" w:rsidR="000A33ED" w:rsidRPr="00887AAC" w:rsidRDefault="000A33ED">
      <w:pPr>
        <w:rPr>
          <w:sz w:val="22"/>
          <w:szCs w:val="22"/>
        </w:rPr>
      </w:pPr>
    </w:p>
    <w:p w14:paraId="6C4F538F" w14:textId="77777777" w:rsidR="00B864A8" w:rsidRPr="00887AAC" w:rsidRDefault="00B864A8" w:rsidP="00B864A8">
      <w:pPr>
        <w:rPr>
          <w:sz w:val="22"/>
          <w:szCs w:val="22"/>
        </w:rPr>
      </w:pPr>
    </w:p>
    <w:p w14:paraId="3A459262" w14:textId="77777777" w:rsidR="00B864A8" w:rsidRPr="00887AAC" w:rsidRDefault="00B864A8" w:rsidP="00B864A8">
      <w:pPr>
        <w:rPr>
          <w:b/>
          <w:color w:val="000000"/>
          <w:sz w:val="22"/>
          <w:szCs w:val="22"/>
        </w:rPr>
      </w:pPr>
    </w:p>
    <w:p w14:paraId="1A0D86B5" w14:textId="5248D318" w:rsidR="00B864A8" w:rsidRPr="00887AAC" w:rsidRDefault="002B2372" w:rsidP="00B864A8">
      <w:pPr>
        <w:rPr>
          <w:b/>
          <w:color w:val="000000"/>
          <w:sz w:val="22"/>
          <w:szCs w:val="22"/>
        </w:rPr>
      </w:pPr>
      <w:r w:rsidRPr="00887AAC">
        <w:rPr>
          <w:b/>
          <w:color w:val="000000"/>
          <w:sz w:val="22"/>
          <w:szCs w:val="22"/>
        </w:rPr>
        <w:t xml:space="preserve">1.   </w:t>
      </w:r>
      <w:r w:rsidR="00B864A8" w:rsidRPr="00887AAC">
        <w:rPr>
          <w:b/>
          <w:color w:val="000000"/>
          <w:sz w:val="22"/>
          <w:szCs w:val="22"/>
        </w:rPr>
        <w:t>LC/MS/MS measurement of Chloroquine (CQ) and Desethylchloroquine (DCQ)</w:t>
      </w:r>
    </w:p>
    <w:p w14:paraId="07D5FEF1" w14:textId="77777777" w:rsidR="005852CB" w:rsidRPr="00887AAC" w:rsidRDefault="005852CB" w:rsidP="00B864A8">
      <w:pPr>
        <w:rPr>
          <w:b/>
          <w:color w:val="000000"/>
          <w:sz w:val="22"/>
          <w:szCs w:val="22"/>
        </w:rPr>
      </w:pPr>
    </w:p>
    <w:p w14:paraId="3D6314AE" w14:textId="1D1D2391" w:rsidR="00887AAC" w:rsidRPr="00887AAC" w:rsidRDefault="00887AAC" w:rsidP="00B864A8">
      <w:pPr>
        <w:rPr>
          <w:b/>
          <w:i/>
          <w:color w:val="000000"/>
          <w:sz w:val="22"/>
          <w:szCs w:val="22"/>
        </w:rPr>
      </w:pPr>
      <w:r w:rsidRPr="00887AAC">
        <w:rPr>
          <w:b/>
          <w:i/>
          <w:color w:val="000000"/>
          <w:sz w:val="22"/>
          <w:szCs w:val="22"/>
        </w:rPr>
        <w:t>Methods:</w:t>
      </w:r>
    </w:p>
    <w:p w14:paraId="13F57DB6" w14:textId="77777777" w:rsidR="00B864A8" w:rsidRPr="00887AAC" w:rsidRDefault="00B864A8" w:rsidP="002B2372">
      <w:pPr>
        <w:pStyle w:val="BodyTextIndent"/>
        <w:tabs>
          <w:tab w:val="num" w:pos="1440"/>
        </w:tabs>
        <w:spacing w:before="120" w:after="120"/>
        <w:ind w:left="0"/>
        <w:jc w:val="left"/>
        <w:rPr>
          <w:rFonts w:asciiTheme="minorHAnsi" w:hAnsiTheme="minorHAnsi"/>
          <w:sz w:val="22"/>
          <w:szCs w:val="22"/>
        </w:rPr>
      </w:pPr>
      <w:r w:rsidRPr="00887AAC">
        <w:rPr>
          <w:rFonts w:asciiTheme="minorHAnsi" w:hAnsiTheme="minorHAnsi"/>
          <w:color w:val="000000"/>
          <w:sz w:val="22"/>
          <w:szCs w:val="22"/>
        </w:rPr>
        <w:t xml:space="preserve">Plasma CQ and DCQ concentrations were measured by liquid chromatography-tandem mass spectrometry (LC/MS/MS).  Chromatographic analysis was conducted with a Prominence UFLC-XR liquid chromatography system (Shimadzu, Japan) linked to an AB Sciex 4000 Q Trap mass spectrometer (Applied Biosystems) fitted with an electrospray interface operated in the positive-ion mode.  The reconstituted sample was separated on </w:t>
      </w:r>
      <w:r w:rsidRPr="00887AAC">
        <w:rPr>
          <w:rFonts w:asciiTheme="minorHAnsi" w:hAnsiTheme="minorHAnsi"/>
          <w:sz w:val="22"/>
          <w:szCs w:val="22"/>
        </w:rPr>
        <w:t>a Luna PFP-2 analytical column (5µ, 50 mm x 4.6 mm I.D., Phenomenex®) with a Luna PFP2 guard column (4 x 2 mm I.D.) maintained at 30˚C in a column oven with a mobile phase consisting of an isocratic mix in the ratio 50:50 of Pump A: 2 mM perfluoro-octanoic acid and Pump B: acetonitrile pumped at a combined flow rate of 0.5 mL/min.</w:t>
      </w:r>
    </w:p>
    <w:p w14:paraId="4BE46C2F" w14:textId="77777777" w:rsidR="00B864A8" w:rsidRPr="00887AAC" w:rsidRDefault="00B864A8" w:rsidP="002B2372">
      <w:pPr>
        <w:pStyle w:val="BodyTextIndent"/>
        <w:tabs>
          <w:tab w:val="left" w:pos="720"/>
          <w:tab w:val="num" w:pos="1276"/>
          <w:tab w:val="num" w:pos="1728"/>
        </w:tabs>
        <w:spacing w:before="120" w:after="120"/>
        <w:ind w:left="0"/>
        <w:jc w:val="left"/>
        <w:rPr>
          <w:rFonts w:asciiTheme="minorHAnsi" w:hAnsiTheme="minorHAnsi"/>
          <w:sz w:val="22"/>
          <w:szCs w:val="22"/>
        </w:rPr>
      </w:pPr>
      <w:r w:rsidRPr="00887AAC">
        <w:rPr>
          <w:rFonts w:asciiTheme="minorHAnsi" w:hAnsiTheme="minorHAnsi"/>
          <w:color w:val="000000"/>
          <w:sz w:val="22"/>
          <w:szCs w:val="22"/>
        </w:rPr>
        <w:t>P</w:t>
      </w:r>
      <w:r w:rsidRPr="00887AAC">
        <w:rPr>
          <w:rFonts w:asciiTheme="minorHAnsi" w:hAnsiTheme="minorHAnsi"/>
          <w:sz w:val="22"/>
          <w:szCs w:val="22"/>
        </w:rPr>
        <w:t>lasma calibration standards of CQ and DCQ were prepared by spiking acid citrate dextrose anticoagulated human plasma to produce a 2,000 ng/mL solution of CQ and DCQ, with further dilutions made in plasma to produce calibrators over the range of 0.5–1,000 ng/mL.  Aliquots of 250 µL were dispensed into 1.8 mL cryo tubes and stored at -80ºC.</w:t>
      </w:r>
    </w:p>
    <w:p w14:paraId="15172257" w14:textId="77777777" w:rsidR="00B864A8" w:rsidRPr="00887AAC" w:rsidRDefault="00B864A8" w:rsidP="002B2372">
      <w:pPr>
        <w:pStyle w:val="BodyTextIndent"/>
        <w:tabs>
          <w:tab w:val="left" w:pos="720"/>
          <w:tab w:val="num" w:pos="1276"/>
          <w:tab w:val="num" w:pos="1728"/>
        </w:tabs>
        <w:spacing w:before="120" w:after="120"/>
        <w:ind w:left="0"/>
        <w:jc w:val="left"/>
        <w:rPr>
          <w:rFonts w:asciiTheme="minorHAnsi" w:hAnsiTheme="minorHAnsi"/>
          <w:sz w:val="22"/>
          <w:szCs w:val="22"/>
        </w:rPr>
      </w:pPr>
      <w:r w:rsidRPr="00887AAC">
        <w:rPr>
          <w:rFonts w:asciiTheme="minorHAnsi" w:hAnsiTheme="minorHAnsi"/>
          <w:sz w:val="22"/>
          <w:szCs w:val="22"/>
        </w:rPr>
        <w:t>Liquid-liquid extraction was applied for sample preparation. Briefly, t</w:t>
      </w:r>
      <w:r w:rsidRPr="00887AAC">
        <w:rPr>
          <w:rFonts w:asciiTheme="minorHAnsi" w:hAnsiTheme="minorHAnsi"/>
          <w:color w:val="000000"/>
          <w:sz w:val="22"/>
          <w:szCs w:val="22"/>
        </w:rPr>
        <w:t>o a polypropylene microcentrifuge tube were added CQ and DCQ spiked plasma or patient plasma (50 µL), chloroquine analog (CQa) (internal standard, 25 µL of a 1 ng/mL solution in 50% acetonitrile), 100 µL of 30% ammonium solution and</w:t>
      </w:r>
      <w:r w:rsidRPr="00887AAC">
        <w:rPr>
          <w:rFonts w:asciiTheme="minorHAnsi" w:hAnsiTheme="minorHAnsi"/>
          <w:sz w:val="22"/>
          <w:szCs w:val="22"/>
        </w:rPr>
        <w:t xml:space="preserve"> 1 mL of methyl-</w:t>
      </w:r>
      <w:r w:rsidRPr="00887AAC">
        <w:rPr>
          <w:rFonts w:asciiTheme="minorHAnsi" w:hAnsiTheme="minorHAnsi"/>
          <w:i/>
          <w:sz w:val="22"/>
          <w:szCs w:val="22"/>
        </w:rPr>
        <w:t>tert</w:t>
      </w:r>
      <w:r w:rsidRPr="00887AAC">
        <w:rPr>
          <w:rFonts w:asciiTheme="minorHAnsi" w:hAnsiTheme="minorHAnsi"/>
          <w:sz w:val="22"/>
          <w:szCs w:val="22"/>
        </w:rPr>
        <w:t xml:space="preserve">-butyl ether.  The sample was mixed for 10 min and centrifuged at 20,000 </w:t>
      </w:r>
      <w:r w:rsidRPr="00887AAC">
        <w:rPr>
          <w:rFonts w:asciiTheme="minorHAnsi" w:hAnsiTheme="minorHAnsi"/>
          <w:i/>
          <w:sz w:val="22"/>
          <w:szCs w:val="22"/>
        </w:rPr>
        <w:t xml:space="preserve">g </w:t>
      </w:r>
      <w:r w:rsidRPr="00887AAC">
        <w:rPr>
          <w:rFonts w:asciiTheme="minorHAnsi" w:hAnsiTheme="minorHAnsi"/>
          <w:sz w:val="22"/>
          <w:szCs w:val="22"/>
        </w:rPr>
        <w:t xml:space="preserve">for 15 min at 4˚C.  Supernatant (800 </w:t>
      </w:r>
      <w:r w:rsidRPr="00887AAC">
        <w:rPr>
          <w:rFonts w:asciiTheme="minorHAnsi" w:hAnsiTheme="minorHAnsi"/>
          <w:sz w:val="22"/>
          <w:szCs w:val="22"/>
        </w:rPr>
        <w:sym w:font="Symbol" w:char="F06D"/>
      </w:r>
      <w:r w:rsidRPr="00887AAC">
        <w:rPr>
          <w:rFonts w:asciiTheme="minorHAnsi" w:hAnsiTheme="minorHAnsi"/>
          <w:sz w:val="22"/>
          <w:szCs w:val="22"/>
        </w:rPr>
        <w:t xml:space="preserve">L) was transferred to a 1.8 mL microcentrifuge tube and the contents evaporated to dryness at 40ºC under a stream of instrument grade air.  Mobile phase (150 </w:t>
      </w:r>
      <w:r w:rsidRPr="00887AAC">
        <w:rPr>
          <w:rFonts w:asciiTheme="minorHAnsi" w:hAnsiTheme="minorHAnsi"/>
          <w:sz w:val="22"/>
          <w:szCs w:val="22"/>
        </w:rPr>
        <w:sym w:font="Symbol" w:char="F06D"/>
      </w:r>
      <w:r w:rsidRPr="00887AAC">
        <w:rPr>
          <w:rFonts w:asciiTheme="minorHAnsi" w:hAnsiTheme="minorHAnsi"/>
          <w:sz w:val="22"/>
          <w:szCs w:val="22"/>
        </w:rPr>
        <w:t>L) was added to the residue in each tube and mixed for 1 min.  The contents of the tubes (2 µL) was injected onto the column.</w:t>
      </w:r>
    </w:p>
    <w:p w14:paraId="338D2039" w14:textId="77777777" w:rsidR="00B864A8" w:rsidRPr="00887AAC" w:rsidRDefault="00B864A8" w:rsidP="002B2372">
      <w:pPr>
        <w:spacing w:line="360" w:lineRule="auto"/>
        <w:rPr>
          <w:iCs/>
          <w:color w:val="000000"/>
          <w:sz w:val="22"/>
          <w:szCs w:val="22"/>
        </w:rPr>
      </w:pPr>
      <w:r w:rsidRPr="00887AAC">
        <w:rPr>
          <w:color w:val="000000"/>
          <w:sz w:val="22"/>
          <w:szCs w:val="22"/>
        </w:rPr>
        <w:lastRenderedPageBreak/>
        <w:t xml:space="preserve">Quantification was performed using multiple reaction monitoring (MRM) of the ion transitions of 320.199 to 247.1 and 142.2 </w:t>
      </w:r>
      <w:r w:rsidRPr="00887AAC">
        <w:rPr>
          <w:i/>
          <w:iCs/>
          <w:color w:val="000000"/>
          <w:sz w:val="22"/>
          <w:szCs w:val="22"/>
        </w:rPr>
        <w:t>m</w:t>
      </w:r>
      <w:r w:rsidRPr="00887AAC">
        <w:rPr>
          <w:color w:val="000000"/>
          <w:sz w:val="22"/>
          <w:szCs w:val="22"/>
        </w:rPr>
        <w:t>/</w:t>
      </w:r>
      <w:r w:rsidRPr="00887AAC">
        <w:rPr>
          <w:i/>
          <w:iCs/>
          <w:color w:val="000000"/>
          <w:sz w:val="22"/>
          <w:szCs w:val="22"/>
        </w:rPr>
        <w:t xml:space="preserve">z </w:t>
      </w:r>
      <w:r w:rsidRPr="00887AAC">
        <w:rPr>
          <w:iCs/>
          <w:color w:val="000000"/>
          <w:sz w:val="22"/>
          <w:szCs w:val="22"/>
        </w:rPr>
        <w:t xml:space="preserve">for CQ, 292.189 to 179.0 and 114.3 </w:t>
      </w:r>
      <w:r w:rsidRPr="00887AAC">
        <w:rPr>
          <w:i/>
          <w:iCs/>
          <w:color w:val="000000"/>
          <w:sz w:val="22"/>
          <w:szCs w:val="22"/>
        </w:rPr>
        <w:t>m</w:t>
      </w:r>
      <w:r w:rsidRPr="00887AAC">
        <w:rPr>
          <w:color w:val="000000"/>
          <w:sz w:val="22"/>
          <w:szCs w:val="22"/>
        </w:rPr>
        <w:t>/</w:t>
      </w:r>
      <w:r w:rsidRPr="00887AAC">
        <w:rPr>
          <w:i/>
          <w:iCs/>
          <w:color w:val="000000"/>
          <w:sz w:val="22"/>
          <w:szCs w:val="22"/>
        </w:rPr>
        <w:t xml:space="preserve">z </w:t>
      </w:r>
      <w:r w:rsidRPr="00887AAC">
        <w:rPr>
          <w:iCs/>
          <w:color w:val="000000"/>
          <w:sz w:val="22"/>
          <w:szCs w:val="22"/>
        </w:rPr>
        <w:t xml:space="preserve">for DCQ and </w:t>
      </w:r>
      <w:r w:rsidRPr="00887AAC">
        <w:rPr>
          <w:sz w:val="22"/>
          <w:szCs w:val="22"/>
        </w:rPr>
        <w:t>334.192</w:t>
      </w:r>
      <w:r w:rsidRPr="00887AAC">
        <w:rPr>
          <w:iCs/>
          <w:color w:val="000000"/>
          <w:sz w:val="22"/>
          <w:szCs w:val="22"/>
        </w:rPr>
        <w:t xml:space="preserve"> to </w:t>
      </w:r>
      <w:r w:rsidRPr="00887AAC">
        <w:rPr>
          <w:sz w:val="22"/>
          <w:szCs w:val="22"/>
        </w:rPr>
        <w:t>261.1</w:t>
      </w:r>
      <w:r w:rsidRPr="00887AAC">
        <w:rPr>
          <w:color w:val="000000"/>
          <w:sz w:val="22"/>
          <w:szCs w:val="22"/>
        </w:rPr>
        <w:t xml:space="preserve"> and 142.2 </w:t>
      </w:r>
      <w:r w:rsidRPr="00887AAC">
        <w:rPr>
          <w:i/>
          <w:iCs/>
          <w:color w:val="000000"/>
          <w:sz w:val="22"/>
          <w:szCs w:val="22"/>
        </w:rPr>
        <w:t>m</w:t>
      </w:r>
      <w:r w:rsidRPr="00887AAC">
        <w:rPr>
          <w:color w:val="000000"/>
          <w:sz w:val="22"/>
          <w:szCs w:val="22"/>
        </w:rPr>
        <w:t>/</w:t>
      </w:r>
      <w:r w:rsidRPr="00887AAC">
        <w:rPr>
          <w:i/>
          <w:iCs/>
          <w:color w:val="000000"/>
          <w:sz w:val="22"/>
          <w:szCs w:val="22"/>
        </w:rPr>
        <w:t>z</w:t>
      </w:r>
      <w:r w:rsidRPr="00887AAC">
        <w:rPr>
          <w:iCs/>
          <w:color w:val="000000"/>
          <w:sz w:val="22"/>
          <w:szCs w:val="22"/>
        </w:rPr>
        <w:t xml:space="preserve"> for CQa</w:t>
      </w:r>
      <w:r w:rsidRPr="00887AAC">
        <w:rPr>
          <w:color w:val="000000"/>
          <w:sz w:val="22"/>
          <w:szCs w:val="22"/>
        </w:rPr>
        <w:t xml:space="preserve">.  Quadratic regression for the calibration standards (range 0.5 to 1,000 ng/mL) with </w:t>
      </w:r>
      <w:r w:rsidRPr="00887AAC">
        <w:rPr>
          <w:sz w:val="22"/>
          <w:szCs w:val="22"/>
        </w:rPr>
        <w:t>a weighting factor of 1/x</w:t>
      </w:r>
      <w:r w:rsidRPr="00887AAC">
        <w:rPr>
          <w:sz w:val="22"/>
          <w:szCs w:val="22"/>
          <w:vertAlign w:val="superscript"/>
        </w:rPr>
        <w:t>2</w:t>
      </w:r>
      <w:r w:rsidRPr="00887AAC">
        <w:rPr>
          <w:sz w:val="22"/>
          <w:szCs w:val="22"/>
        </w:rPr>
        <w:t xml:space="preserve"> </w:t>
      </w:r>
      <w:r w:rsidRPr="00887AAC">
        <w:rPr>
          <w:color w:val="000000"/>
          <w:sz w:val="22"/>
          <w:szCs w:val="22"/>
        </w:rPr>
        <w:t xml:space="preserve">yielded a correlation coefficient of &gt;0.992 for both analytes.  The retention times of CQ, DCQ and CQa were </w:t>
      </w:r>
      <w:r w:rsidRPr="00887AAC">
        <w:rPr>
          <w:sz w:val="22"/>
          <w:szCs w:val="22"/>
        </w:rPr>
        <w:t xml:space="preserve">at 0.91, 0.91 and 1.08 </w:t>
      </w:r>
      <w:r w:rsidRPr="00887AAC">
        <w:rPr>
          <w:color w:val="000000"/>
          <w:sz w:val="22"/>
          <w:szCs w:val="22"/>
        </w:rPr>
        <w:t>min, respectively. The lower limit of quantification was 0.5 ng/mL with 50 µL of plasma for both CQ and DCQ.</w:t>
      </w:r>
    </w:p>
    <w:p w14:paraId="481A0286" w14:textId="7760B0F7" w:rsidR="00944126" w:rsidRPr="00887AAC" w:rsidRDefault="00F5524A" w:rsidP="002B2372">
      <w:pPr>
        <w:spacing w:line="360" w:lineRule="auto"/>
        <w:rPr>
          <w:sz w:val="22"/>
          <w:szCs w:val="22"/>
        </w:rPr>
      </w:pPr>
      <w:r w:rsidRPr="00887AAC">
        <w:rPr>
          <w:sz w:val="22"/>
          <w:szCs w:val="22"/>
        </w:rPr>
        <w:t>The interassay precision of analysis (percent coefficient of variation [CV]) for CQ of 8.5% at 0.5 ng/mL, 4.8% at 100 ng/mL and 5.3% at 1,000 ng/mL (n≥11), with an inaccuracy of ≤1.5%.  Corresponding CV values for DCQ were 8.5%, 7.0% and 6.0%, respectively, with an inaccuracy of ≤1.1%.</w:t>
      </w:r>
    </w:p>
    <w:p w14:paraId="21600B7E" w14:textId="77777777" w:rsidR="00887AAC" w:rsidRPr="00887AAC" w:rsidRDefault="00887AAC" w:rsidP="002B2372">
      <w:pPr>
        <w:spacing w:line="360" w:lineRule="auto"/>
        <w:rPr>
          <w:b/>
          <w:i/>
          <w:sz w:val="22"/>
          <w:szCs w:val="22"/>
        </w:rPr>
      </w:pPr>
    </w:p>
    <w:p w14:paraId="33EDCD65" w14:textId="7879FE4E" w:rsidR="00887AAC" w:rsidRPr="00887AAC" w:rsidRDefault="00887AAC" w:rsidP="00887AAC">
      <w:pPr>
        <w:ind w:left="-142"/>
        <w:rPr>
          <w:i/>
          <w:sz w:val="22"/>
          <w:szCs w:val="22"/>
        </w:rPr>
      </w:pPr>
      <w:r w:rsidRPr="00887AAC">
        <w:rPr>
          <w:b/>
          <w:i/>
          <w:sz w:val="22"/>
          <w:szCs w:val="22"/>
        </w:rPr>
        <w:t>Table A</w:t>
      </w:r>
      <w:r w:rsidRPr="00887AAC">
        <w:rPr>
          <w:b/>
          <w:i/>
          <w:sz w:val="22"/>
          <w:szCs w:val="22"/>
        </w:rPr>
        <w:t>.</w:t>
      </w:r>
      <w:r w:rsidRPr="00887AAC">
        <w:rPr>
          <w:i/>
          <w:sz w:val="22"/>
          <w:szCs w:val="22"/>
        </w:rPr>
        <w:t xml:space="preserve">  Composite</w:t>
      </w:r>
      <w:r w:rsidRPr="00887AAC">
        <w:rPr>
          <w:b/>
          <w:i/>
          <w:sz w:val="22"/>
          <w:szCs w:val="22"/>
        </w:rPr>
        <w:t xml:space="preserve"> </w:t>
      </w:r>
      <w:r w:rsidRPr="00887AAC">
        <w:rPr>
          <w:i/>
          <w:sz w:val="22"/>
          <w:szCs w:val="22"/>
        </w:rPr>
        <w:t xml:space="preserve">plasma chloroquine (CQ) and desethylchloroquine (DCQ) concentrations </w:t>
      </w:r>
    </w:p>
    <w:p w14:paraId="44ED6A11" w14:textId="77777777" w:rsidR="00887AAC" w:rsidRPr="00887AAC" w:rsidRDefault="00887AAC" w:rsidP="00887AAC"/>
    <w:tbl>
      <w:tblPr>
        <w:tblW w:w="9039" w:type="dxa"/>
        <w:tblLook w:val="00A0" w:firstRow="1" w:lastRow="0" w:firstColumn="1" w:lastColumn="0" w:noHBand="0" w:noVBand="0"/>
      </w:tblPr>
      <w:tblGrid>
        <w:gridCol w:w="3936"/>
        <w:gridCol w:w="1984"/>
        <w:gridCol w:w="1926"/>
        <w:gridCol w:w="1193"/>
      </w:tblGrid>
      <w:tr w:rsidR="00887AAC" w:rsidRPr="00887AAC" w14:paraId="54DE441C" w14:textId="77777777" w:rsidTr="00163434">
        <w:tc>
          <w:tcPr>
            <w:tcW w:w="3936" w:type="dxa"/>
            <w:tcBorders>
              <w:top w:val="single" w:sz="4" w:space="0" w:color="auto"/>
              <w:bottom w:val="single" w:sz="4" w:space="0" w:color="auto"/>
            </w:tcBorders>
          </w:tcPr>
          <w:p w14:paraId="630AE7DD" w14:textId="77777777" w:rsidR="00887AAC" w:rsidRPr="00887AAC" w:rsidRDefault="00887AAC" w:rsidP="00163434">
            <w:pPr>
              <w:pStyle w:val="NormalWeb"/>
              <w:spacing w:after="0"/>
              <w:rPr>
                <w:rFonts w:asciiTheme="minorHAnsi" w:hAnsiTheme="minorHAnsi"/>
                <w:b/>
                <w:bCs/>
                <w:color w:val="auto"/>
                <w:sz w:val="22"/>
                <w:szCs w:val="22"/>
              </w:rPr>
            </w:pPr>
            <w:r w:rsidRPr="00887AAC">
              <w:rPr>
                <w:rFonts w:asciiTheme="minorHAnsi" w:hAnsiTheme="minorHAnsi"/>
                <w:color w:val="auto"/>
                <w:kern w:val="24"/>
                <w:sz w:val="22"/>
                <w:szCs w:val="22"/>
              </w:rPr>
              <w:t xml:space="preserve">Variable </w:t>
            </w:r>
          </w:p>
        </w:tc>
        <w:tc>
          <w:tcPr>
            <w:tcW w:w="1984" w:type="dxa"/>
            <w:tcBorders>
              <w:top w:val="single" w:sz="4" w:space="0" w:color="auto"/>
              <w:bottom w:val="single" w:sz="4" w:space="0" w:color="auto"/>
            </w:tcBorders>
          </w:tcPr>
          <w:p w14:paraId="346DF362"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b/>
                <w:color w:val="auto"/>
                <w:kern w:val="24"/>
                <w:sz w:val="22"/>
                <w:szCs w:val="22"/>
              </w:rPr>
              <w:t>Treatment failure by day 28</w:t>
            </w:r>
          </w:p>
          <w:p w14:paraId="791ED83B" w14:textId="77777777" w:rsidR="00887AAC" w:rsidRPr="00887AAC" w:rsidRDefault="00887AAC" w:rsidP="00163434">
            <w:pPr>
              <w:pStyle w:val="NormalWeb"/>
              <w:spacing w:after="0"/>
              <w:rPr>
                <w:rFonts w:asciiTheme="minorHAnsi" w:hAnsiTheme="minorHAnsi"/>
                <w:b/>
                <w:bCs/>
                <w:color w:val="auto"/>
                <w:sz w:val="22"/>
                <w:szCs w:val="22"/>
              </w:rPr>
            </w:pPr>
            <w:r w:rsidRPr="00887AAC">
              <w:rPr>
                <w:rFonts w:asciiTheme="minorHAnsi" w:hAnsiTheme="minorHAnsi"/>
                <w:color w:val="auto"/>
                <w:kern w:val="24"/>
                <w:sz w:val="22"/>
                <w:szCs w:val="22"/>
              </w:rPr>
              <w:t>n=26*</w:t>
            </w:r>
          </w:p>
        </w:tc>
        <w:tc>
          <w:tcPr>
            <w:tcW w:w="1926" w:type="dxa"/>
            <w:tcBorders>
              <w:top w:val="single" w:sz="4" w:space="0" w:color="auto"/>
              <w:bottom w:val="single" w:sz="4" w:space="0" w:color="auto"/>
            </w:tcBorders>
          </w:tcPr>
          <w:p w14:paraId="2F5A4346"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b/>
                <w:color w:val="auto"/>
                <w:kern w:val="24"/>
                <w:sz w:val="22"/>
                <w:szCs w:val="22"/>
              </w:rPr>
              <w:t>No treatment failure by day 28</w:t>
            </w:r>
          </w:p>
          <w:p w14:paraId="34D3A760" w14:textId="77777777" w:rsidR="00887AAC" w:rsidRPr="00887AAC" w:rsidRDefault="00887AAC" w:rsidP="00163434">
            <w:pPr>
              <w:pStyle w:val="NormalWeb"/>
              <w:spacing w:after="0"/>
              <w:rPr>
                <w:rFonts w:asciiTheme="minorHAnsi" w:hAnsiTheme="minorHAnsi"/>
                <w:b/>
                <w:bCs/>
                <w:color w:val="auto"/>
                <w:sz w:val="22"/>
                <w:szCs w:val="22"/>
              </w:rPr>
            </w:pPr>
            <w:r w:rsidRPr="00887AAC">
              <w:rPr>
                <w:rFonts w:asciiTheme="minorHAnsi" w:hAnsiTheme="minorHAnsi"/>
                <w:color w:val="auto"/>
                <w:kern w:val="24"/>
                <w:sz w:val="22"/>
                <w:szCs w:val="22"/>
              </w:rPr>
              <w:t>n=16</w:t>
            </w:r>
          </w:p>
        </w:tc>
        <w:tc>
          <w:tcPr>
            <w:tcW w:w="1193" w:type="dxa"/>
            <w:tcBorders>
              <w:top w:val="single" w:sz="4" w:space="0" w:color="auto"/>
              <w:bottom w:val="single" w:sz="4" w:space="0" w:color="auto"/>
            </w:tcBorders>
          </w:tcPr>
          <w:p w14:paraId="36C8EAA3"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b/>
                <w:color w:val="auto"/>
                <w:kern w:val="24"/>
                <w:sz w:val="22"/>
                <w:szCs w:val="22"/>
              </w:rPr>
              <w:t>P value</w:t>
            </w:r>
          </w:p>
        </w:tc>
      </w:tr>
      <w:tr w:rsidR="00887AAC" w:rsidRPr="00887AAC" w14:paraId="263BE8E7" w14:textId="77777777" w:rsidTr="00163434">
        <w:tc>
          <w:tcPr>
            <w:tcW w:w="3936" w:type="dxa"/>
            <w:tcBorders>
              <w:top w:val="single" w:sz="4" w:space="0" w:color="auto"/>
            </w:tcBorders>
            <w:shd w:val="clear" w:color="auto" w:fill="D9D9D9" w:themeFill="background1" w:themeFillShade="D9"/>
          </w:tcPr>
          <w:p w14:paraId="6DE7B84A"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Day 7 </w:t>
            </w:r>
          </w:p>
        </w:tc>
        <w:tc>
          <w:tcPr>
            <w:tcW w:w="1984" w:type="dxa"/>
            <w:tcBorders>
              <w:top w:val="single" w:sz="4" w:space="0" w:color="auto"/>
            </w:tcBorders>
            <w:shd w:val="clear" w:color="auto" w:fill="D9D9D9" w:themeFill="background1" w:themeFillShade="D9"/>
          </w:tcPr>
          <w:p w14:paraId="6D95F214" w14:textId="77777777" w:rsidR="00887AAC" w:rsidRPr="00887AAC" w:rsidRDefault="00887AAC" w:rsidP="00163434">
            <w:pPr>
              <w:pStyle w:val="NormalWeb"/>
              <w:spacing w:after="0"/>
              <w:ind w:right="509"/>
              <w:rPr>
                <w:rFonts w:asciiTheme="minorHAnsi" w:hAnsiTheme="minorHAnsi"/>
                <w:bCs/>
                <w:color w:val="auto"/>
                <w:kern w:val="24"/>
                <w:sz w:val="22"/>
                <w:szCs w:val="22"/>
              </w:rPr>
            </w:pPr>
          </w:p>
        </w:tc>
        <w:tc>
          <w:tcPr>
            <w:tcW w:w="1926" w:type="dxa"/>
            <w:tcBorders>
              <w:top w:val="single" w:sz="4" w:space="0" w:color="auto"/>
            </w:tcBorders>
            <w:shd w:val="clear" w:color="auto" w:fill="D9D9D9" w:themeFill="background1" w:themeFillShade="D9"/>
          </w:tcPr>
          <w:p w14:paraId="2C74EB91" w14:textId="77777777" w:rsidR="00887AAC" w:rsidRPr="00887AAC" w:rsidRDefault="00887AAC" w:rsidP="00163434">
            <w:pPr>
              <w:pStyle w:val="NormalWeb"/>
              <w:spacing w:after="0"/>
              <w:rPr>
                <w:rFonts w:asciiTheme="minorHAnsi" w:hAnsiTheme="minorHAnsi"/>
                <w:bCs/>
                <w:color w:val="auto"/>
                <w:kern w:val="24"/>
                <w:sz w:val="22"/>
                <w:szCs w:val="22"/>
              </w:rPr>
            </w:pPr>
          </w:p>
        </w:tc>
        <w:tc>
          <w:tcPr>
            <w:tcW w:w="1193" w:type="dxa"/>
            <w:tcBorders>
              <w:top w:val="single" w:sz="4" w:space="0" w:color="auto"/>
            </w:tcBorders>
            <w:shd w:val="clear" w:color="auto" w:fill="D9D9D9" w:themeFill="background1" w:themeFillShade="D9"/>
          </w:tcPr>
          <w:p w14:paraId="1C7DEEB9"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385F0667" w14:textId="77777777" w:rsidTr="00163434">
        <w:tc>
          <w:tcPr>
            <w:tcW w:w="3936" w:type="dxa"/>
          </w:tcPr>
          <w:p w14:paraId="6362BA83"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Sample obtained  n (%)</w:t>
            </w:r>
          </w:p>
        </w:tc>
        <w:tc>
          <w:tcPr>
            <w:tcW w:w="1984" w:type="dxa"/>
          </w:tcPr>
          <w:p w14:paraId="5D9A1033"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22 (88)</w:t>
            </w:r>
          </w:p>
        </w:tc>
        <w:tc>
          <w:tcPr>
            <w:tcW w:w="1926" w:type="dxa"/>
          </w:tcPr>
          <w:p w14:paraId="7A6C61D8"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15 (94)</w:t>
            </w:r>
          </w:p>
        </w:tc>
        <w:tc>
          <w:tcPr>
            <w:tcW w:w="1193" w:type="dxa"/>
          </w:tcPr>
          <w:p w14:paraId="2AF29C32"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0.571</w:t>
            </w:r>
          </w:p>
        </w:tc>
      </w:tr>
      <w:tr w:rsidR="00887AAC" w:rsidRPr="00887AAC" w14:paraId="5AB9C303" w14:textId="77777777" w:rsidTr="00163434">
        <w:tc>
          <w:tcPr>
            <w:tcW w:w="3936" w:type="dxa"/>
            <w:shd w:val="clear" w:color="auto" w:fill="D9D9D9" w:themeFill="background1" w:themeFillShade="D9"/>
          </w:tcPr>
          <w:p w14:paraId="308567E6"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Median concentration ng/mL (IQR)</w:t>
            </w:r>
          </w:p>
        </w:tc>
        <w:tc>
          <w:tcPr>
            <w:tcW w:w="1984" w:type="dxa"/>
            <w:shd w:val="clear" w:color="auto" w:fill="D9D9D9" w:themeFill="background1" w:themeFillShade="D9"/>
          </w:tcPr>
          <w:p w14:paraId="08EFAB2A"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44.2 (26.9-73.0)</w:t>
            </w:r>
          </w:p>
        </w:tc>
        <w:tc>
          <w:tcPr>
            <w:tcW w:w="1926" w:type="dxa"/>
            <w:shd w:val="clear" w:color="auto" w:fill="D9D9D9" w:themeFill="background1" w:themeFillShade="D9"/>
          </w:tcPr>
          <w:p w14:paraId="6D861E1B"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51.7 (37.5-72.0)</w:t>
            </w:r>
          </w:p>
        </w:tc>
        <w:tc>
          <w:tcPr>
            <w:tcW w:w="1193" w:type="dxa"/>
            <w:shd w:val="clear" w:color="auto" w:fill="D9D9D9" w:themeFill="background1" w:themeFillShade="D9"/>
          </w:tcPr>
          <w:p w14:paraId="4D3DE652"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0.194</w:t>
            </w:r>
          </w:p>
        </w:tc>
      </w:tr>
      <w:tr w:rsidR="00887AAC" w:rsidRPr="00887AAC" w14:paraId="72D24559" w14:textId="77777777" w:rsidTr="00163434">
        <w:tc>
          <w:tcPr>
            <w:tcW w:w="3936" w:type="dxa"/>
          </w:tcPr>
          <w:p w14:paraId="237B2129"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Median ratio CQ : DCQ (IQR)</w:t>
            </w:r>
          </w:p>
        </w:tc>
        <w:tc>
          <w:tcPr>
            <w:tcW w:w="1984" w:type="dxa"/>
          </w:tcPr>
          <w:p w14:paraId="45B3D7EB"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2.0 (1.7-2.3)</w:t>
            </w:r>
          </w:p>
        </w:tc>
        <w:tc>
          <w:tcPr>
            <w:tcW w:w="1926" w:type="dxa"/>
          </w:tcPr>
          <w:p w14:paraId="1F6F2ACA"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2.1 (1.5-2.4)</w:t>
            </w:r>
          </w:p>
        </w:tc>
        <w:tc>
          <w:tcPr>
            <w:tcW w:w="1193" w:type="dxa"/>
          </w:tcPr>
          <w:p w14:paraId="06C947C0"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0.756</w:t>
            </w:r>
          </w:p>
        </w:tc>
      </w:tr>
      <w:tr w:rsidR="00887AAC" w:rsidRPr="00887AAC" w14:paraId="6ED5F292" w14:textId="77777777" w:rsidTr="00163434">
        <w:tc>
          <w:tcPr>
            <w:tcW w:w="3936" w:type="dxa"/>
            <w:shd w:val="clear" w:color="auto" w:fill="D9D9D9" w:themeFill="background1" w:themeFillShade="D9"/>
          </w:tcPr>
          <w:p w14:paraId="07BB54CE"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w:t>
            </w:r>
          </w:p>
        </w:tc>
        <w:tc>
          <w:tcPr>
            <w:tcW w:w="1984" w:type="dxa"/>
            <w:shd w:val="clear" w:color="auto" w:fill="D9D9D9" w:themeFill="background1" w:themeFillShade="D9"/>
          </w:tcPr>
          <w:p w14:paraId="38B124D9" w14:textId="77777777" w:rsidR="00887AAC" w:rsidRPr="00887AAC" w:rsidRDefault="00887AAC" w:rsidP="00163434">
            <w:pPr>
              <w:pStyle w:val="NormalWeb"/>
              <w:spacing w:after="0"/>
              <w:rPr>
                <w:rFonts w:asciiTheme="minorHAnsi" w:hAnsiTheme="minorHAnsi"/>
                <w:bCs/>
                <w:color w:val="auto"/>
                <w:kern w:val="24"/>
                <w:sz w:val="22"/>
                <w:szCs w:val="22"/>
              </w:rPr>
            </w:pPr>
          </w:p>
        </w:tc>
        <w:tc>
          <w:tcPr>
            <w:tcW w:w="1926" w:type="dxa"/>
            <w:shd w:val="clear" w:color="auto" w:fill="D9D9D9" w:themeFill="background1" w:themeFillShade="D9"/>
          </w:tcPr>
          <w:p w14:paraId="7EDF73A4" w14:textId="77777777" w:rsidR="00887AAC" w:rsidRPr="00887AAC" w:rsidRDefault="00887AAC" w:rsidP="00163434">
            <w:pPr>
              <w:pStyle w:val="NormalWeb"/>
              <w:spacing w:after="0"/>
              <w:rPr>
                <w:rFonts w:asciiTheme="minorHAnsi" w:hAnsiTheme="minorHAnsi"/>
                <w:bCs/>
                <w:color w:val="auto"/>
                <w:kern w:val="24"/>
                <w:sz w:val="22"/>
                <w:szCs w:val="22"/>
              </w:rPr>
            </w:pPr>
          </w:p>
        </w:tc>
        <w:tc>
          <w:tcPr>
            <w:tcW w:w="1193" w:type="dxa"/>
            <w:shd w:val="clear" w:color="auto" w:fill="D9D9D9" w:themeFill="background1" w:themeFillShade="D9"/>
          </w:tcPr>
          <w:p w14:paraId="5D646079"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377254D4" w14:textId="77777777" w:rsidTr="00163434">
        <w:tc>
          <w:tcPr>
            <w:tcW w:w="3936" w:type="dxa"/>
          </w:tcPr>
          <w:p w14:paraId="20C7CB78"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Day of parasite recurrence</w:t>
            </w:r>
          </w:p>
        </w:tc>
        <w:tc>
          <w:tcPr>
            <w:tcW w:w="1984" w:type="dxa"/>
          </w:tcPr>
          <w:p w14:paraId="2BD57AF5" w14:textId="77777777" w:rsidR="00887AAC" w:rsidRPr="00887AAC" w:rsidRDefault="00887AAC" w:rsidP="00163434">
            <w:pPr>
              <w:pStyle w:val="NormalWeb"/>
              <w:spacing w:after="0"/>
              <w:rPr>
                <w:rFonts w:asciiTheme="minorHAnsi" w:hAnsiTheme="minorHAnsi"/>
                <w:bCs/>
                <w:color w:val="auto"/>
                <w:kern w:val="24"/>
                <w:sz w:val="22"/>
                <w:szCs w:val="22"/>
              </w:rPr>
            </w:pPr>
          </w:p>
        </w:tc>
        <w:tc>
          <w:tcPr>
            <w:tcW w:w="1926" w:type="dxa"/>
          </w:tcPr>
          <w:p w14:paraId="37DAE3F8" w14:textId="77777777" w:rsidR="00887AAC" w:rsidRPr="00887AAC" w:rsidRDefault="00887AAC" w:rsidP="00163434">
            <w:pPr>
              <w:pStyle w:val="NormalWeb"/>
              <w:spacing w:after="0"/>
              <w:rPr>
                <w:rFonts w:asciiTheme="minorHAnsi" w:hAnsiTheme="minorHAnsi"/>
                <w:bCs/>
                <w:color w:val="auto"/>
                <w:kern w:val="24"/>
                <w:sz w:val="22"/>
                <w:szCs w:val="22"/>
              </w:rPr>
            </w:pPr>
          </w:p>
        </w:tc>
        <w:tc>
          <w:tcPr>
            <w:tcW w:w="1193" w:type="dxa"/>
          </w:tcPr>
          <w:p w14:paraId="63686833"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64D092F8" w14:textId="77777777" w:rsidTr="00163434">
        <w:tc>
          <w:tcPr>
            <w:tcW w:w="3936" w:type="dxa"/>
            <w:shd w:val="clear" w:color="auto" w:fill="D9D9D9" w:themeFill="background1" w:themeFillShade="D9"/>
          </w:tcPr>
          <w:p w14:paraId="382D1CDC"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Sample obtained  n (%)</w:t>
            </w:r>
          </w:p>
        </w:tc>
        <w:tc>
          <w:tcPr>
            <w:tcW w:w="1984" w:type="dxa"/>
            <w:shd w:val="clear" w:color="auto" w:fill="D9D9D9" w:themeFill="background1" w:themeFillShade="D9"/>
          </w:tcPr>
          <w:p w14:paraId="35B90794"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20 (80)</w:t>
            </w:r>
          </w:p>
        </w:tc>
        <w:tc>
          <w:tcPr>
            <w:tcW w:w="1926" w:type="dxa"/>
            <w:shd w:val="clear" w:color="auto" w:fill="D9D9D9" w:themeFill="background1" w:themeFillShade="D9"/>
          </w:tcPr>
          <w:p w14:paraId="16648293"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w:t>
            </w:r>
          </w:p>
        </w:tc>
        <w:tc>
          <w:tcPr>
            <w:tcW w:w="1193" w:type="dxa"/>
            <w:shd w:val="clear" w:color="auto" w:fill="D9D9D9" w:themeFill="background1" w:themeFillShade="D9"/>
          </w:tcPr>
          <w:p w14:paraId="28F1F1A8"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1AD37BA7" w14:textId="77777777" w:rsidTr="00163434">
        <w:tc>
          <w:tcPr>
            <w:tcW w:w="3936" w:type="dxa"/>
          </w:tcPr>
          <w:p w14:paraId="30A3253D"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Median day of recurrence (IQR)</w:t>
            </w:r>
          </w:p>
        </w:tc>
        <w:tc>
          <w:tcPr>
            <w:tcW w:w="1984" w:type="dxa"/>
          </w:tcPr>
          <w:p w14:paraId="7DD85346"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22 (13-28)</w:t>
            </w:r>
          </w:p>
        </w:tc>
        <w:tc>
          <w:tcPr>
            <w:tcW w:w="1926" w:type="dxa"/>
          </w:tcPr>
          <w:p w14:paraId="6EFF9485"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w:t>
            </w:r>
          </w:p>
        </w:tc>
        <w:tc>
          <w:tcPr>
            <w:tcW w:w="1193" w:type="dxa"/>
          </w:tcPr>
          <w:p w14:paraId="5DF1A854"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59F2B522" w14:textId="77777777" w:rsidTr="00163434">
        <w:tc>
          <w:tcPr>
            <w:tcW w:w="3936" w:type="dxa"/>
            <w:shd w:val="clear" w:color="auto" w:fill="D9D9D9" w:themeFill="background1" w:themeFillShade="D9"/>
          </w:tcPr>
          <w:p w14:paraId="3E3B870A"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Median concentration ng/mL (IQR)</w:t>
            </w:r>
          </w:p>
        </w:tc>
        <w:tc>
          <w:tcPr>
            <w:tcW w:w="1984" w:type="dxa"/>
            <w:shd w:val="clear" w:color="auto" w:fill="D9D9D9" w:themeFill="background1" w:themeFillShade="D9"/>
          </w:tcPr>
          <w:p w14:paraId="0CB86E84"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8.6 (5.1-27.2)</w:t>
            </w:r>
          </w:p>
        </w:tc>
        <w:tc>
          <w:tcPr>
            <w:tcW w:w="1926" w:type="dxa"/>
            <w:shd w:val="clear" w:color="auto" w:fill="D9D9D9" w:themeFill="background1" w:themeFillShade="D9"/>
          </w:tcPr>
          <w:p w14:paraId="1A74764D"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w:t>
            </w:r>
          </w:p>
        </w:tc>
        <w:tc>
          <w:tcPr>
            <w:tcW w:w="1193" w:type="dxa"/>
            <w:shd w:val="clear" w:color="auto" w:fill="D9D9D9" w:themeFill="background1" w:themeFillShade="D9"/>
          </w:tcPr>
          <w:p w14:paraId="00EB323B" w14:textId="77777777" w:rsidR="00887AAC" w:rsidRPr="00887AAC" w:rsidRDefault="00887AAC" w:rsidP="00163434">
            <w:pPr>
              <w:pStyle w:val="NormalWeb"/>
              <w:spacing w:after="0"/>
              <w:rPr>
                <w:rFonts w:asciiTheme="minorHAnsi" w:hAnsiTheme="minorHAnsi"/>
                <w:bCs/>
                <w:color w:val="auto"/>
                <w:kern w:val="24"/>
                <w:sz w:val="22"/>
                <w:szCs w:val="22"/>
              </w:rPr>
            </w:pPr>
          </w:p>
        </w:tc>
      </w:tr>
      <w:tr w:rsidR="00887AAC" w:rsidRPr="00887AAC" w14:paraId="37EFFAEC" w14:textId="77777777" w:rsidTr="00163434">
        <w:tc>
          <w:tcPr>
            <w:tcW w:w="3936" w:type="dxa"/>
            <w:tcBorders>
              <w:bottom w:val="single" w:sz="4" w:space="0" w:color="auto"/>
            </w:tcBorders>
          </w:tcPr>
          <w:p w14:paraId="4F1BBFEE" w14:textId="77777777" w:rsidR="00887AAC" w:rsidRPr="00887AAC" w:rsidRDefault="00887AAC" w:rsidP="00163434">
            <w:pPr>
              <w:pStyle w:val="NormalWeb"/>
              <w:spacing w:after="0"/>
              <w:rPr>
                <w:rFonts w:asciiTheme="minorHAnsi" w:hAnsiTheme="minorHAnsi"/>
                <w:b/>
                <w:bCs/>
                <w:color w:val="auto"/>
                <w:kern w:val="24"/>
                <w:sz w:val="22"/>
                <w:szCs w:val="22"/>
              </w:rPr>
            </w:pPr>
            <w:r w:rsidRPr="00887AAC">
              <w:rPr>
                <w:rFonts w:asciiTheme="minorHAnsi" w:hAnsiTheme="minorHAnsi"/>
                <w:color w:val="auto"/>
                <w:kern w:val="24"/>
                <w:sz w:val="22"/>
                <w:szCs w:val="22"/>
              </w:rPr>
              <w:t xml:space="preserve">    Above minimal effective </w:t>
            </w:r>
          </w:p>
          <w:p w14:paraId="769EE5F3" w14:textId="77777777" w:rsidR="00887AAC" w:rsidRPr="00887AAC" w:rsidRDefault="00887AAC" w:rsidP="00163434">
            <w:pPr>
              <w:pStyle w:val="NormalWeb"/>
              <w:spacing w:after="0"/>
              <w:rPr>
                <w:rFonts w:asciiTheme="minorHAnsi" w:hAnsiTheme="minorHAnsi"/>
                <w:color w:val="auto"/>
                <w:kern w:val="24"/>
                <w:sz w:val="22"/>
                <w:szCs w:val="22"/>
              </w:rPr>
            </w:pPr>
            <w:r w:rsidRPr="00887AAC">
              <w:rPr>
                <w:rFonts w:asciiTheme="minorHAnsi" w:hAnsiTheme="minorHAnsi"/>
                <w:color w:val="auto"/>
                <w:kern w:val="24"/>
                <w:sz w:val="22"/>
                <w:szCs w:val="22"/>
              </w:rPr>
              <w:t xml:space="preserve">    concentration (&gt;15ng/mL)  n/N (%)</w:t>
            </w:r>
          </w:p>
        </w:tc>
        <w:tc>
          <w:tcPr>
            <w:tcW w:w="1984" w:type="dxa"/>
            <w:tcBorders>
              <w:bottom w:val="single" w:sz="4" w:space="0" w:color="auto"/>
            </w:tcBorders>
          </w:tcPr>
          <w:p w14:paraId="48E888F9"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9/20 (45)</w:t>
            </w:r>
          </w:p>
        </w:tc>
        <w:tc>
          <w:tcPr>
            <w:tcW w:w="1926" w:type="dxa"/>
            <w:tcBorders>
              <w:bottom w:val="single" w:sz="4" w:space="0" w:color="auto"/>
            </w:tcBorders>
          </w:tcPr>
          <w:p w14:paraId="1BDB8F4D" w14:textId="77777777" w:rsidR="00887AAC" w:rsidRPr="00887AAC" w:rsidRDefault="00887AAC" w:rsidP="00163434">
            <w:pPr>
              <w:pStyle w:val="NormalWeb"/>
              <w:spacing w:after="0"/>
              <w:rPr>
                <w:rFonts w:asciiTheme="minorHAnsi" w:hAnsiTheme="minorHAnsi"/>
                <w:bCs/>
                <w:color w:val="auto"/>
                <w:kern w:val="24"/>
                <w:sz w:val="22"/>
                <w:szCs w:val="22"/>
              </w:rPr>
            </w:pPr>
            <w:r w:rsidRPr="00887AAC">
              <w:rPr>
                <w:rFonts w:asciiTheme="minorHAnsi" w:hAnsiTheme="minorHAnsi"/>
                <w:bCs/>
                <w:color w:val="auto"/>
                <w:kern w:val="24"/>
                <w:sz w:val="22"/>
                <w:szCs w:val="22"/>
              </w:rPr>
              <w:t>-</w:t>
            </w:r>
          </w:p>
        </w:tc>
        <w:tc>
          <w:tcPr>
            <w:tcW w:w="1193" w:type="dxa"/>
            <w:tcBorders>
              <w:bottom w:val="single" w:sz="4" w:space="0" w:color="auto"/>
            </w:tcBorders>
          </w:tcPr>
          <w:p w14:paraId="51154474" w14:textId="77777777" w:rsidR="00887AAC" w:rsidRPr="00887AAC" w:rsidRDefault="00887AAC" w:rsidP="00163434">
            <w:pPr>
              <w:pStyle w:val="NormalWeb"/>
              <w:spacing w:after="0"/>
              <w:rPr>
                <w:rFonts w:asciiTheme="minorHAnsi" w:hAnsiTheme="minorHAnsi"/>
                <w:bCs/>
                <w:color w:val="auto"/>
                <w:kern w:val="24"/>
                <w:sz w:val="22"/>
                <w:szCs w:val="22"/>
              </w:rPr>
            </w:pPr>
          </w:p>
        </w:tc>
      </w:tr>
    </w:tbl>
    <w:p w14:paraId="0C79EEFA" w14:textId="77777777" w:rsidR="00887AAC" w:rsidRPr="00887AAC" w:rsidRDefault="00887AAC" w:rsidP="00887AAC"/>
    <w:p w14:paraId="3CD1ABFC" w14:textId="77777777" w:rsidR="00887AAC" w:rsidRPr="00887AAC" w:rsidRDefault="00887AAC" w:rsidP="00887AAC">
      <w:pPr>
        <w:ind w:left="-142"/>
        <w:rPr>
          <w:sz w:val="22"/>
          <w:szCs w:val="22"/>
        </w:rPr>
      </w:pPr>
      <w:r w:rsidRPr="00887AAC">
        <w:rPr>
          <w:sz w:val="22"/>
          <w:szCs w:val="22"/>
        </w:rPr>
        <w:t>*One patient with early treatment failure did not complete CQ course and their drug concentrations were not included in the analysis</w:t>
      </w:r>
    </w:p>
    <w:p w14:paraId="52BFC11B" w14:textId="77777777" w:rsidR="00887AAC" w:rsidRPr="00887AAC" w:rsidRDefault="00887AAC" w:rsidP="00887AAC"/>
    <w:p w14:paraId="08943CDD" w14:textId="77777777" w:rsidR="00944126" w:rsidRPr="00887AAC" w:rsidRDefault="00944126" w:rsidP="002B2372">
      <w:pPr>
        <w:spacing w:line="360" w:lineRule="auto"/>
        <w:rPr>
          <w:sz w:val="22"/>
          <w:szCs w:val="22"/>
        </w:rPr>
      </w:pPr>
    </w:p>
    <w:p w14:paraId="0F2734C4" w14:textId="77777777" w:rsidR="00887AAC" w:rsidRPr="00887AAC" w:rsidRDefault="00887AAC" w:rsidP="002B2372">
      <w:pPr>
        <w:spacing w:line="360" w:lineRule="auto"/>
        <w:rPr>
          <w:sz w:val="22"/>
          <w:szCs w:val="22"/>
        </w:rPr>
      </w:pPr>
    </w:p>
    <w:p w14:paraId="39EFA208" w14:textId="06AE5B08" w:rsidR="000A33ED" w:rsidRPr="00887AAC" w:rsidRDefault="002B2372" w:rsidP="002B2372">
      <w:pPr>
        <w:spacing w:line="360" w:lineRule="auto"/>
        <w:rPr>
          <w:b/>
          <w:sz w:val="22"/>
          <w:szCs w:val="22"/>
        </w:rPr>
      </w:pPr>
      <w:r w:rsidRPr="00887AAC">
        <w:rPr>
          <w:b/>
          <w:sz w:val="22"/>
          <w:szCs w:val="22"/>
        </w:rPr>
        <w:t>2.  Genotyping</w:t>
      </w:r>
    </w:p>
    <w:p w14:paraId="672F88D9" w14:textId="77777777" w:rsidR="00B22EE5" w:rsidRPr="00887AAC" w:rsidRDefault="00B22EE5" w:rsidP="002B2372">
      <w:pPr>
        <w:autoSpaceDE w:val="0"/>
        <w:spacing w:afterLines="120" w:after="288" w:line="360" w:lineRule="auto"/>
        <w:rPr>
          <w:rFonts w:cs="Arial"/>
          <w:b/>
          <w:sz w:val="22"/>
          <w:szCs w:val="22"/>
          <w:lang w:eastAsia="en-MY"/>
        </w:rPr>
      </w:pPr>
    </w:p>
    <w:p w14:paraId="7953A9B7" w14:textId="77777777" w:rsidR="005852CB" w:rsidRPr="00887AAC" w:rsidRDefault="005852CB" w:rsidP="002B2372">
      <w:pPr>
        <w:autoSpaceDE w:val="0"/>
        <w:spacing w:afterLines="120" w:after="288" w:line="360" w:lineRule="auto"/>
        <w:rPr>
          <w:rFonts w:cs="Arial"/>
          <w:i/>
          <w:sz w:val="22"/>
          <w:szCs w:val="22"/>
          <w:lang w:eastAsia="en-MY"/>
        </w:rPr>
      </w:pPr>
      <w:r w:rsidRPr="00887AAC">
        <w:rPr>
          <w:rFonts w:cs="Arial"/>
          <w:b/>
          <w:i/>
          <w:sz w:val="22"/>
          <w:szCs w:val="22"/>
          <w:lang w:eastAsia="en-MY"/>
        </w:rPr>
        <w:t>Molecular Processing</w:t>
      </w:r>
    </w:p>
    <w:p w14:paraId="14928C80" w14:textId="48DAB840" w:rsidR="005852CB" w:rsidRPr="00887AAC" w:rsidRDefault="005852CB" w:rsidP="002B2372">
      <w:pPr>
        <w:autoSpaceDE w:val="0"/>
        <w:autoSpaceDN w:val="0"/>
        <w:adjustRightInd w:val="0"/>
        <w:spacing w:afterLines="120" w:after="288" w:line="360" w:lineRule="auto"/>
        <w:rPr>
          <w:rFonts w:cs="Arial"/>
          <w:sz w:val="22"/>
          <w:szCs w:val="22"/>
        </w:rPr>
      </w:pPr>
      <w:r w:rsidRPr="00887AAC">
        <w:rPr>
          <w:rFonts w:cs="Arial"/>
          <w:sz w:val="22"/>
          <w:szCs w:val="22"/>
          <w:lang w:eastAsia="en-MY"/>
        </w:rPr>
        <w:t xml:space="preserve">With the exception of one sample pair, where only a dried blood spot was available for the recurrent infection, molecular processing was undertaken on venous blood samples collected into in EDTA tubes. Between 200 ul and 1 ml blood was extracted using the QIAamp blood mini or midi kits (Qiagen) according to the manufacturer’s protocols. Molecular confirmation of </w:t>
      </w:r>
      <w:r w:rsidRPr="00887AAC">
        <w:rPr>
          <w:rFonts w:cs="Arial"/>
          <w:i/>
          <w:sz w:val="22"/>
          <w:szCs w:val="22"/>
          <w:lang w:eastAsia="en-MY"/>
        </w:rPr>
        <w:t>Plasmodium</w:t>
      </w:r>
      <w:r w:rsidRPr="00887AAC">
        <w:rPr>
          <w:rFonts w:cs="Arial"/>
          <w:sz w:val="22"/>
          <w:szCs w:val="22"/>
          <w:lang w:eastAsia="en-MY"/>
        </w:rPr>
        <w:t xml:space="preserve"> spp. was undertaken using the method described by </w:t>
      </w:r>
      <w:r w:rsidR="002B2372" w:rsidRPr="00887AAC">
        <w:rPr>
          <w:rFonts w:cs="Arial"/>
          <w:sz w:val="22"/>
          <w:szCs w:val="22"/>
          <w:lang w:eastAsia="en-MY"/>
        </w:rPr>
        <w:t>Padley et al.</w:t>
      </w:r>
      <w:r w:rsidR="002B2372" w:rsidRPr="00887AAC">
        <w:rPr>
          <w:rFonts w:cs="Arial"/>
          <w:sz w:val="22"/>
          <w:szCs w:val="22"/>
          <w:lang w:eastAsia="en-MY"/>
        </w:rPr>
        <w:fldChar w:fldCharType="begin"/>
      </w:r>
      <w:r w:rsidR="002B2372" w:rsidRPr="00887AAC">
        <w:rPr>
          <w:rFonts w:cs="Arial"/>
          <w:sz w:val="22"/>
          <w:szCs w:val="22"/>
          <w:lang w:eastAsia="en-MY"/>
        </w:rPr>
        <w:instrText xml:space="preserve"> ADDIN PAPERS2_CITATIONS &lt;citation&gt;&lt;uuid&gt;45716BFC-44BD-43FE-B42D-D7FC09E7326C&lt;/uuid&gt;&lt;priority&gt;0&lt;/priority&gt;&lt;publications&gt;&lt;publication&gt;&lt;uuid&gt;C0B954F1-49C0-4C93-80ED-37693B47E504&lt;/uuid&gt;&lt;volume&gt;97&lt;/volume&gt;&lt;doi&gt;10.1179/000349803125002977&lt;/doi&gt;&lt;startpage&gt;131&lt;/startpage&gt;&lt;publication_date&gt;99200303001200000000220000&lt;/publication_date&gt;&lt;url&gt;http://eutils.ncbi.nlm.nih.gov/entrez/eutils/elink.fcgi?dbfrom=pubmed&amp;amp;id=12803868&amp;amp;retmode=ref&amp;amp;cmd=prlinks&lt;/url&gt;&lt;citekey&gt;Padley:2003ja&lt;/citekey&gt;&lt;type&gt;400&lt;/type&gt;&lt;title&gt;Use of a rapid, single-round, multiplex PCR to detect malarial parasites and identify the species present.&lt;/title&gt;&lt;location&gt;200,6,51.6893121,-0.2369651&lt;/location&gt;&lt;institution&gt;Division of Virology, National Institute for Biological Standards and Control, Blanche Lane, South Mimms EN6 3QG, UK. dpadley@nibsc.ac.uk&lt;/institution&gt;&lt;number&gt;2&lt;/number&gt;&lt;subtype&gt;400&lt;/subtype&gt;&lt;endpage&gt;137&lt;/endpage&gt;&lt;bundle&gt;&lt;publication&gt;&lt;title&gt;Annals of tropical medicine and parasitology&lt;/title&gt;&lt;type&gt;-100&lt;/type&gt;&lt;subtype&gt;-100&lt;/subtype&gt;&lt;uuid&gt;25256D34-166E-40D0-86B9-B3E90148B5A5&lt;/uuid&gt;&lt;/publication&gt;&lt;/bundle&gt;&lt;authors&gt;&lt;author&gt;&lt;firstName&gt;D&lt;/firstName&gt;&lt;lastName&gt;Padley&lt;/lastName&gt;&lt;/author&gt;&lt;author&gt;&lt;firstName&gt;A&lt;/firstName&gt;&lt;middleNames&gt;H&lt;/middleNames&gt;&lt;lastName&gt;Moody&lt;/lastName&gt;&lt;/author&gt;&lt;author&gt;&lt;firstName&gt;P&lt;/firstName&gt;&lt;middleNames&gt;L&lt;/middleNames&gt;&lt;lastName&gt;Chiodini&lt;/lastName&gt;&lt;/author&gt;&lt;author&gt;&lt;firstName&gt;J&lt;/firstName&gt;&lt;lastName&gt;Saldanha&lt;/lastName&gt;&lt;/author&gt;&lt;/authors&gt;&lt;/publication&gt;&lt;/publications&gt;&lt;cites&gt;&lt;/cites&gt;&lt;/citation&gt;</w:instrText>
      </w:r>
      <w:r w:rsidR="002B2372" w:rsidRPr="00887AAC">
        <w:rPr>
          <w:rFonts w:cs="Arial"/>
          <w:sz w:val="22"/>
          <w:szCs w:val="22"/>
          <w:lang w:eastAsia="en-MY"/>
        </w:rPr>
        <w:fldChar w:fldCharType="separate"/>
      </w:r>
      <w:r w:rsidR="002B2372" w:rsidRPr="00887AAC">
        <w:rPr>
          <w:rFonts w:cs="Cambria"/>
          <w:sz w:val="22"/>
          <w:szCs w:val="22"/>
          <w:lang w:val="en-US"/>
        </w:rPr>
        <w:t>(1)</w:t>
      </w:r>
      <w:r w:rsidR="002B2372" w:rsidRPr="00887AAC">
        <w:rPr>
          <w:rFonts w:cs="Arial"/>
          <w:sz w:val="22"/>
          <w:szCs w:val="22"/>
          <w:lang w:eastAsia="en-MY"/>
        </w:rPr>
        <w:fldChar w:fldCharType="end"/>
      </w:r>
      <w:r w:rsidR="002B2372" w:rsidRPr="00887AAC">
        <w:rPr>
          <w:rFonts w:cs="Arial"/>
          <w:sz w:val="22"/>
          <w:szCs w:val="22"/>
          <w:lang w:eastAsia="en-MY"/>
        </w:rPr>
        <w:t>.</w:t>
      </w:r>
      <w:r w:rsidRPr="00887AAC">
        <w:rPr>
          <w:rFonts w:cs="Arial"/>
          <w:sz w:val="22"/>
          <w:szCs w:val="22"/>
          <w:lang w:eastAsia="en-MY"/>
        </w:rPr>
        <w:t xml:space="preserve"> </w:t>
      </w:r>
      <w:r w:rsidRPr="00887AAC">
        <w:rPr>
          <w:rFonts w:cs="Arial"/>
          <w:i/>
          <w:sz w:val="22"/>
          <w:szCs w:val="22"/>
          <w:lang w:eastAsia="en-MY"/>
        </w:rPr>
        <w:t>P. vivax</w:t>
      </w:r>
      <w:r w:rsidRPr="00887AAC">
        <w:rPr>
          <w:rFonts w:cs="Arial"/>
          <w:sz w:val="22"/>
          <w:szCs w:val="22"/>
          <w:lang w:eastAsia="en-MY"/>
        </w:rPr>
        <w:t xml:space="preserve"> </w:t>
      </w:r>
      <w:r w:rsidRPr="00887AAC">
        <w:rPr>
          <w:rFonts w:cs="Arial"/>
          <w:sz w:val="22"/>
          <w:szCs w:val="22"/>
          <w:lang w:eastAsia="en-MY"/>
        </w:rPr>
        <w:lastRenderedPageBreak/>
        <w:t>g</w:t>
      </w:r>
      <w:r w:rsidRPr="00887AAC">
        <w:rPr>
          <w:rFonts w:cs="Arial"/>
          <w:sz w:val="22"/>
          <w:szCs w:val="22"/>
        </w:rPr>
        <w:t xml:space="preserve">enotyping was undertaken at nine previously described short tandem repeat (STR) markers: </w:t>
      </w:r>
      <w:r w:rsidRPr="00887AAC">
        <w:rPr>
          <w:rFonts w:cs="Arial"/>
          <w:i/>
          <w:sz w:val="22"/>
          <w:szCs w:val="22"/>
        </w:rPr>
        <w:t>Pv3.27, msp1F3, MS1, MS5, MS8, MS10, MS12, MS16</w:t>
      </w:r>
      <w:r w:rsidRPr="00887AAC">
        <w:rPr>
          <w:rFonts w:cs="Arial"/>
          <w:sz w:val="22"/>
          <w:szCs w:val="22"/>
        </w:rPr>
        <w:t xml:space="preserve"> and </w:t>
      </w:r>
      <w:r w:rsidRPr="00887AAC">
        <w:rPr>
          <w:rFonts w:cs="Arial"/>
          <w:i/>
          <w:sz w:val="22"/>
          <w:szCs w:val="22"/>
        </w:rPr>
        <w:t>MS20</w:t>
      </w:r>
      <w:r w:rsidR="002B2372" w:rsidRPr="00887AAC">
        <w:rPr>
          <w:rFonts w:cs="Arial"/>
          <w:i/>
          <w:sz w:val="22"/>
          <w:szCs w:val="22"/>
        </w:rPr>
        <w:fldChar w:fldCharType="begin"/>
      </w:r>
      <w:r w:rsidR="002B2372" w:rsidRPr="00887AAC">
        <w:rPr>
          <w:rFonts w:cs="Arial"/>
          <w:i/>
          <w:sz w:val="22"/>
          <w:szCs w:val="22"/>
        </w:rPr>
        <w:instrText xml:space="preserve"> ADDIN PAPERS2_CITATIONS &lt;citation&gt;&lt;uuid&gt;37BAA717-6F8A-4B24-B4E6-BE44D08CE694&lt;/uuid&gt;&lt;priority&gt;1&lt;/priority&gt;&lt;publications&gt;&lt;publication&gt;&lt;volume&gt;410&lt;/volume&gt;&lt;publication_date&gt;99200802001200000000220000&lt;/publication_date&gt;&lt;number&gt;1&lt;/number&gt;&lt;doi&gt;10.1016/j.gene.2007.11.022&lt;/doi&gt;&lt;startpage&gt;105&lt;/startpage&gt;&lt;title&gt;Extensive microsatellite diversity in the human malaria parasite Plasmodium vivax&lt;/title&gt;&lt;uuid&gt;95C5976F-0102-44A5-B12B-A26E7E4B47BE&lt;/uuid&gt;&lt;subtype&gt;400&lt;/subtype&gt;&lt;endpage&gt;112&lt;/endpage&gt;&lt;type&gt;400&lt;/type&gt;&lt;url&gt;http://linkinghub.elsevier.com/retrieve/pii/S0378111907006142&lt;/url&gt;&lt;bundle&gt;&lt;publication&gt;&lt;publisher&gt;Elsevier&lt;/publisher&gt;&lt;title&gt;Gene&lt;/title&gt;&lt;type&gt;-100&lt;/type&gt;&lt;subtype&gt;-100&lt;/subtype&gt;&lt;uuid&gt;6D7F2171-62C1-4CF2-92F4-B433915364F2&lt;/uuid&gt;&lt;/publication&gt;&lt;/bundle&gt;&lt;authors&gt;&lt;author&gt;&lt;firstName&gt;Nadira&lt;/firstName&gt;&lt;middleNames&gt;D&lt;/middleNames&gt;&lt;lastName&gt;Karunaweera&lt;/lastName&gt;&lt;/author&gt;&lt;author&gt;&lt;firstName&gt;Marcelo&lt;/firstName&gt;&lt;middleNames&gt;U&lt;/middleNames&gt;&lt;lastName&gt;Ferreira&lt;/lastName&gt;&lt;/author&gt;&lt;author&gt;&lt;firstName&gt;Anusha&lt;/firstName&gt;&lt;lastName&gt;Munasinghe&lt;/lastName&gt;&lt;/author&gt;&lt;author&gt;&lt;firstName&gt;John&lt;/firstName&gt;&lt;middleNames&gt;W&lt;/middleNames&gt;&lt;lastName&gt;Barnwell&lt;/lastName&gt;&lt;/author&gt;&lt;author&gt;&lt;firstName&gt;William&lt;/firstName&gt;&lt;middleNames&gt;E&lt;/middleNames&gt;&lt;lastName&gt;Collins&lt;/lastName&gt;&lt;/author&gt;&lt;author&gt;&lt;firstName&gt;Christopher&lt;/firstName&gt;&lt;middleNames&gt;L&lt;/middleNames&gt;&lt;lastName&gt;King&lt;/lastName&gt;&lt;/author&gt;&lt;author&gt;&lt;firstName&gt;Fumihiko&lt;/firstName&gt;&lt;lastName&gt;Kawamoto&lt;/lastName&gt;&lt;/author&gt;&lt;author&gt;&lt;firstName&gt;Daniel&lt;/firstName&gt;&lt;middleNames&gt;L&lt;/middleNames&gt;&lt;lastName&gt;Hartl&lt;/lastName&gt;&lt;/author&gt;&lt;author&gt;&lt;firstName&gt;Dyann&lt;/firstName&gt;&lt;middleNames&gt;F&lt;/middleNames&gt;&lt;lastName&gt;Wirth&lt;/lastName&gt;&lt;/author&gt;&lt;/authors&gt;&lt;/publication&gt;&lt;publication&gt;&lt;volume&gt;199&lt;/volume&gt;&lt;publication_date&gt;99200904001200000000220000&lt;/publication_date&gt;&lt;number&gt;7&lt;/number&gt;&lt;doi&gt;10.1086/597303&lt;/doi&gt;&lt;startpage&gt;1074&lt;/startpage&gt;&lt;title&gt;Evaluation of Plasmodium vivax Genotyping Markers for Molecular Monitoring in Clinical Trials&lt;/title&gt;&lt;uuid&gt;311F34CF-1EC8-417F-B23C-0B74C342BE87&lt;/uuid&gt;&lt;subtype&gt;400&lt;/subtype&gt;&lt;endpage&gt;1080&lt;/endpage&gt;&lt;type&gt;400&lt;/type&gt;&lt;url&gt;http://jid.oxfordjournals.org/lookup/doi/10.1086/597303&lt;/url&gt;&lt;bundle&gt;&lt;publication&gt;&lt;title&gt;The Journal of infectious diseases&lt;/title&gt;&lt;type&gt;-100&lt;/type&gt;&lt;subtype&gt;-100&lt;/subtype&gt;&lt;uuid&gt;9266EEEB-85B2-4FAE-9B62-45E1C72F05E3&lt;/uuid&gt;&lt;/publication&gt;&lt;/bundle&gt;&lt;authors&gt;&lt;author&gt;&lt;firstName&gt;Cristian&lt;/firstName&gt;&lt;lastName&gt;Koepfli&lt;/lastName&gt;&lt;/author&gt;&lt;author&gt;&lt;firstName&gt;Ivo&lt;/firstName&gt;&lt;lastName&gt;Müeller&lt;/lastName&gt;&lt;/author&gt;&lt;author&gt;&lt;firstName&gt;Jutta&lt;/firstName&gt;&lt;lastName&gt;Marfurt&lt;/lastName&gt;&lt;/author&gt;&lt;author&gt;&lt;firstName&gt;Mary&lt;/firstName&gt;&lt;lastName&gt;Goroti&lt;/lastName&gt;&lt;/author&gt;&lt;author&gt;&lt;firstName&gt;Albert&lt;/firstName&gt;&lt;lastName&gt;Sie&lt;/lastName&gt;&lt;/author&gt;&lt;author&gt;&lt;firstName&gt;Olive&lt;/firstName&gt;&lt;lastName&gt;Oa&lt;/lastName&gt;&lt;/author&gt;&lt;author&gt;&lt;firstName&gt;Blaise&lt;/firstName&gt;&lt;lastName&gt;Genton&lt;/lastName&gt;&lt;/author&gt;&lt;author&gt;&lt;firstName&gt;Hans-Peter&lt;/firstName&gt;&lt;lastName&gt;Beck&lt;/lastName&gt;&lt;/author&gt;&lt;author&gt;&lt;firstName&gt;Ingrid&lt;/firstName&gt;&lt;lastName&gt;Felger&lt;/lastName&gt;&lt;/author&gt;&lt;/authors&gt;&lt;/publication&gt;&lt;/publications&gt;&lt;cites&gt;&lt;/cites&gt;&lt;/citation&gt;</w:instrText>
      </w:r>
      <w:r w:rsidR="002B2372" w:rsidRPr="00887AAC">
        <w:rPr>
          <w:rFonts w:cs="Arial"/>
          <w:i/>
          <w:sz w:val="22"/>
          <w:szCs w:val="22"/>
        </w:rPr>
        <w:fldChar w:fldCharType="separate"/>
      </w:r>
      <w:r w:rsidR="002B2372" w:rsidRPr="00887AAC">
        <w:rPr>
          <w:rFonts w:cs="Cambria"/>
          <w:sz w:val="22"/>
          <w:szCs w:val="22"/>
          <w:lang w:val="en-US"/>
        </w:rPr>
        <w:t>(2,3)</w:t>
      </w:r>
      <w:r w:rsidR="002B2372" w:rsidRPr="00887AAC">
        <w:rPr>
          <w:rFonts w:cs="Arial"/>
          <w:i/>
          <w:sz w:val="22"/>
          <w:szCs w:val="22"/>
        </w:rPr>
        <w:fldChar w:fldCharType="end"/>
      </w:r>
      <w:r w:rsidRPr="00887AAC">
        <w:rPr>
          <w:rFonts w:cs="Arial"/>
          <w:sz w:val="22"/>
          <w:szCs w:val="22"/>
        </w:rPr>
        <w:t xml:space="preserve">. These markers are included in a consensus panel selected by partners within the Vivax Working Group of the Asia Pacific Malaria Elimination Network. The </w:t>
      </w:r>
      <w:r w:rsidRPr="00887AAC">
        <w:rPr>
          <w:rFonts w:cs="Arial"/>
          <w:i/>
          <w:sz w:val="22"/>
          <w:szCs w:val="22"/>
        </w:rPr>
        <w:t>Pv3.27, MS16</w:t>
      </w:r>
      <w:r w:rsidRPr="00887AAC">
        <w:rPr>
          <w:rFonts w:cs="Arial"/>
          <w:sz w:val="22"/>
          <w:szCs w:val="22"/>
        </w:rPr>
        <w:t xml:space="preserve"> and </w:t>
      </w:r>
      <w:r w:rsidRPr="00887AAC">
        <w:rPr>
          <w:rFonts w:cs="Arial"/>
          <w:i/>
          <w:sz w:val="22"/>
          <w:szCs w:val="22"/>
        </w:rPr>
        <w:t>msp1F3</w:t>
      </w:r>
      <w:r w:rsidRPr="00887AAC">
        <w:rPr>
          <w:rFonts w:cs="Arial"/>
          <w:sz w:val="22"/>
          <w:szCs w:val="22"/>
        </w:rPr>
        <w:t xml:space="preserve"> loci were amplified using methods described elsewhere</w:t>
      </w:r>
      <w:r w:rsidR="002B2372" w:rsidRPr="00887AAC">
        <w:rPr>
          <w:rFonts w:cs="Arial"/>
          <w:sz w:val="22"/>
          <w:szCs w:val="22"/>
        </w:rPr>
        <w:fldChar w:fldCharType="begin"/>
      </w:r>
      <w:r w:rsidR="002B2372" w:rsidRPr="00887AAC">
        <w:rPr>
          <w:rFonts w:cs="Arial"/>
          <w:sz w:val="22"/>
          <w:szCs w:val="22"/>
        </w:rPr>
        <w:instrText xml:space="preserve"> ADDIN PAPERS2_CITATIONS &lt;citation&gt;&lt;uuid&gt;6B9AEC54-7DCA-4FA8-8A32-899EBAE9779B&lt;/uuid&gt;&lt;priority&gt;2&lt;/priority&gt;&lt;publications&gt;&lt;publication&gt;&lt;volume&gt;8&lt;/volume&gt;&lt;publication_date&gt;99201312171200000000222000&lt;/publication_date&gt;&lt;number&gt;12&lt;/number&gt;&lt;doi&gt;10.1371/journal.pone.0082553.s003&lt;/doi&gt;&lt;startpage&gt;e82553&lt;/startpage&gt;&lt;title&gt;Plasmodium vivax Population Structure and Transmission Dynamics in Sabah Malaysia&lt;/title&gt;&lt;uuid&gt;FCE26083-F310-4E7A-BE26-FCC08345E849&lt;/uuid&gt;&lt;subtype&gt;400&lt;/subtype&gt;&lt;type&gt;400&lt;/type&gt;&lt;citekey&gt;Abdullah:2013ek&lt;/citekey&gt;&lt;url&gt;http://dx.plos.org/10.1371/journal.pone.0082553.s003&lt;/url&gt;&lt;bundle&gt;&lt;publication&gt;&lt;publisher&gt;Public Library of Science&lt;/publisher&gt;&lt;url&gt;http://www.plosone.org/&lt;/url&gt;&lt;title&gt;PloS one&lt;/title&gt;&lt;type&gt;-100&lt;/type&gt;&lt;subtype&gt;-100&lt;/subtype&gt;&lt;uuid&gt;54642913-54D0-4065-B1C8-14AFC950C275&lt;/uuid&gt;&lt;/publication&gt;&lt;/bundle&gt;&lt;authors&gt;&lt;author&gt;&lt;firstName&gt;Noor&lt;/firstName&gt;&lt;middleNames&gt;Rain&lt;/middleNames&gt;&lt;lastName&gt;Abdullah&lt;/lastName&gt;&lt;/author&gt;&lt;author&gt;&lt;firstName&gt;Bridget&lt;/firstName&gt;&lt;middleNames&gt;E&lt;/middleNames&gt;&lt;lastName&gt;Barber&lt;/lastName&gt;&lt;/author&gt;&lt;author&gt;&lt;firstName&gt;Timothy&lt;/firstName&gt;&lt;lastName&gt;William&lt;/lastName&gt;&lt;/author&gt;&lt;author&gt;&lt;firstName&gt;Nor&lt;/firstName&gt;&lt;middleNames&gt;Azrina&lt;/middleNames&gt;&lt;lastName&gt;Norahmad&lt;/lastName&gt;&lt;/author&gt;&lt;author&gt;&lt;firstName&gt;Umi&lt;/firstName&gt;&lt;middleNames&gt;Rubiah&lt;/middleNames&gt;&lt;lastName&gt;Satsu&lt;/lastName&gt;&lt;/author&gt;&lt;author&gt;&lt;firstName&gt;Prem&lt;/firstName&gt;&lt;middleNames&gt;Kumar&lt;/middleNames&gt;&lt;lastName&gt;Muniandy&lt;/lastName&gt;&lt;/author&gt;&lt;author&gt;&lt;firstName&gt;Zakiah&lt;/firstName&gt;&lt;lastName&gt;Ismail&lt;/lastName&gt;&lt;/author&gt;&lt;author&gt;&lt;firstName&gt;Matthew&lt;/firstName&gt;&lt;middleNames&gt;J&lt;/middleNames&gt;&lt;lastName&gt;Grigg&lt;/lastName&gt;&lt;/author&gt;&lt;author&gt;&lt;firstName&gt;Jenarun&lt;/firstName&gt;&lt;lastName&gt;Jelip&lt;/lastName&gt;&lt;/author&gt;&lt;author&gt;&lt;firstName&gt;Kim&lt;/firstName&gt;&lt;lastName&gt;Piera&lt;/lastName&gt;&lt;/author&gt;&lt;author&gt;&lt;firstName&gt;Lorenz&lt;/firstName&gt;&lt;droppingParticle&gt;von&lt;/droppingParticle&gt;&lt;lastName&gt;Seidlein&lt;/lastName&gt;&lt;/author&gt;&lt;author&gt;&lt;firstName&gt;Tsin&lt;/firstName&gt;&lt;middleNames&gt;W&lt;/middleNames&gt;&lt;lastName&gt;Yeo&lt;/lastName&gt;&lt;/author&gt;&lt;author&gt;&lt;firstName&gt;Nicholas&lt;/firstName&gt;&lt;middleNames&gt;M&lt;/middleNames&gt;&lt;lastName&gt;Anstey&lt;/lastName&gt;&lt;/author&gt;&lt;author&gt;&lt;firstName&gt;Ric&lt;/firstName&gt;&lt;middleNames&gt;N&lt;/middleNames&gt;&lt;lastName&gt;Price&lt;/lastName&gt;&lt;/author&gt;&lt;author&gt;&lt;firstName&gt;Sarah&lt;/firstName&gt;&lt;lastName&gt;Auburn&lt;/lastName&gt;&lt;/author&gt;&lt;/authors&gt;&lt;editors&gt;&lt;author&gt;&lt;firstName&gt;Érika&lt;/firstName&gt;&lt;middleNames&gt;Martins&lt;/middleNames&gt;&lt;lastName&gt;Braga&lt;/lastName&gt;&lt;/author&gt;&lt;/editors&gt;&lt;/publication&gt;&lt;/publications&gt;&lt;cites&gt;&lt;/cites&gt;&lt;/citation&gt;</w:instrText>
      </w:r>
      <w:r w:rsidR="002B2372" w:rsidRPr="00887AAC">
        <w:rPr>
          <w:rFonts w:cs="Arial"/>
          <w:sz w:val="22"/>
          <w:szCs w:val="22"/>
        </w:rPr>
        <w:fldChar w:fldCharType="separate"/>
      </w:r>
      <w:r w:rsidR="002B2372" w:rsidRPr="00887AAC">
        <w:rPr>
          <w:rFonts w:cs="Cambria"/>
          <w:sz w:val="22"/>
          <w:szCs w:val="22"/>
          <w:lang w:val="en-US"/>
        </w:rPr>
        <w:t>(4)</w:t>
      </w:r>
      <w:r w:rsidR="002B2372" w:rsidRPr="00887AAC">
        <w:rPr>
          <w:rFonts w:cs="Arial"/>
          <w:sz w:val="22"/>
          <w:szCs w:val="22"/>
        </w:rPr>
        <w:fldChar w:fldCharType="end"/>
      </w:r>
      <w:r w:rsidRPr="00887AAC">
        <w:rPr>
          <w:rFonts w:cs="Arial"/>
          <w:sz w:val="22"/>
          <w:szCs w:val="22"/>
        </w:rPr>
        <w:t>. The protocol for the remaining loci and the details of the primer sequences and chromosomal locations for each marker have been provided previously</w:t>
      </w:r>
      <w:r w:rsidR="002B2372" w:rsidRPr="00887AAC">
        <w:rPr>
          <w:rFonts w:cs="Arial"/>
          <w:sz w:val="22"/>
          <w:szCs w:val="22"/>
        </w:rPr>
        <w:fldChar w:fldCharType="begin"/>
      </w:r>
      <w:r w:rsidR="002B2372" w:rsidRPr="00887AAC">
        <w:rPr>
          <w:rFonts w:cs="Arial"/>
          <w:sz w:val="22"/>
          <w:szCs w:val="22"/>
        </w:rPr>
        <w:instrText xml:space="preserve"> ADDIN PAPERS2_CITATIONS &lt;citation&gt;&lt;uuid&gt;12F58898-44E8-420A-B82E-A927897AADD8&lt;/uuid&gt;&lt;priority&gt;3&lt;/priority&gt;&lt;publications&gt;&lt;publication&gt;&lt;volume&gt;8&lt;/volume&gt;&lt;publication_date&gt;99201312171200000000222000&lt;/publication_date&gt;&lt;number&gt;12&lt;/number&gt;&lt;doi&gt;10.1371/journal.pone.0082553.s003&lt;/doi&gt;&lt;startpage&gt;e82553&lt;/startpage&gt;&lt;title&gt;Plasmodium vivax Population Structure and Transmission Dynamics in Sabah Malaysia&lt;/title&gt;&lt;uuid&gt;FCE26083-F310-4E7A-BE26-FCC08345E849&lt;/uuid&gt;&lt;subtype&gt;400&lt;/subtype&gt;&lt;type&gt;400&lt;/type&gt;&lt;citekey&gt;Abdullah:2013ek&lt;/citekey&gt;&lt;url&gt;http://dx.plos.org/10.1371/journal.pone.0082553.s003&lt;/url&gt;&lt;bundle&gt;&lt;publication&gt;&lt;publisher&gt;Public Library of Science&lt;/publisher&gt;&lt;url&gt;http://www.plosone.org/&lt;/url&gt;&lt;title&gt;PloS one&lt;/title&gt;&lt;type&gt;-100&lt;/type&gt;&lt;subtype&gt;-100&lt;/subtype&gt;&lt;uuid&gt;54642913-54D0-4065-B1C8-14AFC950C275&lt;/uuid&gt;&lt;/publication&gt;&lt;/bundle&gt;&lt;authors&gt;&lt;author&gt;&lt;firstName&gt;Noor&lt;/firstName&gt;&lt;middleNames&gt;Rain&lt;/middleNames&gt;&lt;lastName&gt;Abdullah&lt;/lastName&gt;&lt;/author&gt;&lt;author&gt;&lt;firstName&gt;Bridget&lt;/firstName&gt;&lt;middleNames&gt;E&lt;/middleNames&gt;&lt;lastName&gt;Barber&lt;/lastName&gt;&lt;/author&gt;&lt;author&gt;&lt;firstName&gt;Timothy&lt;/firstName&gt;&lt;lastName&gt;William&lt;/lastName&gt;&lt;/author&gt;&lt;author&gt;&lt;firstName&gt;Nor&lt;/firstName&gt;&lt;middleNames&gt;Azrina&lt;/middleNames&gt;&lt;lastName&gt;Norahmad&lt;/lastName&gt;&lt;/author&gt;&lt;author&gt;&lt;firstName&gt;Umi&lt;/firstName&gt;&lt;middleNames&gt;Rubiah&lt;/middleNames&gt;&lt;lastName&gt;Satsu&lt;/lastName&gt;&lt;/author&gt;&lt;author&gt;&lt;firstName&gt;Prem&lt;/firstName&gt;&lt;middleNames&gt;Kumar&lt;/middleNames&gt;&lt;lastName&gt;Muniandy&lt;/lastName&gt;&lt;/author&gt;&lt;author&gt;&lt;firstName&gt;Zakiah&lt;/firstName&gt;&lt;lastName&gt;Ismail&lt;/lastName&gt;&lt;/author&gt;&lt;author&gt;&lt;firstName&gt;Matthew&lt;/firstName&gt;&lt;middleNames&gt;J&lt;/middleNames&gt;&lt;lastName&gt;Grigg&lt;/lastName&gt;&lt;/author&gt;&lt;author&gt;&lt;firstName&gt;Jenarun&lt;/firstName&gt;&lt;lastName&gt;Jelip&lt;/lastName&gt;&lt;/author&gt;&lt;author&gt;&lt;firstName&gt;Kim&lt;/firstName&gt;&lt;lastName&gt;Piera&lt;/lastName&gt;&lt;/author&gt;&lt;author&gt;&lt;firstName&gt;Lorenz&lt;/firstName&gt;&lt;droppingParticle&gt;von&lt;/droppingParticle&gt;&lt;lastName&gt;Seidlein&lt;/lastName&gt;&lt;/author&gt;&lt;author&gt;&lt;firstName&gt;Tsin&lt;/firstName&gt;&lt;middleNames&gt;W&lt;/middleNames&gt;&lt;lastName&gt;Yeo&lt;/lastName&gt;&lt;/author&gt;&lt;author&gt;&lt;firstName&gt;Nicholas&lt;/firstName&gt;&lt;middleNames&gt;M&lt;/middleNames&gt;&lt;lastName&gt;Anstey&lt;/lastName&gt;&lt;/author&gt;&lt;author&gt;&lt;firstName&gt;Ric&lt;/firstName&gt;&lt;middleNames&gt;N&lt;/middleNames&gt;&lt;lastName&gt;Price&lt;/lastName&gt;&lt;/author&gt;&lt;author&gt;&lt;firstName&gt;Sarah&lt;/firstName&gt;&lt;lastName&gt;Auburn&lt;/lastName&gt;&lt;/author&gt;&lt;/authors&gt;&lt;editors&gt;&lt;author&gt;&lt;firstName&gt;Érika&lt;/firstName&gt;&lt;middleNames&gt;Martins&lt;/middleNames&gt;&lt;lastName&gt;Braga&lt;/lastName&gt;&lt;/author&gt;&lt;/editors&gt;&lt;/publication&gt;&lt;publication&gt;&lt;uuid&gt;62231357-58FD-43A9-AF68-8EA8C219746A&lt;/uuid&gt;&lt;volume&gt;82&lt;/volume&gt;&lt;doi&gt;10.4269/ajtmh.2010.09-0588&lt;/doi&gt;&lt;startpage&gt;235&lt;/startpage&gt;&lt;publication_date&gt;99201002001200000000220000&lt;/publication_date&gt;&lt;url&gt;http://eutils.ncbi.nlm.nih.gov/entrez/eutils/elink.fcgi?dbfrom=pubmed&amp;amp;id=20133999&amp;amp;retmode=ref&amp;amp;cmd=prlinks&lt;/url&gt;&lt;type&gt;400&lt;/type&gt;&lt;title&gt;Geographic structure of Plasmodium vivax: microsatellite analysis of parasite populations from Sri Lanka, Myanmar, and Ethiopia.&lt;/title&gt;&lt;location&gt;&amp;lt;html&amp;gt;&amp;lt;head&amp;gt;&amp;lt;meta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Immunology and Infectious Diseases, Harvard School of Public Health, 665 Huntington Avenue, Boston, MA 02115, USA.&lt;/institution&gt;&lt;number&gt;2&lt;/number&gt;&lt;subtype&gt;400&lt;/subtype&gt;&lt;endpage&gt;242&lt;/endpage&gt;&lt;bundle&gt;&lt;publication&gt;&lt;title&gt;American Journal of Tropical Medicine and Hygiene&lt;/title&gt;&lt;type&gt;-100&lt;/type&gt;&lt;subtype&gt;-100&lt;/subtype&gt;&lt;uuid&gt;9E36ADC1-184A-443E-93FA-26BFBF94F285&lt;/uuid&gt;&lt;/publication&gt;&lt;/bundle&gt;&lt;authors&gt;&lt;author&gt;&lt;firstName&gt;Sharmini&lt;/firstName&gt;&lt;lastName&gt;Gunawardena&lt;/lastName&gt;&lt;/author&gt;&lt;author&gt;&lt;firstName&gt;Nadira&lt;/firstName&gt;&lt;middleNames&gt;D&lt;/middleNames&gt;&lt;lastName&gt;Karunaweera&lt;/lastName&gt;&lt;/author&gt;&lt;author&gt;&lt;firstName&gt;Marcelo&lt;/firstName&gt;&lt;middleNames&gt;U&lt;/middleNames&gt;&lt;lastName&gt;Ferreira&lt;/lastName&gt;&lt;/author&gt;&lt;author&gt;&lt;firstName&gt;Myatt&lt;/firstName&gt;&lt;lastName&gt;Phone-Kyaw&lt;/lastName&gt;&lt;/author&gt;&lt;author&gt;&lt;firstName&gt;Richard&lt;/firstName&gt;&lt;middleNames&gt;J&lt;/middleNames&gt;&lt;lastName&gt;Pollack&lt;/lastName&gt;&lt;/author&gt;&lt;author&gt;&lt;firstName&gt;Michael&lt;/firstName&gt;&lt;lastName&gt;Alifrangis&lt;/lastName&gt;&lt;/author&gt;&lt;author&gt;&lt;firstName&gt;Rupika&lt;/firstName&gt;&lt;middleNames&gt;S&lt;/middleNames&gt;&lt;lastName&gt;Rajakaruna&lt;/lastName&gt;&lt;/author&gt;&lt;author&gt;&lt;firstName&gt;Flemming&lt;/firstName&gt;&lt;lastName&gt;Konradsen&lt;/lastName&gt;&lt;/author&gt;&lt;author&gt;&lt;firstName&gt;Priyanie&lt;/firstName&gt;&lt;middleNames&gt;H&lt;/middleNames&gt;&lt;lastName&gt;Amerasinghe&lt;/lastName&gt;&lt;/author&gt;&lt;author&gt;&lt;firstName&gt;Mette&lt;/firstName&gt;&lt;middleNames&gt;L&lt;/middleNames&gt;&lt;lastName&gt;Schousboe&lt;/lastName&gt;&lt;/author&gt;&lt;author&gt;&lt;firstName&gt;Gawrie&lt;/firstName&gt;&lt;middleNames&gt;N L&lt;/middleNames&gt;&lt;lastName&gt;Galappaththy&lt;/lastName&gt;&lt;/author&gt;&lt;author&gt;&lt;firstName&gt;Rabindra&lt;/firstName&gt;&lt;middleNames&gt;R&lt;/middleNames&gt;&lt;lastName&gt;Abeyasinghe&lt;/lastName&gt;&lt;/author&gt;&lt;author&gt;&lt;firstName&gt;Daniel&lt;/firstName&gt;&lt;middleNames&gt;L&lt;/middleNames&gt;&lt;lastName&gt;Hartl&lt;/lastName&gt;&lt;/author&gt;&lt;author&gt;&lt;firstName&gt;Dyann&lt;/firstName&gt;&lt;middleNames&gt;F&lt;/middleNames&gt;&lt;lastName&gt;Wirth&lt;/lastName&gt;&lt;/author&gt;&lt;/authors&gt;&lt;/publication&gt;&lt;/publications&gt;&lt;cites&gt;&lt;/cites&gt;&lt;/citation&gt;</w:instrText>
      </w:r>
      <w:r w:rsidR="002B2372" w:rsidRPr="00887AAC">
        <w:rPr>
          <w:rFonts w:cs="Arial"/>
          <w:sz w:val="22"/>
          <w:szCs w:val="22"/>
        </w:rPr>
        <w:fldChar w:fldCharType="separate"/>
      </w:r>
      <w:r w:rsidR="002B2372" w:rsidRPr="00887AAC">
        <w:rPr>
          <w:rFonts w:cs="Cambria"/>
          <w:sz w:val="22"/>
          <w:szCs w:val="22"/>
          <w:lang w:val="en-US"/>
        </w:rPr>
        <w:t>(4,5)</w:t>
      </w:r>
      <w:r w:rsidR="002B2372" w:rsidRPr="00887AAC">
        <w:rPr>
          <w:rFonts w:cs="Arial"/>
          <w:sz w:val="22"/>
          <w:szCs w:val="22"/>
        </w:rPr>
        <w:fldChar w:fldCharType="end"/>
      </w:r>
      <w:r w:rsidRPr="00887AAC">
        <w:rPr>
          <w:rFonts w:cs="Arial"/>
          <w:sz w:val="22"/>
          <w:szCs w:val="22"/>
        </w:rPr>
        <w:t xml:space="preserve">. </w:t>
      </w:r>
      <w:r w:rsidRPr="00887AAC">
        <w:rPr>
          <w:rFonts w:eastAsia="Times New Roman" w:cs="Arial"/>
          <w:sz w:val="22"/>
          <w:szCs w:val="22"/>
          <w:lang w:eastAsia="en-MY"/>
        </w:rPr>
        <w:t xml:space="preserve">The labelled PCR products were sized by denaturing capillary electrophoresis on </w:t>
      </w:r>
      <w:r w:rsidRPr="00887AAC">
        <w:rPr>
          <w:rFonts w:cs="Arial"/>
          <w:sz w:val="22"/>
          <w:szCs w:val="22"/>
        </w:rPr>
        <w:t xml:space="preserve">an </w:t>
      </w:r>
      <w:r w:rsidRPr="00887AAC">
        <w:rPr>
          <w:sz w:val="22"/>
          <w:szCs w:val="22"/>
        </w:rPr>
        <w:t xml:space="preserve">ABI 3100 Genetic Analyzer with GeneScan LIZ-600 (Applied Biosystems) internal size standards. </w:t>
      </w:r>
      <w:r w:rsidRPr="00887AAC">
        <w:rPr>
          <w:rFonts w:cs="Arial"/>
          <w:sz w:val="22"/>
          <w:szCs w:val="22"/>
        </w:rPr>
        <w:t xml:space="preserve">Genotype calling was undertaken using GeneMapper Version 4.0. To reduce potential artefacts, an arbitrary fluorescent intensity threshold of 100 rfu was applied for peak detection. All electropherogram traces were additionally inspected manually. </w:t>
      </w:r>
    </w:p>
    <w:p w14:paraId="5524BB34" w14:textId="476E68EC" w:rsidR="005852CB" w:rsidRPr="00887AAC" w:rsidRDefault="005852CB" w:rsidP="002B2372">
      <w:pPr>
        <w:spacing w:afterLines="120" w:after="288" w:line="360" w:lineRule="auto"/>
        <w:rPr>
          <w:b/>
          <w:i/>
          <w:sz w:val="22"/>
          <w:szCs w:val="22"/>
        </w:rPr>
      </w:pPr>
      <w:r w:rsidRPr="00887AAC">
        <w:rPr>
          <w:b/>
          <w:i/>
          <w:sz w:val="22"/>
          <w:szCs w:val="22"/>
        </w:rPr>
        <w:t>Analysis of PCR adjustment</w:t>
      </w:r>
    </w:p>
    <w:p w14:paraId="7F47FA34" w14:textId="77777777" w:rsidR="005852CB" w:rsidRPr="00887AAC" w:rsidRDefault="005852CB" w:rsidP="002B2372">
      <w:pPr>
        <w:spacing w:line="360" w:lineRule="auto"/>
        <w:jc w:val="both"/>
        <w:rPr>
          <w:sz w:val="22"/>
          <w:szCs w:val="22"/>
        </w:rPr>
      </w:pPr>
      <w:r w:rsidRPr="00887AAC">
        <w:rPr>
          <w:sz w:val="22"/>
          <w:szCs w:val="22"/>
        </w:rPr>
        <w:t>The genotype profiles of pairs of day 0 and recurrent samples were compared at all 9 loci to determine whether the recurrent infections were homologous (same) or heterologous (different) to the day 0 infections. Recurrent samples were classified as homologous (recrudescence/relapse) if at least one allele was shared with the day 0 sample at each locus investigated, and heterologous (re-infection/relapse) if no alleles were shared with the day 0 sample at 1 or more loci. Recurrence outcomes were defined as indeterminate if a sample pair exhibited no informative data at all loci investigated. Informative data from a minimum of 3 loci was required to call a homologous recurrence event. For calculation of the PCR-adjusted cure rate, homologous recurrences were classified as recrudescences (although these may include homologous relapses) and heterologous recurrences were classified as re-infections or heterologous relapses.</w:t>
      </w:r>
    </w:p>
    <w:p w14:paraId="3CB2477A" w14:textId="77777777" w:rsidR="002B2372" w:rsidRPr="00887AAC" w:rsidRDefault="002B2372" w:rsidP="005852CB">
      <w:pPr>
        <w:widowControl w:val="0"/>
        <w:autoSpaceDE w:val="0"/>
        <w:autoSpaceDN w:val="0"/>
        <w:adjustRightInd w:val="0"/>
        <w:spacing w:after="240" w:line="480" w:lineRule="auto"/>
        <w:rPr>
          <w:sz w:val="22"/>
          <w:szCs w:val="22"/>
        </w:rPr>
      </w:pPr>
    </w:p>
    <w:p w14:paraId="6FF48632" w14:textId="77777777" w:rsidR="00887AAC" w:rsidRPr="00887AAC" w:rsidRDefault="00887AAC" w:rsidP="005852CB">
      <w:pPr>
        <w:widowControl w:val="0"/>
        <w:autoSpaceDE w:val="0"/>
        <w:autoSpaceDN w:val="0"/>
        <w:adjustRightInd w:val="0"/>
        <w:spacing w:after="240" w:line="480" w:lineRule="auto"/>
        <w:rPr>
          <w:sz w:val="22"/>
          <w:szCs w:val="22"/>
        </w:rPr>
      </w:pPr>
    </w:p>
    <w:p w14:paraId="12CD0FBF" w14:textId="77777777" w:rsidR="00887AAC" w:rsidRPr="00887AAC" w:rsidRDefault="00887AAC" w:rsidP="005852CB">
      <w:pPr>
        <w:widowControl w:val="0"/>
        <w:autoSpaceDE w:val="0"/>
        <w:autoSpaceDN w:val="0"/>
        <w:adjustRightInd w:val="0"/>
        <w:spacing w:after="240" w:line="480" w:lineRule="auto"/>
        <w:rPr>
          <w:sz w:val="22"/>
          <w:szCs w:val="22"/>
        </w:rPr>
      </w:pPr>
    </w:p>
    <w:p w14:paraId="5FE1D54C" w14:textId="77777777" w:rsidR="00887AAC" w:rsidRPr="00887AAC" w:rsidRDefault="00887AAC" w:rsidP="005852CB">
      <w:pPr>
        <w:widowControl w:val="0"/>
        <w:autoSpaceDE w:val="0"/>
        <w:autoSpaceDN w:val="0"/>
        <w:adjustRightInd w:val="0"/>
        <w:spacing w:after="240" w:line="480" w:lineRule="auto"/>
        <w:rPr>
          <w:sz w:val="22"/>
          <w:szCs w:val="22"/>
        </w:rPr>
      </w:pPr>
    </w:p>
    <w:p w14:paraId="75C0A650" w14:textId="77777777" w:rsidR="00887AAC" w:rsidRPr="00887AAC" w:rsidRDefault="00887AAC" w:rsidP="005852CB">
      <w:pPr>
        <w:widowControl w:val="0"/>
        <w:autoSpaceDE w:val="0"/>
        <w:autoSpaceDN w:val="0"/>
        <w:adjustRightInd w:val="0"/>
        <w:spacing w:after="240" w:line="480" w:lineRule="auto"/>
        <w:rPr>
          <w:sz w:val="22"/>
          <w:szCs w:val="22"/>
        </w:rPr>
      </w:pPr>
    </w:p>
    <w:p w14:paraId="7AB945DE" w14:textId="77777777" w:rsidR="00887AAC" w:rsidRPr="00887AAC" w:rsidRDefault="00887AAC" w:rsidP="005852CB">
      <w:pPr>
        <w:widowControl w:val="0"/>
        <w:autoSpaceDE w:val="0"/>
        <w:autoSpaceDN w:val="0"/>
        <w:adjustRightInd w:val="0"/>
        <w:spacing w:after="240" w:line="480" w:lineRule="auto"/>
        <w:rPr>
          <w:sz w:val="22"/>
          <w:szCs w:val="22"/>
        </w:rPr>
      </w:pPr>
    </w:p>
    <w:p w14:paraId="56C0D86F" w14:textId="0D2484D3" w:rsidR="00887AAC" w:rsidRPr="00887AAC" w:rsidRDefault="00887AAC" w:rsidP="00887AAC">
      <w:pPr>
        <w:widowControl w:val="0"/>
        <w:autoSpaceDE w:val="0"/>
        <w:autoSpaceDN w:val="0"/>
        <w:adjustRightInd w:val="0"/>
        <w:spacing w:after="240" w:line="480" w:lineRule="auto"/>
        <w:rPr>
          <w:b/>
          <w:sz w:val="22"/>
          <w:szCs w:val="22"/>
        </w:rPr>
      </w:pPr>
      <w:r w:rsidRPr="00887AAC">
        <w:rPr>
          <w:b/>
          <w:sz w:val="22"/>
          <w:szCs w:val="22"/>
        </w:rPr>
        <w:lastRenderedPageBreak/>
        <w:t>3.  Adverse events summary</w:t>
      </w:r>
    </w:p>
    <w:tbl>
      <w:tblPr>
        <w:tblStyle w:val="LightShading"/>
        <w:tblW w:w="0" w:type="auto"/>
        <w:tblLayout w:type="fixed"/>
        <w:tblLook w:val="04A0" w:firstRow="1" w:lastRow="0" w:firstColumn="1" w:lastColumn="0" w:noHBand="0" w:noVBand="1"/>
      </w:tblPr>
      <w:tblGrid>
        <w:gridCol w:w="1809"/>
        <w:gridCol w:w="2268"/>
        <w:gridCol w:w="1347"/>
        <w:gridCol w:w="1347"/>
        <w:gridCol w:w="1275"/>
      </w:tblGrid>
      <w:tr w:rsidR="00887AAC" w:rsidRPr="00887AAC" w14:paraId="02701000" w14:textId="77777777" w:rsidTr="001634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F3BF942" w14:textId="77777777" w:rsidR="00887AAC" w:rsidRPr="00887AAC" w:rsidRDefault="00887AAC" w:rsidP="00163434">
            <w:pPr>
              <w:pStyle w:val="NormalWeb"/>
              <w:spacing w:after="0"/>
              <w:rPr>
                <w:rFonts w:asciiTheme="minorHAnsi" w:hAnsiTheme="minorHAnsi"/>
                <w:color w:val="auto"/>
                <w:kern w:val="24"/>
                <w:sz w:val="22"/>
                <w:szCs w:val="22"/>
              </w:rPr>
            </w:pPr>
            <w:r w:rsidRPr="00887AAC">
              <w:rPr>
                <w:rFonts w:asciiTheme="minorHAnsi" w:hAnsiTheme="minorHAnsi"/>
                <w:color w:val="auto"/>
                <w:kern w:val="24"/>
                <w:sz w:val="22"/>
                <w:szCs w:val="22"/>
              </w:rPr>
              <w:t>System</w:t>
            </w:r>
          </w:p>
        </w:tc>
        <w:tc>
          <w:tcPr>
            <w:tcW w:w="2268" w:type="dxa"/>
          </w:tcPr>
          <w:p w14:paraId="7AD63822" w14:textId="77777777" w:rsidR="00887AAC" w:rsidRPr="00887AAC" w:rsidRDefault="00887AAC" w:rsidP="00163434">
            <w:pPr>
              <w:pStyle w:val="NormalWeb"/>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2"/>
                <w:szCs w:val="22"/>
              </w:rPr>
            </w:pPr>
            <w:r w:rsidRPr="00887AAC">
              <w:rPr>
                <w:rFonts w:asciiTheme="minorHAnsi" w:hAnsiTheme="minorHAnsi"/>
                <w:bCs w:val="0"/>
                <w:color w:val="auto"/>
                <w:kern w:val="24"/>
                <w:sz w:val="22"/>
                <w:szCs w:val="22"/>
              </w:rPr>
              <w:t>Adverse event</w:t>
            </w:r>
          </w:p>
        </w:tc>
        <w:tc>
          <w:tcPr>
            <w:tcW w:w="1347" w:type="dxa"/>
          </w:tcPr>
          <w:p w14:paraId="0734646B"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auto"/>
                <w:kern w:val="24"/>
                <w:sz w:val="22"/>
                <w:szCs w:val="22"/>
              </w:rPr>
            </w:pPr>
            <w:r w:rsidRPr="00887AAC">
              <w:rPr>
                <w:rFonts w:asciiTheme="minorHAnsi" w:hAnsiTheme="minorHAnsi"/>
                <w:bCs w:val="0"/>
                <w:color w:val="auto"/>
                <w:kern w:val="24"/>
                <w:sz w:val="22"/>
                <w:szCs w:val="22"/>
              </w:rPr>
              <w:t>AS-MQ</w:t>
            </w:r>
          </w:p>
          <w:p w14:paraId="7FFD1E48"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 w:val="22"/>
                <w:szCs w:val="22"/>
              </w:rPr>
            </w:pPr>
            <w:r w:rsidRPr="00887AAC">
              <w:rPr>
                <w:rFonts w:asciiTheme="minorHAnsi" w:hAnsiTheme="minorHAnsi"/>
                <w:b w:val="0"/>
                <w:bCs w:val="0"/>
                <w:color w:val="auto"/>
                <w:kern w:val="24"/>
                <w:sz w:val="22"/>
                <w:szCs w:val="22"/>
              </w:rPr>
              <w:t>n* (%)</w:t>
            </w:r>
          </w:p>
        </w:tc>
        <w:tc>
          <w:tcPr>
            <w:tcW w:w="1347" w:type="dxa"/>
          </w:tcPr>
          <w:p w14:paraId="2C7F9FF3"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auto"/>
                <w:kern w:val="24"/>
                <w:sz w:val="22"/>
                <w:szCs w:val="22"/>
              </w:rPr>
            </w:pPr>
            <w:r w:rsidRPr="00887AAC">
              <w:rPr>
                <w:rFonts w:asciiTheme="minorHAnsi" w:hAnsiTheme="minorHAnsi"/>
                <w:bCs w:val="0"/>
                <w:color w:val="auto"/>
                <w:kern w:val="24"/>
                <w:sz w:val="22"/>
                <w:szCs w:val="22"/>
              </w:rPr>
              <w:t>CQ</w:t>
            </w:r>
          </w:p>
          <w:p w14:paraId="3728076B"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auto"/>
                <w:sz w:val="22"/>
                <w:szCs w:val="22"/>
              </w:rPr>
            </w:pPr>
            <w:r w:rsidRPr="00887AAC">
              <w:rPr>
                <w:rFonts w:asciiTheme="minorHAnsi" w:hAnsiTheme="minorHAnsi"/>
                <w:b w:val="0"/>
                <w:bCs w:val="0"/>
                <w:color w:val="auto"/>
                <w:kern w:val="24"/>
                <w:sz w:val="22"/>
                <w:szCs w:val="22"/>
              </w:rPr>
              <w:t>n (%)</w:t>
            </w:r>
          </w:p>
        </w:tc>
        <w:tc>
          <w:tcPr>
            <w:tcW w:w="1275" w:type="dxa"/>
          </w:tcPr>
          <w:p w14:paraId="15B15B0E"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auto"/>
                <w:kern w:val="24"/>
                <w:sz w:val="22"/>
                <w:szCs w:val="22"/>
              </w:rPr>
            </w:pPr>
          </w:p>
          <w:p w14:paraId="4FFEF0FE" w14:textId="77777777" w:rsidR="00887AAC" w:rsidRPr="00887AAC" w:rsidRDefault="00887AAC" w:rsidP="00163434">
            <w:pPr>
              <w:pStyle w:val="NormalWeb"/>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P-value</w:t>
            </w:r>
          </w:p>
        </w:tc>
      </w:tr>
      <w:tr w:rsidR="00887AAC" w:rsidRPr="00887AAC" w14:paraId="37A0FE7A"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20228DAB"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Gastrointestinal</w:t>
            </w:r>
          </w:p>
        </w:tc>
        <w:tc>
          <w:tcPr>
            <w:tcW w:w="2268" w:type="dxa"/>
          </w:tcPr>
          <w:p w14:paraId="68A19F67"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Vomiting</w:t>
            </w:r>
          </w:p>
        </w:tc>
        <w:tc>
          <w:tcPr>
            <w:tcW w:w="1347" w:type="dxa"/>
          </w:tcPr>
          <w:p w14:paraId="1B6D31CC"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30 (55)</w:t>
            </w:r>
          </w:p>
        </w:tc>
        <w:tc>
          <w:tcPr>
            <w:tcW w:w="1347" w:type="dxa"/>
          </w:tcPr>
          <w:p w14:paraId="471C30DB"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23 (48)</w:t>
            </w:r>
          </w:p>
        </w:tc>
        <w:tc>
          <w:tcPr>
            <w:tcW w:w="1275" w:type="dxa"/>
          </w:tcPr>
          <w:p w14:paraId="1F8B21EB"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0.444</w:t>
            </w:r>
          </w:p>
        </w:tc>
      </w:tr>
      <w:tr w:rsidR="00887AAC" w:rsidRPr="00887AAC" w14:paraId="6921AB15" w14:textId="77777777" w:rsidTr="00163434">
        <w:tc>
          <w:tcPr>
            <w:cnfStyle w:val="001000000000" w:firstRow="0" w:lastRow="0" w:firstColumn="1" w:lastColumn="0" w:oddVBand="0" w:evenVBand="0" w:oddHBand="0" w:evenHBand="0" w:firstRowFirstColumn="0" w:firstRowLastColumn="0" w:lastRowFirstColumn="0" w:lastRowLastColumn="0"/>
            <w:tcW w:w="1809" w:type="dxa"/>
          </w:tcPr>
          <w:p w14:paraId="364F5A73" w14:textId="77777777" w:rsidR="00887AAC" w:rsidRPr="00887AAC" w:rsidRDefault="00887AAC" w:rsidP="00163434">
            <w:pPr>
              <w:pStyle w:val="NormalWeb"/>
              <w:spacing w:after="0"/>
              <w:rPr>
                <w:rFonts w:asciiTheme="minorHAnsi" w:hAnsiTheme="minorHAnsi"/>
                <w:b w:val="0"/>
                <w:bCs w:val="0"/>
                <w:color w:val="auto"/>
                <w:kern w:val="24"/>
                <w:sz w:val="22"/>
                <w:szCs w:val="22"/>
              </w:rPr>
            </w:pPr>
          </w:p>
        </w:tc>
        <w:tc>
          <w:tcPr>
            <w:tcW w:w="2268" w:type="dxa"/>
          </w:tcPr>
          <w:p w14:paraId="1D4DB63C"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Abdominal pain</w:t>
            </w:r>
          </w:p>
        </w:tc>
        <w:tc>
          <w:tcPr>
            <w:tcW w:w="1347" w:type="dxa"/>
          </w:tcPr>
          <w:p w14:paraId="4954E813"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13 (24)</w:t>
            </w:r>
          </w:p>
        </w:tc>
        <w:tc>
          <w:tcPr>
            <w:tcW w:w="1347" w:type="dxa"/>
          </w:tcPr>
          <w:p w14:paraId="5957F74B"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12 (25)</w:t>
            </w:r>
          </w:p>
        </w:tc>
        <w:tc>
          <w:tcPr>
            <w:tcW w:w="1275" w:type="dxa"/>
          </w:tcPr>
          <w:p w14:paraId="1EB6E2A6"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0.914</w:t>
            </w:r>
          </w:p>
        </w:tc>
      </w:tr>
      <w:tr w:rsidR="00887AAC" w:rsidRPr="00887AAC" w14:paraId="274C7B5E"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bottom w:val="nil"/>
            </w:tcBorders>
          </w:tcPr>
          <w:p w14:paraId="4BAD27FC" w14:textId="77777777" w:rsidR="00887AAC" w:rsidRPr="00887AAC" w:rsidRDefault="00887AAC" w:rsidP="00163434">
            <w:pPr>
              <w:pStyle w:val="NormalWeb"/>
              <w:spacing w:after="0"/>
              <w:rPr>
                <w:rFonts w:asciiTheme="minorHAnsi" w:hAnsiTheme="minorHAnsi"/>
                <w:b w:val="0"/>
                <w:bCs w:val="0"/>
                <w:color w:val="auto"/>
                <w:kern w:val="24"/>
                <w:sz w:val="22"/>
                <w:szCs w:val="22"/>
              </w:rPr>
            </w:pPr>
          </w:p>
        </w:tc>
        <w:tc>
          <w:tcPr>
            <w:tcW w:w="2268" w:type="dxa"/>
            <w:tcBorders>
              <w:bottom w:val="nil"/>
            </w:tcBorders>
          </w:tcPr>
          <w:p w14:paraId="4CE3C2D7"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Diarrhoea</w:t>
            </w:r>
          </w:p>
        </w:tc>
        <w:tc>
          <w:tcPr>
            <w:tcW w:w="1347" w:type="dxa"/>
            <w:tcBorders>
              <w:bottom w:val="nil"/>
            </w:tcBorders>
          </w:tcPr>
          <w:p w14:paraId="58B69935"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5 (9)</w:t>
            </w:r>
          </w:p>
        </w:tc>
        <w:tc>
          <w:tcPr>
            <w:tcW w:w="1347" w:type="dxa"/>
            <w:tcBorders>
              <w:bottom w:val="nil"/>
            </w:tcBorders>
          </w:tcPr>
          <w:p w14:paraId="70205DB1"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3 (6)</w:t>
            </w:r>
          </w:p>
        </w:tc>
        <w:tc>
          <w:tcPr>
            <w:tcW w:w="1275" w:type="dxa"/>
            <w:tcBorders>
              <w:bottom w:val="nil"/>
            </w:tcBorders>
          </w:tcPr>
          <w:p w14:paraId="24B74E88"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0.573</w:t>
            </w:r>
          </w:p>
        </w:tc>
      </w:tr>
      <w:tr w:rsidR="00887AAC" w:rsidRPr="00887AAC" w14:paraId="7E603A4B" w14:textId="77777777" w:rsidTr="00163434">
        <w:tc>
          <w:tcPr>
            <w:cnfStyle w:val="001000000000" w:firstRow="0" w:lastRow="0" w:firstColumn="1" w:lastColumn="0" w:oddVBand="0" w:evenVBand="0" w:oddHBand="0" w:evenHBand="0" w:firstRowFirstColumn="0" w:firstRowLastColumn="0" w:lastRowFirstColumn="0" w:lastRowLastColumn="0"/>
            <w:tcW w:w="1809" w:type="dxa"/>
            <w:tcBorders>
              <w:top w:val="nil"/>
              <w:bottom w:val="single" w:sz="4" w:space="0" w:color="auto"/>
            </w:tcBorders>
          </w:tcPr>
          <w:p w14:paraId="3C259553" w14:textId="77777777" w:rsidR="00887AAC" w:rsidRPr="00887AAC" w:rsidRDefault="00887AAC" w:rsidP="00163434">
            <w:pPr>
              <w:pStyle w:val="NormalWeb"/>
              <w:spacing w:after="0"/>
              <w:rPr>
                <w:rFonts w:asciiTheme="minorHAnsi" w:hAnsiTheme="minorHAnsi"/>
                <w:b w:val="0"/>
                <w:bCs w:val="0"/>
                <w:color w:val="auto"/>
                <w:kern w:val="24"/>
                <w:sz w:val="22"/>
                <w:szCs w:val="22"/>
              </w:rPr>
            </w:pPr>
          </w:p>
        </w:tc>
        <w:tc>
          <w:tcPr>
            <w:tcW w:w="2268" w:type="dxa"/>
            <w:tcBorders>
              <w:top w:val="nil"/>
              <w:bottom w:val="single" w:sz="4" w:space="0" w:color="auto"/>
            </w:tcBorders>
          </w:tcPr>
          <w:p w14:paraId="08DE5245"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i/>
                <w:color w:val="auto"/>
                <w:kern w:val="24"/>
                <w:sz w:val="22"/>
                <w:szCs w:val="22"/>
              </w:rPr>
            </w:pPr>
            <w:r w:rsidRPr="00887AAC">
              <w:rPr>
                <w:rFonts w:asciiTheme="minorHAnsi" w:hAnsiTheme="minorHAnsi"/>
                <w:bCs/>
                <w:i/>
                <w:color w:val="auto"/>
                <w:kern w:val="24"/>
                <w:sz w:val="22"/>
                <w:szCs w:val="22"/>
              </w:rPr>
              <w:t>Any of above</w:t>
            </w:r>
          </w:p>
        </w:tc>
        <w:tc>
          <w:tcPr>
            <w:tcW w:w="1347" w:type="dxa"/>
            <w:tcBorders>
              <w:top w:val="nil"/>
              <w:bottom w:val="single" w:sz="4" w:space="0" w:color="auto"/>
            </w:tcBorders>
          </w:tcPr>
          <w:p w14:paraId="5406CE9F"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37 (69)</w:t>
            </w:r>
          </w:p>
        </w:tc>
        <w:tc>
          <w:tcPr>
            <w:tcW w:w="1347" w:type="dxa"/>
            <w:tcBorders>
              <w:top w:val="nil"/>
              <w:bottom w:val="single" w:sz="4" w:space="0" w:color="auto"/>
            </w:tcBorders>
          </w:tcPr>
          <w:p w14:paraId="24319463"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29 (60)</w:t>
            </w:r>
          </w:p>
        </w:tc>
        <w:tc>
          <w:tcPr>
            <w:tcW w:w="1275" w:type="dxa"/>
            <w:tcBorders>
              <w:top w:val="nil"/>
              <w:bottom w:val="single" w:sz="4" w:space="0" w:color="auto"/>
            </w:tcBorders>
          </w:tcPr>
          <w:p w14:paraId="1D165FA7"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0.393</w:t>
            </w:r>
          </w:p>
        </w:tc>
      </w:tr>
      <w:tr w:rsidR="00887AAC" w:rsidRPr="00887AAC" w14:paraId="300B8AFE"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tcBorders>
          </w:tcPr>
          <w:p w14:paraId="4CA94B07"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Neurological</w:t>
            </w:r>
          </w:p>
        </w:tc>
        <w:tc>
          <w:tcPr>
            <w:tcW w:w="2268" w:type="dxa"/>
            <w:tcBorders>
              <w:top w:val="single" w:sz="4" w:space="0" w:color="auto"/>
            </w:tcBorders>
          </w:tcPr>
          <w:p w14:paraId="15B02815"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Dizziness</w:t>
            </w:r>
          </w:p>
        </w:tc>
        <w:tc>
          <w:tcPr>
            <w:tcW w:w="1347" w:type="dxa"/>
            <w:tcBorders>
              <w:top w:val="single" w:sz="4" w:space="0" w:color="auto"/>
            </w:tcBorders>
          </w:tcPr>
          <w:p w14:paraId="21FE6D9F"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40 (74)</w:t>
            </w:r>
          </w:p>
        </w:tc>
        <w:tc>
          <w:tcPr>
            <w:tcW w:w="1347" w:type="dxa"/>
            <w:tcBorders>
              <w:top w:val="single" w:sz="4" w:space="0" w:color="auto"/>
            </w:tcBorders>
          </w:tcPr>
          <w:p w14:paraId="38C024E2"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39 (81)</w:t>
            </w:r>
          </w:p>
        </w:tc>
        <w:tc>
          <w:tcPr>
            <w:tcW w:w="1275" w:type="dxa"/>
            <w:tcBorders>
              <w:top w:val="single" w:sz="4" w:space="0" w:color="auto"/>
            </w:tcBorders>
          </w:tcPr>
          <w:p w14:paraId="3E53CDD0"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0.387</w:t>
            </w:r>
          </w:p>
        </w:tc>
      </w:tr>
      <w:tr w:rsidR="00887AAC" w:rsidRPr="00887AAC" w14:paraId="38CA0A33" w14:textId="77777777" w:rsidTr="00163434">
        <w:tc>
          <w:tcPr>
            <w:cnfStyle w:val="001000000000" w:firstRow="0" w:lastRow="0" w:firstColumn="1" w:lastColumn="0" w:oddVBand="0" w:evenVBand="0" w:oddHBand="0" w:evenHBand="0" w:firstRowFirstColumn="0" w:firstRowLastColumn="0" w:lastRowFirstColumn="0" w:lastRowLastColumn="0"/>
            <w:tcW w:w="1809" w:type="dxa"/>
          </w:tcPr>
          <w:p w14:paraId="45DFF15D" w14:textId="77777777" w:rsidR="00887AAC" w:rsidRPr="00887AAC" w:rsidRDefault="00887AAC" w:rsidP="00163434">
            <w:pPr>
              <w:pStyle w:val="NormalWeb"/>
              <w:spacing w:after="0"/>
              <w:rPr>
                <w:rFonts w:asciiTheme="minorHAnsi" w:hAnsiTheme="minorHAnsi"/>
                <w:b w:val="0"/>
                <w:bCs w:val="0"/>
                <w:color w:val="auto"/>
                <w:kern w:val="24"/>
                <w:sz w:val="22"/>
                <w:szCs w:val="22"/>
              </w:rPr>
            </w:pPr>
          </w:p>
        </w:tc>
        <w:tc>
          <w:tcPr>
            <w:tcW w:w="2268" w:type="dxa"/>
          </w:tcPr>
          <w:p w14:paraId="3B3B5460"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Headache</w:t>
            </w:r>
          </w:p>
        </w:tc>
        <w:tc>
          <w:tcPr>
            <w:tcW w:w="1347" w:type="dxa"/>
          </w:tcPr>
          <w:p w14:paraId="6E20CDAD"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49 (91)</w:t>
            </w:r>
          </w:p>
        </w:tc>
        <w:tc>
          <w:tcPr>
            <w:tcW w:w="1347" w:type="dxa"/>
          </w:tcPr>
          <w:p w14:paraId="7B7F47C7"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44 (92)</w:t>
            </w:r>
          </w:p>
        </w:tc>
        <w:tc>
          <w:tcPr>
            <w:tcW w:w="1275" w:type="dxa"/>
          </w:tcPr>
          <w:p w14:paraId="5CF186B7"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0.869</w:t>
            </w:r>
          </w:p>
        </w:tc>
      </w:tr>
      <w:tr w:rsidR="00887AAC" w:rsidRPr="00887AAC" w14:paraId="7853B15A"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9F619B3" w14:textId="77777777" w:rsidR="00887AAC" w:rsidRPr="00887AAC" w:rsidRDefault="00887AAC" w:rsidP="00163434">
            <w:pPr>
              <w:pStyle w:val="NormalWeb"/>
              <w:spacing w:after="0"/>
              <w:jc w:val="right"/>
              <w:rPr>
                <w:rFonts w:asciiTheme="minorHAnsi" w:hAnsiTheme="minorHAnsi"/>
                <w:b w:val="0"/>
                <w:bCs w:val="0"/>
                <w:color w:val="auto"/>
                <w:kern w:val="24"/>
                <w:sz w:val="22"/>
                <w:szCs w:val="22"/>
              </w:rPr>
            </w:pPr>
          </w:p>
        </w:tc>
        <w:tc>
          <w:tcPr>
            <w:tcW w:w="2268" w:type="dxa"/>
          </w:tcPr>
          <w:p w14:paraId="3144B355"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Vision/hearing</w:t>
            </w:r>
          </w:p>
        </w:tc>
        <w:tc>
          <w:tcPr>
            <w:tcW w:w="1347" w:type="dxa"/>
          </w:tcPr>
          <w:p w14:paraId="33A08C69"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7 (13)</w:t>
            </w:r>
          </w:p>
        </w:tc>
        <w:tc>
          <w:tcPr>
            <w:tcW w:w="1347" w:type="dxa"/>
          </w:tcPr>
          <w:p w14:paraId="31376B64"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7 (15)</w:t>
            </w:r>
          </w:p>
        </w:tc>
        <w:tc>
          <w:tcPr>
            <w:tcW w:w="1275" w:type="dxa"/>
          </w:tcPr>
          <w:p w14:paraId="361FAD9A"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0.812</w:t>
            </w:r>
          </w:p>
        </w:tc>
      </w:tr>
      <w:tr w:rsidR="00887AAC" w:rsidRPr="00887AAC" w14:paraId="6EC315B2" w14:textId="77777777" w:rsidTr="00163434">
        <w:tc>
          <w:tcPr>
            <w:cnfStyle w:val="001000000000" w:firstRow="0" w:lastRow="0" w:firstColumn="1" w:lastColumn="0" w:oddVBand="0" w:evenVBand="0" w:oddHBand="0" w:evenHBand="0" w:firstRowFirstColumn="0" w:firstRowLastColumn="0" w:lastRowFirstColumn="0" w:lastRowLastColumn="0"/>
            <w:tcW w:w="1809" w:type="dxa"/>
            <w:tcBorders>
              <w:top w:val="nil"/>
              <w:bottom w:val="single" w:sz="4" w:space="0" w:color="auto"/>
            </w:tcBorders>
          </w:tcPr>
          <w:p w14:paraId="3DC7C3AE" w14:textId="77777777" w:rsidR="00887AAC" w:rsidRPr="00887AAC" w:rsidRDefault="00887AAC" w:rsidP="00163434">
            <w:pPr>
              <w:pStyle w:val="NormalWeb"/>
              <w:spacing w:after="0"/>
              <w:jc w:val="right"/>
              <w:rPr>
                <w:rFonts w:asciiTheme="minorHAnsi" w:hAnsiTheme="minorHAnsi"/>
                <w:b w:val="0"/>
                <w:bCs w:val="0"/>
                <w:color w:val="auto"/>
                <w:kern w:val="24"/>
                <w:sz w:val="22"/>
                <w:szCs w:val="22"/>
              </w:rPr>
            </w:pPr>
          </w:p>
        </w:tc>
        <w:tc>
          <w:tcPr>
            <w:tcW w:w="2268" w:type="dxa"/>
            <w:tcBorders>
              <w:top w:val="nil"/>
              <w:bottom w:val="single" w:sz="4" w:space="0" w:color="auto"/>
            </w:tcBorders>
          </w:tcPr>
          <w:p w14:paraId="33AAB8F6"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i/>
                <w:color w:val="auto"/>
                <w:kern w:val="24"/>
                <w:sz w:val="22"/>
                <w:szCs w:val="22"/>
              </w:rPr>
              <w:t>Any of above</w:t>
            </w:r>
          </w:p>
        </w:tc>
        <w:tc>
          <w:tcPr>
            <w:tcW w:w="1347" w:type="dxa"/>
            <w:tcBorders>
              <w:top w:val="nil"/>
              <w:bottom w:val="single" w:sz="4" w:space="0" w:color="auto"/>
            </w:tcBorders>
          </w:tcPr>
          <w:p w14:paraId="37868B89"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45 (94)</w:t>
            </w:r>
          </w:p>
        </w:tc>
        <w:tc>
          <w:tcPr>
            <w:tcW w:w="1347" w:type="dxa"/>
            <w:tcBorders>
              <w:top w:val="nil"/>
              <w:bottom w:val="single" w:sz="4" w:space="0" w:color="auto"/>
            </w:tcBorders>
          </w:tcPr>
          <w:p w14:paraId="3FA3DC43"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51 (94)</w:t>
            </w:r>
          </w:p>
        </w:tc>
        <w:tc>
          <w:tcPr>
            <w:tcW w:w="1275" w:type="dxa"/>
            <w:tcBorders>
              <w:top w:val="nil"/>
              <w:bottom w:val="single" w:sz="4" w:space="0" w:color="auto"/>
            </w:tcBorders>
          </w:tcPr>
          <w:p w14:paraId="0C45D9D9"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0.882</w:t>
            </w:r>
          </w:p>
        </w:tc>
      </w:tr>
      <w:tr w:rsidR="00887AAC" w:rsidRPr="00887AAC" w14:paraId="3C1324DE"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bottom w:val="single" w:sz="4" w:space="0" w:color="auto"/>
            </w:tcBorders>
          </w:tcPr>
          <w:p w14:paraId="4D2452E3"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Skin</w:t>
            </w:r>
          </w:p>
        </w:tc>
        <w:tc>
          <w:tcPr>
            <w:tcW w:w="2268" w:type="dxa"/>
            <w:tcBorders>
              <w:top w:val="single" w:sz="4" w:space="0" w:color="auto"/>
              <w:bottom w:val="single" w:sz="4" w:space="0" w:color="auto"/>
            </w:tcBorders>
          </w:tcPr>
          <w:p w14:paraId="058CA6CF"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Rash/itch</w:t>
            </w:r>
          </w:p>
        </w:tc>
        <w:tc>
          <w:tcPr>
            <w:tcW w:w="1347" w:type="dxa"/>
            <w:tcBorders>
              <w:top w:val="single" w:sz="4" w:space="0" w:color="auto"/>
              <w:bottom w:val="single" w:sz="4" w:space="0" w:color="auto"/>
            </w:tcBorders>
          </w:tcPr>
          <w:p w14:paraId="7FE80C97"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 (7)</w:t>
            </w:r>
          </w:p>
        </w:tc>
        <w:tc>
          <w:tcPr>
            <w:tcW w:w="1347" w:type="dxa"/>
            <w:tcBorders>
              <w:top w:val="single" w:sz="4" w:space="0" w:color="auto"/>
              <w:bottom w:val="single" w:sz="4" w:space="0" w:color="auto"/>
            </w:tcBorders>
          </w:tcPr>
          <w:p w14:paraId="0438024F"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2 (4)</w:t>
            </w:r>
          </w:p>
        </w:tc>
        <w:tc>
          <w:tcPr>
            <w:tcW w:w="1275" w:type="dxa"/>
            <w:tcBorders>
              <w:top w:val="single" w:sz="4" w:space="0" w:color="auto"/>
              <w:bottom w:val="single" w:sz="4" w:space="0" w:color="auto"/>
            </w:tcBorders>
          </w:tcPr>
          <w:p w14:paraId="73BD3124"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0.487</w:t>
            </w:r>
          </w:p>
        </w:tc>
      </w:tr>
      <w:tr w:rsidR="00887AAC" w:rsidRPr="00887AAC" w14:paraId="00B97F86" w14:textId="77777777" w:rsidTr="00163434">
        <w:tc>
          <w:tcPr>
            <w:cnfStyle w:val="001000000000" w:firstRow="0" w:lastRow="0" w:firstColumn="1" w:lastColumn="0" w:oddVBand="0" w:evenVBand="0" w:oddHBand="0" w:evenHBand="0" w:firstRowFirstColumn="0" w:firstRowLastColumn="0" w:lastRowFirstColumn="0" w:lastRowLastColumn="0"/>
            <w:tcW w:w="1809" w:type="dxa"/>
            <w:tcBorders>
              <w:bottom w:val="nil"/>
            </w:tcBorders>
          </w:tcPr>
          <w:p w14:paraId="457A3CFA"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Respiratory</w:t>
            </w:r>
          </w:p>
        </w:tc>
        <w:tc>
          <w:tcPr>
            <w:tcW w:w="2268" w:type="dxa"/>
            <w:tcBorders>
              <w:bottom w:val="nil"/>
            </w:tcBorders>
          </w:tcPr>
          <w:p w14:paraId="7D8224F9"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Cough</w:t>
            </w:r>
          </w:p>
        </w:tc>
        <w:tc>
          <w:tcPr>
            <w:tcW w:w="1347" w:type="dxa"/>
            <w:tcBorders>
              <w:bottom w:val="nil"/>
            </w:tcBorders>
          </w:tcPr>
          <w:p w14:paraId="04D162B7"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15 (28)</w:t>
            </w:r>
          </w:p>
        </w:tc>
        <w:tc>
          <w:tcPr>
            <w:tcW w:w="1347" w:type="dxa"/>
            <w:tcBorders>
              <w:bottom w:val="nil"/>
            </w:tcBorders>
          </w:tcPr>
          <w:p w14:paraId="6FC4BC80"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18 (38)</w:t>
            </w:r>
          </w:p>
        </w:tc>
        <w:tc>
          <w:tcPr>
            <w:tcW w:w="1275" w:type="dxa"/>
            <w:tcBorders>
              <w:bottom w:val="nil"/>
            </w:tcBorders>
          </w:tcPr>
          <w:p w14:paraId="69807947"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0.295</w:t>
            </w:r>
          </w:p>
        </w:tc>
      </w:tr>
      <w:tr w:rsidR="00887AAC" w:rsidRPr="00887AAC" w14:paraId="3BC9E3A8"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bottom w:val="nil"/>
            </w:tcBorders>
          </w:tcPr>
          <w:p w14:paraId="675DEC47" w14:textId="77777777" w:rsidR="00887AAC" w:rsidRPr="00887AAC" w:rsidRDefault="00887AAC" w:rsidP="00163434">
            <w:pPr>
              <w:pStyle w:val="NormalWeb"/>
              <w:spacing w:after="0"/>
              <w:rPr>
                <w:rFonts w:asciiTheme="minorHAnsi" w:hAnsiTheme="minorHAnsi"/>
                <w:color w:val="auto"/>
                <w:kern w:val="24"/>
                <w:sz w:val="22"/>
                <w:szCs w:val="22"/>
              </w:rPr>
            </w:pPr>
          </w:p>
        </w:tc>
        <w:tc>
          <w:tcPr>
            <w:tcW w:w="2268" w:type="dxa"/>
            <w:tcBorders>
              <w:bottom w:val="nil"/>
            </w:tcBorders>
          </w:tcPr>
          <w:p w14:paraId="193E4D44"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Shortness of breath</w:t>
            </w:r>
          </w:p>
        </w:tc>
        <w:tc>
          <w:tcPr>
            <w:tcW w:w="1347" w:type="dxa"/>
            <w:tcBorders>
              <w:bottom w:val="nil"/>
            </w:tcBorders>
          </w:tcPr>
          <w:p w14:paraId="0626F71C"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12 (22)</w:t>
            </w:r>
          </w:p>
        </w:tc>
        <w:tc>
          <w:tcPr>
            <w:tcW w:w="1347" w:type="dxa"/>
            <w:tcBorders>
              <w:bottom w:val="nil"/>
            </w:tcBorders>
          </w:tcPr>
          <w:p w14:paraId="1FE292A3"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 (8)</w:t>
            </w:r>
          </w:p>
        </w:tc>
        <w:tc>
          <w:tcPr>
            <w:tcW w:w="1275" w:type="dxa"/>
            <w:tcBorders>
              <w:bottom w:val="nil"/>
            </w:tcBorders>
          </w:tcPr>
          <w:p w14:paraId="52204A29"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0.054</w:t>
            </w:r>
          </w:p>
        </w:tc>
      </w:tr>
      <w:tr w:rsidR="00887AAC" w:rsidRPr="00887AAC" w14:paraId="493E6A85" w14:textId="77777777" w:rsidTr="00163434">
        <w:tc>
          <w:tcPr>
            <w:cnfStyle w:val="001000000000" w:firstRow="0" w:lastRow="0" w:firstColumn="1" w:lastColumn="0" w:oddVBand="0" w:evenVBand="0" w:oddHBand="0" w:evenHBand="0" w:firstRowFirstColumn="0" w:firstRowLastColumn="0" w:lastRowFirstColumn="0" w:lastRowLastColumn="0"/>
            <w:tcW w:w="1809" w:type="dxa"/>
            <w:tcBorders>
              <w:top w:val="nil"/>
              <w:bottom w:val="single" w:sz="4" w:space="0" w:color="auto"/>
            </w:tcBorders>
          </w:tcPr>
          <w:p w14:paraId="4B2F78ED" w14:textId="77777777" w:rsidR="00887AAC" w:rsidRPr="00887AAC" w:rsidRDefault="00887AAC" w:rsidP="00163434">
            <w:pPr>
              <w:pStyle w:val="NormalWeb"/>
              <w:spacing w:after="0"/>
              <w:rPr>
                <w:rFonts w:asciiTheme="minorHAnsi" w:hAnsiTheme="minorHAnsi"/>
                <w:b w:val="0"/>
                <w:bCs w:val="0"/>
                <w:color w:val="auto"/>
                <w:kern w:val="24"/>
                <w:sz w:val="22"/>
                <w:szCs w:val="22"/>
              </w:rPr>
            </w:pPr>
          </w:p>
        </w:tc>
        <w:tc>
          <w:tcPr>
            <w:tcW w:w="2268" w:type="dxa"/>
            <w:tcBorders>
              <w:top w:val="nil"/>
              <w:bottom w:val="single" w:sz="4" w:space="0" w:color="auto"/>
            </w:tcBorders>
          </w:tcPr>
          <w:p w14:paraId="773EEE37" w14:textId="77777777" w:rsidR="00887AAC" w:rsidRPr="00887AAC" w:rsidRDefault="00887AAC" w:rsidP="00163434">
            <w:pPr>
              <w:pStyle w:val="NormalWeb"/>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i/>
                <w:color w:val="auto"/>
                <w:kern w:val="24"/>
                <w:sz w:val="22"/>
                <w:szCs w:val="22"/>
              </w:rPr>
              <w:t>Any of above</w:t>
            </w:r>
          </w:p>
        </w:tc>
        <w:tc>
          <w:tcPr>
            <w:tcW w:w="1347" w:type="dxa"/>
            <w:tcBorders>
              <w:top w:val="nil"/>
              <w:bottom w:val="single" w:sz="4" w:space="0" w:color="auto"/>
            </w:tcBorders>
          </w:tcPr>
          <w:p w14:paraId="4445B72E"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19 (40)</w:t>
            </w:r>
          </w:p>
        </w:tc>
        <w:tc>
          <w:tcPr>
            <w:tcW w:w="1347" w:type="dxa"/>
            <w:tcBorders>
              <w:top w:val="nil"/>
              <w:bottom w:val="single" w:sz="4" w:space="0" w:color="auto"/>
            </w:tcBorders>
          </w:tcPr>
          <w:p w14:paraId="41913BA6"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22 (41)</w:t>
            </w:r>
          </w:p>
        </w:tc>
        <w:tc>
          <w:tcPr>
            <w:tcW w:w="1275" w:type="dxa"/>
            <w:tcBorders>
              <w:top w:val="nil"/>
              <w:bottom w:val="single" w:sz="4" w:space="0" w:color="auto"/>
            </w:tcBorders>
          </w:tcPr>
          <w:p w14:paraId="7BAA2445"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0.905</w:t>
            </w:r>
          </w:p>
        </w:tc>
      </w:tr>
      <w:tr w:rsidR="00887AAC" w:rsidRPr="00887AAC" w14:paraId="28CC9D1C" w14:textId="77777777" w:rsidTr="00163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tcBorders>
          </w:tcPr>
          <w:p w14:paraId="7A89491A"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Retreatment</w:t>
            </w:r>
          </w:p>
        </w:tc>
        <w:tc>
          <w:tcPr>
            <w:tcW w:w="2268" w:type="dxa"/>
            <w:tcBorders>
              <w:top w:val="single" w:sz="4" w:space="0" w:color="auto"/>
            </w:tcBorders>
          </w:tcPr>
          <w:p w14:paraId="7FC67403" w14:textId="77777777" w:rsidR="00887AAC" w:rsidRPr="00887AAC" w:rsidRDefault="00887AAC" w:rsidP="00163434">
            <w:pPr>
              <w:pStyle w:val="NormalWeb"/>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Vomiting &lt; 1 hour post medication**</w:t>
            </w:r>
          </w:p>
        </w:tc>
        <w:tc>
          <w:tcPr>
            <w:tcW w:w="1347" w:type="dxa"/>
            <w:tcBorders>
              <w:top w:val="single" w:sz="4" w:space="0" w:color="auto"/>
            </w:tcBorders>
          </w:tcPr>
          <w:p w14:paraId="7B5D83CF"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w:t>
            </w:r>
          </w:p>
        </w:tc>
        <w:tc>
          <w:tcPr>
            <w:tcW w:w="1347" w:type="dxa"/>
            <w:tcBorders>
              <w:top w:val="single" w:sz="4" w:space="0" w:color="auto"/>
            </w:tcBorders>
          </w:tcPr>
          <w:p w14:paraId="4D968B9E"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2 (8)</w:t>
            </w:r>
          </w:p>
        </w:tc>
        <w:tc>
          <w:tcPr>
            <w:tcW w:w="1275" w:type="dxa"/>
            <w:tcBorders>
              <w:top w:val="single" w:sz="4" w:space="0" w:color="auto"/>
            </w:tcBorders>
          </w:tcPr>
          <w:p w14:paraId="23770A23" w14:textId="77777777" w:rsidR="00887AAC" w:rsidRPr="00887AAC" w:rsidRDefault="00887AAC" w:rsidP="00163434">
            <w:pPr>
              <w:pStyle w:val="NormalWeb"/>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0.224</w:t>
            </w:r>
          </w:p>
        </w:tc>
      </w:tr>
      <w:tr w:rsidR="00887AAC" w:rsidRPr="00887AAC" w14:paraId="20556328" w14:textId="77777777" w:rsidTr="00163434">
        <w:tc>
          <w:tcPr>
            <w:cnfStyle w:val="001000000000" w:firstRow="0" w:lastRow="0" w:firstColumn="1" w:lastColumn="0" w:oddVBand="0" w:evenVBand="0" w:oddHBand="0" w:evenHBand="0" w:firstRowFirstColumn="0" w:firstRowLastColumn="0" w:lastRowFirstColumn="0" w:lastRowLastColumn="0"/>
            <w:tcW w:w="1809" w:type="dxa"/>
          </w:tcPr>
          <w:p w14:paraId="4CB3FE15" w14:textId="77777777" w:rsidR="00887AAC" w:rsidRPr="00887AAC" w:rsidRDefault="00887AAC" w:rsidP="00163434">
            <w:pPr>
              <w:pStyle w:val="NormalWeb"/>
              <w:spacing w:after="0"/>
              <w:rPr>
                <w:rFonts w:asciiTheme="minorHAnsi" w:hAnsiTheme="minorHAnsi"/>
                <w:b w:val="0"/>
                <w:bCs w:val="0"/>
                <w:color w:val="auto"/>
                <w:kern w:val="24"/>
                <w:sz w:val="22"/>
                <w:szCs w:val="22"/>
              </w:rPr>
            </w:pPr>
            <w:r w:rsidRPr="00887AAC">
              <w:rPr>
                <w:rFonts w:asciiTheme="minorHAnsi" w:hAnsiTheme="minorHAnsi"/>
                <w:b w:val="0"/>
                <w:bCs w:val="0"/>
                <w:color w:val="auto"/>
                <w:kern w:val="24"/>
                <w:sz w:val="22"/>
                <w:szCs w:val="22"/>
              </w:rPr>
              <w:t>Rescue treatment</w:t>
            </w:r>
          </w:p>
        </w:tc>
        <w:tc>
          <w:tcPr>
            <w:tcW w:w="2268" w:type="dxa"/>
          </w:tcPr>
          <w:p w14:paraId="30274D56" w14:textId="77777777" w:rsidR="00887AAC" w:rsidRPr="00887AAC" w:rsidRDefault="00887AAC" w:rsidP="00163434">
            <w:pPr>
              <w:pStyle w:val="NormalWeb"/>
              <w:spacing w:after="0"/>
              <w:jc w:val="right"/>
              <w:cnfStyle w:val="000000000000" w:firstRow="0" w:lastRow="0" w:firstColumn="0" w:lastColumn="0" w:oddVBand="0" w:evenVBand="0" w:oddHBand="0" w:evenHBand="0" w:firstRowFirstColumn="0" w:firstRowLastColumn="0" w:lastRowFirstColumn="0" w:lastRowLastColumn="0"/>
              <w:rPr>
                <w:rFonts w:asciiTheme="minorHAnsi" w:hAnsiTheme="minorHAnsi"/>
                <w:b/>
                <w:bCs/>
                <w:color w:val="auto"/>
                <w:kern w:val="24"/>
                <w:sz w:val="22"/>
                <w:szCs w:val="22"/>
              </w:rPr>
            </w:pPr>
          </w:p>
        </w:tc>
        <w:tc>
          <w:tcPr>
            <w:tcW w:w="1347" w:type="dxa"/>
          </w:tcPr>
          <w:p w14:paraId="6ECEB0AF"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0</w:t>
            </w:r>
          </w:p>
        </w:tc>
        <w:tc>
          <w:tcPr>
            <w:tcW w:w="1347" w:type="dxa"/>
          </w:tcPr>
          <w:p w14:paraId="0A5D1E9E"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Cs/>
                <w:color w:val="auto"/>
                <w:kern w:val="24"/>
                <w:sz w:val="22"/>
                <w:szCs w:val="22"/>
              </w:rPr>
              <w:t>4 (8)</w:t>
            </w:r>
          </w:p>
        </w:tc>
        <w:tc>
          <w:tcPr>
            <w:tcW w:w="1275" w:type="dxa"/>
          </w:tcPr>
          <w:p w14:paraId="316C3C63" w14:textId="77777777" w:rsidR="00887AAC" w:rsidRPr="00887AAC" w:rsidRDefault="00887AAC" w:rsidP="00163434">
            <w:pPr>
              <w:pStyle w:val="NormalWeb"/>
              <w:spacing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auto"/>
                <w:kern w:val="24"/>
                <w:sz w:val="22"/>
                <w:szCs w:val="22"/>
              </w:rPr>
            </w:pPr>
            <w:r w:rsidRPr="00887AAC">
              <w:rPr>
                <w:rFonts w:asciiTheme="minorHAnsi" w:hAnsiTheme="minorHAnsi"/>
                <w:b/>
                <w:bCs/>
                <w:color w:val="auto"/>
                <w:kern w:val="24"/>
                <w:sz w:val="22"/>
                <w:szCs w:val="22"/>
              </w:rPr>
              <w:t>0.048</w:t>
            </w:r>
          </w:p>
        </w:tc>
      </w:tr>
    </w:tbl>
    <w:p w14:paraId="06C9AA0F" w14:textId="77777777" w:rsidR="00887AAC" w:rsidRPr="00887AAC" w:rsidRDefault="00887AAC" w:rsidP="00887AAC"/>
    <w:p w14:paraId="018DC198" w14:textId="77777777" w:rsidR="00887AAC" w:rsidRPr="00887AAC" w:rsidRDefault="00887AAC" w:rsidP="00887AAC">
      <w:pPr>
        <w:rPr>
          <w:sz w:val="20"/>
          <w:szCs w:val="20"/>
        </w:rPr>
      </w:pPr>
      <w:r w:rsidRPr="00887AAC">
        <w:rPr>
          <w:sz w:val="20"/>
          <w:szCs w:val="20"/>
        </w:rPr>
        <w:t xml:space="preserve">*n = number of patients </w:t>
      </w:r>
      <w:bookmarkStart w:id="0" w:name="_GoBack"/>
      <w:bookmarkEnd w:id="0"/>
    </w:p>
    <w:p w14:paraId="364883EA" w14:textId="77777777" w:rsidR="00887AAC" w:rsidRPr="00887AAC" w:rsidRDefault="00887AAC" w:rsidP="00887AAC">
      <w:pPr>
        <w:rPr>
          <w:sz w:val="20"/>
          <w:szCs w:val="20"/>
        </w:rPr>
      </w:pPr>
      <w:r w:rsidRPr="00887AAC">
        <w:rPr>
          <w:sz w:val="20"/>
          <w:szCs w:val="20"/>
        </w:rPr>
        <w:t>**Both patients retreated with CQ had an adequate clinical and parasitological treatment outcome at day 28</w:t>
      </w:r>
    </w:p>
    <w:p w14:paraId="16F97B7B" w14:textId="77777777" w:rsidR="00887AAC" w:rsidRPr="00887AAC" w:rsidRDefault="00887AAC" w:rsidP="00887AAC"/>
    <w:p w14:paraId="7C02E9F5" w14:textId="77777777" w:rsidR="00887AAC" w:rsidRPr="00887AAC" w:rsidRDefault="00887AAC" w:rsidP="00887AAC"/>
    <w:p w14:paraId="16D658C3" w14:textId="77777777" w:rsidR="00887AAC" w:rsidRPr="00887AAC" w:rsidRDefault="00887AAC" w:rsidP="00887AAC"/>
    <w:p w14:paraId="3817F4F3" w14:textId="77777777" w:rsidR="00887AAC" w:rsidRPr="00887AAC" w:rsidRDefault="00887AAC" w:rsidP="00887AAC"/>
    <w:p w14:paraId="0A1CEC64" w14:textId="77777777" w:rsidR="00887AAC" w:rsidRPr="00887AAC" w:rsidRDefault="00887AAC" w:rsidP="00887AAC"/>
    <w:p w14:paraId="12A57134" w14:textId="77777777" w:rsidR="00887AAC" w:rsidRPr="00887AAC" w:rsidRDefault="00887AAC" w:rsidP="00887AAC"/>
    <w:p w14:paraId="0083D573" w14:textId="77777777" w:rsidR="00887AAC" w:rsidRPr="00887AAC" w:rsidRDefault="00887AAC" w:rsidP="005852CB">
      <w:pPr>
        <w:widowControl w:val="0"/>
        <w:autoSpaceDE w:val="0"/>
        <w:autoSpaceDN w:val="0"/>
        <w:adjustRightInd w:val="0"/>
        <w:spacing w:after="240" w:line="480" w:lineRule="auto"/>
        <w:rPr>
          <w:b/>
          <w:sz w:val="22"/>
          <w:szCs w:val="22"/>
        </w:rPr>
      </w:pPr>
    </w:p>
    <w:p w14:paraId="5218637B" w14:textId="094C384C" w:rsidR="002B2372" w:rsidRPr="00887AAC" w:rsidRDefault="002B2372" w:rsidP="005852CB">
      <w:pPr>
        <w:widowControl w:val="0"/>
        <w:autoSpaceDE w:val="0"/>
        <w:autoSpaceDN w:val="0"/>
        <w:adjustRightInd w:val="0"/>
        <w:spacing w:after="240" w:line="480" w:lineRule="auto"/>
        <w:rPr>
          <w:sz w:val="22"/>
          <w:szCs w:val="22"/>
        </w:rPr>
      </w:pPr>
      <w:r w:rsidRPr="00887AAC">
        <w:rPr>
          <w:b/>
          <w:i/>
          <w:sz w:val="22"/>
          <w:szCs w:val="22"/>
        </w:rPr>
        <w:t>References:</w:t>
      </w:r>
    </w:p>
    <w:p w14:paraId="47143ACA" w14:textId="77777777" w:rsidR="002B2372" w:rsidRPr="00887AAC" w:rsidRDefault="002B2372" w:rsidP="002B2372">
      <w:pPr>
        <w:widowControl w:val="0"/>
        <w:tabs>
          <w:tab w:val="left" w:pos="480"/>
        </w:tabs>
        <w:autoSpaceDE w:val="0"/>
        <w:autoSpaceDN w:val="0"/>
        <w:adjustRightInd w:val="0"/>
        <w:spacing w:after="240"/>
        <w:ind w:left="480" w:hanging="480"/>
        <w:rPr>
          <w:rFonts w:cs="Cambria"/>
          <w:sz w:val="22"/>
          <w:szCs w:val="22"/>
          <w:lang w:val="en-US"/>
        </w:rPr>
      </w:pPr>
      <w:r w:rsidRPr="00887AAC">
        <w:rPr>
          <w:sz w:val="22"/>
          <w:szCs w:val="22"/>
        </w:rPr>
        <w:fldChar w:fldCharType="begin"/>
      </w:r>
      <w:r w:rsidRPr="00887AAC">
        <w:rPr>
          <w:sz w:val="22"/>
          <w:szCs w:val="22"/>
        </w:rPr>
        <w:instrText xml:space="preserve"> ADDIN PAPERS2_CITATIONS &lt;papers2_bibliography/&gt;</w:instrText>
      </w:r>
      <w:r w:rsidRPr="00887AAC">
        <w:rPr>
          <w:sz w:val="22"/>
          <w:szCs w:val="22"/>
        </w:rPr>
        <w:fldChar w:fldCharType="separate"/>
      </w:r>
      <w:r w:rsidRPr="00887AAC">
        <w:rPr>
          <w:rFonts w:cs="Cambria"/>
          <w:sz w:val="22"/>
          <w:szCs w:val="22"/>
          <w:lang w:val="en-US"/>
        </w:rPr>
        <w:t>1.</w:t>
      </w:r>
      <w:r w:rsidRPr="00887AAC">
        <w:rPr>
          <w:rFonts w:cs="Cambria"/>
          <w:sz w:val="22"/>
          <w:szCs w:val="22"/>
          <w:lang w:val="en-US"/>
        </w:rPr>
        <w:tab/>
        <w:t xml:space="preserve">Padley D, Moody AH, Chiodini PL, Saldanha J. Use of a rapid, single-round, multiplex PCR to detect malarial parasites and identify the species present. Ann Trop Med Parasitol. 2003 Mar;97(2):131–7. </w:t>
      </w:r>
    </w:p>
    <w:p w14:paraId="6E2024C8" w14:textId="77777777" w:rsidR="002B2372" w:rsidRPr="00887AAC" w:rsidRDefault="002B2372" w:rsidP="002B2372">
      <w:pPr>
        <w:widowControl w:val="0"/>
        <w:tabs>
          <w:tab w:val="left" w:pos="480"/>
        </w:tabs>
        <w:autoSpaceDE w:val="0"/>
        <w:autoSpaceDN w:val="0"/>
        <w:adjustRightInd w:val="0"/>
        <w:spacing w:after="240"/>
        <w:ind w:left="480" w:hanging="480"/>
        <w:rPr>
          <w:rFonts w:cs="Cambria"/>
          <w:sz w:val="22"/>
          <w:szCs w:val="22"/>
          <w:lang w:val="en-US"/>
        </w:rPr>
      </w:pPr>
      <w:r w:rsidRPr="00887AAC">
        <w:rPr>
          <w:rFonts w:cs="Cambria"/>
          <w:sz w:val="22"/>
          <w:szCs w:val="22"/>
          <w:lang w:val="en-US"/>
        </w:rPr>
        <w:t>2.</w:t>
      </w:r>
      <w:r w:rsidRPr="00887AAC">
        <w:rPr>
          <w:rFonts w:cs="Cambria"/>
          <w:sz w:val="22"/>
          <w:szCs w:val="22"/>
          <w:lang w:val="en-US"/>
        </w:rPr>
        <w:tab/>
        <w:t xml:space="preserve">Karunaweera ND, Ferreira MU, Munasinghe A, Barnwell JW, Collins WE, King CL, et al. Extensive microsatellite diversity in the human malaria parasite Plasmodium vivax. Gene. 2008 Feb;410(1):105–12. </w:t>
      </w:r>
    </w:p>
    <w:p w14:paraId="622FFED8" w14:textId="77777777" w:rsidR="002B2372" w:rsidRPr="00887AAC" w:rsidRDefault="002B2372" w:rsidP="002B2372">
      <w:pPr>
        <w:widowControl w:val="0"/>
        <w:tabs>
          <w:tab w:val="left" w:pos="480"/>
        </w:tabs>
        <w:autoSpaceDE w:val="0"/>
        <w:autoSpaceDN w:val="0"/>
        <w:adjustRightInd w:val="0"/>
        <w:spacing w:after="240"/>
        <w:ind w:left="480" w:hanging="480"/>
        <w:rPr>
          <w:rFonts w:cs="Cambria"/>
          <w:sz w:val="22"/>
          <w:szCs w:val="22"/>
          <w:lang w:val="en-US"/>
        </w:rPr>
      </w:pPr>
      <w:r w:rsidRPr="00887AAC">
        <w:rPr>
          <w:rFonts w:cs="Cambria"/>
          <w:sz w:val="22"/>
          <w:szCs w:val="22"/>
          <w:lang w:val="en-US"/>
        </w:rPr>
        <w:t>3.</w:t>
      </w:r>
      <w:r w:rsidRPr="00887AAC">
        <w:rPr>
          <w:rFonts w:cs="Cambria"/>
          <w:sz w:val="22"/>
          <w:szCs w:val="22"/>
          <w:lang w:val="en-US"/>
        </w:rPr>
        <w:tab/>
        <w:t xml:space="preserve">Koepfli C, Müeller I, Marfurt J, Goroti M, Sie A, Oa O, et al. Evaluation of Plasmodium vivax Genotyping Markers for Molecular Monitoring in Clinical Trials. J Infect Dis. 2009 Apr;199(7):1074–80. </w:t>
      </w:r>
    </w:p>
    <w:p w14:paraId="66509DC7" w14:textId="77777777" w:rsidR="002B2372" w:rsidRPr="00887AAC" w:rsidRDefault="002B2372" w:rsidP="002B2372">
      <w:pPr>
        <w:widowControl w:val="0"/>
        <w:tabs>
          <w:tab w:val="left" w:pos="480"/>
        </w:tabs>
        <w:autoSpaceDE w:val="0"/>
        <w:autoSpaceDN w:val="0"/>
        <w:adjustRightInd w:val="0"/>
        <w:spacing w:after="240"/>
        <w:ind w:left="480" w:hanging="480"/>
        <w:rPr>
          <w:rFonts w:cs="Cambria"/>
          <w:sz w:val="22"/>
          <w:szCs w:val="22"/>
          <w:lang w:val="en-US"/>
        </w:rPr>
      </w:pPr>
      <w:r w:rsidRPr="00887AAC">
        <w:rPr>
          <w:rFonts w:cs="Cambria"/>
          <w:sz w:val="22"/>
          <w:szCs w:val="22"/>
          <w:lang w:val="en-US"/>
        </w:rPr>
        <w:t>4.</w:t>
      </w:r>
      <w:r w:rsidRPr="00887AAC">
        <w:rPr>
          <w:rFonts w:cs="Cambria"/>
          <w:sz w:val="22"/>
          <w:szCs w:val="22"/>
          <w:lang w:val="en-US"/>
        </w:rPr>
        <w:tab/>
        <w:t xml:space="preserve">Abdullah NR, Barber BE, William T, Norahmad NA, Satsu UR, Muniandy PK, et al. Plasmodium vivax Population Structure and Transmission Dynamics in Sabah Malaysia. Braga ÉM, editor. PLoS One. 2013 Dec 17;8(12):e82553. </w:t>
      </w:r>
    </w:p>
    <w:p w14:paraId="3DC1B80E" w14:textId="77777777" w:rsidR="002B2372" w:rsidRPr="00887AAC" w:rsidRDefault="002B2372" w:rsidP="002B2372">
      <w:pPr>
        <w:widowControl w:val="0"/>
        <w:tabs>
          <w:tab w:val="left" w:pos="480"/>
        </w:tabs>
        <w:autoSpaceDE w:val="0"/>
        <w:autoSpaceDN w:val="0"/>
        <w:adjustRightInd w:val="0"/>
        <w:spacing w:after="240"/>
        <w:ind w:left="480" w:hanging="480"/>
        <w:rPr>
          <w:rFonts w:cs="Cambria"/>
          <w:sz w:val="22"/>
          <w:szCs w:val="22"/>
          <w:lang w:val="en-US"/>
        </w:rPr>
      </w:pPr>
      <w:r w:rsidRPr="00887AAC">
        <w:rPr>
          <w:rFonts w:cs="Cambria"/>
          <w:sz w:val="22"/>
          <w:szCs w:val="22"/>
          <w:lang w:val="en-US"/>
        </w:rPr>
        <w:lastRenderedPageBreak/>
        <w:t>5.</w:t>
      </w:r>
      <w:r w:rsidRPr="00887AAC">
        <w:rPr>
          <w:rFonts w:cs="Cambria"/>
          <w:sz w:val="22"/>
          <w:szCs w:val="22"/>
          <w:lang w:val="en-US"/>
        </w:rPr>
        <w:tab/>
        <w:t xml:space="preserve">Gunawardena S, Karunaweera ND, Ferreira MU, Phone-Kyaw M, Pollack RJ, Alifrangis M, et al. Geographic structure of Plasmodium vivax: microsatellite analysis of parasite populations from Sri Lanka, Myanmar, and Ethiopia. Am J Trop Med Hyg. 2010 Feb;82(2):235–42. </w:t>
      </w:r>
    </w:p>
    <w:p w14:paraId="545B1C33" w14:textId="5B0C2FB8" w:rsidR="000A33ED" w:rsidRPr="00887AAC" w:rsidRDefault="002B2372" w:rsidP="005852CB">
      <w:pPr>
        <w:widowControl w:val="0"/>
        <w:autoSpaceDE w:val="0"/>
        <w:autoSpaceDN w:val="0"/>
        <w:adjustRightInd w:val="0"/>
        <w:spacing w:after="240" w:line="480" w:lineRule="auto"/>
        <w:rPr>
          <w:sz w:val="22"/>
          <w:szCs w:val="22"/>
        </w:rPr>
      </w:pPr>
      <w:r w:rsidRPr="00887AAC">
        <w:rPr>
          <w:sz w:val="22"/>
          <w:szCs w:val="22"/>
        </w:rPr>
        <w:fldChar w:fldCharType="end"/>
      </w:r>
    </w:p>
    <w:sectPr w:rsidR="000A33ED" w:rsidRPr="00887AAC" w:rsidSect="002B2372">
      <w:pgSz w:w="11900" w:h="16840"/>
      <w:pgMar w:top="1418" w:right="1418"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A00002EF" w:usb1="4000207B" w:usb2="00000000" w:usb3="00000000" w:csb0="0000009F" w:csb1="00000000"/>
  </w:font>
  <w:font w:name="Candara">
    <w:panose1 w:val="020E0502030303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3ED"/>
    <w:rsid w:val="000A33ED"/>
    <w:rsid w:val="002B2372"/>
    <w:rsid w:val="005852CB"/>
    <w:rsid w:val="00887AAC"/>
    <w:rsid w:val="00900E63"/>
    <w:rsid w:val="00944126"/>
    <w:rsid w:val="00B22EE5"/>
    <w:rsid w:val="00B864A8"/>
    <w:rsid w:val="00D408F8"/>
    <w:rsid w:val="00F5524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44CC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3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33ED"/>
    <w:rPr>
      <w:rFonts w:ascii="Lucida Grande" w:hAnsi="Lucida Grande" w:cs="Lucida Grande"/>
      <w:sz w:val="18"/>
      <w:szCs w:val="18"/>
    </w:rPr>
  </w:style>
  <w:style w:type="paragraph" w:styleId="BodyTextIndent">
    <w:name w:val="Body Text Indent"/>
    <w:basedOn w:val="Normal"/>
    <w:link w:val="BodyTextIndentChar"/>
    <w:rsid w:val="00B864A8"/>
    <w:pPr>
      <w:spacing w:before="60" w:after="60" w:line="360" w:lineRule="auto"/>
      <w:ind w:left="720"/>
      <w:jc w:val="both"/>
    </w:pPr>
    <w:rPr>
      <w:rFonts w:ascii="Times New Roman" w:eastAsia="Times New Roman" w:hAnsi="Times New Roman" w:cs="Times New Roman"/>
      <w:szCs w:val="20"/>
      <w:lang w:eastAsia="en-AU"/>
    </w:rPr>
  </w:style>
  <w:style w:type="character" w:customStyle="1" w:styleId="BodyTextIndentChar">
    <w:name w:val="Body Text Indent Char"/>
    <w:basedOn w:val="DefaultParagraphFont"/>
    <w:link w:val="BodyTextIndent"/>
    <w:rsid w:val="00B864A8"/>
    <w:rPr>
      <w:rFonts w:ascii="Times New Roman" w:eastAsia="Times New Roman" w:hAnsi="Times New Roman" w:cs="Times New Roman"/>
      <w:szCs w:val="20"/>
      <w:lang w:eastAsia="en-AU"/>
    </w:rPr>
  </w:style>
  <w:style w:type="paragraph" w:styleId="CommentText">
    <w:name w:val="annotation text"/>
    <w:basedOn w:val="Normal"/>
    <w:link w:val="CommentTextChar"/>
    <w:rsid w:val="005852CB"/>
    <w:rPr>
      <w:rFonts w:ascii="Times New Roman" w:eastAsia="Times New Roman" w:hAnsi="Times New Roman" w:cs="Times New Roman"/>
      <w:sz w:val="20"/>
      <w:lang w:val="en-US"/>
    </w:rPr>
  </w:style>
  <w:style w:type="character" w:customStyle="1" w:styleId="CommentTextChar">
    <w:name w:val="Comment Text Char"/>
    <w:basedOn w:val="DefaultParagraphFont"/>
    <w:link w:val="CommentText"/>
    <w:uiPriority w:val="99"/>
    <w:rsid w:val="005852CB"/>
    <w:rPr>
      <w:rFonts w:ascii="Times New Roman" w:eastAsia="Times New Roman" w:hAnsi="Times New Roman" w:cs="Times New Roman"/>
      <w:sz w:val="20"/>
      <w:lang w:val="en-US"/>
    </w:rPr>
  </w:style>
  <w:style w:type="character" w:styleId="CommentReference">
    <w:name w:val="annotation reference"/>
    <w:basedOn w:val="DefaultParagraphFont"/>
    <w:unhideWhenUsed/>
    <w:rsid w:val="005852CB"/>
    <w:rPr>
      <w:sz w:val="18"/>
      <w:szCs w:val="18"/>
    </w:rPr>
  </w:style>
  <w:style w:type="paragraph" w:styleId="CommentSubject">
    <w:name w:val="annotation subject"/>
    <w:basedOn w:val="CommentText"/>
    <w:next w:val="CommentText"/>
    <w:link w:val="CommentSubjectChar"/>
    <w:uiPriority w:val="99"/>
    <w:semiHidden/>
    <w:unhideWhenUsed/>
    <w:rsid w:val="005852CB"/>
    <w:rPr>
      <w:rFonts w:asciiTheme="minorHAnsi" w:eastAsiaTheme="minorEastAsia" w:hAnsiTheme="minorHAnsi" w:cstheme="minorBidi"/>
      <w:b/>
      <w:bCs/>
      <w:szCs w:val="20"/>
      <w:lang w:val="en-AU"/>
    </w:rPr>
  </w:style>
  <w:style w:type="character" w:customStyle="1" w:styleId="CommentSubjectChar">
    <w:name w:val="Comment Subject Char"/>
    <w:basedOn w:val="CommentTextChar"/>
    <w:link w:val="CommentSubject"/>
    <w:uiPriority w:val="99"/>
    <w:semiHidden/>
    <w:rsid w:val="005852CB"/>
    <w:rPr>
      <w:rFonts w:ascii="Times New Roman" w:eastAsia="Times New Roman" w:hAnsi="Times New Roman" w:cs="Times New Roman"/>
      <w:b/>
      <w:bCs/>
      <w:sz w:val="20"/>
      <w:szCs w:val="20"/>
      <w:lang w:val="en-US"/>
    </w:rPr>
  </w:style>
  <w:style w:type="character" w:styleId="Hyperlink">
    <w:name w:val="Hyperlink"/>
    <w:uiPriority w:val="99"/>
    <w:rsid w:val="005852CB"/>
    <w:rPr>
      <w:color w:val="0000FF"/>
      <w:u w:val="single"/>
    </w:rPr>
  </w:style>
  <w:style w:type="paragraph" w:customStyle="1" w:styleId="EndNoteBibliography">
    <w:name w:val="EndNote Bibliography"/>
    <w:basedOn w:val="Normal"/>
    <w:link w:val="EndNoteBibliographyChar"/>
    <w:rsid w:val="005852CB"/>
    <w:pPr>
      <w:suppressAutoHyphens/>
      <w:spacing w:after="200"/>
    </w:pPr>
    <w:rPr>
      <w:rFonts w:ascii="Calibri" w:eastAsia="Calibri" w:hAnsi="Calibri" w:cs="Times New Roman"/>
      <w:noProof/>
      <w:sz w:val="22"/>
      <w:szCs w:val="22"/>
      <w:lang w:val="en-MY" w:eastAsia="zh-CN"/>
    </w:rPr>
  </w:style>
  <w:style w:type="character" w:customStyle="1" w:styleId="EndNoteBibliographyChar">
    <w:name w:val="EndNote Bibliography Char"/>
    <w:basedOn w:val="DefaultParagraphFont"/>
    <w:link w:val="EndNoteBibliography"/>
    <w:rsid w:val="005852CB"/>
    <w:rPr>
      <w:rFonts w:ascii="Calibri" w:eastAsia="Calibri" w:hAnsi="Calibri" w:cs="Times New Roman"/>
      <w:noProof/>
      <w:sz w:val="22"/>
      <w:szCs w:val="22"/>
      <w:lang w:val="en-MY" w:eastAsia="zh-CN"/>
    </w:rPr>
  </w:style>
  <w:style w:type="paragraph" w:styleId="NormalWeb">
    <w:name w:val="Normal (Web)"/>
    <w:basedOn w:val="Normal"/>
    <w:uiPriority w:val="99"/>
    <w:rsid w:val="00887AAC"/>
    <w:pPr>
      <w:spacing w:after="150"/>
    </w:pPr>
    <w:rPr>
      <w:rFonts w:ascii="Candara" w:eastAsia="SimSun" w:hAnsi="Candara" w:cs="Times New (W1)"/>
      <w:color w:val="000000"/>
      <w:sz w:val="20"/>
      <w:szCs w:val="20"/>
      <w:lang w:val="en-US" w:eastAsia="zh-CN"/>
    </w:rPr>
  </w:style>
  <w:style w:type="table" w:styleId="LightShading">
    <w:name w:val="Light Shading"/>
    <w:basedOn w:val="TableNormal"/>
    <w:uiPriority w:val="99"/>
    <w:rsid w:val="00887AAC"/>
    <w:rPr>
      <w:rFonts w:ascii="Cambria" w:eastAsia="MS Mincho" w:hAnsi="Cambria" w:cs="Times New Roman"/>
      <w:color w:val="000000"/>
      <w:sz w:val="20"/>
      <w:szCs w:val="20"/>
      <w:lang w:eastAsia="en-A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3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33ED"/>
    <w:rPr>
      <w:rFonts w:ascii="Lucida Grande" w:hAnsi="Lucida Grande" w:cs="Lucida Grande"/>
      <w:sz w:val="18"/>
      <w:szCs w:val="18"/>
    </w:rPr>
  </w:style>
  <w:style w:type="paragraph" w:styleId="BodyTextIndent">
    <w:name w:val="Body Text Indent"/>
    <w:basedOn w:val="Normal"/>
    <w:link w:val="BodyTextIndentChar"/>
    <w:rsid w:val="00B864A8"/>
    <w:pPr>
      <w:spacing w:before="60" w:after="60" w:line="360" w:lineRule="auto"/>
      <w:ind w:left="720"/>
      <w:jc w:val="both"/>
    </w:pPr>
    <w:rPr>
      <w:rFonts w:ascii="Times New Roman" w:eastAsia="Times New Roman" w:hAnsi="Times New Roman" w:cs="Times New Roman"/>
      <w:szCs w:val="20"/>
      <w:lang w:eastAsia="en-AU"/>
    </w:rPr>
  </w:style>
  <w:style w:type="character" w:customStyle="1" w:styleId="BodyTextIndentChar">
    <w:name w:val="Body Text Indent Char"/>
    <w:basedOn w:val="DefaultParagraphFont"/>
    <w:link w:val="BodyTextIndent"/>
    <w:rsid w:val="00B864A8"/>
    <w:rPr>
      <w:rFonts w:ascii="Times New Roman" w:eastAsia="Times New Roman" w:hAnsi="Times New Roman" w:cs="Times New Roman"/>
      <w:szCs w:val="20"/>
      <w:lang w:eastAsia="en-AU"/>
    </w:rPr>
  </w:style>
  <w:style w:type="paragraph" w:styleId="CommentText">
    <w:name w:val="annotation text"/>
    <w:basedOn w:val="Normal"/>
    <w:link w:val="CommentTextChar"/>
    <w:rsid w:val="005852CB"/>
    <w:rPr>
      <w:rFonts w:ascii="Times New Roman" w:eastAsia="Times New Roman" w:hAnsi="Times New Roman" w:cs="Times New Roman"/>
      <w:sz w:val="20"/>
      <w:lang w:val="en-US"/>
    </w:rPr>
  </w:style>
  <w:style w:type="character" w:customStyle="1" w:styleId="CommentTextChar">
    <w:name w:val="Comment Text Char"/>
    <w:basedOn w:val="DefaultParagraphFont"/>
    <w:link w:val="CommentText"/>
    <w:uiPriority w:val="99"/>
    <w:rsid w:val="005852CB"/>
    <w:rPr>
      <w:rFonts w:ascii="Times New Roman" w:eastAsia="Times New Roman" w:hAnsi="Times New Roman" w:cs="Times New Roman"/>
      <w:sz w:val="20"/>
      <w:lang w:val="en-US"/>
    </w:rPr>
  </w:style>
  <w:style w:type="character" w:styleId="CommentReference">
    <w:name w:val="annotation reference"/>
    <w:basedOn w:val="DefaultParagraphFont"/>
    <w:unhideWhenUsed/>
    <w:rsid w:val="005852CB"/>
    <w:rPr>
      <w:sz w:val="18"/>
      <w:szCs w:val="18"/>
    </w:rPr>
  </w:style>
  <w:style w:type="paragraph" w:styleId="CommentSubject">
    <w:name w:val="annotation subject"/>
    <w:basedOn w:val="CommentText"/>
    <w:next w:val="CommentText"/>
    <w:link w:val="CommentSubjectChar"/>
    <w:uiPriority w:val="99"/>
    <w:semiHidden/>
    <w:unhideWhenUsed/>
    <w:rsid w:val="005852CB"/>
    <w:rPr>
      <w:rFonts w:asciiTheme="minorHAnsi" w:eastAsiaTheme="minorEastAsia" w:hAnsiTheme="minorHAnsi" w:cstheme="minorBidi"/>
      <w:b/>
      <w:bCs/>
      <w:szCs w:val="20"/>
      <w:lang w:val="en-AU"/>
    </w:rPr>
  </w:style>
  <w:style w:type="character" w:customStyle="1" w:styleId="CommentSubjectChar">
    <w:name w:val="Comment Subject Char"/>
    <w:basedOn w:val="CommentTextChar"/>
    <w:link w:val="CommentSubject"/>
    <w:uiPriority w:val="99"/>
    <w:semiHidden/>
    <w:rsid w:val="005852CB"/>
    <w:rPr>
      <w:rFonts w:ascii="Times New Roman" w:eastAsia="Times New Roman" w:hAnsi="Times New Roman" w:cs="Times New Roman"/>
      <w:b/>
      <w:bCs/>
      <w:sz w:val="20"/>
      <w:szCs w:val="20"/>
      <w:lang w:val="en-US"/>
    </w:rPr>
  </w:style>
  <w:style w:type="character" w:styleId="Hyperlink">
    <w:name w:val="Hyperlink"/>
    <w:uiPriority w:val="99"/>
    <w:rsid w:val="005852CB"/>
    <w:rPr>
      <w:color w:val="0000FF"/>
      <w:u w:val="single"/>
    </w:rPr>
  </w:style>
  <w:style w:type="paragraph" w:customStyle="1" w:styleId="EndNoteBibliography">
    <w:name w:val="EndNote Bibliography"/>
    <w:basedOn w:val="Normal"/>
    <w:link w:val="EndNoteBibliographyChar"/>
    <w:rsid w:val="005852CB"/>
    <w:pPr>
      <w:suppressAutoHyphens/>
      <w:spacing w:after="200"/>
    </w:pPr>
    <w:rPr>
      <w:rFonts w:ascii="Calibri" w:eastAsia="Calibri" w:hAnsi="Calibri" w:cs="Times New Roman"/>
      <w:noProof/>
      <w:sz w:val="22"/>
      <w:szCs w:val="22"/>
      <w:lang w:val="en-MY" w:eastAsia="zh-CN"/>
    </w:rPr>
  </w:style>
  <w:style w:type="character" w:customStyle="1" w:styleId="EndNoteBibliographyChar">
    <w:name w:val="EndNote Bibliography Char"/>
    <w:basedOn w:val="DefaultParagraphFont"/>
    <w:link w:val="EndNoteBibliography"/>
    <w:rsid w:val="005852CB"/>
    <w:rPr>
      <w:rFonts w:ascii="Calibri" w:eastAsia="Calibri" w:hAnsi="Calibri" w:cs="Times New Roman"/>
      <w:noProof/>
      <w:sz w:val="22"/>
      <w:szCs w:val="22"/>
      <w:lang w:val="en-MY" w:eastAsia="zh-CN"/>
    </w:rPr>
  </w:style>
  <w:style w:type="paragraph" w:styleId="NormalWeb">
    <w:name w:val="Normal (Web)"/>
    <w:basedOn w:val="Normal"/>
    <w:uiPriority w:val="99"/>
    <w:rsid w:val="00887AAC"/>
    <w:pPr>
      <w:spacing w:after="150"/>
    </w:pPr>
    <w:rPr>
      <w:rFonts w:ascii="Candara" w:eastAsia="SimSun" w:hAnsi="Candara" w:cs="Times New (W1)"/>
      <w:color w:val="000000"/>
      <w:sz w:val="20"/>
      <w:szCs w:val="20"/>
      <w:lang w:val="en-US" w:eastAsia="zh-CN"/>
    </w:rPr>
  </w:style>
  <w:style w:type="table" w:styleId="LightShading">
    <w:name w:val="Light Shading"/>
    <w:basedOn w:val="TableNormal"/>
    <w:uiPriority w:val="99"/>
    <w:rsid w:val="00887AAC"/>
    <w:rPr>
      <w:rFonts w:ascii="Cambria" w:eastAsia="MS Mincho" w:hAnsi="Cambria" w:cs="Times New Roman"/>
      <w:color w:val="000000"/>
      <w:sz w:val="20"/>
      <w:szCs w:val="20"/>
      <w:lang w:eastAsia="en-A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tthew.grigg@menzies.edu.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3201</Words>
  <Characters>18249</Characters>
  <Application>Microsoft Macintosh Word</Application>
  <DocSecurity>0</DocSecurity>
  <Lines>152</Lines>
  <Paragraphs>42</Paragraphs>
  <ScaleCrop>false</ScaleCrop>
  <Company/>
  <LinksUpToDate>false</LinksUpToDate>
  <CharactersWithSpaces>21408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Grigg</dc:creator>
  <cp:keywords/>
  <dc:description/>
  <cp:lastModifiedBy>Matthew Grigg</cp:lastModifiedBy>
  <cp:revision>2</cp:revision>
  <dcterms:created xsi:type="dcterms:W3CDTF">2016-02-05T17:45:00Z</dcterms:created>
  <dcterms:modified xsi:type="dcterms:W3CDTF">2016-02-05T17:45:00Z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id="http://www.zotero.org/styles/vancouver"/&gt;&lt;format class="21"/&gt;&lt;count citations="4" publications="5"/&gt;&lt;/info&gt;PAPERS2_INFO_END</vt:lpwstr>
  </property>
</Properties>
</file>