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07A" w:rsidRDefault="002C2717">
      <w:pPr>
        <w:rPr>
          <w:b/>
        </w:rPr>
      </w:pPr>
      <w:r>
        <w:rPr>
          <w:b/>
        </w:rPr>
        <w:t>Manifesting America: The Imperial Construction of US National Space</w:t>
      </w:r>
    </w:p>
    <w:p w:rsidR="002C2717" w:rsidRDefault="002C2717">
      <w:r>
        <w:t>MARK RIFKIN</w:t>
      </w:r>
    </w:p>
    <w:p w:rsidR="002C2717" w:rsidRDefault="002C2717">
      <w:r>
        <w:t>New York: Oxford University Press, 2009</w:t>
      </w:r>
    </w:p>
    <w:p w:rsidR="002C2717" w:rsidRDefault="002C2717">
      <w:proofErr w:type="gramStart"/>
      <w:r>
        <w:t>Pp.288, $65 (</w:t>
      </w:r>
      <w:proofErr w:type="spellStart"/>
      <w:r>
        <w:t>hbk</w:t>
      </w:r>
      <w:proofErr w:type="spellEnd"/>
      <w:r>
        <w:t>), ISBN 978 0 19 538717 9.</w:t>
      </w:r>
      <w:proofErr w:type="gramEnd"/>
    </w:p>
    <w:p w:rsidR="002C2717" w:rsidRDefault="002C2717"/>
    <w:p w:rsidR="0043718E" w:rsidRDefault="00A1543C">
      <w:r>
        <w:t xml:space="preserve">In 1831 </w:t>
      </w:r>
      <w:r>
        <w:rPr>
          <w:i/>
        </w:rPr>
        <w:t xml:space="preserve">Cherokee Nation v. Georgia </w:t>
      </w:r>
      <w:r>
        <w:t xml:space="preserve">famously designated </w:t>
      </w:r>
      <w:r w:rsidR="00EE7B67">
        <w:t>American Indian</w:t>
      </w:r>
      <w:r>
        <w:t xml:space="preserve"> communities as “domestic dependent nations,” unilaterally internalizing native populations within U.S. territorial and legal geography (p.48). The institutional dynamics of the imperial creation of American nationhood and native people’s </w:t>
      </w:r>
      <w:r w:rsidR="00EF2102">
        <w:t>opposition to</w:t>
      </w:r>
      <w:r>
        <w:t xml:space="preserve"> </w:t>
      </w:r>
      <w:r w:rsidR="00C1726D">
        <w:t xml:space="preserve">their internalization within the nation </w:t>
      </w:r>
      <w:r>
        <w:t xml:space="preserve">are the focus of Mark Rifkin’s </w:t>
      </w:r>
      <w:r>
        <w:rPr>
          <w:i/>
        </w:rPr>
        <w:t xml:space="preserve">Manifesting America. </w:t>
      </w:r>
      <w:r w:rsidR="005A5387">
        <w:t xml:space="preserve">Using </w:t>
      </w:r>
      <w:r w:rsidR="00EF2102">
        <w:t>the</w:t>
      </w:r>
      <w:r w:rsidR="005A5387">
        <w:t xml:space="preserve"> </w:t>
      </w:r>
      <w:r w:rsidR="00EF2102">
        <w:t>non</w:t>
      </w:r>
      <w:r w:rsidR="005A5387">
        <w:t xml:space="preserve">fictional texts </w:t>
      </w:r>
      <w:r w:rsidR="00EF2102">
        <w:t>of these communities</w:t>
      </w:r>
      <w:r w:rsidR="007856DC">
        <w:t>,</w:t>
      </w:r>
      <w:r w:rsidR="00EF2102">
        <w:t xml:space="preserve"> </w:t>
      </w:r>
      <w:r w:rsidR="002F008B">
        <w:t>and drawing deeply from subaltern studies</w:t>
      </w:r>
      <w:r w:rsidR="007856DC">
        <w:t>,</w:t>
      </w:r>
      <w:r w:rsidR="002F008B">
        <w:t xml:space="preserve"> </w:t>
      </w:r>
      <w:r>
        <w:t xml:space="preserve">the author </w:t>
      </w:r>
      <w:r w:rsidR="000E7C39">
        <w:t xml:space="preserve">lucidly </w:t>
      </w:r>
      <w:r w:rsidR="00964D79">
        <w:t xml:space="preserve">moves both </w:t>
      </w:r>
      <w:r w:rsidR="00B63BE4">
        <w:t>temporally</w:t>
      </w:r>
      <w:r w:rsidR="00964D79">
        <w:t xml:space="preserve"> and geographically </w:t>
      </w:r>
      <w:r w:rsidR="00EF2102">
        <w:t>across</w:t>
      </w:r>
      <w:r w:rsidR="00964D79">
        <w:t xml:space="preserve"> the </w:t>
      </w:r>
      <w:r w:rsidR="00B63BE4">
        <w:t>arc</w:t>
      </w:r>
      <w:r w:rsidR="00964D79">
        <w:t xml:space="preserve"> of the United States’ mid-ninet</w:t>
      </w:r>
      <w:r w:rsidR="005A5387">
        <w:t xml:space="preserve">eenth century imperial project, charting the appropriation of </w:t>
      </w:r>
      <w:r w:rsidR="005C5FBE">
        <w:t>native nations and territories into an imperial geography of U</w:t>
      </w:r>
      <w:r>
        <w:t>.</w:t>
      </w:r>
      <w:r w:rsidR="005C5FBE">
        <w:t>S</w:t>
      </w:r>
      <w:r>
        <w:t>.</w:t>
      </w:r>
      <w:r w:rsidR="005C5FBE">
        <w:t xml:space="preserve"> domestic space.</w:t>
      </w:r>
    </w:p>
    <w:p w:rsidR="0043718E" w:rsidRDefault="00B63BE4">
      <w:r>
        <w:tab/>
      </w:r>
      <w:r w:rsidR="005C5FBE">
        <w:t xml:space="preserve">Four case-study chapters guide the reader to regionally sited flash-points of </w:t>
      </w:r>
      <w:r w:rsidR="007D6D8F">
        <w:t>the United States’ imperial “confrontation with existing polities and regional networks and the various ways Indians and Mexican Americans narrated that multifaceted struggle” (p.35).</w:t>
      </w:r>
      <w:r w:rsidR="005C5FBE">
        <w:t xml:space="preserve"> </w:t>
      </w:r>
      <w:r w:rsidR="00D35704">
        <w:t xml:space="preserve">In each of these regions Rifkin charts U.S. attempts to superimpose its “territorial imaginary” over its antebellum imperial acquisitions (p.195). This “imaginary” is used throughout as </w:t>
      </w:r>
      <w:proofErr w:type="gramStart"/>
      <w:r w:rsidR="00D35704">
        <w:t>a shorthand</w:t>
      </w:r>
      <w:proofErr w:type="gramEnd"/>
      <w:r w:rsidR="00D35704">
        <w:t xml:space="preserve"> for the “United States’ unilateral assertion of control” over native peoples and their imagined acquiescence to the federal government’s definition of nationhood (p.14). </w:t>
      </w:r>
      <w:r w:rsidR="005F4F74">
        <w:t>If this at times lacks the clarity of a single-people study</w:t>
      </w:r>
      <w:r w:rsidR="00CD6D7D">
        <w:t xml:space="preserve"> it is compensated </w:t>
      </w:r>
      <w:r w:rsidR="00EE7B67">
        <w:t xml:space="preserve">for </w:t>
      </w:r>
      <w:r w:rsidR="00CD6D7D">
        <w:t xml:space="preserve">by the much needed addition of a comparative </w:t>
      </w:r>
      <w:r w:rsidR="00EE7B67">
        <w:t xml:space="preserve">framework </w:t>
      </w:r>
      <w:r w:rsidR="00CD6D7D">
        <w:t>often lacking in synthetic accounts of mid-nineteenth century U</w:t>
      </w:r>
      <w:r w:rsidR="00EE7B67">
        <w:t>.</w:t>
      </w:r>
      <w:r w:rsidR="00CD6D7D">
        <w:t>S</w:t>
      </w:r>
      <w:r w:rsidR="00EE7B67">
        <w:t>.</w:t>
      </w:r>
      <w:r w:rsidR="00CD6D7D">
        <w:t xml:space="preserve"> imperialism. </w:t>
      </w:r>
      <w:r>
        <w:t xml:space="preserve">The </w:t>
      </w:r>
      <w:r w:rsidR="00CD6D7D">
        <w:t>geographic mobility</w:t>
      </w:r>
      <w:r>
        <w:t xml:space="preserve"> of Rifkin’s analysis of native articulations of alternative territorialities, jurisdictions, and identities is the most compelling aspect of </w:t>
      </w:r>
      <w:r>
        <w:rPr>
          <w:i/>
        </w:rPr>
        <w:t>Manifesting America</w:t>
      </w:r>
      <w:r>
        <w:t xml:space="preserve"> and offers significant insights into the </w:t>
      </w:r>
      <w:r w:rsidR="00CD6D7D">
        <w:t xml:space="preserve">regional </w:t>
      </w:r>
      <w:r>
        <w:t xml:space="preserve">mechanics of the United States’ “cartography of national identity” (p.9). </w:t>
      </w:r>
    </w:p>
    <w:p w:rsidR="005F4F74" w:rsidRPr="00E311BD" w:rsidRDefault="005F4F74" w:rsidP="005F4F74">
      <w:r>
        <w:tab/>
        <w:t xml:space="preserve">The first two chapters are </w:t>
      </w:r>
      <w:r w:rsidR="00EF2102">
        <w:t>set</w:t>
      </w:r>
      <w:r w:rsidR="00D35704">
        <w:t xml:space="preserve"> east of the Mississippi. </w:t>
      </w:r>
      <w:r w:rsidR="00C1726D">
        <w:t xml:space="preserve">Using the concept of self-determination as the counter to </w:t>
      </w:r>
      <w:r w:rsidR="00D35704">
        <w:t>the United States’</w:t>
      </w:r>
      <w:r w:rsidR="00C1726D">
        <w:t xml:space="preserve"> imaginary</w:t>
      </w:r>
      <w:r w:rsidR="00C02C48">
        <w:t xml:space="preserve">, </w:t>
      </w:r>
      <w:r>
        <w:t xml:space="preserve">Rifkin thoughtfully re-interprets Cherokee collectivity and the </w:t>
      </w:r>
      <w:r w:rsidR="00EE7B67">
        <w:t>class differences</w:t>
      </w:r>
      <w:r>
        <w:t xml:space="preserve"> in </w:t>
      </w:r>
      <w:r w:rsidR="00EE7B67">
        <w:t xml:space="preserve">Cherokee </w:t>
      </w:r>
      <w:r>
        <w:t xml:space="preserve">society through </w:t>
      </w:r>
      <w:r w:rsidR="00EE7B67">
        <w:t>close textual analysis</w:t>
      </w:r>
      <w:r>
        <w:t xml:space="preserve"> of its Cons</w:t>
      </w:r>
      <w:r w:rsidR="00EF2102">
        <w:t>titution and official documents</w:t>
      </w:r>
      <w:r w:rsidR="00C1726D">
        <w:t>.</w:t>
      </w:r>
      <w:r w:rsidR="00C02C48">
        <w:t xml:space="preserve"> </w:t>
      </w:r>
      <w:r w:rsidR="00C1726D">
        <w:t xml:space="preserve">He also examines the </w:t>
      </w:r>
      <w:r>
        <w:t xml:space="preserve">dynamism of the Great Lakes Sauk and Ho-Chunk social relations, using Black Hawk’s </w:t>
      </w:r>
      <w:r>
        <w:rPr>
          <w:i/>
        </w:rPr>
        <w:t xml:space="preserve">Life </w:t>
      </w:r>
      <w:r>
        <w:t xml:space="preserve">(1833) </w:t>
      </w:r>
      <w:r w:rsidR="00EF2102">
        <w:t>to provide</w:t>
      </w:r>
      <w:r>
        <w:t xml:space="preserve"> an alternative to the tribal-boundaries instituted through the imposition of the U</w:t>
      </w:r>
      <w:r w:rsidR="00EE7B67">
        <w:t>.</w:t>
      </w:r>
      <w:r>
        <w:t>S</w:t>
      </w:r>
      <w:r w:rsidR="00EE7B67">
        <w:t>.</w:t>
      </w:r>
      <w:r>
        <w:t xml:space="preserve"> treaty system. The final chapters move westward, establishing a comparative </w:t>
      </w:r>
      <w:r w:rsidR="00EE7B67">
        <w:t>framework</w:t>
      </w:r>
      <w:r>
        <w:t xml:space="preserve"> emphasising the displacement of native occupancy familiar in the east with </w:t>
      </w:r>
      <w:r w:rsidR="00EE7B67">
        <w:t>those</w:t>
      </w:r>
      <w:r>
        <w:t xml:space="preserve"> presaging the reservation system’s denial of any inherent native rights. The problem of governance in Texas and California depended upon federal and state law </w:t>
      </w:r>
      <w:proofErr w:type="spellStart"/>
      <w:r>
        <w:t>Indianizing</w:t>
      </w:r>
      <w:proofErr w:type="spellEnd"/>
      <w:r>
        <w:t xml:space="preserve"> Mexicans and </w:t>
      </w:r>
      <w:proofErr w:type="spellStart"/>
      <w:r>
        <w:t>Mexicanizing</w:t>
      </w:r>
      <w:proofErr w:type="spellEnd"/>
      <w:r>
        <w:t xml:space="preserve"> Indians, based on pre-war imperial hierarchies that were later turned against </w:t>
      </w:r>
      <w:r w:rsidR="00EF2102">
        <w:t xml:space="preserve">the state </w:t>
      </w:r>
      <w:r>
        <w:t xml:space="preserve">in </w:t>
      </w:r>
      <w:r w:rsidR="00EF2102">
        <w:t xml:space="preserve">literary </w:t>
      </w:r>
      <w:r>
        <w:t>forms of popular insurgency.</w:t>
      </w:r>
    </w:p>
    <w:p w:rsidR="000A6F2E" w:rsidRPr="000A6F2E" w:rsidRDefault="00BB06C6" w:rsidP="006E34A0">
      <w:pPr>
        <w:ind w:firstLine="720"/>
      </w:pPr>
      <w:r>
        <w:rPr>
          <w:i/>
        </w:rPr>
        <w:t xml:space="preserve">Manifesting </w:t>
      </w:r>
      <w:r w:rsidRPr="005F4F74">
        <w:rPr>
          <w:i/>
        </w:rPr>
        <w:t>America</w:t>
      </w:r>
      <w:r>
        <w:t xml:space="preserve"> is as concerned with cultural identity politics as </w:t>
      </w:r>
      <w:r w:rsidR="00EF2102">
        <w:t xml:space="preserve">it is with </w:t>
      </w:r>
      <w:r>
        <w:t xml:space="preserve">territorial boundaries. Sensitive to the continuities and disjunctions in American colonial policy </w:t>
      </w:r>
      <w:r w:rsidR="00EF2102">
        <w:t>and its predecessors</w:t>
      </w:r>
      <w:r>
        <w:t xml:space="preserve">, the author makes a powerful case for </w:t>
      </w:r>
      <w:r w:rsidR="00A1543C">
        <w:t>“nationalism’s enmeshment in the structures of imperial policy” (p.38)</w:t>
      </w:r>
      <w:r>
        <w:t xml:space="preserve">. </w:t>
      </w:r>
      <w:r w:rsidR="00055871">
        <w:t>P</w:t>
      </w:r>
      <w:r w:rsidR="00471B89">
        <w:t>ost</w:t>
      </w:r>
      <w:r w:rsidR="001958B7">
        <w:t>-</w:t>
      </w:r>
      <w:r w:rsidR="00471B89">
        <w:t>annexation</w:t>
      </w:r>
      <w:r w:rsidR="00055871">
        <w:t xml:space="preserve"> policies in Texas, for instance, were “organized around the recirculation of a metaphorics of barbarism mobilized against </w:t>
      </w:r>
      <w:r w:rsidR="00055871">
        <w:lastRenderedPageBreak/>
        <w:t>natives and non-natives alike” (p.113</w:t>
      </w:r>
      <w:r w:rsidR="001958B7">
        <w:t xml:space="preserve">). Membership in this new regime was contingent on racial status. </w:t>
      </w:r>
      <w:r w:rsidR="00A162F7">
        <w:t>Anglo</w:t>
      </w:r>
      <w:r w:rsidR="00EE7B67">
        <w:t>’s</w:t>
      </w:r>
      <w:r w:rsidR="00A162F7">
        <w:t xml:space="preserve"> use of Tejano</w:t>
      </w:r>
      <w:r>
        <w:t xml:space="preserve"> and </w:t>
      </w:r>
      <w:r w:rsidR="00055871">
        <w:t>Comanche</w:t>
      </w:r>
      <w:r>
        <w:t xml:space="preserve"> </w:t>
      </w:r>
      <w:r w:rsidR="00EE7B67">
        <w:t xml:space="preserve">as legal and cultural stereotypes </w:t>
      </w:r>
      <w:r w:rsidR="001958B7">
        <w:t>functioned as a “vehicle of racialization</w:t>
      </w:r>
      <w:r w:rsidR="00857085">
        <w:t>”</w:t>
      </w:r>
      <w:r w:rsidR="001958B7">
        <w:t xml:space="preserve"> </w:t>
      </w:r>
      <w:r w:rsidR="00857085">
        <w:t xml:space="preserve">(p.109) </w:t>
      </w:r>
      <w:r w:rsidR="000A6F2E">
        <w:t xml:space="preserve">in which </w:t>
      </w:r>
      <w:r w:rsidR="00055871">
        <w:t xml:space="preserve">pre-annexation nomadic </w:t>
      </w:r>
      <w:r w:rsidR="000A6F2E">
        <w:t xml:space="preserve">land use was </w:t>
      </w:r>
      <w:r w:rsidR="00857085">
        <w:t xml:space="preserve">analogized as “placelessness” and </w:t>
      </w:r>
      <w:r w:rsidR="00055871">
        <w:t xml:space="preserve">therefore </w:t>
      </w:r>
      <w:r w:rsidR="00857085">
        <w:t>barbar</w:t>
      </w:r>
      <w:r w:rsidR="00EF2102">
        <w:t xml:space="preserve">ous </w:t>
      </w:r>
      <w:r w:rsidR="00857085">
        <w:t>(p.128)</w:t>
      </w:r>
      <w:r w:rsidR="000A6F2E">
        <w:t xml:space="preserve">. The </w:t>
      </w:r>
      <w:r w:rsidR="000A6F2E">
        <w:rPr>
          <w:i/>
        </w:rPr>
        <w:t>Memoirs of Juan N. Segu</w:t>
      </w:r>
      <w:r w:rsidR="000A6F2E">
        <w:rPr>
          <w:rFonts w:cs="Times New Roman"/>
          <w:i/>
        </w:rPr>
        <w:t>í</w:t>
      </w:r>
      <w:r w:rsidR="000A6F2E">
        <w:rPr>
          <w:i/>
        </w:rPr>
        <w:t>n</w:t>
      </w:r>
      <w:r w:rsidR="000A6F2E">
        <w:t xml:space="preserve"> (1858) serves as the lens through which to view the defence of pre-Anglo spatiality and assertion of claims to citizenship. </w:t>
      </w:r>
      <w:r w:rsidR="00857085">
        <w:t>Yet, as Rifkin reveals, Segu</w:t>
      </w:r>
      <w:r w:rsidR="00857085" w:rsidRPr="00857085">
        <w:rPr>
          <w:rFonts w:cs="Times New Roman"/>
        </w:rPr>
        <w:t>í</w:t>
      </w:r>
      <w:r w:rsidR="00857085">
        <w:rPr>
          <w:rFonts w:cs="Times New Roman"/>
        </w:rPr>
        <w:t xml:space="preserve">n’s resistance to </w:t>
      </w:r>
      <w:r w:rsidR="00AF1760">
        <w:rPr>
          <w:rFonts w:cs="Times New Roman"/>
        </w:rPr>
        <w:t>imperialism</w:t>
      </w:r>
      <w:r w:rsidR="00857085">
        <w:rPr>
          <w:rFonts w:cs="Times New Roman"/>
        </w:rPr>
        <w:t xml:space="preserve"> cannot escape the narrative forms established by the empire itself. Identification with his readers demands that Segu</w:t>
      </w:r>
      <w:r w:rsidR="00857085" w:rsidRPr="00857085">
        <w:rPr>
          <w:rFonts w:cs="Times New Roman"/>
        </w:rPr>
        <w:t>í</w:t>
      </w:r>
      <w:r w:rsidR="00857085">
        <w:rPr>
          <w:rFonts w:cs="Times New Roman"/>
        </w:rPr>
        <w:t>n deploy a strategy of “Commanche-izing” those he op</w:t>
      </w:r>
      <w:r w:rsidR="006E5506">
        <w:rPr>
          <w:rFonts w:cs="Times New Roman"/>
        </w:rPr>
        <w:t xml:space="preserve">poses, </w:t>
      </w:r>
      <w:r w:rsidR="00EF2102">
        <w:rPr>
          <w:rFonts w:cs="Times New Roman"/>
        </w:rPr>
        <w:t>in this case, the</w:t>
      </w:r>
      <w:r w:rsidR="006E5506">
        <w:rPr>
          <w:rFonts w:cs="Times New Roman"/>
        </w:rPr>
        <w:t xml:space="preserve"> expansionist tendencies of the </w:t>
      </w:r>
      <w:r w:rsidR="007856DC">
        <w:rPr>
          <w:rFonts w:cs="Times New Roman"/>
        </w:rPr>
        <w:t xml:space="preserve">United States are turned against American settlers and attacked </w:t>
      </w:r>
      <w:r w:rsidR="006E5506">
        <w:rPr>
          <w:rFonts w:cs="Times New Roman"/>
        </w:rPr>
        <w:t xml:space="preserve">as a form of placelessness </w:t>
      </w:r>
      <w:r w:rsidR="00956BE6">
        <w:rPr>
          <w:rFonts w:cs="Times New Roman"/>
        </w:rPr>
        <w:t>(p.142)</w:t>
      </w:r>
      <w:r w:rsidR="006E5506">
        <w:rPr>
          <w:rFonts w:cs="Times New Roman"/>
        </w:rPr>
        <w:t>.</w:t>
      </w:r>
    </w:p>
    <w:p w:rsidR="00930F5D" w:rsidRPr="00930F5D" w:rsidRDefault="006E5506" w:rsidP="00930F5D">
      <w:pPr>
        <w:ind w:firstLine="720"/>
        <w:rPr>
          <w:rFonts w:ascii="Verdana" w:hAnsi="Verdana"/>
          <w:color w:val="000000"/>
          <w:sz w:val="13"/>
          <w:szCs w:val="13"/>
        </w:rPr>
      </w:pPr>
      <w:r>
        <w:t xml:space="preserve">Acceptance of the totalizing language of American imperialism by native groups as a strategy of resistance threatens the very meanings of that resistance throughout </w:t>
      </w:r>
      <w:r>
        <w:rPr>
          <w:i/>
        </w:rPr>
        <w:t>Manifesting America.</w:t>
      </w:r>
      <w:r>
        <w:t xml:space="preserve"> The language employed in Cherokee histories, memorials, and constitutional documents tied “collective self-representation to a particular mapping of US national space” (p.53); </w:t>
      </w:r>
      <w:r w:rsidR="00B921E1">
        <w:t xml:space="preserve">Blackhawks </w:t>
      </w:r>
      <w:r w:rsidR="00B921E1">
        <w:rPr>
          <w:i/>
        </w:rPr>
        <w:t>Life</w:t>
      </w:r>
      <w:r w:rsidR="00B921E1">
        <w:t xml:space="preserve"> </w:t>
      </w:r>
      <w:r w:rsidR="00470E85">
        <w:t xml:space="preserve">both inhabits and challenges </w:t>
      </w:r>
      <w:r w:rsidR="00B921E1">
        <w:t xml:space="preserve">US modes of representation; and </w:t>
      </w:r>
      <w:r w:rsidR="00930F5D">
        <w:t xml:space="preserve">in </w:t>
      </w:r>
      <w:r w:rsidR="00B921E1">
        <w:t>Mar</w:t>
      </w:r>
      <w:r w:rsidR="00B921E1" w:rsidRPr="00B921E1">
        <w:rPr>
          <w:rFonts w:cs="Times New Roman"/>
        </w:rPr>
        <w:t>í</w:t>
      </w:r>
      <w:r w:rsidR="00B921E1">
        <w:rPr>
          <w:rFonts w:cs="Times New Roman"/>
        </w:rPr>
        <w:t xml:space="preserve">a Osio’s </w:t>
      </w:r>
      <w:r w:rsidR="00B921E1">
        <w:rPr>
          <w:rFonts w:cs="Times New Roman"/>
          <w:i/>
        </w:rPr>
        <w:t xml:space="preserve">History of Alta California </w:t>
      </w:r>
      <w:r w:rsidR="00930F5D">
        <w:rPr>
          <w:rFonts w:cs="Times New Roman"/>
        </w:rPr>
        <w:t xml:space="preserve">(1851) the validity of Californio </w:t>
      </w:r>
      <w:proofErr w:type="spellStart"/>
      <w:r w:rsidR="00930F5D">
        <w:rPr>
          <w:rFonts w:cs="Times New Roman"/>
        </w:rPr>
        <w:t>indigeneity</w:t>
      </w:r>
      <w:proofErr w:type="spellEnd"/>
      <w:r w:rsidR="00930F5D">
        <w:rPr>
          <w:rFonts w:cs="Times New Roman"/>
        </w:rPr>
        <w:t xml:space="preserve"> “requires disowning native governance” (p.172). The </w:t>
      </w:r>
      <w:r w:rsidR="00243349">
        <w:rPr>
          <w:rFonts w:cs="Times New Roman"/>
        </w:rPr>
        <w:t xml:space="preserve">futile </w:t>
      </w:r>
      <w:r w:rsidR="00930F5D">
        <w:rPr>
          <w:rFonts w:cs="Times New Roman"/>
        </w:rPr>
        <w:t xml:space="preserve">effort </w:t>
      </w:r>
      <w:r w:rsidR="00930F5D" w:rsidRPr="00930F5D">
        <w:rPr>
          <w:rStyle w:val="apple-style-span"/>
          <w:rFonts w:cs="Times New Roman"/>
          <w:color w:val="000000"/>
          <w:szCs w:val="13"/>
        </w:rPr>
        <w:t>“to make alternative socio-political formations intelligible within U.S. legal norms while contesting the authority arrogated by the United States”</w:t>
      </w:r>
      <w:r w:rsidR="00930F5D">
        <w:rPr>
          <w:rStyle w:val="apple-style-span"/>
          <w:rFonts w:cs="Times New Roman"/>
          <w:color w:val="000000"/>
          <w:szCs w:val="13"/>
        </w:rPr>
        <w:t xml:space="preserve"> (p.195)</w:t>
      </w:r>
      <w:r w:rsidR="00243349">
        <w:rPr>
          <w:rStyle w:val="apple-style-span"/>
          <w:rFonts w:cs="Times New Roman"/>
          <w:color w:val="000000"/>
          <w:szCs w:val="13"/>
        </w:rPr>
        <w:t xml:space="preserve"> is the thrust of Rifkin’s argument, established from the outset as a dialectic of “impossibility” and “acquiescence” (p.5).</w:t>
      </w:r>
      <w:r w:rsidR="00471B89" w:rsidRPr="00471B89">
        <w:t xml:space="preserve"> </w:t>
      </w:r>
    </w:p>
    <w:p w:rsidR="002C2717" w:rsidRPr="00EF5666" w:rsidRDefault="00964D79">
      <w:r>
        <w:tab/>
      </w:r>
      <w:r w:rsidR="00CC75F3">
        <w:t>T</w:t>
      </w:r>
      <w:r w:rsidR="002E2FFD">
        <w:t>he author</w:t>
      </w:r>
      <w:r>
        <w:t>’s</w:t>
      </w:r>
      <w:r w:rsidR="001E54D1">
        <w:t xml:space="preserve"> concentration on the United Sta</w:t>
      </w:r>
      <w:r w:rsidR="00243349">
        <w:t xml:space="preserve">tes’ </w:t>
      </w:r>
      <w:r w:rsidR="00A51943">
        <w:t>territorial</w:t>
      </w:r>
      <w:r w:rsidR="00243349">
        <w:t xml:space="preserve"> imagining as always-already</w:t>
      </w:r>
      <w:r w:rsidR="001E54D1">
        <w:t xml:space="preserve"> </w:t>
      </w:r>
      <w:r w:rsidR="003F4B4B">
        <w:t xml:space="preserve">poised to subsume </w:t>
      </w:r>
      <w:r>
        <w:t>the alternative territoriality of native peoples</w:t>
      </w:r>
      <w:r w:rsidR="006D5A5F">
        <w:t>, however,</w:t>
      </w:r>
      <w:r>
        <w:t xml:space="preserve"> </w:t>
      </w:r>
      <w:r w:rsidR="002E2FFD">
        <w:t>comes</w:t>
      </w:r>
      <w:r>
        <w:t xml:space="preserve"> perilously close to </w:t>
      </w:r>
      <w:r w:rsidR="002E2FFD">
        <w:t xml:space="preserve">the depiction of </w:t>
      </w:r>
      <w:r>
        <w:t xml:space="preserve">an </w:t>
      </w:r>
      <w:r w:rsidR="002E2FFD">
        <w:t xml:space="preserve">imperial </w:t>
      </w:r>
      <w:r w:rsidR="00ED5B6B">
        <w:t>“</w:t>
      </w:r>
      <w:r>
        <w:t>official mind</w:t>
      </w:r>
      <w:r w:rsidR="00ED5B6B">
        <w:t>”</w:t>
      </w:r>
      <w:r>
        <w:t xml:space="preserve">. The role of contingency is often </w:t>
      </w:r>
      <w:r w:rsidR="00B63BE4">
        <w:t>hard to determine</w:t>
      </w:r>
      <w:r w:rsidR="006D39FE">
        <w:t xml:space="preserve">, as </w:t>
      </w:r>
      <w:r w:rsidR="00E42382">
        <w:t xml:space="preserve">dynamic settler movements and the aggressive, often reactive, state activity in territorial borderlands </w:t>
      </w:r>
      <w:r w:rsidR="00470E85">
        <w:t>are</w:t>
      </w:r>
      <w:r w:rsidR="00E42382">
        <w:t xml:space="preserve"> subordinated to the subjective imagining of US domestic space.</w:t>
      </w:r>
      <w:r w:rsidR="00243349">
        <w:t xml:space="preserve"> </w:t>
      </w:r>
      <w:r w:rsidR="00ED5B6B">
        <w:t xml:space="preserve">The consolidation of U.S. territory was far from a </w:t>
      </w:r>
      <w:r w:rsidR="00ED5B6B">
        <w:rPr>
          <w:i/>
        </w:rPr>
        <w:t>fait accompli</w:t>
      </w:r>
      <w:r w:rsidR="0017501C">
        <w:t>, and Rifkin does not make that case</w:t>
      </w:r>
      <w:r w:rsidR="00ED5B6B">
        <w:t xml:space="preserve">. </w:t>
      </w:r>
      <w:r w:rsidR="002B6A24">
        <w:t>Yet, l</w:t>
      </w:r>
      <w:r w:rsidR="00EF5666">
        <w:t>ittle room is left for t</w:t>
      </w:r>
      <w:r w:rsidR="00ED5B6B">
        <w:t>he matrix of open-ended borderlands of exchange, accu</w:t>
      </w:r>
      <w:r w:rsidR="00EF5666">
        <w:t>lturation, and extreme violence</w:t>
      </w:r>
      <w:r w:rsidR="00471B89">
        <w:t>,</w:t>
      </w:r>
      <w:r w:rsidR="00EF5666">
        <w:t xml:space="preserve"> </w:t>
      </w:r>
      <w:r w:rsidR="00471B89">
        <w:t xml:space="preserve">evident, for instance, in works such as </w:t>
      </w:r>
      <w:r w:rsidR="005F4F74" w:rsidRPr="005F4F74">
        <w:rPr>
          <w:rStyle w:val="apple-style-span"/>
          <w:rFonts w:cs="Times New Roman"/>
          <w:szCs w:val="14"/>
        </w:rPr>
        <w:t xml:space="preserve">Andrés Reséndez’s </w:t>
      </w:r>
      <w:r w:rsidR="005F4F74">
        <w:rPr>
          <w:i/>
        </w:rPr>
        <w:t>Changing National Identities at the Frontier</w:t>
      </w:r>
      <w:r w:rsidR="00471B89">
        <w:rPr>
          <w:i/>
        </w:rPr>
        <w:t xml:space="preserve"> </w:t>
      </w:r>
      <w:r w:rsidR="005F4F74">
        <w:t>(2004</w:t>
      </w:r>
      <w:r w:rsidR="00471B89">
        <w:t xml:space="preserve">), </w:t>
      </w:r>
      <w:r w:rsidR="00EF5666">
        <w:t>in the abstraction of a territorial imaginary.</w:t>
      </w:r>
      <w:r w:rsidR="006D5A5F">
        <w:t xml:space="preserve"> </w:t>
      </w:r>
      <w:r w:rsidR="00F22B3F">
        <w:t xml:space="preserve">The apparent rigidity of this </w:t>
      </w:r>
      <w:r w:rsidR="008611A5">
        <w:t xml:space="preserve">Federal </w:t>
      </w:r>
      <w:r w:rsidR="00F22B3F">
        <w:t>imagining</w:t>
      </w:r>
      <w:r w:rsidR="008611A5">
        <w:t xml:space="preserve"> leaves questions unanswered: how was this vision modified by interaction between colonial agents and natives on the frontier? How did opponents of Indian Removal challenge the imperial construction of domestic space, on the one hand, and react to the alternative mappings of native populations, on the other?</w:t>
      </w:r>
      <w:r w:rsidR="00F22B3F">
        <w:t xml:space="preserve"> </w:t>
      </w:r>
    </w:p>
    <w:p w:rsidR="002C2717" w:rsidRPr="006D5A5F" w:rsidRDefault="006D5A5F">
      <w:pPr>
        <w:rPr>
          <w:u w:val="single"/>
        </w:rPr>
      </w:pPr>
      <w:r>
        <w:tab/>
      </w:r>
      <w:r w:rsidR="008611A5" w:rsidRPr="00F22B3F">
        <w:t>This</w:t>
      </w:r>
      <w:r w:rsidR="008611A5">
        <w:rPr>
          <w:i/>
        </w:rPr>
        <w:t xml:space="preserve"> </w:t>
      </w:r>
      <w:r w:rsidR="008611A5">
        <w:t xml:space="preserve">is a </w:t>
      </w:r>
      <w:r w:rsidR="003D5C5B">
        <w:t>closely</w:t>
      </w:r>
      <w:r w:rsidR="008611A5">
        <w:t xml:space="preserve"> argued monograph that will appeal to specialists</w:t>
      </w:r>
      <w:r w:rsidR="002F008B">
        <w:t xml:space="preserve"> across multiple disciplines for its portrayal of the entwined experiences of Chicanos and Native Americans with United States imperialism. </w:t>
      </w:r>
      <w:r w:rsidR="002F008B">
        <w:rPr>
          <w:i/>
        </w:rPr>
        <w:t xml:space="preserve">Manifesting </w:t>
      </w:r>
      <w:r>
        <w:rPr>
          <w:i/>
        </w:rPr>
        <w:t>America</w:t>
      </w:r>
      <w:r w:rsidR="00BF74FF">
        <w:t xml:space="preserve"> is an illuminating account of the man</w:t>
      </w:r>
      <w:r w:rsidR="00461790">
        <w:t>ner in which indigenous peoples</w:t>
      </w:r>
      <w:r w:rsidR="00BF74FF">
        <w:t xml:space="preserve"> </w:t>
      </w:r>
      <w:r w:rsidR="00461790">
        <w:t xml:space="preserve">and </w:t>
      </w:r>
      <w:r w:rsidR="00BF74FF">
        <w:t>territories</w:t>
      </w:r>
      <w:r w:rsidR="00461790">
        <w:t xml:space="preserve"> came to be </w:t>
      </w:r>
      <w:r w:rsidR="00050BF4">
        <w:t>appropriated within US national space and the rhetorical strategies, however circumscribed, these peoples a</w:t>
      </w:r>
      <w:r w:rsidR="00F22B3F">
        <w:t xml:space="preserve">dopted as forms of resistance. </w:t>
      </w:r>
    </w:p>
    <w:p w:rsidR="0043718E" w:rsidRDefault="0043718E"/>
    <w:p w:rsidR="002C2717" w:rsidRDefault="002C2717" w:rsidP="002C2717">
      <w:pPr>
        <w:jc w:val="right"/>
      </w:pPr>
      <w:r>
        <w:t>STEPHEN TUFFNELL</w:t>
      </w:r>
    </w:p>
    <w:p w:rsidR="002C2717" w:rsidRPr="002C2717" w:rsidRDefault="002C2717" w:rsidP="002C2717">
      <w:pPr>
        <w:jc w:val="right"/>
        <w:rPr>
          <w:i/>
        </w:rPr>
      </w:pPr>
      <w:r>
        <w:rPr>
          <w:i/>
        </w:rPr>
        <w:t>University of Oxford</w:t>
      </w:r>
    </w:p>
    <w:sectPr w:rsidR="002C2717" w:rsidRPr="002C2717" w:rsidSect="0069207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2C2717"/>
    <w:rsid w:val="00004A66"/>
    <w:rsid w:val="00027701"/>
    <w:rsid w:val="00050BF4"/>
    <w:rsid w:val="00055871"/>
    <w:rsid w:val="000A6F2E"/>
    <w:rsid w:val="000E7C39"/>
    <w:rsid w:val="001705E3"/>
    <w:rsid w:val="0017501C"/>
    <w:rsid w:val="001958B7"/>
    <w:rsid w:val="001E54D1"/>
    <w:rsid w:val="00227D29"/>
    <w:rsid w:val="00243349"/>
    <w:rsid w:val="0024374C"/>
    <w:rsid w:val="00246A2F"/>
    <w:rsid w:val="00296FD8"/>
    <w:rsid w:val="002B6A24"/>
    <w:rsid w:val="002C2717"/>
    <w:rsid w:val="002E2FFD"/>
    <w:rsid w:val="002F008B"/>
    <w:rsid w:val="003D5C5B"/>
    <w:rsid w:val="003F4B4B"/>
    <w:rsid w:val="0043718E"/>
    <w:rsid w:val="00461790"/>
    <w:rsid w:val="00470E85"/>
    <w:rsid w:val="00471B89"/>
    <w:rsid w:val="00577718"/>
    <w:rsid w:val="005A5387"/>
    <w:rsid w:val="005C2853"/>
    <w:rsid w:val="005C5FBE"/>
    <w:rsid w:val="005F3BD1"/>
    <w:rsid w:val="005F4F74"/>
    <w:rsid w:val="0069207A"/>
    <w:rsid w:val="006D39FE"/>
    <w:rsid w:val="006D5A5F"/>
    <w:rsid w:val="006E34A0"/>
    <w:rsid w:val="006E5506"/>
    <w:rsid w:val="006F0C42"/>
    <w:rsid w:val="007557FD"/>
    <w:rsid w:val="00772F38"/>
    <w:rsid w:val="007856DC"/>
    <w:rsid w:val="007D6D8F"/>
    <w:rsid w:val="00857085"/>
    <w:rsid w:val="008611A5"/>
    <w:rsid w:val="008B1A76"/>
    <w:rsid w:val="008C028B"/>
    <w:rsid w:val="008C3447"/>
    <w:rsid w:val="008F52F4"/>
    <w:rsid w:val="00930F5D"/>
    <w:rsid w:val="00956BE6"/>
    <w:rsid w:val="00964D79"/>
    <w:rsid w:val="009A22E6"/>
    <w:rsid w:val="00A1543C"/>
    <w:rsid w:val="00A162F7"/>
    <w:rsid w:val="00A51943"/>
    <w:rsid w:val="00AF1760"/>
    <w:rsid w:val="00B02714"/>
    <w:rsid w:val="00B52EE7"/>
    <w:rsid w:val="00B63BE4"/>
    <w:rsid w:val="00B921E1"/>
    <w:rsid w:val="00BB06C6"/>
    <w:rsid w:val="00BF74FF"/>
    <w:rsid w:val="00C02C48"/>
    <w:rsid w:val="00C1726D"/>
    <w:rsid w:val="00C468C2"/>
    <w:rsid w:val="00CB4602"/>
    <w:rsid w:val="00CC75F3"/>
    <w:rsid w:val="00CD6D7D"/>
    <w:rsid w:val="00D35704"/>
    <w:rsid w:val="00D70DA4"/>
    <w:rsid w:val="00DE7B22"/>
    <w:rsid w:val="00E42382"/>
    <w:rsid w:val="00E5740B"/>
    <w:rsid w:val="00EC0413"/>
    <w:rsid w:val="00ED5B6B"/>
    <w:rsid w:val="00EE7B67"/>
    <w:rsid w:val="00EF2102"/>
    <w:rsid w:val="00EF5666"/>
    <w:rsid w:val="00F22B3F"/>
    <w:rsid w:val="00F24F6F"/>
    <w:rsid w:val="00F656DC"/>
    <w:rsid w:val="00FE6A2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BD1"/>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930F5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C596E-53ED-4408-A515-273CBCAF9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1555</TotalTime>
  <Pages>2</Pages>
  <Words>1045</Words>
  <Characters>5959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Steve</cp:lastModifiedBy>
  <cp:revision>19</cp:revision>
  <dcterms:created xsi:type="dcterms:W3CDTF">2010-11-24T15:18:00Z</dcterms:created>
  <dcterms:modified xsi:type="dcterms:W3CDTF">2010-12-08T14:50:00Z</dcterms:modified>
</cp:coreProperties>
</file>