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0BEE2" w14:textId="5C917AB0" w:rsidR="00382AC9" w:rsidRDefault="00382AC9" w:rsidP="00382AC9">
      <w:pPr>
        <w:pStyle w:val="Title"/>
      </w:pPr>
      <w:r>
        <w:t>The Rise and Fall of Britain’s Golden Cohort</w:t>
      </w:r>
      <w:r w:rsidR="008A1534">
        <w:t xml:space="preserve">: How the </w:t>
      </w:r>
      <w:r w:rsidR="00FD114D">
        <w:t>Remarkable generation of 1925-1934</w:t>
      </w:r>
      <w:r w:rsidR="008A1534">
        <w:t xml:space="preserve"> </w:t>
      </w:r>
      <w:r w:rsidR="00FD114D">
        <w:t>HAD their</w:t>
      </w:r>
      <w:r w:rsidR="008A1534">
        <w:t xml:space="preserve"> lives cut short by austerity</w:t>
      </w:r>
    </w:p>
    <w:p w14:paraId="04E52343" w14:textId="65867FD4" w:rsidR="00E5564E" w:rsidRDefault="00E5564E" w:rsidP="00E5564E">
      <w:pPr>
        <w:rPr>
          <w:lang w:eastAsia="en-US"/>
        </w:rPr>
      </w:pPr>
    </w:p>
    <w:p w14:paraId="58C0BB48" w14:textId="17E043CF" w:rsidR="00F41EA2" w:rsidRPr="00E5564E" w:rsidRDefault="00F41EA2" w:rsidP="00F41EA2">
      <w:pPr>
        <w:jc w:val="center"/>
        <w:rPr>
          <w:lang w:eastAsia="en-US"/>
        </w:rPr>
      </w:pPr>
      <w:r>
        <w:rPr>
          <w:lang w:eastAsia="en-US"/>
        </w:rPr>
        <w:t>Lucinda Hiam and Danny Dorling – revision of 7 November 2023</w:t>
      </w:r>
    </w:p>
    <w:p w14:paraId="77C196BD" w14:textId="77777777" w:rsidR="00F41EA2" w:rsidRDefault="00F41EA2" w:rsidP="00E5564E">
      <w:pPr>
        <w:rPr>
          <w:lang w:eastAsia="en-US"/>
        </w:rPr>
      </w:pPr>
    </w:p>
    <w:p w14:paraId="092DC7AD" w14:textId="77777777" w:rsidR="00B3036D" w:rsidRDefault="00B3036D" w:rsidP="00382AC9"/>
    <w:p w14:paraId="1AA14BEE" w14:textId="1DEC3158" w:rsidR="00382AC9" w:rsidRDefault="00382AC9" w:rsidP="00382AC9">
      <w:pPr>
        <w:rPr>
          <w:rFonts w:eastAsiaTheme="majorEastAsia" w:cs="Times New Roman (Headings CS)"/>
          <w:b/>
          <w:smallCaps/>
          <w:szCs w:val="32"/>
        </w:rPr>
      </w:pPr>
      <w:r>
        <w:br w:type="page"/>
      </w:r>
    </w:p>
    <w:p w14:paraId="38EAAF72" w14:textId="77777777" w:rsidR="00382AC9" w:rsidRPr="00D42667" w:rsidRDefault="00382AC9" w:rsidP="00382AC9">
      <w:pPr>
        <w:pStyle w:val="Heading1"/>
        <w:rPr>
          <w:rFonts w:asciiTheme="majorHAnsi" w:eastAsiaTheme="minorHAnsi" w:hAnsiTheme="majorHAnsi" w:cstheme="majorHAnsi"/>
          <w:bCs/>
          <w:caps/>
          <w:smallCaps w:val="0"/>
          <w:szCs w:val="24"/>
        </w:rPr>
      </w:pPr>
      <w:bookmarkStart w:id="0" w:name="_Toc133496215"/>
      <w:r w:rsidRPr="0062187C">
        <w:lastRenderedPageBreak/>
        <w:t>Introduction</w:t>
      </w:r>
      <w:bookmarkEnd w:id="0"/>
    </w:p>
    <w:p w14:paraId="2E9A7A34" w14:textId="39A65680" w:rsidR="00AF1034" w:rsidRDefault="00382AC9" w:rsidP="00382AC9">
      <w:r>
        <w:t xml:space="preserve">There is something unusual about people born in Britain between 1925 and 1934. The men and women born in that </w:t>
      </w:r>
      <w:r w:rsidR="008866C1">
        <w:t>decade</w:t>
      </w:r>
      <w:r w:rsidR="00AF1034">
        <w:t xml:space="preserve"> were children</w:t>
      </w:r>
      <w:r>
        <w:t xml:space="preserve"> during the time of the Great Depression</w:t>
      </w:r>
      <w:r w:rsidR="00CD41EB">
        <w:t xml:space="preserve"> and in </w:t>
      </w:r>
      <w:r>
        <w:t>the wake of World War I (WWI)</w:t>
      </w:r>
      <w:r w:rsidR="00CD41EB">
        <w:t>. Yet,</w:t>
      </w:r>
      <w:r>
        <w:t xml:space="preserve"> </w:t>
      </w:r>
      <w:r w:rsidR="00E5564E">
        <w:t xml:space="preserve">for almost </w:t>
      </w:r>
      <w:r w:rsidR="008866C1">
        <w:t>all</w:t>
      </w:r>
      <w:r w:rsidR="00E5564E">
        <w:t xml:space="preserve"> their lives</w:t>
      </w:r>
      <w:r w:rsidR="00CD41EB">
        <w:t>,</w:t>
      </w:r>
      <w:r w:rsidR="00E5564E">
        <w:t xml:space="preserve"> </w:t>
      </w:r>
      <w:r w:rsidR="00AF1034">
        <w:t xml:space="preserve">they </w:t>
      </w:r>
      <w:r>
        <w:t xml:space="preserve">consistently benefited from better mortality improvements </w:t>
      </w:r>
      <w:r w:rsidRPr="5706CCB5">
        <w:t>than</w:t>
      </w:r>
      <w:r>
        <w:t xml:space="preserve"> those born before and, curiously, after them</w:t>
      </w:r>
      <w:r w:rsidR="00AF1034">
        <w:t>. This</w:t>
      </w:r>
      <w:r>
        <w:t xml:space="preserve"> earn</w:t>
      </w:r>
      <w:r w:rsidR="00366966">
        <w:t>ed</w:t>
      </w:r>
      <w:r>
        <w:t xml:space="preserve"> them the collective name “the Golden Cohort”</w:t>
      </w:r>
      <w:r w:rsidR="0099441B">
        <w:t xml:space="preserve"> </w:t>
      </w:r>
      <w:r>
        <w:fldChar w:fldCharType="begin"/>
      </w:r>
      <w:r w:rsidR="00C4130B">
        <w:instrText xml:space="preserve"> ADDIN ZOTERO_ITEM CSL_CITATION {"citationID":"djQka70i","properties":{"formattedCitation":"(Easton, 2011; Goldring et al., 2011; Murphy, 2009)","plainCitation":"(Easton, 2011; Goldring et al., 2011; Murphy, 2009)","noteIndex":0},"citationItems":[{"id":1609,"uris":["http://zotero.org/users/7125982/items/FFHY8795"],"itemData":{"id":1609,"type":"article-newspaper","abstract":"Why have individuals born between 1925 and 1934 been enjoying higher rates of mortality improvement throughout their adult lives?","container-title":"BBC News","language":"en-GB","section":"UK","source":"www.bbc.com","title":"The mystery of the 'golden cohort'","URL":"https://www.bbc.com/news/uk-15024436","author":[{"family":"Easton","given":"Mark"}],"accessed":{"date-parts":[["2023",3,8]]},"issued":{"date-parts":[["2011"]]}}},{"id":1628,"uris":["http://zotero.org/users/7125982/items/SP5UID8L"],"itemData":{"id":1628,"type":"article-journal","container-title":"Population Trends","DOI":"10.1057/pt.2011.24","ISSN":"2040-1590","issue":"1","journalAbbreviation":"Popul Trends","language":"en","page":"203-232","source":"DOI.org (Crossref)","title":"Mortality of the ‘Golden Generation’: What can the ONS Longitudinal Study tell us?","title-short":"Mortality of the ‘Golden Generation’","volume":"145","author":[{"family":"Goldring","given":"Shayla"},{"family":"Henretty","given":"Nigel"},{"family":"Mills","given":"Julie"},{"family":"Johnson","given":"Kate"},{"family":"Smallwood","given":"Steve"}],"issued":{"date-parts":[["2011",9]]}}},{"id":1663,"uris":["http://zotero.org/users/7125982/items/CCDSXQAR"],"itemData":{"id":1663,"type":"article-journal","abstract":"ABSTRACT\n            Assumptions about future mortality are more important than those for factors such as fertility, migration, disability trends or real interest rates for cost projections of the U.S. Old Age, Survivors, Disability and Health Insurance scheme. Recently, one factor has been assumed to be the key driver of future mortality in both official British population projections and actuarial ones: a ‘cohort effect’ associated with a group who were born in a period centred on the early 1930s who have been identified as having experienced particularly rapid improvements in mortality rates and are often referred to as the ‘golden generations’ or ‘golden cohorts’. The concept of ‘cohort effects’ is discussed; limitations of national-level cohort data considered; and methods for identifying such effects are reviewed. Particular attention is given to the analysis of populations which have been identified as having clear cut cohort effects; those of Britain and Sweden in the later part of the nineteenth century and early twentieth century, as well as the contemporary British population. The likely magnitude of such effects is discussed using a stylised model to assess the extent to which members of the ‘golden generations’ are especially privileged.","container-title":"British Actuarial Journal","DOI":"10.1017/S1357321700005559","ISSN":"1357-3217, 2044-0456","issue":"S1","journalAbbreviation":"Br. Actuar. J.","language":"en","page":"151-184","source":"DOI.org (Crossref)","title":"The ‘Golden Generations’ in Historical Context","volume":"15","author":[{"family":"Murphy","given":"Michael"}],"issued":{"date-parts":[["2009"]]}}}],"schema":"https://github.com/citation-style-language/schema/raw/master/csl-citation.json"} </w:instrText>
      </w:r>
      <w:r>
        <w:fldChar w:fldCharType="separate"/>
      </w:r>
      <w:r w:rsidR="00C4130B">
        <w:rPr>
          <w:rFonts w:cs="Arial"/>
        </w:rPr>
        <w:t>(Easton, 2011; Goldring et al., 2011; Murphy, 2009)</w:t>
      </w:r>
      <w:r>
        <w:fldChar w:fldCharType="end"/>
      </w:r>
      <w:r w:rsidR="0099441B">
        <w:t>.</w:t>
      </w:r>
    </w:p>
    <w:p w14:paraId="1B2A2E78" w14:textId="77777777" w:rsidR="00AF1034" w:rsidRDefault="00AF1034" w:rsidP="00382AC9"/>
    <w:p w14:paraId="1E5974EB" w14:textId="3D514DFB" w:rsidR="00382AC9" w:rsidRDefault="00382AC9" w:rsidP="00382AC9">
      <w:r>
        <w:t>For most people, Britain in</w:t>
      </w:r>
      <w:r w:rsidR="00E5564E">
        <w:t xml:space="preserve"> the years</w:t>
      </w:r>
      <w:r>
        <w:t xml:space="preserve"> 1925 to 1934 was not a place of health and prosperity. The Golden Cohort </w:t>
      </w:r>
      <w:r w:rsidRPr="5706CCB5">
        <w:t>did</w:t>
      </w:r>
      <w:r>
        <w:t xml:space="preserve"> not </w:t>
      </w:r>
      <w:r w:rsidRPr="5706CCB5">
        <w:t xml:space="preserve">start out at </w:t>
      </w:r>
      <w:r w:rsidR="00B32261">
        <w:t xml:space="preserve">an </w:t>
      </w:r>
      <w:r>
        <w:t>easy time in British history</w:t>
      </w:r>
      <w:r w:rsidRPr="5706CCB5">
        <w:t>. As adults</w:t>
      </w:r>
      <w:r>
        <w:t xml:space="preserve">, they </w:t>
      </w:r>
      <w:r w:rsidRPr="5706CCB5">
        <w:t>lived in a country</w:t>
      </w:r>
      <w:r>
        <w:t xml:space="preserve"> that </w:t>
      </w:r>
      <w:r w:rsidRPr="5706CCB5">
        <w:t xml:space="preserve">was losing its empire and becoming poorer in relation to other Europeans. </w:t>
      </w:r>
      <w:r w:rsidR="00CD41EB">
        <w:t>As children, m</w:t>
      </w:r>
      <w:r>
        <w:t xml:space="preserve">ost </w:t>
      </w:r>
      <w:r w:rsidR="00AF1034">
        <w:t xml:space="preserve">of them </w:t>
      </w:r>
      <w:r>
        <w:t xml:space="preserve">lived in poverty which had deepened in some </w:t>
      </w:r>
      <w:r w:rsidR="00AF1034">
        <w:t xml:space="preserve">key </w:t>
      </w:r>
      <w:r>
        <w:t>way</w:t>
      </w:r>
      <w:r w:rsidR="00AF1034">
        <w:t>s</w:t>
      </w:r>
      <w:r>
        <w:t xml:space="preserve"> in the previous three decades</w:t>
      </w:r>
      <w:r w:rsidR="0099441B">
        <w:t xml:space="preserve"> </w:t>
      </w:r>
      <w:r>
        <w:fldChar w:fldCharType="begin"/>
      </w:r>
      <w:r w:rsidR="0099441B">
        <w:instrText xml:space="preserve"> ADDIN ZOTERO_ITEM CSL_CITATION {"citationID":"ajmiaavj6e","properties":{"formattedCitation":"(Seebohm Rowntree, 1941)","plainCitation":"(Seebohm Rowntree, 1941)","noteIndex":0},"citationItems":[{"id":1971,"uris":["http://zotero.org/users/7125982/items/95N878MN"],"itemData":{"id":1971,"type":"article-journal","note":"publisher: New York: Longmans Green","title":"Poverty and progress: a second social survey of York","author":[{"family":"Seebohm Rowntree","given":"B"}],"issued":{"date-parts":[["1941"]]}}}],"schema":"https://github.com/citation-style-language/schema/raw/master/csl-citation.json"} </w:instrText>
      </w:r>
      <w:r>
        <w:fldChar w:fldCharType="separate"/>
      </w:r>
      <w:r w:rsidR="0099441B">
        <w:rPr>
          <w:rFonts w:cs="Arial"/>
        </w:rPr>
        <w:t>(Seebohm Rowntree, 1941)</w:t>
      </w:r>
      <w:r>
        <w:fldChar w:fldCharType="end"/>
      </w:r>
      <w:r w:rsidR="0099441B">
        <w:t>.</w:t>
      </w:r>
      <w:r>
        <w:t xml:space="preserve"> </w:t>
      </w:r>
      <w:r w:rsidRPr="5706CCB5">
        <w:t>They were not especially healthy</w:t>
      </w:r>
      <w:r w:rsidR="00AF1034">
        <w:t xml:space="preserve"> as young adults</w:t>
      </w:r>
      <w:r w:rsidRPr="5706CCB5">
        <w:t>, and often smoked</w:t>
      </w:r>
      <w:r>
        <w:t xml:space="preserve">, but </w:t>
      </w:r>
      <w:r w:rsidRPr="00564F40">
        <w:rPr>
          <w:i/>
          <w:iCs/>
        </w:rPr>
        <w:t>something</w:t>
      </w:r>
      <w:r>
        <w:t xml:space="preserve"> about this group</w:t>
      </w:r>
      <w:r w:rsidR="00E5564E">
        <w:t xml:space="preserve"> resulted in </w:t>
      </w:r>
      <w:r>
        <w:t xml:space="preserve">their </w:t>
      </w:r>
      <w:r w:rsidR="00E5564E">
        <w:t>health</w:t>
      </w:r>
      <w:r>
        <w:t xml:space="preserve"> continu</w:t>
      </w:r>
      <w:r w:rsidR="00E5564E">
        <w:t>ing</w:t>
      </w:r>
      <w:r>
        <w:t xml:space="preserve"> to improve from early on at rates unrivalled by those born </w:t>
      </w:r>
      <w:r w:rsidRPr="5706CCB5">
        <w:t xml:space="preserve">both before </w:t>
      </w:r>
      <w:r>
        <w:t>them</w:t>
      </w:r>
      <w:r w:rsidR="00AF1034">
        <w:t>,</w:t>
      </w:r>
      <w:r w:rsidRPr="5706CCB5">
        <w:t xml:space="preserve"> </w:t>
      </w:r>
      <w:r>
        <w:t>and</w:t>
      </w:r>
      <w:r w:rsidRPr="5706CCB5">
        <w:t xml:space="preserve"> after them.</w:t>
      </w:r>
    </w:p>
    <w:p w14:paraId="68E7204E" w14:textId="77777777" w:rsidR="00382AC9" w:rsidRDefault="00382AC9" w:rsidP="00382AC9"/>
    <w:p w14:paraId="05CF2E60" w14:textId="198A3308" w:rsidR="00382AC9" w:rsidRDefault="00382AC9" w:rsidP="00382AC9">
      <w:r>
        <w:t>The Golden Cohort</w:t>
      </w:r>
      <w:r w:rsidRPr="5706CCB5">
        <w:t xml:space="preserve"> may </w:t>
      </w:r>
      <w:r w:rsidR="00E5564E">
        <w:t xml:space="preserve">partly just </w:t>
      </w:r>
      <w:r w:rsidRPr="5706CCB5">
        <w:t>have been lucky</w:t>
      </w:r>
      <w:r>
        <w:t>. They lived</w:t>
      </w:r>
      <w:r w:rsidR="00E5564E">
        <w:t>,</w:t>
      </w:r>
      <w:r w:rsidRPr="5706CCB5">
        <w:t xml:space="preserve"> </w:t>
      </w:r>
      <w:r w:rsidR="00E5564E">
        <w:t>in their</w:t>
      </w:r>
      <w:r w:rsidRPr="5706CCB5">
        <w:t xml:space="preserve"> </w:t>
      </w:r>
      <w:r w:rsidR="00E5564E" w:rsidRPr="5706CCB5">
        <w:t>adult</w:t>
      </w:r>
      <w:r w:rsidR="00E5564E">
        <w:t>hood,</w:t>
      </w:r>
      <w:r w:rsidRPr="5706CCB5">
        <w:t xml:space="preserve"> </w:t>
      </w:r>
      <w:r w:rsidR="00E5564E">
        <w:t>through</w:t>
      </w:r>
      <w:r w:rsidRPr="5706CCB5">
        <w:t xml:space="preserve"> </w:t>
      </w:r>
      <w:r w:rsidR="00E5564E">
        <w:t xml:space="preserve">what was </w:t>
      </w:r>
      <w:r w:rsidRPr="5706CCB5">
        <w:t>the most prolong</w:t>
      </w:r>
      <w:r>
        <w:t>ed</w:t>
      </w:r>
      <w:r w:rsidRPr="5706CCB5">
        <w:t xml:space="preserve"> period of peace </w:t>
      </w:r>
      <w:r w:rsidR="0002048B">
        <w:t>to have occurred across</w:t>
      </w:r>
      <w:r w:rsidRPr="5706CCB5">
        <w:t xml:space="preserve"> most of Europe</w:t>
      </w:r>
      <w:r w:rsidR="00E5564E">
        <w:t xml:space="preserve"> for </w:t>
      </w:r>
      <w:r w:rsidR="0002048B">
        <w:t xml:space="preserve">many </w:t>
      </w:r>
      <w:r w:rsidR="00E5564E">
        <w:t xml:space="preserve">centuries. They </w:t>
      </w:r>
      <w:r>
        <w:t>avoid</w:t>
      </w:r>
      <w:r w:rsidR="00E5564E">
        <w:t>ed</w:t>
      </w:r>
      <w:r>
        <w:t xml:space="preserve"> pandemics</w:t>
      </w:r>
      <w:r w:rsidRPr="5706CCB5">
        <w:t xml:space="preserve"> that came far less frequently for them</w:t>
      </w:r>
      <w:r>
        <w:t xml:space="preserve"> than </w:t>
      </w:r>
      <w:r w:rsidR="0002048B">
        <w:t xml:space="preserve">such diseases had </w:t>
      </w:r>
      <w:r>
        <w:t>for earlier generations</w:t>
      </w:r>
      <w:r w:rsidR="00F613EB">
        <w:t>. They</w:t>
      </w:r>
      <w:r w:rsidRPr="5706CCB5">
        <w:t xml:space="preserve"> liv</w:t>
      </w:r>
      <w:r w:rsidR="00F613EB">
        <w:t>ed</w:t>
      </w:r>
      <w:r w:rsidRPr="5706CCB5">
        <w:t xml:space="preserve"> through some of </w:t>
      </w:r>
      <w:r>
        <w:t xml:space="preserve">the </w:t>
      </w:r>
      <w:r w:rsidRPr="5706CCB5">
        <w:t>most equitable and progressive eras in British history. When</w:t>
      </w:r>
      <w:r w:rsidR="00761755">
        <w:t>,</w:t>
      </w:r>
      <w:r w:rsidRPr="5706CCB5">
        <w:t xml:space="preserve"> in the 1980s</w:t>
      </w:r>
      <w:r w:rsidR="00761755">
        <w:t>,</w:t>
      </w:r>
      <w:r w:rsidRPr="5706CCB5">
        <w:t xml:space="preserve"> there was mass unemployment, it mainly affected people younger than them. When health and social care spending rose greatly after 1997, it mainly benefitted them. Th</w:t>
      </w:r>
      <w:r w:rsidR="00F613EB">
        <w:t>eir</w:t>
      </w:r>
      <w:r w:rsidRPr="5706CCB5">
        <w:t xml:space="preserve"> good fortune</w:t>
      </w:r>
      <w:r>
        <w:t xml:space="preserve"> had been </w:t>
      </w:r>
      <w:r w:rsidR="00F613EB">
        <w:t>‘golden’</w:t>
      </w:r>
      <w:r w:rsidR="0002048B">
        <w:t>. However,</w:t>
      </w:r>
      <w:r>
        <w:t xml:space="preserve"> </w:t>
      </w:r>
      <w:r w:rsidR="00761755">
        <w:t>in this paper we argue that the</w:t>
      </w:r>
      <w:r>
        <w:t xml:space="preserve"> Golden Cohort</w:t>
      </w:r>
      <w:r w:rsidR="00761755">
        <w:t>, who had been so lucky for so long,</w:t>
      </w:r>
      <w:r w:rsidR="005049C8">
        <w:t xml:space="preserve"> encountered extremely bad luck in old age. As a group, they</w:t>
      </w:r>
      <w:r>
        <w:t xml:space="preserve"> had their lives cut short by a government-imposed policy—austerity.</w:t>
      </w:r>
      <w:r w:rsidR="0002048B">
        <w:t xml:space="preserve"> This so badly </w:t>
      </w:r>
      <w:r w:rsidR="00C9228A">
        <w:t>a</w:t>
      </w:r>
      <w:r w:rsidR="0002048B">
        <w:t xml:space="preserve">ffected enough of this cohort to </w:t>
      </w:r>
      <w:r w:rsidR="008866C1">
        <w:t>alter</w:t>
      </w:r>
      <w:r w:rsidR="0002048B">
        <w:t xml:space="preserve"> their collective outcomes in a way we can now see as having been startling, and which perhaps we should have better </w:t>
      </w:r>
      <w:r w:rsidR="0059469B">
        <w:t>monitored at the time</w:t>
      </w:r>
      <w:r w:rsidR="0002048B">
        <w:t>.</w:t>
      </w:r>
      <w:r>
        <w:t xml:space="preserve"> Austerity measures</w:t>
      </w:r>
      <w:r w:rsidR="005049C8">
        <w:t>, which were</w:t>
      </w:r>
      <w:r>
        <w:t xml:space="preserve"> introduced in</w:t>
      </w:r>
      <w:r w:rsidR="005049C8">
        <w:t xml:space="preserve"> the UK in</w:t>
      </w:r>
      <w:r>
        <w:t xml:space="preserve"> </w:t>
      </w:r>
      <w:r w:rsidR="0059469B">
        <w:t xml:space="preserve">late </w:t>
      </w:r>
      <w:r>
        <w:t>2010</w:t>
      </w:r>
      <w:r w:rsidR="00CD41EB">
        <w:t>,</w:t>
      </w:r>
      <w:r>
        <w:t xml:space="preserve"> have</w:t>
      </w:r>
      <w:r w:rsidR="0059469B">
        <w:t xml:space="preserve"> now</w:t>
      </w:r>
      <w:r>
        <w:t xml:space="preserve"> been widely linked to </w:t>
      </w:r>
      <w:r w:rsidR="005049C8">
        <w:t xml:space="preserve">rapidly </w:t>
      </w:r>
      <w:r>
        <w:t xml:space="preserve">worsening health in the British population, </w:t>
      </w:r>
      <w:r w:rsidR="005049C8">
        <w:t xml:space="preserve">a trend which began long </w:t>
      </w:r>
      <w:r>
        <w:t xml:space="preserve">before the COVID-19 pandemic had emerged. </w:t>
      </w:r>
      <w:r w:rsidR="00CD41EB">
        <w:t xml:space="preserve">Some of those </w:t>
      </w:r>
      <w:r w:rsidR="005049C8">
        <w:t>who suffered most were the group who had been called golden</w:t>
      </w:r>
      <w:r w:rsidR="008866C1">
        <w:t>.</w:t>
      </w:r>
    </w:p>
    <w:p w14:paraId="7832CAC6" w14:textId="77777777" w:rsidR="00382AC9" w:rsidRDefault="00382AC9" w:rsidP="00382AC9"/>
    <w:p w14:paraId="4F9A0D15" w14:textId="5E35EFBE" w:rsidR="00382AC9" w:rsidRDefault="00382AC9" w:rsidP="00382AC9">
      <w:r w:rsidRPr="5706CCB5">
        <w:t>The</w:t>
      </w:r>
      <w:r>
        <w:t xml:space="preserve"> Golden Cohort </w:t>
      </w:r>
      <w:r w:rsidRPr="5706CCB5">
        <w:t>were</w:t>
      </w:r>
      <w:r>
        <w:t xml:space="preserve"> well into their Golden years of life—in their 70s and 80s—when </w:t>
      </w:r>
      <w:r w:rsidR="00C00AF2">
        <w:t xml:space="preserve">the impacts of </w:t>
      </w:r>
      <w:r>
        <w:t xml:space="preserve">2010 austerity began to take effect, around 2012 onwards. </w:t>
      </w:r>
      <w:r w:rsidR="005049C8">
        <w:t>Here we</w:t>
      </w:r>
      <w:r>
        <w:t xml:space="preserve"> compare the trends in mortality improvements</w:t>
      </w:r>
      <w:r w:rsidRPr="5706CCB5">
        <w:t xml:space="preserve"> for them with other people born a little earlier</w:t>
      </w:r>
      <w:r w:rsidR="005049C8">
        <w:t xml:space="preserve"> and later</w:t>
      </w:r>
      <w:r w:rsidRPr="5706CCB5">
        <w:t xml:space="preserve"> </w:t>
      </w:r>
      <w:r>
        <w:t>than</w:t>
      </w:r>
      <w:r w:rsidRPr="5706CCB5">
        <w:t xml:space="preserve"> </w:t>
      </w:r>
      <w:r w:rsidRPr="5706CCB5">
        <w:lastRenderedPageBreak/>
        <w:t xml:space="preserve">those ages. </w:t>
      </w:r>
      <w:r w:rsidR="005049C8">
        <w:t>We show that a</w:t>
      </w:r>
      <w:r w:rsidRPr="5706CCB5">
        <w:t xml:space="preserve">usterity </w:t>
      </w:r>
      <w:r w:rsidR="0059469B">
        <w:t>was</w:t>
      </w:r>
      <w:r w:rsidRPr="5706CCB5">
        <w:t xml:space="preserve"> most damaging for those who </w:t>
      </w:r>
      <w:r w:rsidR="0059469B">
        <w:t>we</w:t>
      </w:r>
      <w:r w:rsidRPr="5706CCB5">
        <w:t>re oldest and ha</w:t>
      </w:r>
      <w:r w:rsidR="0059469B">
        <w:t>d</w:t>
      </w:r>
      <w:r w:rsidRPr="5706CCB5">
        <w:t xml:space="preserve"> </w:t>
      </w:r>
      <w:r w:rsidR="0059469B">
        <w:t xml:space="preserve">by then </w:t>
      </w:r>
      <w:r w:rsidRPr="5706CCB5">
        <w:t>the least power</w:t>
      </w:r>
      <w:r w:rsidR="0059469B">
        <w:t xml:space="preserve"> to fight it</w:t>
      </w:r>
      <w:r w:rsidRPr="5706CCB5">
        <w:t>.</w:t>
      </w:r>
      <w:r>
        <w:t xml:space="preserve"> </w:t>
      </w:r>
    </w:p>
    <w:p w14:paraId="63F4C1E8" w14:textId="77777777" w:rsidR="00382AC9" w:rsidRDefault="00382AC9" w:rsidP="00382AC9"/>
    <w:p w14:paraId="3D5A1951" w14:textId="65D4880E" w:rsidR="00382AC9" w:rsidRPr="007678DB" w:rsidRDefault="005049C8" w:rsidP="007678DB">
      <w:r>
        <w:t>W</w:t>
      </w:r>
      <w:r w:rsidR="00382AC9">
        <w:t>e</w:t>
      </w:r>
      <w:r>
        <w:t xml:space="preserve"> begin by</w:t>
      </w:r>
      <w:r w:rsidR="00382AC9">
        <w:t xml:space="preserve"> explor</w:t>
      </w:r>
      <w:r>
        <w:t>ing</w:t>
      </w:r>
      <w:r w:rsidR="00382AC9">
        <w:t xml:space="preserve"> the story of the Golden Cohort throughout the 20</w:t>
      </w:r>
      <w:r w:rsidR="00382AC9" w:rsidRPr="00F57316">
        <w:rPr>
          <w:vertAlign w:val="superscript"/>
        </w:rPr>
        <w:t>th</w:t>
      </w:r>
      <w:r w:rsidR="00382AC9">
        <w:t xml:space="preserve"> century, </w:t>
      </w:r>
      <w:r w:rsidR="00382AC9" w:rsidRPr="5706CCB5">
        <w:t>their</w:t>
      </w:r>
      <w:r w:rsidR="00382AC9">
        <w:t xml:space="preserve"> more recent history from 2000 on</w:t>
      </w:r>
      <w:r w:rsidR="007678DB">
        <w:t>wards</w:t>
      </w:r>
      <w:r w:rsidR="00382AC9">
        <w:t xml:space="preserve">, </w:t>
      </w:r>
      <w:r w:rsidR="007678DB">
        <w:t>and then</w:t>
      </w:r>
      <w:r w:rsidR="00382AC9">
        <w:t xml:space="preserve"> turn to </w:t>
      </w:r>
      <w:r w:rsidR="00382AC9" w:rsidRPr="5706CCB5">
        <w:t>consider</w:t>
      </w:r>
      <w:r w:rsidR="00382AC9">
        <w:t xml:space="preserve"> the years of austerity from 2010 until the present day</w:t>
      </w:r>
      <w:r w:rsidR="00366966">
        <w:t xml:space="preserve"> </w:t>
      </w:r>
      <w:proofErr w:type="spellStart"/>
      <w:r w:rsidR="00366966">
        <w:t>indepth</w:t>
      </w:r>
      <w:proofErr w:type="spellEnd"/>
      <w:r w:rsidR="00382AC9">
        <w:t>—these austerity years are not yet over. We end with their experience of the COVID-19 pandemic</w:t>
      </w:r>
      <w:r w:rsidR="00BF6A87">
        <w:t xml:space="preserve"> and, now in </w:t>
      </w:r>
      <w:r w:rsidR="007678DB">
        <w:t>the mid 2020s</w:t>
      </w:r>
      <w:r w:rsidR="00BF6A87">
        <w:t xml:space="preserve">, </w:t>
      </w:r>
      <w:r w:rsidR="0059469B">
        <w:t xml:space="preserve">how the very few that remain, but also and in summary, how their children, grandchildren and great grandchildren are today being </w:t>
      </w:r>
      <w:r w:rsidR="00CD41EB">
        <w:t>a</w:t>
      </w:r>
      <w:r w:rsidR="0059469B">
        <w:t xml:space="preserve">ffected by </w:t>
      </w:r>
      <w:r w:rsidR="00BF6A87">
        <w:t>the cost</w:t>
      </w:r>
      <w:r w:rsidR="00776752">
        <w:t>-</w:t>
      </w:r>
      <w:r w:rsidR="00BF6A87">
        <w:t>of</w:t>
      </w:r>
      <w:r w:rsidR="00776752">
        <w:t>-</w:t>
      </w:r>
      <w:r w:rsidR="00BF6A87">
        <w:t>living crisis</w:t>
      </w:r>
      <w:r w:rsidR="0059469B">
        <w:t xml:space="preserve"> coupled with continued austerity in Britain</w:t>
      </w:r>
      <w:r w:rsidR="00382AC9" w:rsidRPr="5706CCB5">
        <w:t xml:space="preserve">. </w:t>
      </w:r>
    </w:p>
    <w:p w14:paraId="448A0F7E" w14:textId="77777777" w:rsidR="00382AC9" w:rsidRPr="0032358C" w:rsidRDefault="00382AC9" w:rsidP="00382AC9">
      <w:pPr>
        <w:pStyle w:val="Heading1"/>
      </w:pPr>
      <w:bookmarkStart w:id="1" w:name="_Toc133496216"/>
      <w:r>
        <w:t>The Cohort Effect</w:t>
      </w:r>
      <w:bookmarkEnd w:id="1"/>
    </w:p>
    <w:p w14:paraId="7F813128" w14:textId="77777777" w:rsidR="00382AC9" w:rsidRDefault="00382AC9" w:rsidP="00382AC9">
      <w:pPr>
        <w:pStyle w:val="Heading2"/>
      </w:pPr>
      <w:bookmarkStart w:id="2" w:name="_Toc133496217"/>
      <w:r>
        <w:t>What is the “cohort effect”?</w:t>
      </w:r>
      <w:bookmarkEnd w:id="2"/>
      <w:r>
        <w:tab/>
      </w:r>
    </w:p>
    <w:p w14:paraId="1A47CA50" w14:textId="15A256E9" w:rsidR="00382AC9" w:rsidRDefault="00382AC9" w:rsidP="00382AC9">
      <w:r>
        <w:rPr>
          <w:rStyle w:val="topic-highlight"/>
        </w:rPr>
        <w:t xml:space="preserve">The term “cohort effect” refers to </w:t>
      </w:r>
      <w:r w:rsidR="0059469B">
        <w:rPr>
          <w:rStyle w:val="topic-highlight"/>
        </w:rPr>
        <w:t xml:space="preserve">a factor </w:t>
      </w:r>
      <w:r>
        <w:rPr>
          <w:rStyle w:val="topic-highlight"/>
        </w:rPr>
        <w:t xml:space="preserve">which specifically </w:t>
      </w:r>
      <w:r w:rsidR="00B32261">
        <w:rPr>
          <w:rStyle w:val="topic-highlight"/>
        </w:rPr>
        <w:t>a</w:t>
      </w:r>
      <w:r>
        <w:rPr>
          <w:rStyle w:val="topic-highlight"/>
        </w:rPr>
        <w:t xml:space="preserve">ffects a group who were influenced </w:t>
      </w:r>
      <w:r w:rsidR="005F61BD">
        <w:rPr>
          <w:rStyle w:val="topic-highlight"/>
        </w:rPr>
        <w:t xml:space="preserve">by </w:t>
      </w:r>
      <w:r>
        <w:rPr>
          <w:rStyle w:val="topic-highlight"/>
        </w:rPr>
        <w:t xml:space="preserve">something in their shared past. Cohort effects can be </w:t>
      </w:r>
      <w:r w:rsidR="0099441B">
        <w:rPr>
          <w:rStyle w:val="topic-highlight"/>
        </w:rPr>
        <w:t>revealed</w:t>
      </w:r>
      <w:r>
        <w:t xml:space="preserve"> through variations in one or more characteristics over time, such as age at onset of a disease</w:t>
      </w:r>
      <w:r w:rsidR="0059469B">
        <w:t xml:space="preserve"> being seen</w:t>
      </w:r>
      <w:r>
        <w:t xml:space="preserve"> among a group of individuals (a cohort) who share a defining experience. This experience can include events around their year of birth (such as being born in famine, or when an infectious disease was </w:t>
      </w:r>
      <w:r w:rsidR="00625CB6">
        <w:t>highly</w:t>
      </w:r>
      <w:r>
        <w:t xml:space="preserve"> prevalent) or years of a specific exposure such as</w:t>
      </w:r>
      <w:r w:rsidR="0059469B">
        <w:t xml:space="preserve"> to</w:t>
      </w:r>
      <w:r>
        <w:t xml:space="preserve"> smoking or radiation</w:t>
      </w:r>
      <w:r w:rsidR="00D54E4D">
        <w:t xml:space="preserve"> </w:t>
      </w:r>
      <w:r w:rsidR="00D54E4D">
        <w:fldChar w:fldCharType="begin"/>
      </w:r>
      <w:r w:rsidR="00626CB8">
        <w:instrText xml:space="preserve"> ADDIN ZOTERO_ITEM CSL_CITATION {"citationID":"PyXgFwZ4","properties":{"formattedCitation":"(Jacob &amp; Ganguli, 2016)","plainCitation":"(Jacob &amp; Ganguli, 2016)","noteIndex":0},"citationItems":[{"id":2086,"uris":["http://zotero.org/users/7125982/items/TQG3JGGF"],"itemData":{"id":2086,"type":"chapter","abstract":"Epidemiology is a foundation of all clinical and public health research and practice. Epidemiology serves seven important uses for the advancement of medicine and public health. It enables community diagnosis by quantifying risk factors and diseases in the community; completes the clinical picture of disease by revealing the entire distribution of disease and presenting meaningful population averages from representative samples; identifies risk factors for disease by detecting and quantifying associations between exposures and disease and evaluating causal hypotheses; computes individual risk to identify high-risk groups to whom preventive interventions can be targeted; evaluates historic trends that monitor disease over time and provide clues to etiology; delineates new syndromes and disease subtypes not previously apparent in clinical settings, helping to streamline effective disease management; and investigates the effects of health services on population health to identify effective public health interventions. The clinician with a grasp of epidemiologic principles is in a position to critically evaluate the research literature, to apply it to clinical practice, and to undertake valid clinical epidemiology research with patients in clinical settings.","collection-title":"Neuroepidemiology","container-title":"Handbook of Clinical Neurology","language":"en","note":"DOI: 10.1016/B978-0-12-802973-2.00001-X","page":"3-16","publisher":"Elsevier","source":"ScienceDirect","title":"Chapter 1 - Epidemiology for the clinical neurologist","URL":"https://www.sciencedirect.com/science/article/pii/B978012802973200001X","volume":"138","author":[{"family":"Jacob","given":"M. E."},{"family":"Ganguli","given":"M."}],"editor":[{"family":"Aminoff","given":"Michael J."},{"family":"Boller","given":"François"},{"family":"Swaab","given":"Dick F."}],"accessed":{"date-parts":[["2023",5,12]]},"issued":{"date-parts":[["2016",1,1]]}}}],"schema":"https://github.com/citation-style-language/schema/raw/master/csl-citation.json"} </w:instrText>
      </w:r>
      <w:r w:rsidR="00D54E4D">
        <w:fldChar w:fldCharType="separate"/>
      </w:r>
      <w:r w:rsidR="00D54E4D">
        <w:rPr>
          <w:noProof/>
        </w:rPr>
        <w:t>(Jacob &amp; Ganguli, 2016)</w:t>
      </w:r>
      <w:r w:rsidR="00D54E4D">
        <w:fldChar w:fldCharType="end"/>
      </w:r>
      <w:r w:rsidR="0099441B">
        <w:t>.</w:t>
      </w:r>
      <w:r>
        <w:t xml:space="preserve"> However, definitions vary,</w:t>
      </w:r>
      <w:r>
        <w:fldChar w:fldCharType="begin"/>
      </w:r>
      <w:r w:rsidR="00F7054A">
        <w:instrText xml:space="preserve"> ADDIN ZOTERO_ITEM CSL_CITATION {"citationID":"pZcKEpwm","properties":{"formattedCitation":"(Murphy, 2009)","plainCitation":"(Murphy, 2009)","dontUpdate":true,"noteIndex":0},"citationItems":[{"id":1663,"uris":["http://zotero.org/users/7125982/items/CCDSXQAR"],"itemData":{"id":1663,"type":"article-journal","abstract":"ABSTRACT\n            Assumptions about future mortality are more important than those for factors such as fertility, migration, disability trends or real interest rates for cost projections of the U.S. Old Age, Survivors, Disability and Health Insurance scheme. Recently, one factor has been assumed to be the key driver of future mortality in both official British population projections and actuarial ones: a ‘cohort effect’ associated with a group who were born in a period centred on the early 1930s who have been identified as having experienced particularly rapid improvements in mortality rates and are often referred to as the ‘golden generations’ or ‘golden cohorts’. The concept of ‘cohort effects’ is discussed; limitations of national-level cohort data considered; and methods for identifying such effects are reviewed. Particular attention is given to the analysis of populations which have been identified as having clear cut cohort effects; those of Britain and Sweden in the later part of the nineteenth century and early twentieth century, as well as the contemporary British population. The likely magnitude of such effects is discussed using a stylised model to assess the extent to which members of the ‘golden generations’ are especially privileged.","container-title":"British Actuarial Journal","DOI":"10.1017/S1357321700005559","ISSN":"1357-3217, 2044-0456","issue":"S1","journalAbbreviation":"Br. Actuar. J.","language":"en","page":"151-184","source":"DOI.org (Crossref)","title":"The ‘Golden Generations’ in Historical Context","volume":"15","author":[{"family":"Murphy","given":"Michael"}],"issued":{"date-parts":[["2009"]]}}}],"schema":"https://github.com/citation-style-language/schema/raw/master/csl-citation.json"} </w:instrText>
      </w:r>
      <w:r w:rsidR="008E729F">
        <w:fldChar w:fldCharType="separate"/>
      </w:r>
      <w:r>
        <w:fldChar w:fldCharType="end"/>
      </w:r>
      <w:r>
        <w:t xml:space="preserve"> including its attribution as a non-statistical descriptive term specifically to the observed trend of the Golden Cohort (also referred to as the Golden Generation)</w:t>
      </w:r>
      <w:r w:rsidR="00A14A5F">
        <w:t xml:space="preserve"> </w:t>
      </w:r>
      <w:r>
        <w:fldChar w:fldCharType="begin"/>
      </w:r>
      <w:r w:rsidR="0099441B">
        <w:instrText xml:space="preserve"> ADDIN ZOTERO_ITEM CSL_CITATION {"citationID":"Az216uwx","properties":{"formattedCitation":"(Murphy, 2009; Murphy &amp; Richards, 2010; R. Willets, 1999; R. C. Willets, 2004)","plainCitation":"(Murphy, 2009; Murphy &amp; Richards, 2010; R. Willets, 1999; R. C. Willets, 2004)","noteIndex":0},"citationItems":[{"id":1663,"uris":["http://zotero.org/users/7125982/items/CCDSXQAR"],"itemData":{"id":1663,"type":"article-journal","abstract":"ABSTRACT\n            Assumptions about future mortality are more important than those for factors such as fertility, migration, disability trends or real interest rates for cost projections of the U.S. Old Age, Survivors, Disability and Health Insurance scheme. Recently, one factor has been assumed to be the key driver of future mortality in both official British population projections and actuarial ones: a ‘cohort effect’ associated with a group who were born in a period centred on the early 1930s who have been identified as having experienced particularly rapid improvements in mortality rates and are often referred to as the ‘golden generations’ or ‘golden cohorts’. The concept of ‘cohort effects’ is discussed; limitations of national-level cohort data considered; and methods for identifying such effects are reviewed. Particular attention is given to the analysis of populations which have been identified as having clear cut cohort effects; those of Britain and Sweden in the later part of the nineteenth century and early twentieth century, as well as the contemporary British population. The likely magnitude of such effects is discussed using a stylised model to assess the extent to which members of the ‘golden generations’ are especially privileged.","container-title":"British Actuarial Journal","DOI":"10.1017/S1357321700005559","ISSN":"1357-3217, 2044-0456","issue":"S1","journalAbbreviation":"Br. Actuar. J.","language":"en","page":"151-184","source":"DOI.org (Crossref)","title":"The ‘Golden Generations’ in Historical Context","volume":"15","author":[{"family":"Murphy","given":"Michael"}],"issued":{"date-parts":[["2009"]]}}},{"id":1833,"uris":["http://zotero.org/users/7125982/items/DX38E6WQ"],"itemData":{"id":1833,"type":"article-journal","container-title":"Journal of the Royal Statistical Society. Series A (Statistics in Society)","ISSN":"0964-1998","issue":"4","journalAbbreviation":"Journal of the Royal Statistical Society. Series A (Statistics in Society)","note":"publisher: JSTOR","page":"915-924","title":"Detecting year-of-birth mortality patterns with limited data","volume":"173","author":[{"family":"Murphy","given":"Michael"},{"family":"Richards","given":"Stephen"}],"issued":{"date-parts":[["2010"]]}}},{"id":1701,"uris":["http://zotero.org/users/7125982/items/292FQCGJ"],"itemData":{"id":1701,"type":"article-journal","abstract":"The purpose of the report is to achieve a greater understanding of the United Kingdom ‘cohort effect’ by exploring research in other fields and analysing population mortality data by cause of death in more detail. The ‘cohort effect’ in this context is the observed phenomenon that people born in the U.K. between 1925 and 1945 (centred on the generation born in 1931) have experienced more rapid improvement in mortality than generations born either side of this period.In a Continuous Mortality Investigation (CMI) Bureau working paper published in 2002, a similar trend was noted in the mortality experience of male pensioners and males with life assurance policies. The CMI Bureau investigation showed peak rates of improvement for the cohort born in 1926. Interim projection bases for future mortality experience were produced as a result of the study. The projections made various assumptions about the extent to which the observed cohort effect would continue to shape the pattern of future mortality improvement.This report suggests that it is highly likely that the cohort effect has been caused by a number of different factors in combination. Prevalence of smoking from one generation to the next has certainly been one such factor. Furthermore, an analysis of patterns of cigarette smoking suggests that there is a degree of inevitability in some element of likely future improvement, especially for mortality at older ages from conditions strongly linked to smoking.However, trends in heart disease and breast cancer mortality suggest that smoking is not the only factor. The differences between lung cancer and heart disease trends by year of birth are especially interesting. The report shows that there are two ‘sub-cohorts’ of the 1925 to 1945 cohort: an earlier group where the improvements may be largely due to smoking; and a later one where other factors, such as diet in early life, may have played a greater role.Historic patterns of smoking behaviour by socio-economic class provide an explanation for the five-year difference in the year of birth showing the fastest improvements, i.e. the difference between 1926 for the CMI Bureau investigation and 1931 for the general population. It is also notable that the second ‘sub-cohort’ of high improvement, applying to people born in the early 1940s, can be seen in both population and CMI experience.A case study examining Japanese mortality experience shows that strong cohort trends can be projected well into old age. This does not provide proof that the U.K. cohort effect will do the same. However, it does counter arguments that year of birth effects will inevitably wear off with age. It is especially interesting given recent epidemiological research linking early life experience with markers of ageing.There are a number of reasons to believe that the U.K. cohort effect will have an enduring impact on rates of mortality improvement in future decades. These include historical patterns of smoking behaviour and the impact of early life experience on health in later life. There appears to be little evidence to support the idea that the width of the generation experiencing rapid improvement will reduce with time.","container-title":"British Actuarial Journal","DOI":"10.1017/S1357321700002762","ISSN":"2044-0456, 1357-3217","issue":"4","language":"en","note":"publisher: Cambridge University Press","page":"833-877","source":"Cambridge University Press","title":"The Cohort Effect: Insights and Explanations","title-short":"The Cohort Effect","volume":"10","author":[{"family":"Willets","given":"R. C."}],"issued":{"date-parts":[["2004",10]]}}},{"id":1832,"uris":["http://zotero.org/users/7125982/items/HI6T3TWG"],"itemData":{"id":1832,"type":"article-journal","container-title":"British Actuarial Journal","issue":"48 Part IV","journalAbbreviation":"British Actuarial Journal","title":"Mortality in the next Millennium, SIAS Willets, RC 2004 The cohort effect—insights and explanations","volume":"10","author":[{"family":"Willets","given":"RC"}],"issued":{"date-parts":[["1999"]]}}}],"schema":"https://github.com/citation-style-language/schema/raw/master/csl-citation.json"} </w:instrText>
      </w:r>
      <w:r>
        <w:fldChar w:fldCharType="separate"/>
      </w:r>
      <w:r w:rsidR="0099441B">
        <w:rPr>
          <w:rFonts w:cs="Arial"/>
        </w:rPr>
        <w:t>(Murphy, 2009; Murphy &amp; Richards, 2010; R. Willets, 1999; R. C. Willets, 2004)</w:t>
      </w:r>
      <w:r>
        <w:fldChar w:fldCharType="end"/>
      </w:r>
      <w:r w:rsidR="0099441B">
        <w:t>.</w:t>
      </w:r>
      <w:r>
        <w:t xml:space="preserve"> Some demographic and actuarial intricacies of the definition can be found in the references provided for Murphy</w:t>
      </w:r>
      <w:r w:rsidR="005F61BD">
        <w:t xml:space="preserve"> and</w:t>
      </w:r>
      <w:r>
        <w:t xml:space="preserve"> Willets,</w:t>
      </w:r>
      <w:r w:rsidR="00625CB6">
        <w:t xml:space="preserve"> for example,</w:t>
      </w:r>
      <w:r>
        <w:t xml:space="preserve"> at the end of this paper.</w:t>
      </w:r>
    </w:p>
    <w:p w14:paraId="4F291F6D" w14:textId="77777777" w:rsidR="00382AC9" w:rsidRDefault="00382AC9" w:rsidP="00382AC9"/>
    <w:p w14:paraId="6E09226B" w14:textId="7E6909E4" w:rsidR="00382AC9" w:rsidRDefault="00DD5C75" w:rsidP="00382AC9">
      <w:r>
        <w:t>In their 2022 paper, Jones et al demonstrated that</w:t>
      </w:r>
      <w:r w:rsidR="0059469B">
        <w:t xml:space="preserve"> graphical visuali</w:t>
      </w:r>
      <w:r w:rsidR="00366966">
        <w:t>s</w:t>
      </w:r>
      <w:r w:rsidR="0059469B">
        <w:t>ations</w:t>
      </w:r>
      <w:r w:rsidR="00382AC9">
        <w:t>: ‘</w:t>
      </w:r>
      <w:r w:rsidR="0059469B">
        <w:t>…</w:t>
      </w:r>
      <w:r w:rsidR="00382AC9" w:rsidRPr="00793855">
        <w:t xml:space="preserve">are more effective than the HAPC </w:t>
      </w:r>
      <w:r w:rsidR="00382AC9">
        <w:t xml:space="preserve">[a statistical] </w:t>
      </w:r>
      <w:r w:rsidR="00382AC9" w:rsidRPr="00793855">
        <w:t>model for the exploration of the data</w:t>
      </w:r>
      <w:r w:rsidR="00382AC9">
        <w:t>’ when exploring cohort effects</w:t>
      </w:r>
      <w:r>
        <w:t xml:space="preserve"> </w:t>
      </w:r>
      <w:r w:rsidR="00625CB6">
        <w:fldChar w:fldCharType="begin"/>
      </w:r>
      <w:r w:rsidR="0099441B">
        <w:instrText xml:space="preserve"> ADDIN ZOTERO_ITEM CSL_CITATION {"citationID":"y14WQ82o","properties":{"formattedCitation":"(Jones et al., 2022)","plainCitation":"(Jones et al., 2022)","noteIndex":0},"citationItems":[{"id":1823,"uris":["http://zotero.org/users/7125982/items/5YLIL5YF"],"itemData":{"id":1823,"type":"article-journal","container-title":"Quality &amp; Quantity","ISSN":"0033-5177","journalAbbreviation":"Quality &amp; Quantity","note":"publisher: Springer","page":"1-21","title":"Methods for disentangling period and cohort changes in mortality risk over the twentieth century: comparing graphical and modelling approaches","author":[{"family":"Jones","given":"Phil Mike"},{"family":"Minton","given":"Jon"},{"family":"Bell","given":"Andrew"}],"issued":{"date-parts":[["2022"]]}}}],"schema":"https://github.com/citation-style-language/schema/raw/master/csl-citation.json"} </w:instrText>
      </w:r>
      <w:r w:rsidR="00625CB6">
        <w:fldChar w:fldCharType="separate"/>
      </w:r>
      <w:r w:rsidR="0099441B">
        <w:rPr>
          <w:rFonts w:cs="Arial"/>
        </w:rPr>
        <w:t>(Jones et al., 2022)</w:t>
      </w:r>
      <w:r w:rsidR="00625CB6">
        <w:fldChar w:fldCharType="end"/>
      </w:r>
      <w:r w:rsidR="0099441B">
        <w:t>.</w:t>
      </w:r>
      <w:r w:rsidR="00382AC9">
        <w:t xml:space="preserve"> </w:t>
      </w:r>
      <w:r>
        <w:t xml:space="preserve">The authors </w:t>
      </w:r>
      <w:r w:rsidR="00382AC9">
        <w:t>provide</w:t>
      </w:r>
      <w:r>
        <w:t xml:space="preserve"> a </w:t>
      </w:r>
      <w:r w:rsidR="00382AC9">
        <w:t xml:space="preserve">clear explanation of the </w:t>
      </w:r>
      <w:r w:rsidR="00382AC9" w:rsidRPr="00D72FFE">
        <w:t>‘identification problem’</w:t>
      </w:r>
      <w:r w:rsidR="00382AC9">
        <w:t xml:space="preserve"> – that w</w:t>
      </w:r>
      <w:r w:rsidR="00382AC9" w:rsidRPr="00D72FFE">
        <w:t>hen considering</w:t>
      </w:r>
      <w:r w:rsidR="00382AC9">
        <w:t xml:space="preserve"> the three interacting factors of</w:t>
      </w:r>
      <w:r w:rsidR="00382AC9" w:rsidRPr="00D72FFE">
        <w:t xml:space="preserve"> age, period, and cohort </w:t>
      </w:r>
      <w:r w:rsidR="00382AC9">
        <w:t>‘</w:t>
      </w:r>
      <w:r w:rsidR="00382AC9" w:rsidRPr="00D72FFE">
        <w:t>there is a problem that by knowing two variables we can perfectly predict the other: age equals period minus cohort, so the three variables have only two degrees of freedom</w:t>
      </w:r>
      <w:r w:rsidR="00382AC9">
        <w:t>’</w:t>
      </w:r>
      <w:r w:rsidR="0099441B">
        <w:t>.</w:t>
      </w:r>
      <w:r w:rsidR="00382AC9">
        <w:t xml:space="preserve"> What this means is that it is possible, although often unlikely, that what appears to be a </w:t>
      </w:r>
      <w:r w:rsidR="00382AC9" w:rsidRPr="00FD114D">
        <w:rPr>
          <w:i/>
          <w:iCs/>
        </w:rPr>
        <w:t>cohort</w:t>
      </w:r>
      <w:r w:rsidR="00382AC9">
        <w:t xml:space="preserve"> effect is </w:t>
      </w:r>
      <w:r w:rsidR="008866C1">
        <w:t>a</w:t>
      </w:r>
      <w:r w:rsidR="00382AC9">
        <w:t xml:space="preserve"> series of unrelated </w:t>
      </w:r>
      <w:r w:rsidR="00382AC9" w:rsidRPr="00FD114D">
        <w:rPr>
          <w:i/>
          <w:iCs/>
        </w:rPr>
        <w:t>period</w:t>
      </w:r>
      <w:r w:rsidR="00382AC9">
        <w:t xml:space="preserve"> effects that influence people at a series of different ages. A good example of a clear </w:t>
      </w:r>
      <w:r w:rsidR="00382AC9" w:rsidRPr="00FD114D">
        <w:rPr>
          <w:i/>
          <w:iCs/>
        </w:rPr>
        <w:t>cohort</w:t>
      </w:r>
      <w:r w:rsidR="00382AC9">
        <w:t xml:space="preserve"> effect is the long term effects of being in utero during the 1817 hunger crisis in Switzerland (</w:t>
      </w:r>
      <w:r w:rsidR="0059469B">
        <w:t>for those</w:t>
      </w:r>
      <w:r w:rsidR="00382AC9">
        <w:t xml:space="preserve"> born in 1818), and similarly being in utero when the Spanish Flu was at its worse</w:t>
      </w:r>
      <w:r w:rsidR="0059469B">
        <w:t>,</w:t>
      </w:r>
      <w:r w:rsidR="00382AC9">
        <w:t xml:space="preserve"> in 1918</w:t>
      </w:r>
      <w:r w:rsidR="0099441B">
        <w:t xml:space="preserve"> </w:t>
      </w:r>
      <w:r w:rsidR="00382AC9">
        <w:fldChar w:fldCharType="begin"/>
      </w:r>
      <w:r w:rsidR="0099441B">
        <w:instrText xml:space="preserve"> ADDIN ZOTERO_ITEM CSL_CITATION {"citationID":"fPv3LUw7","properties":{"formattedCitation":"(Matthes, 2023)","plainCitation":"(Matthes, 2023)","noteIndex":0},"citationItems":[{"id":1895,"uris":["http://zotero.org/users/7125982/items/N66NPN3Q"],"itemData":{"id":1895,"type":"article-journal","container-title":"Swiss Medical Weekly","ISSN":"1424-3997","issue":"3","journalAbbreviation":"Swiss Medical Weekly","page":"40057-40057","title":"Long-term mortality effects of century crises: A warning from the past for the decades after COVID-19?","volume":"153","author":[{"family":"Matthes","given":"Katarina L"}],"issued":{"date-parts":[["2023"]]}}}],"schema":"https://github.com/citation-style-language/schema/raw/master/csl-citation.json"} </w:instrText>
      </w:r>
      <w:r w:rsidR="00382AC9">
        <w:fldChar w:fldCharType="separate"/>
      </w:r>
      <w:r w:rsidR="0099441B">
        <w:rPr>
          <w:rFonts w:cs="Arial"/>
        </w:rPr>
        <w:t>(Matthes, 2023)</w:t>
      </w:r>
      <w:r w:rsidR="00382AC9">
        <w:fldChar w:fldCharType="end"/>
      </w:r>
      <w:r w:rsidR="0099441B">
        <w:t>.</w:t>
      </w:r>
      <w:r w:rsidR="00382AC9">
        <w:t xml:space="preserve"> There is </w:t>
      </w:r>
      <w:r w:rsidR="00382AC9">
        <w:lastRenderedPageBreak/>
        <w:t xml:space="preserve">much speculation of possible cohort effects of the 1918 flu. However, sometimes when these appear to be found, they may in fact be of something that affected an earlier cohort, but only appear around, for example, </w:t>
      </w:r>
      <w:r w:rsidR="008866C1">
        <w:t xml:space="preserve">at </w:t>
      </w:r>
      <w:r w:rsidR="00382AC9">
        <w:t>age 30. Thus, what looks like a cohort effect that begins in 1918 may have begun earlier</w:t>
      </w:r>
      <w:r w:rsidR="0099441B">
        <w:t xml:space="preserve"> </w:t>
      </w:r>
      <w:r w:rsidR="00382AC9">
        <w:fldChar w:fldCharType="begin"/>
      </w:r>
      <w:r w:rsidR="0099441B">
        <w:instrText xml:space="preserve"> ADDIN ZOTERO_ITEM CSL_CITATION {"citationID":"xEkbBN2G","properties":{"formattedCitation":"(Blanchard et al., 2020)","plainCitation":"(Blanchard et al., 2020)","noteIndex":0},"citationItems":[{"id":995,"uris":["http://zotero.org/users/7125982/items/QULE98HC"],"itemData":{"id":995,"type":"article-journal","container-title":"Biodemography and Social Biology","DOI":"10.1080/19485565.2019.1689352","ISSN":"1948-5565","issue":"2","page":"137-155","title":"The pandemic of 1918 and the heart disease epidemic in middle-aged men and women in the United States","volume":"65","author":[{"family":"Blanchard","given":"Stephen"},{"family":"Bradshaw","given":"Benjamin Spencer"},{"family":"Herbold","given":"John R."},{"family":"Smith","given":"David W."}],"issued":{"date-parts":[["2020",4,1]]}}}],"schema":"https://github.com/citation-style-language/schema/raw/master/csl-citation.json"} </w:instrText>
      </w:r>
      <w:r w:rsidR="00382AC9">
        <w:fldChar w:fldCharType="separate"/>
      </w:r>
      <w:r w:rsidR="0099441B">
        <w:rPr>
          <w:rFonts w:cs="Arial"/>
        </w:rPr>
        <w:t>(Blanchard et al., 2020)</w:t>
      </w:r>
      <w:r w:rsidR="00382AC9">
        <w:fldChar w:fldCharType="end"/>
      </w:r>
      <w:r w:rsidR="0099441B">
        <w:t>.</w:t>
      </w:r>
      <w:r>
        <w:t xml:space="preserve"> </w:t>
      </w:r>
      <w:r w:rsidR="008624EB">
        <w:t>For the Golden Cohort,</w:t>
      </w:r>
      <w:r>
        <w:t xml:space="preserve"> as we discuss further later on, the</w:t>
      </w:r>
      <w:r w:rsidR="008624EB">
        <w:t xml:space="preserve">y </w:t>
      </w:r>
      <w:r>
        <w:t xml:space="preserve">may well be an example of the combination of benefitting from only tangentially related period and age effects, for example being old enough to benefit when health spending increased in the New Labour years (Section 3.4).  </w:t>
      </w:r>
    </w:p>
    <w:p w14:paraId="6F7A4B3E" w14:textId="77777777" w:rsidR="00382AC9" w:rsidRDefault="00382AC9" w:rsidP="00382AC9"/>
    <w:p w14:paraId="41A58AC6" w14:textId="77777777" w:rsidR="00382AC9" w:rsidRDefault="00382AC9" w:rsidP="00382AC9">
      <w:pPr>
        <w:pStyle w:val="Heading2"/>
      </w:pPr>
      <w:bookmarkStart w:id="3" w:name="_Toc133496218"/>
      <w:r>
        <w:t>The Lexis Diagram or “Heat Maps”</w:t>
      </w:r>
      <w:bookmarkEnd w:id="3"/>
    </w:p>
    <w:p w14:paraId="1EE9AA18" w14:textId="1EAD76B4" w:rsidR="00E05B21" w:rsidRDefault="00382AC9" w:rsidP="00382AC9">
      <w:r>
        <w:t xml:space="preserve">One way to identify and visualise a cohort effect is </w:t>
      </w:r>
      <w:r w:rsidR="0059469B">
        <w:t>to produce a graphical visuali</w:t>
      </w:r>
      <w:r w:rsidR="00366966">
        <w:t>s</w:t>
      </w:r>
      <w:r w:rsidR="0059469B">
        <w:t xml:space="preserve">ation, often thought of as </w:t>
      </w:r>
      <w:r>
        <w:t xml:space="preserve">a </w:t>
      </w:r>
      <w:r w:rsidR="0059469B">
        <w:t>‘</w:t>
      </w:r>
      <w:r>
        <w:t>heat map</w:t>
      </w:r>
      <w:r w:rsidR="0059469B">
        <w:t>’</w:t>
      </w:r>
      <w:r w:rsidR="00054BDE">
        <w:t xml:space="preserve">, </w:t>
      </w:r>
      <w:r w:rsidR="0059469B">
        <w:t xml:space="preserve">but in demography </w:t>
      </w:r>
      <w:r>
        <w:t>more formally called a Lexis Diagram</w:t>
      </w:r>
      <w:r w:rsidR="00054BDE">
        <w:t xml:space="preserve"> (or ‘surface’)</w:t>
      </w:r>
      <w:r>
        <w:t xml:space="preserve">. </w:t>
      </w:r>
      <w:r w:rsidR="008F684C">
        <w:t xml:space="preserve">These </w:t>
      </w:r>
      <w:r w:rsidR="00054BDE">
        <w:t>diagrams</w:t>
      </w:r>
      <w:r w:rsidR="0059469B">
        <w:t xml:space="preserve"> </w:t>
      </w:r>
      <w:r w:rsidR="008F684C">
        <w:t xml:space="preserve">show age in years on the </w:t>
      </w:r>
      <w:r w:rsidR="00CD41EB">
        <w:t>vertical</w:t>
      </w:r>
      <w:r w:rsidR="008F684C">
        <w:t xml:space="preserve"> axis and time in calendar years on the </w:t>
      </w:r>
      <w:r w:rsidR="0059469B">
        <w:t>horizontal</w:t>
      </w:r>
      <w:r w:rsidR="008F684C">
        <w:t xml:space="preserve"> axis, and the coloured squares </w:t>
      </w:r>
      <w:r w:rsidR="0059469B">
        <w:t xml:space="preserve">within them can show a rate for that age/year group, or if the </w:t>
      </w:r>
      <w:r w:rsidR="00E05B21">
        <w:t xml:space="preserve">Lexis diagram is of change over time, then each square can </w:t>
      </w:r>
      <w:r w:rsidR="008F684C">
        <w:t xml:space="preserve">represent the </w:t>
      </w:r>
      <w:r w:rsidR="00E05B21">
        <w:t xml:space="preserve">rate of </w:t>
      </w:r>
      <w:r w:rsidR="008F684C">
        <w:t>change in mortality</w:t>
      </w:r>
      <w:r w:rsidR="00E05B21">
        <w:t xml:space="preserve"> rate</w:t>
      </w:r>
      <w:r w:rsidR="008F684C">
        <w:t xml:space="preserve"> relative to the </w:t>
      </w:r>
      <w:r w:rsidR="00E05B21">
        <w:t xml:space="preserve">rate </w:t>
      </w:r>
      <w:r w:rsidR="00C9228A">
        <w:t xml:space="preserve">the </w:t>
      </w:r>
      <w:r w:rsidR="008F684C">
        <w:t>previous year</w:t>
      </w:r>
      <w:r w:rsidR="00E05B21">
        <w:t xml:space="preserve"> for any age/sex group</w:t>
      </w:r>
      <w:r w:rsidR="008F684C">
        <w:t>. For example, the change in mortality of a 65</w:t>
      </w:r>
      <w:r w:rsidR="00E05B21">
        <w:t>-</w:t>
      </w:r>
      <w:r w:rsidR="008F684C">
        <w:t>year</w:t>
      </w:r>
      <w:r w:rsidR="00E05B21">
        <w:t>-</w:t>
      </w:r>
      <w:r w:rsidR="008F684C">
        <w:t>old in 2020 is the percentage point change in the proportion of the relevant population that died in 2020 relative to</w:t>
      </w:r>
      <w:r w:rsidR="00E05B21">
        <w:t xml:space="preserve"> those of that age who died in</w:t>
      </w:r>
      <w:r w:rsidR="008F684C">
        <w:t xml:space="preserve"> 2019.</w:t>
      </w:r>
      <w:r w:rsidR="00E05B21">
        <w:t xml:space="preserve"> Often separate diagrams are drawn for men and women as </w:t>
      </w:r>
      <w:r w:rsidR="00CD41EB">
        <w:t xml:space="preserve">both </w:t>
      </w:r>
      <w:r w:rsidR="00E05B21">
        <w:t>their mortality rates and what influences those rates can vary so much.</w:t>
      </w:r>
      <w:r w:rsidR="008F684C">
        <w:t xml:space="preserve"> </w:t>
      </w:r>
    </w:p>
    <w:p w14:paraId="7A34BAD7" w14:textId="77777777" w:rsidR="00E05B21" w:rsidRDefault="00E05B21" w:rsidP="00382AC9"/>
    <w:p w14:paraId="06C9B483" w14:textId="0C2FB480" w:rsidR="00382AC9" w:rsidRPr="00D16D8D" w:rsidRDefault="00382AC9" w:rsidP="00382AC9">
      <w:r>
        <w:fldChar w:fldCharType="begin"/>
      </w:r>
      <w:r>
        <w:instrText xml:space="preserve"> REF _Ref129428380 </w:instrText>
      </w:r>
      <w:r>
        <w:fldChar w:fldCharType="separate"/>
      </w:r>
      <w:r w:rsidR="00BE338B">
        <w:t xml:space="preserve">Figure </w:t>
      </w:r>
      <w:r w:rsidR="00BE338B">
        <w:rPr>
          <w:noProof/>
        </w:rPr>
        <w:t>1</w:t>
      </w:r>
      <w:r>
        <w:fldChar w:fldCharType="end"/>
      </w:r>
      <w:r>
        <w:t xml:space="preserve"> </w:t>
      </w:r>
      <w:r w:rsidR="00FD114D">
        <w:t xml:space="preserve">is adapted </w:t>
      </w:r>
      <w:r>
        <w:t xml:space="preserve">from “The Lexis Diagram” by Rau et al., </w:t>
      </w:r>
      <w:r w:rsidR="00FD114D">
        <w:t xml:space="preserve">and </w:t>
      </w:r>
      <w:r>
        <w:t>demonstrates how the Lexis surface should look for age-, period- and cohort effects</w:t>
      </w:r>
      <w:r w:rsidR="009F1590">
        <w:t xml:space="preserve"> </w:t>
      </w:r>
      <w:r>
        <w:fldChar w:fldCharType="begin"/>
      </w:r>
      <w:r w:rsidR="00626CB8">
        <w:instrText xml:space="preserve"> ADDIN ZOTERO_ITEM CSL_CITATION {"citationID":"gaYiB9pX","properties":{"formattedCitation":"(Rau et al., 2018)","plainCitation":"(Rau et al., 2018)","noteIndex":0},"citationItems":[{"id":1692,"uris":["http://zotero.org/users/7125982/items/CEN3NTSW"],"itemData":{"id":1692,"type":"chapter","abstract":"The second chapter specifies how a Lexis diagram is constructed and shows that cohorts are depicted on the 45</w:instrText>
      </w:r>
      <w:r w:rsidR="00626CB8">
        <w:rPr>
          <w:rFonts w:ascii="Cambria Math" w:hAnsi="Cambria Math" w:cs="Cambria Math"/>
        </w:rPr>
        <w:instrText>∘</w:instrText>
      </w:r>
      <w:r w:rsidR="00626CB8">
        <w:instrText xml:space="preserve"> line. It briefly discusses the so-called identification problem of standard methods of age-, period-, and cohort analysis and explains how those effects look like in the Lexis diagram. The chapter concludes with a brief history of the depiction of population dynamics in three dimensions.","collection-title":"The Springer Series on Demographic Methods and Population Analysis","container-title":"Visualizing Mortality Dynamics in the Lexis Diagram","event-place":"Cham","ISBN":"978-3-319-64820-0","language":"en","note":"DOI: 10.1007/978-3-319-64820-0_2","page":"5-10","publisher":"Springer International Publishing","publisher-place":"Cham","source":"Springer Link","title":"The Lexis Diagram","URL":"https://doi.org/10.1007/978-3-319-64820-0_2","author":[{"family":"Rau","given":"Roland"},{"family":"Bohk-Ewald","given":"Christina"},{"family":"Muszyńska","given":"Magdalena M."},{"family":"Vaupel","given":"James W."}],"editor":[{"family":"Rau","given":"Roland"},{"family":"Bohk-Ewald","given":"Christina"},{"family":"Muszyńska","given":"Magdalena M."},{"family":"Vaupel","given":"James W."}],"accessed":{"date-parts":[["2023",3,11]]},"issued":{"date-parts":[["2018"]]}}}],"schema":"https://github.com/citation-style-language/schema/raw/master/csl-citation.json"} </w:instrText>
      </w:r>
      <w:r>
        <w:fldChar w:fldCharType="separate"/>
      </w:r>
      <w:r w:rsidR="0099441B">
        <w:rPr>
          <w:rFonts w:cs="Arial"/>
        </w:rPr>
        <w:t>(Rau et al., 2018)</w:t>
      </w:r>
      <w:r>
        <w:fldChar w:fldCharType="end"/>
      </w:r>
      <w:r w:rsidR="009F1590">
        <w:t>.</w:t>
      </w:r>
      <w:r>
        <w:t xml:space="preserve"> </w:t>
      </w:r>
      <w:r w:rsidR="0092519C">
        <w:t>Figures 1a and 1c</w:t>
      </w:r>
      <w:r>
        <w:t xml:space="preserve"> show how a Lexis surface would look with “pure” age or period effects. If this were for mortality, it would imply that either only age or only the time period were impacting the outcome (deaths). </w:t>
      </w:r>
      <w:r w:rsidR="0092519C">
        <w:t>Figure 1b</w:t>
      </w:r>
      <w:r>
        <w:t xml:space="preserve"> highlights what we are interested in—a pure cohort effect. Birth cohorts move along the 45-degree line</w:t>
      </w:r>
      <w:r w:rsidR="00054BDE">
        <w:t xml:space="preserve"> </w:t>
      </w:r>
      <w:r>
        <w:t>—</w:t>
      </w:r>
      <w:r w:rsidR="00054BDE">
        <w:t xml:space="preserve"> </w:t>
      </w:r>
      <w:r>
        <w:t xml:space="preserve">each 1-year increase in time corresponds with a 1-year increase in age. The diagonal line from bottom left to top right therefore represents a group of individuals born at the same time who have their own specific mortality outcomes across the time period. These are idealised illustrations, as we will see when looking at the real Lexis </w:t>
      </w:r>
      <w:r w:rsidR="00054BDE">
        <w:t>d</w:t>
      </w:r>
      <w:r>
        <w:t>iagram of mortality in England and Wales.</w:t>
      </w:r>
    </w:p>
    <w:p w14:paraId="031EAC42" w14:textId="45E8148A" w:rsidR="00382AC9" w:rsidRDefault="0092519C" w:rsidP="00382AC9">
      <w:r>
        <w:rPr>
          <w:noProof/>
          <w14:ligatures w14:val="standardContextual"/>
        </w:rPr>
        <w:lastRenderedPageBreak/>
        <w:drawing>
          <wp:inline distT="0" distB="0" distL="0" distR="0" wp14:anchorId="46B37541" wp14:editId="39DB2BB8">
            <wp:extent cx="5731510" cy="2057400"/>
            <wp:effectExtent l="0" t="0" r="0" b="0"/>
            <wp:docPr id="117466529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65291" name="Picture 1"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057400"/>
                    </a:xfrm>
                    <a:prstGeom prst="rect">
                      <a:avLst/>
                    </a:prstGeom>
                  </pic:spPr>
                </pic:pic>
              </a:graphicData>
            </a:graphic>
          </wp:inline>
        </w:drawing>
      </w:r>
    </w:p>
    <w:p w14:paraId="4AC308F6" w14:textId="1D2C5C62" w:rsidR="00382AC9" w:rsidRDefault="00382AC9" w:rsidP="00382AC9">
      <w:pPr>
        <w:pStyle w:val="Caption"/>
      </w:pPr>
      <w:bookmarkStart w:id="4" w:name="_Ref129428380"/>
      <w:bookmarkStart w:id="5" w:name="_Toc133496219"/>
      <w:r>
        <w:t xml:space="preserve">Figure </w:t>
      </w:r>
      <w:r w:rsidR="00537CEF">
        <w:fldChar w:fldCharType="begin"/>
      </w:r>
      <w:r w:rsidR="00537CEF">
        <w:instrText xml:space="preserve"> SEQ Figure \* ARABIC </w:instrText>
      </w:r>
      <w:r w:rsidR="00537CEF">
        <w:fldChar w:fldCharType="separate"/>
      </w:r>
      <w:r w:rsidR="00537CEF">
        <w:rPr>
          <w:noProof/>
        </w:rPr>
        <w:t>1</w:t>
      </w:r>
      <w:r w:rsidR="00537CEF">
        <w:fldChar w:fldCharType="end"/>
      </w:r>
      <w:bookmarkEnd w:id="4"/>
      <w:r>
        <w:t xml:space="preserve">: </w:t>
      </w:r>
      <w:r w:rsidR="004D1954">
        <w:t xml:space="preserve">Idealised illustrations of Lexis diagrams showing 3 different types of cohort effects: </w:t>
      </w:r>
      <w:r w:rsidRPr="0050209A">
        <w:t xml:space="preserve">“Ideal” age-, </w:t>
      </w:r>
      <w:r w:rsidR="0092519C">
        <w:t>cohort</w:t>
      </w:r>
      <w:r w:rsidRPr="0050209A">
        <w:t xml:space="preserve">-, and </w:t>
      </w:r>
      <w:r w:rsidR="0092519C">
        <w:t xml:space="preserve">period </w:t>
      </w:r>
      <w:r w:rsidRPr="0050209A">
        <w:t>effects on the Lexis surface</w:t>
      </w:r>
      <w:r>
        <w:t xml:space="preserve">. </w:t>
      </w:r>
      <w:r w:rsidR="0092519C">
        <w:t>Adapted from</w:t>
      </w:r>
      <w:r>
        <w:t xml:space="preserve"> Rau et al, 2017.</w:t>
      </w:r>
      <w:bookmarkEnd w:id="5"/>
    </w:p>
    <w:p w14:paraId="4CD3A39A" w14:textId="77777777" w:rsidR="00625CB6" w:rsidRPr="00625CB6" w:rsidRDefault="00625CB6" w:rsidP="00625CB6">
      <w:pPr>
        <w:rPr>
          <w:lang w:eastAsia="en-US"/>
        </w:rPr>
      </w:pPr>
    </w:p>
    <w:p w14:paraId="373BACEC" w14:textId="77777777" w:rsidR="00382AC9" w:rsidRDefault="00382AC9" w:rsidP="00382AC9">
      <w:pPr>
        <w:pStyle w:val="Heading2"/>
      </w:pPr>
      <w:bookmarkStart w:id="6" w:name="_Toc133496220"/>
      <w:r>
        <w:t>The Golden Cohort</w:t>
      </w:r>
      <w:bookmarkEnd w:id="6"/>
    </w:p>
    <w:p w14:paraId="0765A544" w14:textId="5E0B8DE6" w:rsidR="00382AC9" w:rsidRDefault="005F61BD" w:rsidP="00382AC9">
      <w:pPr>
        <w:keepNext/>
      </w:pPr>
      <w:r>
        <w:fldChar w:fldCharType="begin"/>
      </w:r>
      <w:r>
        <w:instrText xml:space="preserve"> REF _Ref134704269 </w:instrText>
      </w:r>
      <w:r>
        <w:fldChar w:fldCharType="separate"/>
      </w:r>
      <w:r>
        <w:t xml:space="preserve">Figure </w:t>
      </w:r>
      <w:r>
        <w:rPr>
          <w:noProof/>
        </w:rPr>
        <w:t>2</w:t>
      </w:r>
      <w:r>
        <w:fldChar w:fldCharType="end"/>
      </w:r>
      <w:r w:rsidR="00D54E4D">
        <w:fldChar w:fldCharType="begin"/>
      </w:r>
      <w:r w:rsidR="00D54E4D">
        <w:instrText xml:space="preserve"> REF _Ref129428380 </w:instrText>
      </w:r>
      <w:r w:rsidR="008E729F">
        <w:fldChar w:fldCharType="separate"/>
      </w:r>
      <w:r w:rsidR="00D54E4D">
        <w:fldChar w:fldCharType="end"/>
      </w:r>
      <w:r w:rsidR="00D54E4D">
        <w:t xml:space="preserve"> </w:t>
      </w:r>
      <w:r w:rsidR="00382AC9">
        <w:t xml:space="preserve">shows </w:t>
      </w:r>
      <w:r w:rsidR="004A59D1">
        <w:t>Lexis diagrams</w:t>
      </w:r>
      <w:r w:rsidR="00382AC9">
        <w:t xml:space="preserve"> for males </w:t>
      </w:r>
      <w:r w:rsidR="004A59D1">
        <w:t xml:space="preserve">and females </w:t>
      </w:r>
      <w:r w:rsidR="00382AC9">
        <w:t xml:space="preserve">from 1913 to 2008, reproduced </w:t>
      </w:r>
      <w:r w:rsidR="00BF59F4">
        <w:t xml:space="preserve">with kind permission </w:t>
      </w:r>
      <w:r w:rsidR="00382AC9">
        <w:t>from an Office for National Statistics</w:t>
      </w:r>
      <w:r w:rsidR="00BF59F4">
        <w:t xml:space="preserve"> (ONS)</w:t>
      </w:r>
      <w:r w:rsidR="00382AC9">
        <w:t xml:space="preserve"> paper exploring the phenomenon of the Golden Cohort in 2011</w:t>
      </w:r>
      <w:r w:rsidR="009F1590">
        <w:t xml:space="preserve"> </w:t>
      </w:r>
      <w:r w:rsidR="00382AC9">
        <w:fldChar w:fldCharType="begin"/>
      </w:r>
      <w:r w:rsidR="0099441B">
        <w:instrText xml:space="preserve"> ADDIN ZOTERO_ITEM CSL_CITATION {"citationID":"a2b0c50hb7k","properties":{"formattedCitation":"(Goldring et al., 2011)","plainCitation":"(Goldring et al., 2011)","noteIndex":0},"citationItems":[{"id":1628,"uris":["http://zotero.org/users/7125982/items/SP5UID8L"],"itemData":{"id":1628,"type":"article-journal","container-title":"Population Trends","DOI":"10.1057/pt.2011.24","ISSN":"2040-1590","issue":"1","journalAbbreviation":"Popul Trends","language":"en","page":"203-232","source":"DOI.org (Crossref)","title":"Mortality of the ‘Golden Generation’: What can the ONS Longitudinal Study tell us?","title-short":"Mortality of the ‘Golden Generation’","volume":"145","author":[{"family":"Goldring","given":"Shayla"},{"family":"Henretty","given":"Nigel"},{"family":"Mills","given":"Julie"},{"family":"Johnson","given":"Kate"},{"family":"Smallwood","given":"Steve"}],"issued":{"date-parts":[["2011",9]]}}}],"schema":"https://github.com/citation-style-language/schema/raw/master/csl-citation.json"} </w:instrText>
      </w:r>
      <w:r w:rsidR="00382AC9">
        <w:fldChar w:fldCharType="separate"/>
      </w:r>
      <w:r w:rsidR="0099441B">
        <w:rPr>
          <w:rFonts w:cs="Arial"/>
        </w:rPr>
        <w:t>(Goldring et al., 2011)</w:t>
      </w:r>
      <w:r w:rsidR="00382AC9">
        <w:fldChar w:fldCharType="end"/>
      </w:r>
      <w:r w:rsidR="009F1590">
        <w:t>.</w:t>
      </w:r>
      <w:r w:rsidR="00382AC9">
        <w:t xml:space="preserve"> Along the horizontal axis is the year the data refer to, and on the vertical axis is the age of the population being examined. The colours correspond to the annual percentage change in mortality rates where dark, medium, and light blue represent a negative change</w:t>
      </w:r>
      <w:r w:rsidR="00054BDE">
        <w:t>,</w:t>
      </w:r>
      <w:r w:rsidR="00382AC9">
        <w:t xml:space="preserve"> </w:t>
      </w:r>
      <w:r w:rsidR="008866C1">
        <w:t>i.e.,</w:t>
      </w:r>
      <w:r w:rsidR="00382AC9">
        <w:t xml:space="preserve"> a worsening of mortality compared to the previous year, and yellow, orange, and red represent improvement in mortality. Light green shows no change, and dark green, </w:t>
      </w:r>
      <w:r w:rsidR="00054BDE">
        <w:t xml:space="preserve">represents the </w:t>
      </w:r>
      <w:r w:rsidR="00382AC9">
        <w:t>modest</w:t>
      </w:r>
      <w:r w:rsidR="00054BDE">
        <w:t xml:space="preserve"> </w:t>
      </w:r>
      <w:r w:rsidR="00382AC9">
        <w:t>improvement</w:t>
      </w:r>
      <w:r w:rsidR="00054BDE">
        <w:t>s</w:t>
      </w:r>
      <w:r w:rsidR="00382AC9">
        <w:t>.</w:t>
      </w:r>
    </w:p>
    <w:p w14:paraId="6181D8C6" w14:textId="77777777" w:rsidR="00382AC9" w:rsidRDefault="00382AC9" w:rsidP="00382AC9">
      <w:pPr>
        <w:keepNext/>
      </w:pPr>
    </w:p>
    <w:p w14:paraId="4D66112D" w14:textId="0C2A3B6D" w:rsidR="00382AC9" w:rsidRDefault="00382AC9" w:rsidP="00382AC9">
      <w:pPr>
        <w:keepNext/>
      </w:pPr>
      <w:r>
        <w:t xml:space="preserve">For some major events, the same changes can be seen in both the </w:t>
      </w:r>
      <w:r w:rsidR="00054BDE">
        <w:t>L</w:t>
      </w:r>
      <w:r>
        <w:t>exis diagrams of males and females. For example, the dark blue stripe in the mid-late 1910s corresponds with World War One and the Spanish Flu pandemic. The second blue stripe from the left corresponds with the Great Depression—the period during which the Golden Cohort were born</w:t>
      </w:r>
      <w:r w:rsidR="00054BDE">
        <w:t xml:space="preserve"> </w:t>
      </w:r>
      <w:r>
        <w:t>—</w:t>
      </w:r>
      <w:r w:rsidR="00054BDE">
        <w:t xml:space="preserve"> </w:t>
      </w:r>
      <w:r>
        <w:t>and shows a greater worsening of mortality for males than females. Wages fell after 1921 and did not return to th</w:t>
      </w:r>
      <w:r w:rsidR="00054BDE">
        <w:t>e</w:t>
      </w:r>
      <w:r>
        <w:t xml:space="preserve"> level</w:t>
      </w:r>
      <w:r w:rsidR="00054BDE">
        <w:t xml:space="preserve"> there were then</w:t>
      </w:r>
      <w:r>
        <w:t xml:space="preserve"> until 1931</w:t>
      </w:r>
      <w:r w:rsidR="00054BDE">
        <w:t>. However,</w:t>
      </w:r>
      <w:r>
        <w:t xml:space="preserve"> in that year unemployment benefits were cut by 10% and that life-line </w:t>
      </w:r>
      <w:r w:rsidR="00054BDE">
        <w:t xml:space="preserve">for those in great destitution </w:t>
      </w:r>
      <w:r>
        <w:t>was not restored until 1934</w:t>
      </w:r>
      <w:r w:rsidR="009F1590">
        <w:t xml:space="preserve"> </w:t>
      </w:r>
      <w:r>
        <w:fldChar w:fldCharType="begin"/>
      </w:r>
      <w:r w:rsidR="000564EA">
        <w:instrText xml:space="preserve"> ADDIN ZOTERO_ITEM CSL_CITATION {"citationID":"a1bl2e55kjd","properties":{"formattedCitation":"(Dorling, 2023b)","plainCitation":"(Dorling, 2023b)","noteIndex":0},"citationItems":[{"id":1941,"uris":["http://zotero.org/users/7125982/items/UW866QNE"],"itemData":{"id":1941,"type":"webpage","abstract":"The gap between rich and poor is wider than it has been for a century. We think\nthat change is impossible, but it may have already begun","language":"en","title":"Have we reached peak inequality?","URL":"https://dlv.prospect.gcpp.io/politics/policy/inequality/60924/have-we-reached-peak-inequality","author":[{"family":"Dorling","given":"Danny"}],"accessed":{"date-parts":[["2023",4,22]]},"issued":{"date-parts":[["2023"]]}}}],"schema":"https://github.com/citation-style-language/schema/raw/master/csl-citation.json"} </w:instrText>
      </w:r>
      <w:r>
        <w:fldChar w:fldCharType="separate"/>
      </w:r>
      <w:r w:rsidR="000564EA">
        <w:rPr>
          <w:rFonts w:cs="Arial"/>
        </w:rPr>
        <w:t>(Dorling, 2023b)</w:t>
      </w:r>
      <w:r>
        <w:fldChar w:fldCharType="end"/>
      </w:r>
      <w:r w:rsidR="009F1590">
        <w:t>.</w:t>
      </w:r>
      <w:r>
        <w:t xml:space="preserve"> Geographical health inequality in the UK was higher in the 1930s than at any time afterwards</w:t>
      </w:r>
      <w:r w:rsidR="009F1590">
        <w:t xml:space="preserve"> </w:t>
      </w:r>
      <w:r>
        <w:fldChar w:fldCharType="begin"/>
      </w:r>
      <w:r w:rsidR="00626CB8">
        <w:instrText xml:space="preserve"> ADDIN ZOTERO_ITEM CSL_CITATION {"citationID":"a19dscgfafj","properties":{"formattedCitation":"(Dorling, 1995)","plainCitation":"(Dorling, 1995)","noteIndex":0},"citationItems":[{"id":2020,"uris":["http://zotero.org/users/7125982/items/RW5UW2R7"],"itemData":{"id":2020,"type":"article-journal","abstract":"Through the use of new mapping techniques, in particular cartogrammetry, this book depicts the social geography of Britain at a highly detailed level. Using the administrative area of the ward as its basis for study; and using data from three national censuses together with employment, housing, education, finance and health records; this study reveals new patterns of social and ethnic population structure and precise representations of socioeconomic segregation. The book is divided into seven chapters dealing with population, demography, economic patterns, housing, health, society and politics respectively. Data is systematically presented in the form of coloured cartograms. A rigorous analysis of ward by ward data is presented for each section, covering a wide range of criteria. Explanations of the techniques used to create the cartograms are given. -after Publisher","container-title":"A new social atlas of Britain","language":"en","note":"ISBN: 9780471948681\npublisher: Wiley-Blackwell","source":"ora.ox.ac.uk","title":"A new social atlas of Britain","URL":"https://ora.ox.ac.uk/objects/uuid:df0f93aa-d387-4269-9b08-6d4a8f99f458","author":[{"family":"Dorling","given":"D."}],"accessed":{"date-parts":[["2023",4,25]]},"issued":{"date-parts":[["1995"]]}}}],"schema":"https://github.com/citation-style-language/schema/raw/master/csl-citation.json"} </w:instrText>
      </w:r>
      <w:r>
        <w:fldChar w:fldCharType="separate"/>
      </w:r>
      <w:r w:rsidR="0099441B">
        <w:rPr>
          <w:rFonts w:cs="Arial"/>
        </w:rPr>
        <w:t>(Dorling, 1995)</w:t>
      </w:r>
      <w:r>
        <w:fldChar w:fldCharType="end"/>
      </w:r>
      <w:r w:rsidR="009F1590">
        <w:t>.</w:t>
      </w:r>
      <w:r>
        <w:t xml:space="preserve"> The effects of these circumstances and </w:t>
      </w:r>
      <w:r w:rsidR="00054BDE">
        <w:t xml:space="preserve">the political </w:t>
      </w:r>
      <w:r>
        <w:t xml:space="preserve">decisions </w:t>
      </w:r>
      <w:r w:rsidR="00054BDE">
        <w:t xml:space="preserve">made in these years </w:t>
      </w:r>
      <w:r>
        <w:t>can be seen in the colours in the lexis diagram for men between age</w:t>
      </w:r>
      <w:r w:rsidR="00054BDE">
        <w:t>s</w:t>
      </w:r>
      <w:r>
        <w:t xml:space="preserve"> 20 and 40 especially. The third blue st</w:t>
      </w:r>
      <w:r w:rsidR="00B32261">
        <w:t>r</w:t>
      </w:r>
      <w:r>
        <w:t>ipe from the left again is dominant for males in the 1940s, coinciding with WWII, with a lighter blue (</w:t>
      </w:r>
      <w:r w:rsidR="008866C1">
        <w:t>i.e.,</w:t>
      </w:r>
      <w:r>
        <w:t xml:space="preserve"> less negative change in mortality) </w:t>
      </w:r>
      <w:r w:rsidR="00054BDE">
        <w:t xml:space="preserve">being seen then </w:t>
      </w:r>
      <w:r>
        <w:t xml:space="preserve">for females. The red/brown high improvements in the mid-1940s to mid-1950s in both sexes likely represent fewer men dying from war injuries, the creation </w:t>
      </w:r>
      <w:r>
        <w:lastRenderedPageBreak/>
        <w:t xml:space="preserve">of the NHS, the welfare state, </w:t>
      </w:r>
      <w:r w:rsidR="00054BDE">
        <w:t xml:space="preserve">the new </w:t>
      </w:r>
      <w:r>
        <w:t xml:space="preserve">availability of antibiotics, and </w:t>
      </w:r>
      <w:r w:rsidR="00054BDE">
        <w:t xml:space="preserve">the onset of </w:t>
      </w:r>
      <w:r>
        <w:t xml:space="preserve">vaccination campaigns, with substantial improvements </w:t>
      </w:r>
      <w:r w:rsidR="00054BDE">
        <w:t xml:space="preserve">then seen </w:t>
      </w:r>
      <w:r>
        <w:t>at younger age groups; but also a remarkable fall in the frequency and severity of what people at the time called flu-like diseases (which peaked in Britain in 1951).</w:t>
      </w:r>
    </w:p>
    <w:p w14:paraId="15B27423" w14:textId="77777777" w:rsidR="004A59D1" w:rsidRDefault="004A59D1" w:rsidP="004A59D1">
      <w:pPr>
        <w:keepNext/>
      </w:pPr>
      <w:r>
        <w:rPr>
          <w:noProof/>
          <w14:ligatures w14:val="standardContextual"/>
        </w:rPr>
        <w:drawing>
          <wp:inline distT="0" distB="0" distL="0" distR="0" wp14:anchorId="11713542" wp14:editId="14AA2888">
            <wp:extent cx="5731510" cy="2376170"/>
            <wp:effectExtent l="0" t="0" r="0" b="0"/>
            <wp:docPr id="650605198"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05198" name="Picture 4"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376170"/>
                    </a:xfrm>
                    <a:prstGeom prst="rect">
                      <a:avLst/>
                    </a:prstGeom>
                  </pic:spPr>
                </pic:pic>
              </a:graphicData>
            </a:graphic>
          </wp:inline>
        </w:drawing>
      </w:r>
    </w:p>
    <w:p w14:paraId="7864A8A6" w14:textId="764F9858" w:rsidR="004A59D1" w:rsidRDefault="004A59D1" w:rsidP="004A59D1">
      <w:pPr>
        <w:pStyle w:val="Caption"/>
      </w:pPr>
      <w:bookmarkStart w:id="7" w:name="_Ref134704269"/>
      <w:r>
        <w:t xml:space="preserve">Figure </w:t>
      </w:r>
      <w:r w:rsidR="00537CEF">
        <w:fldChar w:fldCharType="begin"/>
      </w:r>
      <w:r w:rsidR="00537CEF">
        <w:instrText xml:space="preserve"> SEQ Figure \* ARABIC </w:instrText>
      </w:r>
      <w:r w:rsidR="00537CEF">
        <w:fldChar w:fldCharType="separate"/>
      </w:r>
      <w:r w:rsidR="00537CEF">
        <w:rPr>
          <w:noProof/>
        </w:rPr>
        <w:t>2</w:t>
      </w:r>
      <w:r w:rsidR="00537CEF">
        <w:fldChar w:fldCharType="end"/>
      </w:r>
      <w:bookmarkEnd w:id="7"/>
      <w:r>
        <w:t xml:space="preserve">: </w:t>
      </w:r>
      <w:r w:rsidRPr="00446D6A">
        <w:t>Annual percentage change in smoothed mortality rates, England and Wales, 1913 to 2008 using three year rolling averages, males (left) and females (right). Source: Goldring et al, 2011. Reproduced with kind permission of the authors at ONS.</w:t>
      </w:r>
    </w:p>
    <w:p w14:paraId="23C0ABB0" w14:textId="77777777" w:rsidR="00BF59F4" w:rsidRDefault="00BF59F4" w:rsidP="00382AC9"/>
    <w:p w14:paraId="218CA41A" w14:textId="153EB725" w:rsidR="00382AC9" w:rsidRDefault="00382AC9" w:rsidP="00382AC9">
      <w:r>
        <w:t>There are other features in the</w:t>
      </w:r>
      <w:r w:rsidRPr="5706CCB5">
        <w:t xml:space="preserve"> </w:t>
      </w:r>
      <w:r>
        <w:t xml:space="preserve">lexis diagrams </w:t>
      </w:r>
      <w:r w:rsidR="00054BDE">
        <w:t xml:space="preserve">in Figure 2 </w:t>
      </w:r>
      <w:r>
        <w:t xml:space="preserve">that can be picked out, but the key tell-tale sign of a cohort effect is in both Figures: the golden/orange stripe </w:t>
      </w:r>
      <w:r w:rsidR="00B92676">
        <w:t xml:space="preserve">for both males and females </w:t>
      </w:r>
      <w:r>
        <w:t>around age 40 years</w:t>
      </w:r>
      <w:r w:rsidR="00B92676">
        <w:t xml:space="preserve"> old</w:t>
      </w:r>
      <w:r>
        <w:t xml:space="preserve"> </w:t>
      </w:r>
      <w:r w:rsidR="00054BDE">
        <w:t xml:space="preserve">in the late 1970s </w:t>
      </w:r>
      <w:r>
        <w:t xml:space="preserve">that continues </w:t>
      </w:r>
      <w:r w:rsidR="00B92676">
        <w:t>diagonally</w:t>
      </w:r>
      <w:r>
        <w:t xml:space="preserve"> up and right</w:t>
      </w:r>
      <w:r w:rsidR="00B92676">
        <w:t xml:space="preserve"> from the late 1970s/early 1980s </w:t>
      </w:r>
      <w:r w:rsidR="00054BDE">
        <w:t xml:space="preserve">all the way through </w:t>
      </w:r>
      <w:r>
        <w:t>to 2008</w:t>
      </w:r>
      <w:r w:rsidR="00B92676">
        <w:t xml:space="preserve"> (the end of the timeline)</w:t>
      </w:r>
      <w:r>
        <w:t>. What th</w:t>
      </w:r>
      <w:r w:rsidR="00054BDE">
        <w:t>is very important</w:t>
      </w:r>
      <w:r>
        <w:t xml:space="preserve"> line represents is a group of people born between 1925 and 1934 having better mortality improvements than all those </w:t>
      </w:r>
      <w:r w:rsidR="00054BDE">
        <w:t xml:space="preserve">born </w:t>
      </w:r>
      <w:r>
        <w:t xml:space="preserve">around them. This </w:t>
      </w:r>
      <w:r w:rsidR="00054BDE">
        <w:t xml:space="preserve">line </w:t>
      </w:r>
      <w:r>
        <w:t>is the mark of the Golden Cohort</w:t>
      </w:r>
      <w:r w:rsidR="00054BDE">
        <w:t xml:space="preserve"> on the Lexis surfaces of </w:t>
      </w:r>
      <w:r w:rsidR="00561A8E">
        <w:t>England and Wales.</w:t>
      </w:r>
    </w:p>
    <w:p w14:paraId="2B804127" w14:textId="77777777" w:rsidR="00382AC9" w:rsidRDefault="00382AC9" w:rsidP="00382AC9">
      <w:pPr>
        <w:rPr>
          <w:rFonts w:eastAsiaTheme="majorEastAsia" w:cs="Times New Roman (Headings CS)"/>
          <w:b/>
          <w:smallCaps/>
          <w:szCs w:val="32"/>
        </w:rPr>
      </w:pPr>
      <w:r>
        <w:br w:type="page"/>
      </w:r>
    </w:p>
    <w:p w14:paraId="7250487C" w14:textId="77777777" w:rsidR="00382AC9" w:rsidRPr="00AC57A9" w:rsidRDefault="00382AC9" w:rsidP="00382AC9">
      <w:pPr>
        <w:pStyle w:val="Heading1"/>
        <w:rPr>
          <w:rFonts w:eastAsia="Times New Roman"/>
          <w:lang w:eastAsia="en-GB"/>
        </w:rPr>
      </w:pPr>
      <w:bookmarkStart w:id="8" w:name="_Toc133496223"/>
      <w:r>
        <w:rPr>
          <w:rFonts w:eastAsia="Times New Roman"/>
          <w:lang w:eastAsia="en-GB"/>
        </w:rPr>
        <w:lastRenderedPageBreak/>
        <w:t>The Rise of the Golden Cohort, 1925-1934 to 2010 (Birth to Aged 76-85)</w:t>
      </w:r>
      <w:bookmarkEnd w:id="8"/>
      <w:r>
        <w:rPr>
          <w:rFonts w:eastAsia="Times New Roman"/>
          <w:lang w:eastAsia="en-GB"/>
        </w:rPr>
        <w:t xml:space="preserve"> </w:t>
      </w:r>
    </w:p>
    <w:p w14:paraId="0CF9BCA7" w14:textId="77777777" w:rsidR="00382AC9" w:rsidRPr="00B878BE" w:rsidRDefault="00382AC9" w:rsidP="00382AC9">
      <w:pPr>
        <w:pStyle w:val="Heading2"/>
        <w:rPr>
          <w:rFonts w:eastAsia="Times New Roman"/>
          <w:lang w:eastAsia="en-GB"/>
        </w:rPr>
      </w:pPr>
      <w:bookmarkStart w:id="9" w:name="_Toc133496224"/>
      <w:r w:rsidRPr="00C52B30">
        <w:rPr>
          <w:rFonts w:eastAsia="Times New Roman"/>
          <w:lang w:eastAsia="en-GB"/>
        </w:rPr>
        <w:t xml:space="preserve">The </w:t>
      </w:r>
      <w:r>
        <w:rPr>
          <w:rFonts w:eastAsia="Times New Roman"/>
          <w:lang w:eastAsia="en-GB"/>
        </w:rPr>
        <w:t>early years: 1930s to 1960s (Birth-Aged 16 to 25 years)</w:t>
      </w:r>
      <w:bookmarkEnd w:id="9"/>
    </w:p>
    <w:p w14:paraId="63C71308" w14:textId="28EE2AA3" w:rsidR="00382AC9" w:rsidRDefault="00382AC9" w:rsidP="00382AC9">
      <w:pPr>
        <w:sectPr w:rsidR="00382AC9">
          <w:footerReference w:type="even" r:id="rId10"/>
          <w:footerReference w:type="default" r:id="rId11"/>
          <w:pgSz w:w="11906" w:h="16838"/>
          <w:pgMar w:top="1440" w:right="1440" w:bottom="1440" w:left="1440" w:header="708" w:footer="708" w:gutter="0"/>
          <w:cols w:space="708"/>
          <w:docGrid w:linePitch="360"/>
        </w:sectPr>
      </w:pPr>
      <w:r>
        <w:t xml:space="preserve">The Golden Cohort lived through, and for </w:t>
      </w:r>
      <w:r w:rsidR="00054BDE">
        <w:t>the small minority that remain</w:t>
      </w:r>
      <w:r>
        <w:t xml:space="preserve">, continue to live through, significant widespread events that impacted on the health of the population in Britain in both positive and negative ways. </w:t>
      </w:r>
      <w:r>
        <w:fldChar w:fldCharType="begin"/>
      </w:r>
      <w:r>
        <w:instrText xml:space="preserve"> REF _Ref133326516 </w:instrText>
      </w:r>
      <w:r>
        <w:fldChar w:fldCharType="separate"/>
      </w:r>
      <w:r w:rsidR="00BE338B">
        <w:t xml:space="preserve">Figure </w:t>
      </w:r>
      <w:r w:rsidR="00BE338B">
        <w:rPr>
          <w:noProof/>
        </w:rPr>
        <w:t>3</w:t>
      </w:r>
      <w:r>
        <w:fldChar w:fldCharType="end"/>
      </w:r>
      <w:r>
        <w:t xml:space="preserve"> shows a selection of significant events from 1914 to 1959</w:t>
      </w:r>
      <w:r w:rsidR="009F1590">
        <w:t xml:space="preserve"> </w:t>
      </w:r>
      <w:r>
        <w:fldChar w:fldCharType="begin"/>
      </w:r>
      <w:r w:rsidR="0099441B">
        <w:instrText xml:space="preserve"> ADDIN ZOTERO_ITEM CSL_CITATION {"citationID":"1PFt6qSz","properties":{"formattedCitation":"(Goldring et al., 2011)","plainCitation":"(Goldring et al., 2011)","noteIndex":0},"citationItems":[{"id":1628,"uris":["http://zotero.org/users/7125982/items/SP5UID8L"],"itemData":{"id":1628,"type":"article-journal","container-title":"Population Trends","DOI":"10.1057/pt.2011.24","ISSN":"2040-1590","issue":"1","journalAbbreviation":"Popul Trends","language":"en","page":"203-232","source":"DOI.org (Crossref)","title":"Mortality of the ‘Golden Generation’: What can the ONS Longitudinal Study tell us?","title-short":"Mortality of the ‘Golden Generation’","volume":"145","author":[{"family":"Goldring","given":"Shayla"},{"family":"Henretty","given":"Nigel"},{"family":"Mills","given":"Julie"},{"family":"Johnson","given":"Kate"},{"family":"Smallwood","given":"Steve"}],"issued":{"date-parts":[["2011",9]]}}}],"schema":"https://github.com/citation-style-language/schema/raw/master/csl-citation.json"} </w:instrText>
      </w:r>
      <w:r>
        <w:fldChar w:fldCharType="separate"/>
      </w:r>
      <w:r w:rsidR="0099441B">
        <w:rPr>
          <w:rFonts w:cs="Arial"/>
        </w:rPr>
        <w:t>(Goldring et al., 2011)</w:t>
      </w:r>
      <w:r>
        <w:fldChar w:fldCharType="end"/>
      </w:r>
      <w:r w:rsidR="009F1590">
        <w:t>.</w:t>
      </w:r>
      <w:r>
        <w:t xml:space="preserve"> These include events with a positive impact on health such as the creation of the NHS, immunisation campaigns, and the </w:t>
      </w:r>
      <w:r w:rsidR="00054BDE">
        <w:t xml:space="preserve">growing </w:t>
      </w:r>
      <w:r>
        <w:t xml:space="preserve">availability of antibiotics. However, there are also substantial “unhealthy” events including two World Wars and the Great Depression, as well as the widespread </w:t>
      </w:r>
      <w:r w:rsidR="00054BDE">
        <w:t xml:space="preserve">uptake of </w:t>
      </w:r>
      <w:r>
        <w:t xml:space="preserve">smoking </w:t>
      </w:r>
      <w:r w:rsidR="00054BDE">
        <w:t>which peaked in</w:t>
      </w:r>
      <w:r>
        <w:t xml:space="preserve"> the 1950s, </w:t>
      </w:r>
      <w:r w:rsidR="00054BDE">
        <w:t>and then</w:t>
      </w:r>
      <w:r>
        <w:t xml:space="preserve"> declined gradually thereafter.</w:t>
      </w:r>
    </w:p>
    <w:p w14:paraId="6731F4DE" w14:textId="77777777" w:rsidR="00382AC9" w:rsidRDefault="00382AC9" w:rsidP="00382AC9">
      <w:pPr>
        <w:keepNext/>
      </w:pPr>
      <w:r>
        <w:rPr>
          <w:noProof/>
        </w:rPr>
        <w:lastRenderedPageBreak/>
        <mc:AlternateContent>
          <mc:Choice Requires="wps">
            <w:drawing>
              <wp:anchor distT="0" distB="0" distL="114300" distR="114300" simplePos="0" relativeHeight="251659264" behindDoc="0" locked="0" layoutInCell="1" allowOverlap="1" wp14:anchorId="67982211" wp14:editId="525FDF69">
                <wp:simplePos x="0" y="0"/>
                <wp:positionH relativeFrom="column">
                  <wp:posOffset>411480</wp:posOffset>
                </wp:positionH>
                <wp:positionV relativeFrom="paragraph">
                  <wp:posOffset>2752090</wp:posOffset>
                </wp:positionV>
                <wp:extent cx="1407695" cy="324852"/>
                <wp:effectExtent l="0" t="0" r="15240" b="18415"/>
                <wp:wrapNone/>
                <wp:docPr id="6" name="Text Box 6"/>
                <wp:cNvGraphicFramePr/>
                <a:graphic xmlns:a="http://schemas.openxmlformats.org/drawingml/2006/main">
                  <a:graphicData uri="http://schemas.microsoft.com/office/word/2010/wordprocessingShape">
                    <wps:wsp>
                      <wps:cNvSpPr txBox="1"/>
                      <wps:spPr>
                        <a:xfrm>
                          <a:off x="0" y="0"/>
                          <a:ext cx="1407695" cy="324852"/>
                        </a:xfrm>
                        <a:prstGeom prst="rect">
                          <a:avLst/>
                        </a:prstGeom>
                        <a:solidFill>
                          <a:schemeClr val="accent4"/>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B901DF1" w14:textId="77777777" w:rsidR="00382AC9" w:rsidRPr="00AC0B6C" w:rsidRDefault="00382AC9" w:rsidP="00382AC9">
                            <w:pPr>
                              <w:rPr>
                                <w:rFonts w:asciiTheme="minorHAnsi" w:hAnsi="Calibri"/>
                                <w:b/>
                                <w:bCs/>
                                <w:color w:val="000000" w:themeColor="dark1"/>
                                <w:sz w:val="20"/>
                                <w:szCs w:val="20"/>
                              </w:rPr>
                            </w:pPr>
                            <w:r w:rsidRPr="00AC0B6C">
                              <w:rPr>
                                <w:rFonts w:asciiTheme="minorHAnsi" w:hAnsi="Calibri"/>
                                <w:b/>
                                <w:bCs/>
                                <w:color w:val="000000" w:themeColor="dark1"/>
                                <w:sz w:val="20"/>
                                <w:szCs w:val="20"/>
                              </w:rPr>
                              <w:t>Age of Golden Cohort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7982211" id="_x0000_t202" coordsize="21600,21600" o:spt="202" path="m,l,21600r21600,l21600,xe">
                <v:stroke joinstyle="miter"/>
                <v:path gradientshapeok="t" o:connecttype="rect"/>
              </v:shapetype>
              <v:shape id="Text Box 6" o:spid="_x0000_s1026" type="#_x0000_t202" style="position:absolute;margin-left:32.4pt;margin-top:216.7pt;width:110.85pt;height: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" fillcolor="#ffc000 [3207]" strokecolor="#7f7f7f [1601]">
                <v:textbox>
                  <w:txbxContent>
                    <w:p w14:paraId="0B901DF1" w14:textId="77777777" w:rsidR="00382AC9" w:rsidRPr="00AC0B6C" w:rsidRDefault="00382AC9" w:rsidP="00382AC9">
                      <w:pPr>
                        <w:rPr>
                          <w:rFonts w:asciiTheme="minorHAnsi" w:hAnsi="Calibri"/>
                          <w:b/>
                          <w:bCs/>
                          <w:color w:val="000000" w:themeColor="dark1"/>
                          <w:sz w:val="20"/>
                          <w:szCs w:val="20"/>
                        </w:rPr>
                      </w:pPr>
                      <w:r w:rsidRPr="00AC0B6C">
                        <w:rPr>
                          <w:rFonts w:asciiTheme="minorHAnsi" w:hAnsi="Calibri"/>
                          <w:b/>
                          <w:bCs/>
                          <w:color w:val="000000" w:themeColor="dark1"/>
                          <w:sz w:val="20"/>
                          <w:szCs w:val="20"/>
                        </w:rPr>
                        <w:t>Age of Golden Cohort</w:t>
                      </w:r>
                    </w:p>
                  </w:txbxContent>
                </v:textbox>
              </v:shape>
            </w:pict>
          </mc:Fallback>
        </mc:AlternateContent>
      </w:r>
      <w:r>
        <w:rPr>
          <w:noProof/>
        </w:rPr>
        <w:drawing>
          <wp:inline distT="0" distB="0" distL="0" distR="0" wp14:anchorId="430A94F0" wp14:editId="08009435">
            <wp:extent cx="8863330" cy="378841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3330" cy="3788410"/>
                    </a:xfrm>
                    <a:prstGeom prst="rect">
                      <a:avLst/>
                    </a:prstGeom>
                  </pic:spPr>
                </pic:pic>
              </a:graphicData>
            </a:graphic>
          </wp:inline>
        </w:drawing>
      </w:r>
    </w:p>
    <w:p w14:paraId="028BD61F" w14:textId="7372C77C" w:rsidR="00382AC9" w:rsidRPr="0054303B" w:rsidRDefault="00382AC9" w:rsidP="00382AC9">
      <w:pPr>
        <w:pStyle w:val="Caption"/>
        <w:rPr>
          <w:rFonts w:cstheme="majorBidi"/>
          <w:b/>
          <w:szCs w:val="26"/>
        </w:rPr>
        <w:sectPr w:rsidR="00382AC9" w:rsidRPr="0054303B" w:rsidSect="00B878BE">
          <w:footnotePr>
            <w:numFmt w:val="lowerRoman"/>
          </w:footnotePr>
          <w:pgSz w:w="16838" w:h="11906" w:orient="landscape"/>
          <w:pgMar w:top="1440" w:right="1440" w:bottom="1440" w:left="1440" w:header="708" w:footer="708" w:gutter="0"/>
          <w:cols w:space="708"/>
          <w:docGrid w:linePitch="360"/>
        </w:sectPr>
      </w:pPr>
      <w:bookmarkStart w:id="10" w:name="_Ref133326516"/>
      <w:bookmarkStart w:id="11" w:name="_Toc133496225"/>
      <w:r>
        <w:t xml:space="preserve">Figure </w:t>
      </w:r>
      <w:r w:rsidR="00537CEF">
        <w:fldChar w:fldCharType="begin"/>
      </w:r>
      <w:r w:rsidR="00537CEF">
        <w:instrText xml:space="preserve"> SEQ Figure \* ARABIC </w:instrText>
      </w:r>
      <w:r w:rsidR="00537CEF">
        <w:fldChar w:fldCharType="separate"/>
      </w:r>
      <w:r w:rsidR="00537CEF">
        <w:rPr>
          <w:noProof/>
        </w:rPr>
        <w:t>3</w:t>
      </w:r>
      <w:r w:rsidR="00537CEF">
        <w:fldChar w:fldCharType="end"/>
      </w:r>
      <w:bookmarkEnd w:id="10"/>
      <w:r>
        <w:t xml:space="preserve">: </w:t>
      </w:r>
      <w:r w:rsidRPr="007A1401">
        <w:t>Timeline of selected events from 1914 to 19</w:t>
      </w:r>
      <w:r>
        <w:t>59</w:t>
      </w:r>
      <w:r w:rsidRPr="007A1401">
        <w:t xml:space="preserve"> and corresponding age of the Golden Cohort. Adapted from: Goldring et al 2011</w:t>
      </w:r>
      <w:bookmarkEnd w:id="11"/>
      <w:r w:rsidR="00FD114D">
        <w:t>. Note: the height of the bars is for illustrative purposes only.</w:t>
      </w:r>
    </w:p>
    <w:p w14:paraId="49A22533" w14:textId="77777777" w:rsidR="00382AC9" w:rsidRDefault="00382AC9" w:rsidP="00382AC9"/>
    <w:p w14:paraId="6C79E95F" w14:textId="77777777" w:rsidR="00382AC9" w:rsidRDefault="00382AC9" w:rsidP="00382AC9">
      <w:pPr>
        <w:pStyle w:val="Heading3"/>
        <w:rPr>
          <w:lang w:eastAsia="en-GB"/>
        </w:rPr>
      </w:pPr>
      <w:bookmarkStart w:id="12" w:name="_Toc133496226"/>
      <w:r>
        <w:rPr>
          <w:lang w:eastAsia="en-GB"/>
        </w:rPr>
        <w:t>Rationing</w:t>
      </w:r>
      <w:bookmarkEnd w:id="12"/>
      <w:r>
        <w:rPr>
          <w:lang w:eastAsia="en-GB"/>
        </w:rPr>
        <w:t xml:space="preserve"> </w:t>
      </w:r>
    </w:p>
    <w:p w14:paraId="1BFADC2C" w14:textId="4AFEDA63" w:rsidR="00382AC9" w:rsidRDefault="00BF59F4" w:rsidP="00382AC9">
      <w:r>
        <w:t>Rationing was an</w:t>
      </w:r>
      <w:r w:rsidR="00B32261">
        <w:t xml:space="preserve"> evidence-based,</w:t>
      </w:r>
      <w:r>
        <w:t xml:space="preserve"> equitable programme that fed </w:t>
      </w:r>
      <w:r>
        <w:rPr>
          <w:i/>
          <w:iCs/>
        </w:rPr>
        <w:t xml:space="preserve">all </w:t>
      </w:r>
      <w:r>
        <w:t>children equally</w:t>
      </w:r>
      <w:r w:rsidR="005A2119">
        <w:t xml:space="preserve"> (and was not quite as generous to adults)</w:t>
      </w:r>
      <w:r>
        <w:t xml:space="preserve">. </w:t>
      </w:r>
      <w:r w:rsidR="00382AC9">
        <w:t>Research carried out between 1937 and 1939 resulted in the later war-time ration being set high for children (and their mothers)</w:t>
      </w:r>
      <w:r w:rsidR="009F1590">
        <w:t xml:space="preserve"> </w:t>
      </w:r>
      <w:r w:rsidR="00382AC9">
        <w:fldChar w:fldCharType="begin"/>
      </w:r>
      <w:r w:rsidR="00626CB8">
        <w:instrText xml:space="preserve"> ADDIN ZOTERO_ITEM CSL_CITATION {"citationID":"1mS7qvIy","properties":{"formattedCitation":"(Milne, 2022)","plainCitation":"(Milne, 2022)","noteIndex":0},"citationItems":[{"id":1935,"uris":["http://zotero.org/users/7125982/items/6WV6JJFT"],"itemData":{"id":1935,"type":"webpage","title":"A vision to feed the world","URL":"https://www.abdn.ac.uk/stories/a-vision-to-feed-the-world/index.html","author":[{"family":"Milne","given":"Jo"}],"accessed":{"date-parts":[["2023",4,22]]},"issued":{"date-parts":[["2022"]]}}}],"schema":"https://github.com/citation-style-language/schema/raw/master/csl-citation.json"} </w:instrText>
      </w:r>
      <w:r w:rsidR="00382AC9">
        <w:fldChar w:fldCharType="separate"/>
      </w:r>
      <w:r w:rsidR="00B53842">
        <w:rPr>
          <w:rFonts w:cs="Arial"/>
        </w:rPr>
        <w:t>(Milne, 2022)</w:t>
      </w:r>
      <w:r w:rsidR="00382AC9">
        <w:fldChar w:fldCharType="end"/>
      </w:r>
      <w:r w:rsidR="009F1590">
        <w:t>.</w:t>
      </w:r>
      <w:r w:rsidR="00382AC9">
        <w:t xml:space="preserve"> It was fortunate that, in 1936, work at the Rowett Institute in Aberdeen, building on earlier work in the 1920s and early 1930s, had discovered just how important nutrition was for growing children: “</w:t>
      </w:r>
      <w:r w:rsidR="00382AC9" w:rsidRPr="000A62EC">
        <w:t>So great was the interest in the 1936 study that the Carnegie Trust gave the Rowett a grant of £15,000 to carry out a more detailed study. More than a thousand families, including 3,000 children, took part across Scotland and England between 1937 and 1939.</w:t>
      </w:r>
      <w:r w:rsidR="00382AC9">
        <w:t xml:space="preserve"> </w:t>
      </w:r>
      <w:r w:rsidR="00382AC9" w:rsidRPr="000A62EC">
        <w:t>Detailed information was gathered on the socioeconomic status of each household and diet and analysis of data from the Carnegie survey was in progress at the Rowett when war broke out.</w:t>
      </w:r>
      <w:r w:rsidR="00382AC9">
        <w:t xml:space="preserve"> </w:t>
      </w:r>
      <w:r w:rsidR="00382AC9" w:rsidRPr="000A62EC">
        <w:t>Lord Woolton, Minister for Food, used these results to develop his wartime food rationing policy, which included special measures to safeguard the health of mothers and children</w:t>
      </w:r>
      <w:r w:rsidR="00382AC9">
        <w:t>”</w:t>
      </w:r>
      <w:r w:rsidR="00B53842">
        <w:t xml:space="preserve"> </w:t>
      </w:r>
      <w:r w:rsidR="00382AC9">
        <w:fldChar w:fldCharType="begin"/>
      </w:r>
      <w:r w:rsidR="00626CB8">
        <w:instrText xml:space="preserve"> ADDIN ZOTERO_ITEM CSL_CITATION {"citationID":"a10hue63vfa","properties":{"formattedCitation":"(Milne, 2022)","plainCitation":"(Milne, 2022)","noteIndex":0},"citationItems":[{"id":1935,"uris":["http://zotero.org/users/7125982/items/6WV6JJFT"],"itemData":{"id":1935,"type":"webpage","title":"A vision to feed the world","URL":"https://www.abdn.ac.uk/stories/a-vision-to-feed-the-world/index.html","author":[{"family":"Milne","given":"Jo"}],"accessed":{"date-parts":[["2023",4,22]]},"issued":{"date-parts":[["2022"]]}}}],"schema":"https://github.com/citation-style-language/schema/raw/master/csl-citation.json"} </w:instrText>
      </w:r>
      <w:r w:rsidR="00382AC9">
        <w:fldChar w:fldCharType="separate"/>
      </w:r>
      <w:r w:rsidR="00B53842">
        <w:rPr>
          <w:rFonts w:cs="Arial"/>
        </w:rPr>
        <w:t>(Milne, 2022)</w:t>
      </w:r>
      <w:r w:rsidR="00382AC9">
        <w:fldChar w:fldCharType="end"/>
      </w:r>
      <w:r w:rsidR="00B53842">
        <w:t>.</w:t>
      </w:r>
      <w:r w:rsidR="00382AC9">
        <w:t xml:space="preserve"> </w:t>
      </w:r>
    </w:p>
    <w:p w14:paraId="01DD44CD" w14:textId="77777777" w:rsidR="00382AC9" w:rsidRDefault="00382AC9" w:rsidP="00382AC9"/>
    <w:p w14:paraId="20A52485" w14:textId="7D4E908D" w:rsidR="00382AC9" w:rsidRDefault="00BF59F4" w:rsidP="00382AC9">
      <w:r>
        <w:t>Thus, u</w:t>
      </w:r>
      <w:r w:rsidR="00382AC9">
        <w:t xml:space="preserve">nlike the children who lived through the First World War, the Golden Cohort benefitted from both better knowledge of what </w:t>
      </w:r>
      <w:r w:rsidR="005A2119">
        <w:t xml:space="preserve">food </w:t>
      </w:r>
      <w:r w:rsidR="00382AC9">
        <w:t>children needed and a government policy in 1939 to feed them well at low cost to</w:t>
      </w:r>
      <w:r w:rsidR="005A2119">
        <w:t xml:space="preserve"> their</w:t>
      </w:r>
      <w:r w:rsidR="00382AC9">
        <w:t xml:space="preserve"> families. A further huge benefit was in the change over time in </w:t>
      </w:r>
      <w:r w:rsidR="005A2119">
        <w:t xml:space="preserve">our </w:t>
      </w:r>
      <w:r w:rsidR="00382AC9">
        <w:t xml:space="preserve">ability to deal with disease. Death in childhood from disease had been common before this cohort were born, but saw rapid changes in their </w:t>
      </w:r>
      <w:r w:rsidR="00561A8E">
        <w:t xml:space="preserve">early years </w:t>
      </w:r>
      <w:r w:rsidR="00382AC9">
        <w:t>(</w:t>
      </w:r>
      <w:r w:rsidR="00382AC9">
        <w:fldChar w:fldCharType="begin"/>
      </w:r>
      <w:r w:rsidR="00382AC9">
        <w:instrText xml:space="preserve"> REF _Ref133326636 </w:instrText>
      </w:r>
      <w:r w:rsidR="00382AC9">
        <w:fldChar w:fldCharType="separate"/>
      </w:r>
      <w:r w:rsidR="00BE338B">
        <w:t xml:space="preserve">Figure </w:t>
      </w:r>
      <w:r w:rsidR="00BE338B">
        <w:rPr>
          <w:noProof/>
        </w:rPr>
        <w:t>4</w:t>
      </w:r>
      <w:r w:rsidR="00382AC9">
        <w:fldChar w:fldCharType="end"/>
      </w:r>
      <w:r w:rsidR="00382AC9">
        <w:t>)</w:t>
      </w:r>
      <w:r>
        <w:t>,</w:t>
      </w:r>
      <w:r w:rsidR="00382AC9">
        <w:fldChar w:fldCharType="begin"/>
      </w:r>
      <w:r w:rsidR="00626CB8">
        <w:instrText xml:space="preserve"> ADDIN ZOTERO_ITEM CSL_CITATION {"citationID":"a1h2rlfev0e","properties":{"formattedCitation":"(Dorling, 1995)","plainCitation":"(Dorling, 1995)","noteIndex":0},"citationItems":[{"id":2020,"uris":["http://zotero.org/users/7125982/items/RW5UW2R7"],"itemData":{"id":2020,"type":"article-journal","abstract":"Through the use of new mapping techniques, in particular cartogrammetry, this book depicts the social geography of Britain at a highly detailed level. Using the administrative area of the ward as its basis for study; and using data from three national censuses together with employment, housing, education, finance and health records; this study reveals new patterns of social and ethnic population structure and precise representations of socioeconomic segregation. The book is divided into seven chapters dealing with population, demography, economic patterns, housing, health, society and politics respectively. Data is systematically presented in the form of coloured cartograms. A rigorous analysis of ward by ward data is presented for each section, covering a wide range of criteria. Explanations of the techniques used to create the cartograms are given. -after Publisher","container-title":"A new social atlas of Britain","language":"en","note":"ISBN: 9780471948681\npublisher: Wiley-Blackwell","source":"ora.ox.ac.uk","title":"A new social atlas of Britain","URL":"https://ora.ox.ac.uk/objects/uuid:df0f93aa-d387-4269-9b08-6d4a8f99f458","author":[{"family":"Dorling","given":"D."}],"accessed":{"date-parts":[["2023",4,25]]},"issued":{"date-parts":[["1995"]]}}}],"schema":"https://github.com/citation-style-language/schema/raw/master/csl-citation.json"} </w:instrText>
      </w:r>
      <w:r w:rsidR="00382AC9">
        <w:fldChar w:fldCharType="separate"/>
      </w:r>
      <w:r w:rsidR="0099441B">
        <w:rPr>
          <w:rFonts w:cs="Arial"/>
        </w:rPr>
        <w:t>(Dorling, 1995)</w:t>
      </w:r>
      <w:r w:rsidR="00382AC9">
        <w:fldChar w:fldCharType="end"/>
      </w:r>
      <w:r>
        <w:t xml:space="preserve"> in large part due to</w:t>
      </w:r>
      <w:r w:rsidR="005A2119">
        <w:t xml:space="preserve"> the introduction of</w:t>
      </w:r>
      <w:r>
        <w:t xml:space="preserve"> immunisations and antibiotics</w:t>
      </w:r>
      <w:r w:rsidR="00561A8E">
        <w:t>.</w:t>
      </w:r>
    </w:p>
    <w:p w14:paraId="7A76D70F" w14:textId="77777777" w:rsidR="00382AC9" w:rsidRDefault="00382AC9" w:rsidP="00382AC9"/>
    <w:p w14:paraId="3C255C00" w14:textId="77777777" w:rsidR="00382AC9" w:rsidRDefault="00382AC9" w:rsidP="00382AC9">
      <w:pPr>
        <w:keepNext/>
      </w:pPr>
      <w:r>
        <w:rPr>
          <w:noProof/>
          <w14:ligatures w14:val="standardContextual"/>
        </w:rPr>
        <w:drawing>
          <wp:inline distT="0" distB="0" distL="0" distR="0" wp14:anchorId="194260A4" wp14:editId="55040C98">
            <wp:extent cx="4657700" cy="2325551"/>
            <wp:effectExtent l="0" t="0" r="381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rotWithShape="1">
                    <a:blip r:embed="rId13" cstate="screen">
                      <a:extLst>
                        <a:ext uri="{28A0092B-C50C-407E-A947-70E740481C1C}">
                          <a14:useLocalDpi xmlns:a14="http://schemas.microsoft.com/office/drawing/2010/main"/>
                        </a:ext>
                      </a:extLst>
                    </a:blip>
                    <a:srcRect t="17113"/>
                    <a:stretch/>
                  </pic:blipFill>
                  <pic:spPr bwMode="auto">
                    <a:xfrm>
                      <a:off x="0" y="0"/>
                      <a:ext cx="4659195" cy="2326297"/>
                    </a:xfrm>
                    <a:prstGeom prst="rect">
                      <a:avLst/>
                    </a:prstGeom>
                    <a:ln>
                      <a:noFill/>
                    </a:ln>
                    <a:extLst>
                      <a:ext uri="{53640926-AAD7-44D8-BBD7-CCE9431645EC}">
                        <a14:shadowObscured xmlns:a14="http://schemas.microsoft.com/office/drawing/2010/main"/>
                      </a:ext>
                    </a:extLst>
                  </pic:spPr>
                </pic:pic>
              </a:graphicData>
            </a:graphic>
          </wp:inline>
        </w:drawing>
      </w:r>
    </w:p>
    <w:p w14:paraId="00474817" w14:textId="4A0C63F0" w:rsidR="00382AC9" w:rsidRDefault="00382AC9" w:rsidP="00382AC9">
      <w:pPr>
        <w:pStyle w:val="Caption"/>
      </w:pPr>
      <w:bookmarkStart w:id="13" w:name="_Ref133326636"/>
      <w:bookmarkStart w:id="14" w:name="_Toc133496227"/>
      <w:r>
        <w:t xml:space="preserve">Figure </w:t>
      </w:r>
      <w:r w:rsidR="00537CEF">
        <w:fldChar w:fldCharType="begin"/>
      </w:r>
      <w:r w:rsidR="00537CEF">
        <w:instrText xml:space="preserve"> SEQ Figure \* ARABIC </w:instrText>
      </w:r>
      <w:r w:rsidR="00537CEF">
        <w:fldChar w:fldCharType="separate"/>
      </w:r>
      <w:r w:rsidR="00537CEF">
        <w:rPr>
          <w:noProof/>
        </w:rPr>
        <w:t>4</w:t>
      </w:r>
      <w:r w:rsidR="00537CEF">
        <w:fldChar w:fldCharType="end"/>
      </w:r>
      <w:bookmarkEnd w:id="13"/>
      <w:r>
        <w:t xml:space="preserve">: </w:t>
      </w:r>
      <w:r w:rsidRPr="00BC15AE">
        <w:t>Change in chan</w:t>
      </w:r>
      <w:r w:rsidR="00BC15AE" w:rsidRPr="00BC15AE">
        <w:t>c</w:t>
      </w:r>
      <w:r w:rsidRPr="00BC15AE">
        <w:t>e of dying from select diseases (by cause of death), England and Wales, 1851-1990.</w:t>
      </w:r>
      <w:r w:rsidR="00BC15AE" w:rsidRPr="00BC15AE">
        <w:t xml:space="preserve"> The graph shows the chance of an individual dying per year from each cause (log scale). The numbers in </w:t>
      </w:r>
      <w:r w:rsidR="00BC15AE" w:rsidRPr="00BC15AE">
        <w:lastRenderedPageBreak/>
        <w:t>brackets are the International Classification of Disease (ICD) codes that were used by the 1980s. The Registrar General attempted to match, as closely as he/she could, to these from earlier decades.</w:t>
      </w:r>
      <w:r w:rsidRPr="00BC15AE">
        <w:t xml:space="preserve"> Source: Dorling 1995</w:t>
      </w:r>
      <w:bookmarkEnd w:id="14"/>
    </w:p>
    <w:p w14:paraId="49A556E6" w14:textId="77777777" w:rsidR="00382AC9" w:rsidRDefault="00382AC9" w:rsidP="00382AC9"/>
    <w:p w14:paraId="67038667" w14:textId="77777777" w:rsidR="00382AC9" w:rsidRDefault="00382AC9" w:rsidP="00382AC9">
      <w:pPr>
        <w:pStyle w:val="Heading3"/>
        <w:rPr>
          <w:lang w:eastAsia="en-GB"/>
        </w:rPr>
      </w:pPr>
      <w:bookmarkStart w:id="15" w:name="_Toc133496228"/>
      <w:r>
        <w:rPr>
          <w:lang w:eastAsia="en-GB"/>
        </w:rPr>
        <w:t>Immunisations and Antibiotics</w:t>
      </w:r>
      <w:bookmarkEnd w:id="15"/>
    </w:p>
    <w:p w14:paraId="0D480546" w14:textId="51CA8F1F" w:rsidR="00382AC9" w:rsidRDefault="00382AC9" w:rsidP="00382AC9">
      <w:r>
        <w:t xml:space="preserve">As children and young adults, the Golden Cohort experienced some of the most important developments in medicine. As shown in the Timeline, </w:t>
      </w:r>
      <w:r w:rsidRPr="00DC5A24">
        <w:t>Diphtheria</w:t>
      </w:r>
      <w:r>
        <w:t xml:space="preserve"> immunisation</w:t>
      </w:r>
      <w:r w:rsidRPr="00DC5A24">
        <w:t xml:space="preserve"> and penicillin </w:t>
      </w:r>
      <w:r>
        <w:t xml:space="preserve">became available in </w:t>
      </w:r>
      <w:r w:rsidRPr="00DC5A24">
        <w:t>1941 and 1946</w:t>
      </w:r>
      <w:r>
        <w:t>. The latter was especially important to these children’s life chances, who were aged between 12 and 21 when it first became widely used. Tuberculosis (TB) was the leading single cause of death in the UK overall until 1880, and in age groups between infancy and 50 years old for both sexes until the late 1940s</w:t>
      </w:r>
      <w:r w:rsidR="009F1590">
        <w:t xml:space="preserve"> </w:t>
      </w:r>
      <w:r>
        <w:fldChar w:fldCharType="begin"/>
      </w:r>
      <w:r w:rsidR="00626CB8">
        <w:instrText xml:space="preserve"> ADDIN ZOTERO_ITEM CSL_CITATION {"citationID":"a257tgeiv2u","properties":{"formattedCitation":"(Office for National Statistics, 2017)","plainCitation":"(Office for National Statistics, 2017)","noteIndex":0},"citationItems":[{"id":1826,"uris":["http://zotero.org/users/7125982/items/TBNLS5RM"],"itemData":{"id":1826,"type":"webpage","title":"Causes of death over 100 years","URL":"https://www.ons.gov.uk/peoplepopulationandcommunity/birthsdeathsandmarriages/deaths/articles/causesofdeathover100years/2017-09-18","author":[{"literal":"Office for National Statistics"}],"accessed":{"date-parts":[["2023",4,18]]},"issued":{"date-parts":[["2017"]]}}}],"schema":"https://github.com/citation-style-language/schema/raw/master/csl-citation.json"} </w:instrText>
      </w:r>
      <w:r>
        <w:fldChar w:fldCharType="separate"/>
      </w:r>
      <w:r w:rsidR="00B53842">
        <w:rPr>
          <w:rFonts w:cs="Arial"/>
        </w:rPr>
        <w:t>(Office for National Statistics, 2017)</w:t>
      </w:r>
      <w:r>
        <w:fldChar w:fldCharType="end"/>
      </w:r>
      <w:r w:rsidR="009F1590">
        <w:t>.</w:t>
      </w:r>
      <w:r>
        <w:t xml:space="preserve"> In 1948, when the Golden Cohort were between 14 and 23 years old, the first medical clinical trial of treating pulmonary TB with an antibiotic—streptomycin—was published</w:t>
      </w:r>
      <w:r w:rsidR="009F1590">
        <w:t xml:space="preserve"> </w:t>
      </w:r>
      <w:r>
        <w:fldChar w:fldCharType="begin"/>
      </w:r>
      <w:r w:rsidR="0099441B">
        <w:instrText xml:space="preserve"> ADDIN ZOTERO_ITEM CSL_CITATION {"citationID":"a2qbr5imoh6","properties":{"formattedCitation":"(Leeming-Latham, 2015)","plainCitation":"(Leeming-Latham, 2015)","noteIndex":0},"citationItems":[{"id":1951,"uris":["http://zotero.org/users/7125982/items/JNSUQ3JU"],"itemData":{"id":1951,"type":"article-journal","abstract":"The introduction and assimilation of chemotherapy to treat pulmonary tuberculosis (TB) during the mid-twentieth century appears at first sight to be a success story dominated by the use of streptomycin in a series of randomised clinical trials run under ...","container-title":"Medical History","DOI":"10.1017/mdh.2015.19","issue":"2","language":"en","note":"publisher: Cambridge University Press\nPMID: 25766538","page":"156","source":"www.ncbi.nlm.nih.gov","title":"Unravelling the ‘Tangled Web’: Chemotherapy for Tuberculosis in Britain, 1940–70 The William Bynum Prize Essay","title-short":"Unravelling the ‘Tangled Web’","volume":"59","author":[{"family":"Leeming-Latham","given":"Clare"}],"issued":{"date-parts":[["2015",4]]}}}],"schema":"https://github.com/citation-style-language/schema/raw/master/csl-citation.json"} </w:instrText>
      </w:r>
      <w:r>
        <w:fldChar w:fldCharType="separate"/>
      </w:r>
      <w:r w:rsidR="0099441B">
        <w:rPr>
          <w:rFonts w:cs="Arial"/>
        </w:rPr>
        <w:t>(Leeming-Latham, 2015)</w:t>
      </w:r>
      <w:r>
        <w:fldChar w:fldCharType="end"/>
      </w:r>
      <w:r w:rsidR="009F1590">
        <w:t>.</w:t>
      </w:r>
      <w:r>
        <w:t xml:space="preserve"> This was followed by </w:t>
      </w:r>
      <w:r w:rsidR="005C72F2">
        <w:t xml:space="preserve">the introduction of </w:t>
      </w:r>
      <w:r>
        <w:t>safer combination</w:t>
      </w:r>
      <w:r w:rsidR="00BF59F4">
        <w:t>s</w:t>
      </w:r>
      <w:r>
        <w:t xml:space="preserve"> of chemotherapy treatments which saw mortality from TB rapidly decline, and case notifications f</w:t>
      </w:r>
      <w:r w:rsidR="005C72F2">
        <w:t>a</w:t>
      </w:r>
      <w:r>
        <w:t>ll</w:t>
      </w:r>
      <w:r w:rsidR="005C72F2">
        <w:t>ing</w:t>
      </w:r>
      <w:r>
        <w:t xml:space="preserve"> due to a combination of decreased </w:t>
      </w:r>
      <w:r w:rsidR="005C72F2">
        <w:t xml:space="preserve">infectious </w:t>
      </w:r>
      <w:r>
        <w:t>contacts and improved social and economic conditions</w:t>
      </w:r>
      <w:r w:rsidR="009F1590">
        <w:t xml:space="preserve"> </w:t>
      </w:r>
      <w:r>
        <w:fldChar w:fldCharType="begin"/>
      </w:r>
      <w:r w:rsidR="00B53842">
        <w:instrText xml:space="preserve"> ADDIN ZOTERO_ITEM CSL_CITATION {"citationID":"a5dp7o13tl","properties":{"formattedCitation":"(Glaziou et al., 2018; Leeming-Latham, 2015; Public Health England, 2013)","plainCitation":"(Glaziou et al., 2018; Leeming-Latham, 2015; Public Health England, 2013)","noteIndex":0},"citationItems":[{"id":1951,"uris":["http://zotero.org/users/7125982/items/JNSUQ3JU"],"itemData":{"id":1951,"type":"article-journal","abstract":"The introduction and assimilation of chemotherapy to treat pulmonary tuberculosis (TB) during the mid-twentieth century appears at first sight to be a success story dominated by the use of streptomycin in a series of randomised clinical trials run under ...","container-title":"Medical History","DOI":"10.1017/mdh.2015.19","issue":"2","language":"en","note":"publisher: Cambridge University Press\nPMID: 25766538","page":"156","source":"www.ncbi.nlm.nih.gov","title":"Unravelling the ‘Tangled Web’: Chemotherapy for Tuberculosis in Britain, 1940–70 The William Bynum Prize Essay","title-short":"Unravelling the ‘Tangled Web’","volume":"59","author":[{"family":"Leeming-Latham","given":"Clare"}],"issued":{"date-parts":[["2015",4]]}}},{"id":1943,"uris":["http://zotero.org/users/7125982/items/IL6UPQYY"],"itemData":{"id":1943,"type":"webpage","abstract":"Annual tuberculosis (TB) data for England and Wales, from 1913 onwards.","container-title":"GOV.UK","language":"en","title":"Tuberculosis (TB): annual notification data 1913 onwards","title-short":"Tuberculosis (TB)","URL":"https://www.gov.uk/government/publications/tuberculosis-tb-annual-notifications-1913-onwards","author":[{"literal":"Public Health England"}],"accessed":{"date-parts":[["2023",4,22]]},"issued":{"date-parts":[["2013"]]}}},{"id":1945,"uris":["http://zotero.org/users/7125982/items/XBRC68IX"],"itemData":{"id":1945,"type":"article-journal","abstract":"The industrial revolution, starting in the 18th-century England and coupled with poverty, urbanisation and squalor, created an optimal environment for the propagation of TB.1 One in four deaths were due to TB by the early 19th century.2 Since then, the remarkable decline in the burden of TB at an average annual rate of 3.3% between 1913 and 1940, documented in one of the longest ever recorded time series of data on the burden of TB (figure 1), a notifiable disease in the UK since 1912, was only interrupted by the two world wars. During those years, the temporary peaks in both incidence and mortality were linked to impoverishment of the population and poorer nutrition. In the years following the Second World War, as in other Western European countries, the fall in TB burden significantly accelerated to an average annual decline of 10% between 1955 and 1960 following the advent of modern chemotherapy. This allowed a reduction in transmission and drastically improved the prognosis of the disease, with a case fatality ratio (approximated as the ratio of mortality over incidence) of about 50% in the prechemotherapy era dropping to less than 10% within a decade of the introduction of chemotherapy. A decline in the effective contact rate3 and low TB rates have also been achieved in other settings that have in common a combination of near-universal access to …","container-title":"Thorax","DOI":"10.1136/thoraxjnl-2018-211537","ISSN":"0040-6376, 1468-3296","issue":"8","language":"en","license":"© Article author(s) (or their employer(s) unless otherwise stated in the text of the article) 2018. All rights reserved. No commercial use is permitted unless otherwise expressly granted.. 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http://creativecommons.org/licenses/by-nc/4.0/","note":"publisher: BMJ Publishing Group Ltd\nsection: Editorial\nPMID: 29674388","page":"702-703","source":"thorax.bmj.com","title":"Trends in tuberculosis in the UK","volume":"73","author":[{"family":"Glaziou","given":"Philippe"},{"family":"Floyd","given":"Katherine"},{"family":"Raviglione","given":"Mario"}],"issued":{"date-parts":[["2018",8,1]]}}}],"schema":"https://github.com/citation-style-language/schema/raw/master/csl-citation.json"} </w:instrText>
      </w:r>
      <w:r>
        <w:fldChar w:fldCharType="separate"/>
      </w:r>
      <w:r w:rsidR="00B53842">
        <w:rPr>
          <w:rFonts w:cs="Arial"/>
        </w:rPr>
        <w:t>(Glaziou et al., 2018; Leeming-Latham, 2015; Public Health England, 2013)</w:t>
      </w:r>
      <w:r>
        <w:fldChar w:fldCharType="end"/>
      </w:r>
      <w:r w:rsidR="009F1590">
        <w:t>.</w:t>
      </w:r>
      <w:r>
        <w:t xml:space="preserve"> </w:t>
      </w:r>
      <w:r w:rsidRPr="00F8754A">
        <w:t>The BCG vaccine</w:t>
      </w:r>
      <w:r>
        <w:t xml:space="preserve"> against TB</w:t>
      </w:r>
      <w:r w:rsidRPr="00F8754A">
        <w:t xml:space="preserve"> was </w:t>
      </w:r>
      <w:r>
        <w:t xml:space="preserve">also </w:t>
      </w:r>
      <w:r w:rsidRPr="00F8754A">
        <w:t xml:space="preserve">introduced </w:t>
      </w:r>
      <w:r>
        <w:t xml:space="preserve">during this period, entering </w:t>
      </w:r>
      <w:r w:rsidRPr="00F8754A">
        <w:t xml:space="preserve">the UK </w:t>
      </w:r>
      <w:r>
        <w:t xml:space="preserve">immunisation </w:t>
      </w:r>
      <w:r w:rsidRPr="00F8754A">
        <w:t>schedule in 1953</w:t>
      </w:r>
      <w:r>
        <w:t xml:space="preserve">. However, while the BCG </w:t>
      </w:r>
      <w:r w:rsidR="005C72F2">
        <w:t xml:space="preserve">vaccine </w:t>
      </w:r>
      <w:r>
        <w:t>reduces</w:t>
      </w:r>
      <w:r w:rsidR="005C72F2">
        <w:t xml:space="preserve"> chances of suffering from</w:t>
      </w:r>
      <w:r>
        <w:t xml:space="preserve"> the most severe forms of TB, such as tuberculous meningitis in children, it is less effective in preventing pulmonary TB. The effect of that immunisation on the impact on the spread of disease is limited, meaning it played a lesser role in mortality reduction</w:t>
      </w:r>
      <w:r w:rsidR="009F1590">
        <w:t xml:space="preserve"> </w:t>
      </w:r>
      <w:r>
        <w:fldChar w:fldCharType="begin"/>
      </w:r>
      <w:r w:rsidR="00B53842">
        <w:instrText xml:space="preserve"> ADDIN ZOTERO_ITEM CSL_CITATION {"citationID":"a1ekmob5rag","properties":{"formattedCitation":"(NHS, 2019)","plainCitation":"(NHS, 2019)","noteIndex":0},"citationItems":[{"id":1957,"uris":["http://zotero.org/users/7125982/items/C2KXW8GN"],"itemData":{"id":1957,"type":"webpage","abstract":"NHS information about the BCG vaccine, which protects against tuberculosis (TB). Find out who can have it and when.","container-title":"nhs.uk","language":"en","note":"section: conditions","title":"BCG vaccine for tuberculosis (TB) overview","URL":"https://www.nhs.uk/conditions/vaccinations/bcg-tuberculosis-tb-vaccine/","author":[{"literal":"NHS"}],"accessed":{"date-parts":[["2023",4,22]]},"issued":{"date-parts":[["2019"]]}}}],"schema":"https://github.com/citation-style-language/schema/raw/master/csl-citation.json"} </w:instrText>
      </w:r>
      <w:r>
        <w:fldChar w:fldCharType="separate"/>
      </w:r>
      <w:r w:rsidR="00B53842">
        <w:rPr>
          <w:rFonts w:cs="Arial"/>
        </w:rPr>
        <w:t>(NHS, 2019)</w:t>
      </w:r>
      <w:r>
        <w:fldChar w:fldCharType="end"/>
      </w:r>
      <w:r w:rsidR="009F1590">
        <w:t>.</w:t>
      </w:r>
      <w:r>
        <w:t xml:space="preserve"> </w:t>
      </w:r>
    </w:p>
    <w:p w14:paraId="1EFEF878" w14:textId="77777777" w:rsidR="00382AC9" w:rsidRDefault="00382AC9" w:rsidP="00382AC9"/>
    <w:p w14:paraId="368EC340" w14:textId="371BABAB" w:rsidR="00382AC9" w:rsidRPr="00741AA7" w:rsidRDefault="006A09EC" w:rsidP="00382AC9">
      <w:pPr>
        <w:pStyle w:val="Heading3"/>
      </w:pPr>
      <w:bookmarkStart w:id="16" w:name="_Toc133496229"/>
      <w:r>
        <w:t xml:space="preserve">Education, </w:t>
      </w:r>
      <w:r w:rsidR="00382AC9" w:rsidRPr="00741AA7">
        <w:t>employment and housing</w:t>
      </w:r>
      <w:bookmarkEnd w:id="16"/>
    </w:p>
    <w:p w14:paraId="1DE535CF" w14:textId="5D2058C8" w:rsidR="00382AC9" w:rsidRDefault="00382AC9" w:rsidP="00382AC9">
      <w:r>
        <w:t>The Golden Cohort entered the workforce, often at age 14 or 15</w:t>
      </w:r>
      <w:r w:rsidR="005C72F2">
        <w:t xml:space="preserve"> (sometimes earlier, only very rarely later)</w:t>
      </w:r>
      <w:r>
        <w:t xml:space="preserve">, at a time when jobs were plentiful and when choice over what work to do was increasing. </w:t>
      </w:r>
      <w:r w:rsidR="00DB0075">
        <w:t>Alt</w:t>
      </w:r>
      <w:r>
        <w:t>hough the</w:t>
      </w:r>
      <w:r w:rsidR="00DB0075">
        <w:t xml:space="preserve"> yo</w:t>
      </w:r>
      <w:r w:rsidR="00F465A3">
        <w:t>u</w:t>
      </w:r>
      <w:r w:rsidR="00DB0075">
        <w:t xml:space="preserve">nger among them </w:t>
      </w:r>
      <w:r>
        <w:t xml:space="preserve">benefitted from free secondary education due to the Butler Education Act of 1942, </w:t>
      </w:r>
      <w:r w:rsidR="00DB0075">
        <w:t>almost none of them went</w:t>
      </w:r>
      <w:r>
        <w:t xml:space="preserve"> to university</w:t>
      </w:r>
      <w:r w:rsidR="00DB0075">
        <w:t xml:space="preserve"> (less than 1%)</w:t>
      </w:r>
      <w:r>
        <w:t>. As young adults in the late 1940s and 1950s, most of them lived at home with their parents, who were mostly in work</w:t>
      </w:r>
      <w:r w:rsidR="005C72F2">
        <w:t xml:space="preserve"> (although many women did not work </w:t>
      </w:r>
      <w:r w:rsidR="00561A8E">
        <w:t>at that time</w:t>
      </w:r>
      <w:r w:rsidR="005C72F2">
        <w:t>)</w:t>
      </w:r>
      <w:r>
        <w:t>. A narrow majority of children at this time in the UK lived in council housing at some point in their childhood</w:t>
      </w:r>
      <w:r w:rsidR="009F1590">
        <w:t xml:space="preserve"> </w:t>
      </w:r>
      <w:r>
        <w:fldChar w:fldCharType="begin"/>
      </w:r>
      <w:r w:rsidR="0099441B">
        <w:instrText xml:space="preserve"> ADDIN ZOTERO_ITEM CSL_CITATION {"citationID":"a9559sn7sn","properties":{"formattedCitation":"(Pearson, 2016)","plainCitation":"(Pearson, 2016)","noteIndex":0},"citationItems":[{"id":2023,"uris":["http://zotero.org/users/7125982/items/SUVA2WFD"],"itemData":{"id":2023,"type":"book","abstract":"\"In March 1946, scientists began to track thousands of children born in one cold week. No one imagined that this would become the longest-running study of human development in the world, growing to encompass five generations of children. Today, they are some of the best-studied people on the planet, and the simple act of observing human life has changed the way we are born, schooled, parent and die. This is the tale of these studies and the remarkable discoveries that have come from them. Touching almost every person in Britain today, they are one of our best-kept secrets.\" --Front cover of book jacket","call-number":"HB3583.A3 P43 2016","event-place":"London","ISBN":"978-1-84614-826-2","note":"OCLC: ocn924635815","number-of-pages":"399","publisher":"Allen Lane, an imprint of Penguin Books","publisher-place":"London","source":"Library of Congress ISBN","title":"The life project: the extraordinary story of our ordinary lives","title-short":"The life project","author":[{"family":"Pearson","given":"Helen"}],"issued":{"date-parts":[["2016"]]}}}],"schema":"https://github.com/citation-style-language/schema/raw/master/csl-citation.json"} </w:instrText>
      </w:r>
      <w:r>
        <w:fldChar w:fldCharType="separate"/>
      </w:r>
      <w:r w:rsidR="0099441B">
        <w:rPr>
          <w:rFonts w:cs="Arial"/>
        </w:rPr>
        <w:t>(Pearson, 2016)</w:t>
      </w:r>
      <w:r>
        <w:fldChar w:fldCharType="end"/>
      </w:r>
      <w:r w:rsidR="009F1590">
        <w:t>.</w:t>
      </w:r>
      <w:r>
        <w:t xml:space="preserve"> This was a huge improvement on the slum </w:t>
      </w:r>
      <w:r w:rsidR="005C72F2">
        <w:t xml:space="preserve">or </w:t>
      </w:r>
      <w:r w:rsidR="00561A8E">
        <w:t>poor standard of</w:t>
      </w:r>
      <w:r w:rsidR="005C72F2">
        <w:t xml:space="preserve"> </w:t>
      </w:r>
      <w:r>
        <w:t xml:space="preserve">housing that </w:t>
      </w:r>
      <w:r w:rsidR="005C72F2">
        <w:t xml:space="preserve">most British </w:t>
      </w:r>
      <w:r>
        <w:t xml:space="preserve">children </w:t>
      </w:r>
      <w:r w:rsidR="005C72F2">
        <w:t>had</w:t>
      </w:r>
      <w:r>
        <w:t xml:space="preserve"> mostly grown up in during the 1920s.</w:t>
      </w:r>
    </w:p>
    <w:p w14:paraId="7D4E0B94" w14:textId="77777777" w:rsidR="00382AC9" w:rsidRPr="000A62EC" w:rsidRDefault="00382AC9" w:rsidP="00382AC9"/>
    <w:p w14:paraId="361F349D" w14:textId="55EDE160" w:rsidR="00382AC9" w:rsidRDefault="00382AC9" w:rsidP="00382AC9">
      <w:pPr>
        <w:pStyle w:val="Heading3"/>
        <w:rPr>
          <w:lang w:eastAsia="en-GB"/>
        </w:rPr>
      </w:pPr>
      <w:bookmarkStart w:id="17" w:name="_Toc133496230"/>
      <w:r>
        <w:rPr>
          <w:lang w:eastAsia="en-GB"/>
        </w:rPr>
        <w:t>Birth of the NHS</w:t>
      </w:r>
      <w:r w:rsidR="001032C4">
        <w:rPr>
          <w:lang w:eastAsia="en-GB"/>
        </w:rPr>
        <w:t>:</w:t>
      </w:r>
      <w:r>
        <w:rPr>
          <w:lang w:eastAsia="en-GB"/>
        </w:rPr>
        <w:t xml:space="preserve"> </w:t>
      </w:r>
      <w:r w:rsidR="005C72F2">
        <w:rPr>
          <w:lang w:eastAsia="en-GB"/>
        </w:rPr>
        <w:t xml:space="preserve">when the Golden Cohort was </w:t>
      </w:r>
      <w:r>
        <w:rPr>
          <w:lang w:eastAsia="en-GB"/>
        </w:rPr>
        <w:t>aged 14-23 years</w:t>
      </w:r>
      <w:bookmarkEnd w:id="17"/>
    </w:p>
    <w:p w14:paraId="66322AA6" w14:textId="6F2639A0" w:rsidR="00382AC9" w:rsidRDefault="00382AC9" w:rsidP="00382AC9">
      <w:r>
        <w:t>On the 5</w:t>
      </w:r>
      <w:r w:rsidRPr="00B144E2">
        <w:rPr>
          <w:vertAlign w:val="superscript"/>
        </w:rPr>
        <w:t>th</w:t>
      </w:r>
      <w:r>
        <w:t xml:space="preserve"> July, 1948, the National Health Service (NHS) took over from the existing structures of charity hospitals and other </w:t>
      </w:r>
      <w:r w:rsidR="005C72F2">
        <w:t xml:space="preserve">mostly private </w:t>
      </w:r>
      <w:r>
        <w:t xml:space="preserve">services. It was founded on key </w:t>
      </w:r>
      <w:r>
        <w:lastRenderedPageBreak/>
        <w:t xml:space="preserve">principles: that provision would be based on clinical need, not ability to pay; that it met the needs of everyone; and that it was free at the point of delivery, funded by national taxation. Before this time, the </w:t>
      </w:r>
      <w:r w:rsidR="005C72F2">
        <w:t xml:space="preserve">vast majority of the </w:t>
      </w:r>
      <w:r>
        <w:t>people of Britain had lived in fear that they, or any member of their family, could without notice be faced with the catastrophic costs of disease and/or disability, or simply be unable to pay. The NHS was one of the first universal health care (UHC) systems in the world, and as with other universal reforms it was formed in the wake of crisis</w:t>
      </w:r>
      <w:r w:rsidR="009F1590">
        <w:t xml:space="preserve"> </w:t>
      </w:r>
      <w:r>
        <w:fldChar w:fldCharType="begin"/>
      </w:r>
      <w:r w:rsidR="0099441B">
        <w:instrText xml:space="preserve"> ADDIN ZOTERO_ITEM CSL_CITATION {"citationID":"a1hr73kmh0k","properties":{"formattedCitation":"(Hiam &amp; Yates, 2021)","plainCitation":"(Hiam &amp; Yates, 2021)","noteIndex":0},"citationItems":[{"id":248,"uris":["http://zotero.org/users/7125982/items/AFVD4EIB"],"itemData":{"id":248,"type":"article-journal","container-title":"Lancet (London, England)","DOI":"10.1016/S0140-6736(21)01650-0","ISSN":"1474-547X 0140-6736","issue":"10301","journalAbbreviation":"Lancet","language":"eng","note":"publisher-place: England\nPMID: 34280380","page":"646-648","title":"Will the COVID-19 crisis catalyse universal health reforms?","volume":"398","author":[{"family":"Hiam","given":"Lucinda"},{"family":"Yates","given":"Robert"}],"issued":{"date-parts":[["2021",8,21]]}}}],"schema":"https://github.com/citation-style-language/schema/raw/master/csl-citation.json"} </w:instrText>
      </w:r>
      <w:r>
        <w:fldChar w:fldCharType="separate"/>
      </w:r>
      <w:r w:rsidR="0099441B">
        <w:rPr>
          <w:rFonts w:cs="Arial"/>
        </w:rPr>
        <w:t>(Hiam &amp; Yates, 2021)</w:t>
      </w:r>
      <w:r>
        <w:fldChar w:fldCharType="end"/>
      </w:r>
      <w:r w:rsidR="009F1590">
        <w:t>.</w:t>
      </w:r>
      <w:r>
        <w:t xml:space="preserve"> It transformed health care in Britain. The Secretary of State for Health and founder of the NHS, Aneurin Bevan, wrote in his seminal book, </w:t>
      </w:r>
      <w:r w:rsidRPr="00B144E2">
        <w:rPr>
          <w:i/>
          <w:iCs/>
        </w:rPr>
        <w:t>In Place of Fear</w:t>
      </w:r>
      <w:r>
        <w:t>: “The essence of a satisfactory health system is that the rich and poor are treated alike, that poverty is not a disability, and wealth is not advantaged”</w:t>
      </w:r>
      <w:r w:rsidR="009F1590">
        <w:t xml:space="preserve"> </w:t>
      </w:r>
      <w:r>
        <w:fldChar w:fldCharType="begin"/>
      </w:r>
      <w:r w:rsidR="00CE500A">
        <w:instrText xml:space="preserve"> ADDIN ZOTERO_ITEM CSL_CITATION {"citationID":"a20m134ideo","properties":{"formattedCitation":"(Bevan, 1952)","plainCitation":"(Bevan, 1952)","noteIndex":0},"citationItems":[{"id":903,"uris":["http://zotero.org/users/7125982/items/MN8W8GXB"],"itemData":{"id":903,"type":"book","event-place":"New York","publisher-place":"New York","title":"In Place of Fear","author":[{"family":"Bevan","given":"Aneurin"}],"issued":{"date-parts":[["1952"]]}}}],"schema":"https://github.com/citation-style-language/schema/raw/master/csl-citation.json"} </w:instrText>
      </w:r>
      <w:r>
        <w:fldChar w:fldCharType="separate"/>
      </w:r>
      <w:r w:rsidR="00CE500A">
        <w:rPr>
          <w:rFonts w:cs="Arial"/>
        </w:rPr>
        <w:t>(Bevan, 1952)</w:t>
      </w:r>
      <w:r>
        <w:fldChar w:fldCharType="end"/>
      </w:r>
      <w:r w:rsidR="009F1590">
        <w:t>.</w:t>
      </w:r>
      <w:r>
        <w:t xml:space="preserve"> The Golden Cohort would not know the risk of financial ruin</w:t>
      </w:r>
      <w:r w:rsidR="005C72F2">
        <w:t xml:space="preserve"> that</w:t>
      </w:r>
      <w:r w:rsidR="001032C4">
        <w:t xml:space="preserve"> ill health could bring</w:t>
      </w:r>
      <w:r>
        <w:t xml:space="preserve">, or </w:t>
      </w:r>
      <w:r w:rsidR="001032C4">
        <w:t>the fear of simply</w:t>
      </w:r>
      <w:r>
        <w:t xml:space="preserve"> not being able to access care at all, </w:t>
      </w:r>
      <w:r w:rsidR="005C72F2">
        <w:t xml:space="preserve">the </w:t>
      </w:r>
      <w:r w:rsidR="00561A8E">
        <w:t>worry</w:t>
      </w:r>
      <w:r w:rsidR="005C72F2">
        <w:t xml:space="preserve"> </w:t>
      </w:r>
      <w:r>
        <w:t>that</w:t>
      </w:r>
      <w:r w:rsidR="005C72F2">
        <w:t xml:space="preserve"> almost all of</w:t>
      </w:r>
      <w:r>
        <w:t xml:space="preserve"> their parents had endured.</w:t>
      </w:r>
    </w:p>
    <w:p w14:paraId="2D9B0450" w14:textId="77777777" w:rsidR="00382AC9" w:rsidRDefault="00382AC9" w:rsidP="00382AC9"/>
    <w:p w14:paraId="2F013B05" w14:textId="77777777" w:rsidR="00382AC9" w:rsidRDefault="00382AC9" w:rsidP="00382AC9">
      <w:pPr>
        <w:pStyle w:val="Heading3"/>
        <w:rPr>
          <w:lang w:eastAsia="en-GB"/>
        </w:rPr>
      </w:pPr>
      <w:bookmarkStart w:id="18" w:name="_Toc133496231"/>
      <w:r>
        <w:rPr>
          <w:lang w:eastAsia="en-GB"/>
        </w:rPr>
        <w:t>“Never had it so good”</w:t>
      </w:r>
      <w:bookmarkEnd w:id="18"/>
    </w:p>
    <w:p w14:paraId="5D41ED01" w14:textId="00E6CC0C" w:rsidR="00382AC9" w:rsidRDefault="00382AC9" w:rsidP="00382AC9">
      <w:r>
        <w:t>By the late 1950s, Prime Minister Harold M</w:t>
      </w:r>
      <w:r w:rsidR="00B32261">
        <w:t>a</w:t>
      </w:r>
      <w:r>
        <w:t>c</w:t>
      </w:r>
      <w:r w:rsidR="00B32261">
        <w:t>m</w:t>
      </w:r>
      <w:r>
        <w:t>illan told the people of Britain that they had “never had it so good”</w:t>
      </w:r>
      <w:r w:rsidR="009F1590">
        <w:t xml:space="preserve"> </w:t>
      </w:r>
      <w:r>
        <w:fldChar w:fldCharType="begin"/>
      </w:r>
      <w:r w:rsidR="0099441B">
        <w:instrText xml:space="preserve"> ADDIN ZOTERO_ITEM CSL_CITATION {"citationID":"6CGXTGDJ","properties":{"formattedCitation":"(Hennessy, 2007)","plainCitation":"(Hennessy, 2007)","noteIndex":0},"citationItems":[{"id":1828,"uris":["http://zotero.org/users/7125982/items/PRMH95PT"],"itemData":{"id":1828,"type":"book","ISBN":"0-14-192931-6","publisher":"Penguin UK","title":"Having it so good: Britain in the fifties","author":[{"family":"Hennessy","given":"Peter"}],"issued":{"date-parts":[["2007"]]}}}],"schema":"https://github.com/citation-style-language/schema/raw/master/csl-citation.json"} </w:instrText>
      </w:r>
      <w:r>
        <w:fldChar w:fldCharType="separate"/>
      </w:r>
      <w:r w:rsidR="0099441B">
        <w:rPr>
          <w:rFonts w:cs="Arial"/>
        </w:rPr>
        <w:t>(Hennessy, 2007)</w:t>
      </w:r>
      <w:r>
        <w:fldChar w:fldCharType="end"/>
      </w:r>
      <w:r w:rsidR="009F1590">
        <w:t>.</w:t>
      </w:r>
      <w:r>
        <w:t xml:space="preserve"> Globally, the UK was among the best in the world for life expectancy at birth. Worldwide it ranked at 7</w:t>
      </w:r>
      <w:r w:rsidRPr="00177887">
        <w:rPr>
          <w:vertAlign w:val="superscript"/>
        </w:rPr>
        <w:t>th</w:t>
      </w:r>
      <w:r>
        <w:t xml:space="preserve"> for most of the 1950s (the six countries above it were, in total population size much smaller than </w:t>
      </w:r>
      <w:r w:rsidR="005C72F2">
        <w:t>the UK</w:t>
      </w:r>
      <w:r>
        <w:t xml:space="preserve"> was</w:t>
      </w:r>
      <w:r w:rsidR="005C72F2">
        <w:t>,</w:t>
      </w:r>
      <w:r>
        <w:t xml:space="preserve"> even with all their populations combined). The UK continued to be positioned in or around the top 10 until the 1970s, during and after which it began to fall down the ranks</w:t>
      </w:r>
      <w:r w:rsidR="007A7BDC">
        <w:t xml:space="preserve"> </w:t>
      </w:r>
      <w:r>
        <w:fldChar w:fldCharType="begin"/>
      </w:r>
      <w:r w:rsidR="001076C5">
        <w:instrText xml:space="preserve"> ADDIN ZOTERO_ITEM CSL_CITATION {"citationID":"RkSBhhtG","properties":{"formattedCitation":"(Hiam, Dorling, et al., 2023a)","plainCitation":"(Hiam, Dorling, et al., 2023a)","noteIndex":0},"citationItems":[{"id":1830,"uris":["http://zotero.org/users/7125982/items/QS9WHNUF"],"itemData":{"id":1830,"type":"article-journal","container-title":"Journal of the Royal Society of Medicine","ISSN":"0141-0768","journalAbbreviation":"Journal of the Royal Society of Medicine","note":"publisher: SAGE Publications Sage UK: London, England","page":"01410768231155637","title":"Falling down the global ranks: life expectancy in the UK, 1952–2021","author":[{"family":"Hiam","given":"Lucinda"},{"family":"Dorling","given":"Danny"},{"family":"McKee","given":"Martin"}],"issued":{"date-parts":[["2023"]]}}}],"schema":"https://github.com/citation-style-language/schema/raw/master/csl-citation.json"} </w:instrText>
      </w:r>
      <w:r>
        <w:fldChar w:fldCharType="separate"/>
      </w:r>
      <w:r w:rsidR="001076C5">
        <w:rPr>
          <w:rFonts w:cs="Arial"/>
        </w:rPr>
        <w:t>(Hiam, Dorling, et al., 2023a)</w:t>
      </w:r>
      <w:r>
        <w:fldChar w:fldCharType="end"/>
      </w:r>
      <w:r w:rsidR="007A7BDC">
        <w:t>.</w:t>
      </w:r>
      <w:r>
        <w:t xml:space="preserve"> In 2022, it was ranked 29</w:t>
      </w:r>
      <w:r w:rsidRPr="00177887">
        <w:rPr>
          <w:vertAlign w:val="superscript"/>
        </w:rPr>
        <w:t>th</w:t>
      </w:r>
      <w:r w:rsidR="00561A8E">
        <w:t>.</w:t>
      </w:r>
    </w:p>
    <w:p w14:paraId="452E366D" w14:textId="77777777" w:rsidR="00382AC9" w:rsidRPr="00251019" w:rsidRDefault="00382AC9" w:rsidP="00382AC9"/>
    <w:p w14:paraId="18EABF21" w14:textId="746E89CD" w:rsidR="00382AC9" w:rsidRDefault="00382AC9" w:rsidP="00382AC9">
      <w:pPr>
        <w:pStyle w:val="Heading2"/>
        <w:rPr>
          <w:rFonts w:eastAsia="Times New Roman"/>
          <w:lang w:eastAsia="en-GB"/>
        </w:rPr>
      </w:pPr>
      <w:bookmarkStart w:id="19" w:name="_Toc133496232"/>
      <w:r>
        <w:rPr>
          <w:rFonts w:eastAsia="Times New Roman"/>
          <w:lang w:eastAsia="en-GB"/>
        </w:rPr>
        <w:t>The working years: The optimism of the 1960s</w:t>
      </w:r>
      <w:r w:rsidRPr="00524923">
        <w:rPr>
          <w:rFonts w:eastAsia="Times New Roman"/>
          <w:lang w:eastAsia="en-GB"/>
        </w:rPr>
        <w:t xml:space="preserve"> </w:t>
      </w:r>
      <w:r>
        <w:rPr>
          <w:rFonts w:eastAsia="Times New Roman"/>
          <w:lang w:eastAsia="en-GB"/>
        </w:rPr>
        <w:t>(Aged 26 to 35</w:t>
      </w:r>
      <w:r w:rsidR="004B4D24">
        <w:rPr>
          <w:rFonts w:eastAsia="Times New Roman"/>
          <w:lang w:eastAsia="en-GB"/>
        </w:rPr>
        <w:t xml:space="preserve"> years</w:t>
      </w:r>
      <w:r>
        <w:rPr>
          <w:rFonts w:eastAsia="Times New Roman"/>
          <w:lang w:eastAsia="en-GB"/>
        </w:rPr>
        <w:t>)</w:t>
      </w:r>
      <w:bookmarkEnd w:id="19"/>
      <w:r>
        <w:rPr>
          <w:rFonts w:eastAsia="Times New Roman"/>
          <w:lang w:eastAsia="en-GB"/>
        </w:rPr>
        <w:t xml:space="preserve"> </w:t>
      </w:r>
    </w:p>
    <w:p w14:paraId="00B30C11" w14:textId="77777777" w:rsidR="00382AC9" w:rsidRDefault="00382AC9" w:rsidP="00382AC9">
      <w:pPr>
        <w:pStyle w:val="Heading3"/>
        <w:rPr>
          <w:lang w:eastAsia="en-GB"/>
        </w:rPr>
      </w:pPr>
      <w:bookmarkStart w:id="20" w:name="_Toc133496233"/>
      <w:r>
        <w:rPr>
          <w:lang w:eastAsia="en-GB"/>
        </w:rPr>
        <w:t>The number of the Golden Cohort</w:t>
      </w:r>
      <w:bookmarkEnd w:id="20"/>
    </w:p>
    <w:p w14:paraId="6FE288B1" w14:textId="7B43AD86" w:rsidR="00382AC9" w:rsidRDefault="00382AC9" w:rsidP="00382AC9">
      <w:r>
        <w:t>In mid-1961, the Golden Cohort comprised almost 6 million people, at this point with slightly more males than females</w:t>
      </w:r>
      <w:r w:rsidR="00064BD2">
        <w:t xml:space="preserve"> as more boys are born and the cohort was too young to have suffered many war deaths</w:t>
      </w:r>
      <w:r>
        <w:t xml:space="preserve"> (</w:t>
      </w:r>
      <w:r>
        <w:fldChar w:fldCharType="begin"/>
      </w:r>
      <w:r>
        <w:instrText xml:space="preserve"> REF _Ref133074982 </w:instrText>
      </w:r>
      <w:r>
        <w:fldChar w:fldCharType="separate"/>
      </w:r>
      <w:r w:rsidR="00BE338B">
        <w:t xml:space="preserve">Figure </w:t>
      </w:r>
      <w:r w:rsidR="00BE338B">
        <w:rPr>
          <w:noProof/>
        </w:rPr>
        <w:t>5</w:t>
      </w:r>
      <w:r>
        <w:fldChar w:fldCharType="end"/>
      </w:r>
      <w:r>
        <w:t>)</w:t>
      </w:r>
      <w:r w:rsidR="007A7BDC">
        <w:t xml:space="preserve"> </w:t>
      </w:r>
      <w:r>
        <w:fldChar w:fldCharType="begin"/>
      </w:r>
      <w:r w:rsidR="00B53842">
        <w:instrText xml:space="preserve"> ADDIN ZOTERO_ITEM CSL_CITATION {"citationID":"akmq6ctja3","properties":{"formattedCitation":"(Office for National Statistics, 2021)","plainCitation":"(Office for National Statistics, 2021)","noteIndex":0},"citationItems":[{"id":1359,"uris":["http://zotero.org/users/7125982/items/R8WNUR9J"],"itemData":{"id":1359,"type":"webpage","title":"Estimates of the population for the UK, England and Wales, Scotland and Northern Ireland","URL":"https://www.ons.gov.uk/peoplepopulationandcommunity/populationandmigration/populationestimates/datasets/populationestimatesforukenglandandwalesscotlandandnorthernireland","author":[{"literal":"Office for National Statistics"}],"accessed":{"date-parts":[["2022",11,21]]},"issued":{"date-parts":[["2021"]]}}}],"schema":"https://github.com/citation-style-language/schema/raw/master/csl-citation.json"} </w:instrText>
      </w:r>
      <w:r>
        <w:fldChar w:fldCharType="separate"/>
      </w:r>
      <w:r w:rsidR="00B53842">
        <w:rPr>
          <w:rFonts w:cs="Arial"/>
        </w:rPr>
        <w:t>(Office for National Statistics, 2021)</w:t>
      </w:r>
      <w:r>
        <w:fldChar w:fldCharType="end"/>
      </w:r>
      <w:r w:rsidR="007A7BDC">
        <w:t>.</w:t>
      </w:r>
      <w:r>
        <w:t xml:space="preserve"> The years that followed were no less remarkable</w:t>
      </w:r>
      <w:r w:rsidR="00064BD2">
        <w:t xml:space="preserve"> than those which had just past</w:t>
      </w:r>
      <w:r>
        <w:t xml:space="preserve"> in terms of the social and economic changes seen across the UK, as the timeline from 1960 to 2020 shows (</w:t>
      </w:r>
      <w:r>
        <w:fldChar w:fldCharType="begin"/>
      </w:r>
      <w:r>
        <w:instrText xml:space="preserve"> REF _Ref133307968 </w:instrText>
      </w:r>
      <w:r>
        <w:fldChar w:fldCharType="separate"/>
      </w:r>
      <w:r w:rsidR="00BE338B">
        <w:t xml:space="preserve">Figure </w:t>
      </w:r>
      <w:r w:rsidR="00BE338B">
        <w:rPr>
          <w:noProof/>
        </w:rPr>
        <w:t>6</w:t>
      </w:r>
      <w:r>
        <w:fldChar w:fldCharType="end"/>
      </w:r>
      <w:r>
        <w:t>)</w:t>
      </w:r>
    </w:p>
    <w:p w14:paraId="60A2E80F" w14:textId="3F5C29D0" w:rsidR="00382AC9" w:rsidRDefault="00743903" w:rsidP="00382AC9">
      <w:pPr>
        <w:keepNext/>
      </w:pPr>
      <w:r>
        <w:rPr>
          <w:noProof/>
          <w14:ligatures w14:val="standardContextual"/>
        </w:rPr>
        <w:lastRenderedPageBreak/>
        <w:drawing>
          <wp:inline distT="0" distB="0" distL="0" distR="0" wp14:anchorId="4DBCDC9D" wp14:editId="1C89A5AC">
            <wp:extent cx="5731510" cy="3477895"/>
            <wp:effectExtent l="0" t="0" r="0" b="1905"/>
            <wp:docPr id="467262033"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62033" name="Picture 1" descr="Chart&#10;&#10;Description automatically generated with medium confidence"/>
                    <pic:cNvPicPr/>
                  </pic:nvPicPr>
                  <pic:blipFill>
                    <a:blip r:embed="rId14"/>
                    <a:stretch>
                      <a:fillRect/>
                    </a:stretch>
                  </pic:blipFill>
                  <pic:spPr>
                    <a:xfrm>
                      <a:off x="0" y="0"/>
                      <a:ext cx="5731510" cy="3477895"/>
                    </a:xfrm>
                    <a:prstGeom prst="rect">
                      <a:avLst/>
                    </a:prstGeom>
                  </pic:spPr>
                </pic:pic>
              </a:graphicData>
            </a:graphic>
          </wp:inline>
        </w:drawing>
      </w:r>
    </w:p>
    <w:p w14:paraId="64AD7345" w14:textId="6E64E6E9" w:rsidR="00382AC9" w:rsidRDefault="00382AC9" w:rsidP="00382AC9">
      <w:pPr>
        <w:pStyle w:val="Caption"/>
      </w:pPr>
      <w:bookmarkStart w:id="21" w:name="_Ref133074982"/>
      <w:bookmarkStart w:id="22" w:name="_Toc133496234"/>
      <w:r>
        <w:t xml:space="preserve">Figure </w:t>
      </w:r>
      <w:r w:rsidR="00537CEF">
        <w:fldChar w:fldCharType="begin"/>
      </w:r>
      <w:r w:rsidR="00537CEF">
        <w:instrText xml:space="preserve"> SEQ Figure \* ARABIC </w:instrText>
      </w:r>
      <w:r w:rsidR="00537CEF">
        <w:fldChar w:fldCharType="separate"/>
      </w:r>
      <w:r w:rsidR="00537CEF">
        <w:rPr>
          <w:noProof/>
        </w:rPr>
        <w:t>5</w:t>
      </w:r>
      <w:r w:rsidR="00537CEF">
        <w:fldChar w:fldCharType="end"/>
      </w:r>
      <w:bookmarkEnd w:id="21"/>
      <w:r>
        <w:t>: Population estimates for the Golden Cohort, England and Wales, by sex, from mid-1961 to mid-2020. Note: for mid-2020 the group comprises those aged 87-89, and all over 90 years. Source: Authors' calculations using ONS population estimates.</w:t>
      </w:r>
      <w:bookmarkEnd w:id="22"/>
    </w:p>
    <w:p w14:paraId="6D2C0684" w14:textId="77777777" w:rsidR="00382AC9" w:rsidRDefault="00382AC9" w:rsidP="00382AC9">
      <w:r>
        <w:t xml:space="preserve"> </w:t>
      </w:r>
    </w:p>
    <w:p w14:paraId="4D02D7BC" w14:textId="77777777" w:rsidR="00382AC9" w:rsidRDefault="00382AC9" w:rsidP="00382AC9">
      <w:pPr>
        <w:spacing w:line="240" w:lineRule="auto"/>
        <w:sectPr w:rsidR="00382AC9" w:rsidSect="00DE0FC6">
          <w:footnotePr>
            <w:numFmt w:val="lowerRoman"/>
          </w:footnotePr>
          <w:pgSz w:w="11906" w:h="16838"/>
          <w:pgMar w:top="1440" w:right="1440" w:bottom="1440" w:left="1440" w:header="708" w:footer="708" w:gutter="0"/>
          <w:cols w:space="708"/>
          <w:docGrid w:linePitch="360"/>
        </w:sectPr>
      </w:pPr>
    </w:p>
    <w:p w14:paraId="011B22CA" w14:textId="67C5EFD6" w:rsidR="00382AC9" w:rsidRDefault="00BA12A4" w:rsidP="00382AC9">
      <w:pPr>
        <w:keepNext/>
      </w:pPr>
      <w:r>
        <w:rPr>
          <w:noProof/>
          <w14:ligatures w14:val="standardContextual"/>
        </w:rPr>
        <w:lastRenderedPageBreak/>
        <w:drawing>
          <wp:inline distT="0" distB="0" distL="0" distR="0" wp14:anchorId="2F8ECE2B" wp14:editId="1DA23E3C">
            <wp:extent cx="8863330" cy="494347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4943475"/>
                    </a:xfrm>
                    <a:prstGeom prst="rect">
                      <a:avLst/>
                    </a:prstGeom>
                  </pic:spPr>
                </pic:pic>
              </a:graphicData>
            </a:graphic>
          </wp:inline>
        </w:drawing>
      </w:r>
    </w:p>
    <w:p w14:paraId="09124A8C" w14:textId="3454E014" w:rsidR="00382AC9" w:rsidRDefault="00382AC9" w:rsidP="00382AC9">
      <w:pPr>
        <w:pStyle w:val="Caption"/>
        <w:rPr>
          <w:rFonts w:eastAsiaTheme="majorEastAsia" w:cstheme="majorBidi"/>
          <w:b/>
          <w:i w:val="0"/>
        </w:rPr>
        <w:sectPr w:rsidR="00382AC9" w:rsidSect="00F648B1">
          <w:footnotePr>
            <w:numFmt w:val="lowerRoman"/>
          </w:footnotePr>
          <w:pgSz w:w="16838" w:h="11906" w:orient="landscape"/>
          <w:pgMar w:top="1440" w:right="1440" w:bottom="1440" w:left="1440" w:header="708" w:footer="708" w:gutter="0"/>
          <w:cols w:space="708"/>
          <w:docGrid w:linePitch="360"/>
        </w:sectPr>
      </w:pPr>
      <w:bookmarkStart w:id="23" w:name="_Ref133307968"/>
      <w:bookmarkStart w:id="24" w:name="_Toc133496235"/>
      <w:r>
        <w:t xml:space="preserve">Figure </w:t>
      </w:r>
      <w:r w:rsidR="00537CEF">
        <w:fldChar w:fldCharType="begin"/>
      </w:r>
      <w:r w:rsidR="00537CEF">
        <w:instrText xml:space="preserve"> SEQ Figure \* ARABIC </w:instrText>
      </w:r>
      <w:r w:rsidR="00537CEF">
        <w:fldChar w:fldCharType="separate"/>
      </w:r>
      <w:r w:rsidR="00537CEF">
        <w:rPr>
          <w:noProof/>
        </w:rPr>
        <w:t>6</w:t>
      </w:r>
      <w:r w:rsidR="00537CEF">
        <w:fldChar w:fldCharType="end"/>
      </w:r>
      <w:bookmarkEnd w:id="23"/>
      <w:r>
        <w:t xml:space="preserve">: </w:t>
      </w:r>
      <w:r w:rsidRPr="00517F3D">
        <w:t xml:space="preserve">Timeline of selected events from </w:t>
      </w:r>
      <w:r>
        <w:t>1960</w:t>
      </w:r>
      <w:r w:rsidRPr="00517F3D">
        <w:t xml:space="preserve"> to </w:t>
      </w:r>
      <w:r>
        <w:t>2020</w:t>
      </w:r>
      <w:r w:rsidRPr="00517F3D">
        <w:t xml:space="preserve"> and corresponding age of the Golden Cohort</w:t>
      </w:r>
      <w:bookmarkEnd w:id="24"/>
      <w:r w:rsidR="00FA72D6">
        <w:t>. Note: the height of the bars is for illustrative purposes only.</w:t>
      </w:r>
      <w:r>
        <w:t xml:space="preserve"> </w:t>
      </w:r>
    </w:p>
    <w:p w14:paraId="1DC281F4" w14:textId="77777777" w:rsidR="00382AC9" w:rsidRDefault="00382AC9" w:rsidP="00382AC9">
      <w:pPr>
        <w:pStyle w:val="Heading3"/>
        <w:rPr>
          <w:lang w:eastAsia="en-GB"/>
        </w:rPr>
      </w:pPr>
      <w:bookmarkStart w:id="25" w:name="_Toc133496236"/>
      <w:r>
        <w:rPr>
          <w:lang w:eastAsia="en-GB"/>
        </w:rPr>
        <w:lastRenderedPageBreak/>
        <w:t>Income Inequality</w:t>
      </w:r>
      <w:bookmarkEnd w:id="25"/>
    </w:p>
    <w:p w14:paraId="4A00293F" w14:textId="7B2FCF15" w:rsidR="00382AC9" w:rsidRDefault="00382AC9" w:rsidP="00382AC9">
      <w:r>
        <w:fldChar w:fldCharType="begin"/>
      </w:r>
      <w:r>
        <w:instrText xml:space="preserve"> REF _Ref129427218 </w:instrText>
      </w:r>
      <w:r>
        <w:fldChar w:fldCharType="separate"/>
      </w:r>
      <w:r w:rsidR="00BE338B">
        <w:t xml:space="preserve">Figure </w:t>
      </w:r>
      <w:r w:rsidR="00BE338B">
        <w:rPr>
          <w:noProof/>
        </w:rPr>
        <w:t>7</w:t>
      </w:r>
      <w:r>
        <w:rPr>
          <w:noProof/>
        </w:rPr>
        <w:fldChar w:fldCharType="end"/>
      </w:r>
      <w:r>
        <w:t xml:space="preserve"> shows income inequality in the UK from 1910-2019</w:t>
      </w:r>
      <w:r w:rsidR="00CC4D31">
        <w:t xml:space="preserve"> </w:t>
      </w:r>
      <w:r w:rsidR="00CC4D31">
        <w:fldChar w:fldCharType="begin"/>
      </w:r>
      <w:r w:rsidR="00CC4D31">
        <w:instrText xml:space="preserve"> ADDIN ZOTERO_ITEM CSL_CITATION {"citationID":"qFqR3UZR","properties":{"formattedCitation":"(Dorling, 2013)","plainCitation":"(Dorling, 2013)","noteIndex":0},"citationItems":[{"id":2074,"uris":["http://zotero.org/users/7125982/items/4W6MT95P"],"itemData":{"id":2074,"type":"article-journal","abstract":"[Different people have different definitions of fairness, some of which may be fairer than others. The paper considers how some key life chances have changed in Britain from the time when William Beveridge was a young man, to when his research assistant, Harold Wilson, was Prime Minister, and then to today. The emphasis is on inequalities in critical outcomes between different groups that have been defined geographically. How have income and wealth inequalities altered over the course of the last century and few decades and how have rates of mortality varied? How do the geographies of school examination passes, university entry, employment or even changing rates of imprisonment influence our lives today? To understand changes in fairness and our fortunes better these trends sometimes must be put in a longer historical and a wider geographical context. Sometimes it is necessary to look back a century in time to find comparable inequality with that of today. And to know that such inequality is not universal the changing levels of income inequalities within Britain need to be compared with trends in otherwise very similar nation states. Such comparison is essential if the argument that rising inequality is inevitable is to be countered. Precisely how fairness and fortune are measured alters whether we find them to be rising or falling. Thousands of statistics can also be dull and so graphics and some more unusual visualizations which open up the map are used to illustrate the trends that are discussed here.]","archive":"JSTOR","container-title":"Journal of the Royal Statistical Society. Series A (Statistics in Society)","ISSN":"09641998, 1467985X","issue":"1","note":"publisher: Wiley","page":"97-128","title":"Fairness and the changing fortunes of people in Britain","volume":"176","author":[{"family":"Dorling","given":"Danny"}],"issued":{"date-parts":[["2013"]]}}}],"schema":"https://github.com/citation-style-language/schema/raw/master/csl-citation.json"} </w:instrText>
      </w:r>
      <w:r w:rsidR="00CC4D31">
        <w:fldChar w:fldCharType="separate"/>
      </w:r>
      <w:r w:rsidR="00CC4D31">
        <w:rPr>
          <w:noProof/>
        </w:rPr>
        <w:t>(Dorling, 2013)</w:t>
      </w:r>
      <w:r w:rsidR="00CC4D31">
        <w:fldChar w:fldCharType="end"/>
      </w:r>
      <w:r>
        <w:t xml:space="preserve">. The Golden Cohort were born into </w:t>
      </w:r>
      <w:r w:rsidR="00064BD2">
        <w:t xml:space="preserve">rapidly </w:t>
      </w:r>
      <w:r>
        <w:t xml:space="preserve">falling </w:t>
      </w:r>
      <w:r w:rsidR="008866C1">
        <w:t>inequality and</w:t>
      </w:r>
      <w:r>
        <w:t xml:space="preserve"> lived through most of the best years</w:t>
      </w:r>
      <w:r w:rsidR="00064BD2">
        <w:t xml:space="preserve"> for equality in the UK</w:t>
      </w:r>
      <w:r>
        <w:t xml:space="preserve">, when </w:t>
      </w:r>
      <w:r w:rsidR="00064BD2">
        <w:t>this measure continued to</w:t>
      </w:r>
      <w:r>
        <w:t xml:space="preserve"> f</w:t>
      </w:r>
      <w:r w:rsidR="00064BD2">
        <w:t>a</w:t>
      </w:r>
      <w:r>
        <w:t xml:space="preserve">ll most steeply. Unlike so many of their parents, and an even larger proportion of their grandmothers (for whom it was the most common job), they did not have to “go into service”, and by the time that </w:t>
      </w:r>
      <w:r w:rsidR="00064BD2">
        <w:t xml:space="preserve">the overall British </w:t>
      </w:r>
      <w:r>
        <w:t>social and economic situation began to deteriorate</w:t>
      </w:r>
      <w:r w:rsidR="00064BD2">
        <w:t xml:space="preserve"> again,</w:t>
      </w:r>
      <w:r>
        <w:t xml:space="preserve"> in the</w:t>
      </w:r>
      <w:r w:rsidR="00064BD2">
        <w:t xml:space="preserve"> very late</w:t>
      </w:r>
      <w:r>
        <w:t xml:space="preserve"> 1970s, they were insulated</w:t>
      </w:r>
      <w:r w:rsidR="00064BD2">
        <w:t xml:space="preserve"> from the immediate effects</w:t>
      </w:r>
      <w:r>
        <w:t xml:space="preserve">. </w:t>
      </w:r>
      <w:r>
        <w:fldChar w:fldCharType="begin"/>
      </w:r>
      <w:r>
        <w:instrText xml:space="preserve"> REF _Ref129427942 </w:instrText>
      </w:r>
      <w:r>
        <w:fldChar w:fldCharType="separate"/>
      </w:r>
      <w:r w:rsidR="00BE338B">
        <w:t xml:space="preserve">Figure </w:t>
      </w:r>
      <w:r w:rsidR="00BE338B">
        <w:rPr>
          <w:noProof/>
        </w:rPr>
        <w:t>8</w:t>
      </w:r>
      <w:r>
        <w:rPr>
          <w:noProof/>
        </w:rPr>
        <w:fldChar w:fldCharType="end"/>
      </w:r>
      <w:r>
        <w:t xml:space="preserve"> shows a measure of income inequality—the Gini Coefficient—for Britain from 1961 to 2020</w:t>
      </w:r>
      <w:r w:rsidR="007A7BDC">
        <w:t xml:space="preserve"> </w:t>
      </w:r>
      <w:r>
        <w:fldChar w:fldCharType="begin"/>
      </w:r>
      <w:r w:rsidR="00626CB8">
        <w:instrText xml:space="preserve"> ADDIN ZOTERO_ITEM CSL_CITATION {"citationID":"Qo2cD0Nx","properties":{"formattedCitation":"(Institute for Fiscal Studies, 2022)","plainCitation":"(Institute for Fiscal Studies, 2022)","noteIndex":0},"citationItems":[{"id":1699,"uris":["http://zotero.org/users/7125982/items/33KD3CW8"],"itemData":{"id":1699,"type":"webpage","title":"Living standards, poverty and inequality in the UK | Institute for Fiscal Studies","URL":"https://ifs.org.uk/living-standards-poverty-and-inequality-uk","author":[{"literal":"Institute for Fiscal Studies"}],"accessed":{"date-parts":[["2023",3,11]]},"issued":{"date-parts":[["2022"]]}}}],"schema":"https://github.com/citation-style-language/schema/raw/master/csl-citation.json"} </w:instrText>
      </w:r>
      <w:r>
        <w:fldChar w:fldCharType="separate"/>
      </w:r>
      <w:r w:rsidR="00C4130B">
        <w:rPr>
          <w:rFonts w:cs="Arial"/>
        </w:rPr>
        <w:t>(Institute for Fiscal Studies, 2022)</w:t>
      </w:r>
      <w:r>
        <w:fldChar w:fldCharType="end"/>
      </w:r>
      <w:r w:rsidR="007A7BDC">
        <w:t>.</w:t>
      </w:r>
      <w:r>
        <w:t xml:space="preserve"> The graph shows the rise in inequality that began at the end of the 1970s, but just how good the 1950s and 1960s were when the Golden Cohort were in their late 20s and 30s.</w:t>
      </w:r>
      <w:r w:rsidR="00064BD2">
        <w:t xml:space="preserve"> Note that these different figures highlight different aspects of inequality trends. The overall Gini coefficient plateaued after the 1990s (Figure 8), but the very richest of all continued to take more and more for two more decades (Figure 7). Increasingly the growing take of the richest was at the expense of those in the middle of the income distribution and harmed overall public expenditure. However, before the impact of that became apparent, people in the middle thought they were doing well, not least in terms of becoming rich themselves (or so they thought) as the value of the homes most of them had purchased appeared to rise rapidly.</w:t>
      </w:r>
    </w:p>
    <w:p w14:paraId="033B2F8B" w14:textId="77777777" w:rsidR="00382AC9" w:rsidRDefault="00382AC9" w:rsidP="00382AC9"/>
    <w:p w14:paraId="109B949B" w14:textId="13C43426" w:rsidR="00382AC9" w:rsidRDefault="00382AC9" w:rsidP="00382AC9">
      <w:pPr>
        <w:keepNext/>
      </w:pPr>
    </w:p>
    <w:p w14:paraId="61B2137C" w14:textId="7B0E4ECA" w:rsidR="00640EFA" w:rsidRDefault="00640EFA" w:rsidP="00382AC9">
      <w:pPr>
        <w:keepNext/>
      </w:pPr>
      <w:r>
        <w:rPr>
          <w:noProof/>
          <w14:ligatures w14:val="standardContextual"/>
        </w:rPr>
        <w:drawing>
          <wp:inline distT="0" distB="0" distL="0" distR="0" wp14:anchorId="411812FC" wp14:editId="6EF1A28D">
            <wp:extent cx="5127171" cy="6725081"/>
            <wp:effectExtent l="0" t="0" r="3810" b="6350"/>
            <wp:docPr id="1436821729"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21729" name="Picture 1" descr="Chart&#10;&#10;Description automatically generated with medium confidence"/>
                    <pic:cNvPicPr/>
                  </pic:nvPicPr>
                  <pic:blipFill>
                    <a:blip r:embed="rId16"/>
                    <a:stretch>
                      <a:fillRect/>
                    </a:stretch>
                  </pic:blipFill>
                  <pic:spPr>
                    <a:xfrm>
                      <a:off x="0" y="0"/>
                      <a:ext cx="5129378" cy="6727976"/>
                    </a:xfrm>
                    <a:prstGeom prst="rect">
                      <a:avLst/>
                    </a:prstGeom>
                  </pic:spPr>
                </pic:pic>
              </a:graphicData>
            </a:graphic>
          </wp:inline>
        </w:drawing>
      </w:r>
    </w:p>
    <w:p w14:paraId="3BA0BF20" w14:textId="3D85CEF1" w:rsidR="00382AC9" w:rsidRPr="00A36EC2" w:rsidRDefault="00382AC9" w:rsidP="00A36EC2">
      <w:pPr>
        <w:pStyle w:val="Caption"/>
      </w:pPr>
      <w:bookmarkStart w:id="26" w:name="_Ref129427218"/>
      <w:bookmarkStart w:id="27" w:name="_Toc133496237"/>
      <w:r>
        <w:t xml:space="preserve">Figure </w:t>
      </w:r>
      <w:r w:rsidR="00537CEF">
        <w:fldChar w:fldCharType="begin"/>
      </w:r>
      <w:r w:rsidR="00537CEF">
        <w:instrText xml:space="preserve"> SEQ Figure \* ARABIC </w:instrText>
      </w:r>
      <w:r w:rsidR="00537CEF">
        <w:fldChar w:fldCharType="separate"/>
      </w:r>
      <w:r w:rsidR="00537CEF">
        <w:rPr>
          <w:noProof/>
        </w:rPr>
        <w:t>7</w:t>
      </w:r>
      <w:r w:rsidR="00537CEF">
        <w:fldChar w:fldCharType="end"/>
      </w:r>
      <w:bookmarkEnd w:id="26"/>
      <w:r>
        <w:t xml:space="preserve">: Income Inequality in the UK, 1910-2019. </w:t>
      </w:r>
      <w:bookmarkEnd w:id="27"/>
      <w:r w:rsidR="00A36EC2">
        <w:t>Sources: Pre-tax national income share including pension income, individuals over age 2</w:t>
      </w:r>
      <w:r w:rsidR="00F254E3">
        <w:t xml:space="preserve">0 from listed sources: </w:t>
      </w:r>
      <w:r w:rsidR="00F254E3">
        <w:fldChar w:fldCharType="begin"/>
      </w:r>
      <w:r w:rsidR="00626CB8">
        <w:instrText xml:space="preserve"> ADDIN ZOTERO_ITEM CSL_CITATION {"citationID":"HnSirAHW","properties":{"formattedCitation":"(Atkinson et al., 2017; Brewer, 2019; Dorling, 2013; Shine &amp; Webber, 2019)","plainCitation":"(Atkinson et al., 2017; Brewer, 2019; Dorling, 2013; Shine &amp; Webber, 2019)","noteIndex":0},"citationItems":[{"id":2078,"uris":["http://zotero.org/users/7125982/items/F7J7VV7I"],"itemData":{"id":2078,"type":"webpage","container-title":"Institute for New Economic Thinking","title":"The Chartbook of Economic Inequality","URL":"https://www.inet.ox.ac.uk/files/Chartbook_Of_Economic_Inequality_complete.pdf","author":[{"family":"Atkinson","given":"T."},{"family":"Hasell","given":"J."},{"family":"Morelli","given":"S."},{"family":"Roser","given":"M."}],"accessed":{"date-parts":[["2023",5,12]]},"issued":{"date-parts":[["2017"]]}}},{"id":2076,"uris":["http://zotero.org/users/7125982/items/N8VM99RI"],"itemData":{"id":2076,"type":"book","collection-title":"What do we know and what should we do about","edition":"1st edition","event-place":"Thousand Oaks, CA","ISBN":"978-1-5264-6041-7","publisher":"SAGE","publisher-place":"Thousand Oaks, CA","source":"Library of Congress ISBN","title":"What do we know and what should we do about inequality?","author":[{"family":"Brewer","given":"Mike"}],"issued":{"date-parts":[["2019"]]}}},{"id":2074,"uris":["http://zotero.org/users/7125982/items/4W6MT95P"],"itemData":{"id":2074,"type":"article-journal","abstract":"[Different people have different definitions of fairness, some of which may be fairer than others. The paper considers how some key life chances have changed in Britain from the time when William Beveridge was a young man, to when his research assistant, Harold Wilson, was Prime Minister, and then to today. The emphasis is on inequalities in critical outcomes between different groups that have been defined geographically. How have income and wealth inequalities altered over the course of the last century and few decades and how have rates of mortality varied? How do the geographies of school examination passes, university entry, employment or even changing rates of imprisonment influence our lives today? To understand changes in fairness and our fortunes better these trends sometimes must be put in a longer historical and a wider geographical context. Sometimes it is necessary to look back a century in time to find comparable inequality with that of today. And to know that such inequality is not universal the changing levels of income inequalities within Britain need to be compared with trends in otherwise very similar nation states. Such comparison is essential if the argument that rising inequality is inevitable is to be countered. Precisely how fairness and fortune are measured alters whether we find them to be rising or falling. Thousands of statistics can also be dull and so graphics and some more unusual visualizations which open up the map are used to illustrate the trends that are discussed here.]","archive":"JSTOR","container-title":"Journal of the Royal Statistical Society. Series A (Statistics in Society)","ISSN":"09641998, 1467985X","issue":"1","note":"publisher: Wiley","page":"97-128","title":"Fairness and the changing fortunes of people in Britain","volume":"176","author":[{"family":"Dorling","given":"Danny"}],"issued":{"date-parts":[["2013"]]}}},{"id":2075,"uris":["http://zotero.org/users/7125982/items/E4FRP8TC"],"itemData":{"id":2075,"type":"webpage","container-title":"Office for National Statistics","title":"Using tax data to better capture top earners in household income inequality statistics","URL":"https://www.ons.gov.uk/peoplepopulationandcommunity/personalandhouseholdfinances/incomeandwealth/articles/usingtaxdatatobettercapturetopearnersinhouseholdincomeinequalitystatistics/2019-02-26","author":[{"family":"Shine","given":"Martin"},{"family":"Webber","given":"Dominic"}],"issued":{"date-parts":[["2019"]]}}}],"schema":"https://github.com/citation-style-language/schema/raw/master/csl-citation.json"} </w:instrText>
      </w:r>
      <w:r w:rsidR="00F254E3">
        <w:fldChar w:fldCharType="separate"/>
      </w:r>
      <w:r w:rsidR="00F254E3">
        <w:rPr>
          <w:noProof/>
        </w:rPr>
        <w:t>(Atkinson et al., 2017; Brewer, 2019; Dorling, 2013; Shine &amp; Webber, 2019)</w:t>
      </w:r>
      <w:r w:rsidR="00F254E3">
        <w:fldChar w:fldCharType="end"/>
      </w:r>
      <w:r w:rsidR="00A36EC2">
        <w:t xml:space="preserve"> </w:t>
      </w:r>
    </w:p>
    <w:p w14:paraId="20D0FDAD" w14:textId="3DEF95A1" w:rsidR="00382AC9" w:rsidRDefault="00382AC9" w:rsidP="00382AC9">
      <w:pPr>
        <w:keepNext/>
      </w:pPr>
    </w:p>
    <w:p w14:paraId="570A177C" w14:textId="0ABF5C36" w:rsidR="00E36B34" w:rsidRDefault="00E36B34" w:rsidP="00382AC9">
      <w:pPr>
        <w:keepNext/>
      </w:pPr>
    </w:p>
    <w:p w14:paraId="1FDE4CEB" w14:textId="41A80926" w:rsidR="00640EFA" w:rsidRDefault="00640EFA" w:rsidP="00382AC9">
      <w:pPr>
        <w:keepNext/>
      </w:pPr>
      <w:r>
        <w:rPr>
          <w:noProof/>
          <w14:ligatures w14:val="standardContextual"/>
        </w:rPr>
        <w:drawing>
          <wp:inline distT="0" distB="0" distL="0" distR="0" wp14:anchorId="6673DD14" wp14:editId="4D1A0D81">
            <wp:extent cx="5141770" cy="5339443"/>
            <wp:effectExtent l="0" t="0" r="1905" b="0"/>
            <wp:docPr id="748666795"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66795" name="Picture 1" descr="Chart, line chart&#10;&#10;Description automatically generated"/>
                    <pic:cNvPicPr/>
                  </pic:nvPicPr>
                  <pic:blipFill>
                    <a:blip r:embed="rId17"/>
                    <a:stretch>
                      <a:fillRect/>
                    </a:stretch>
                  </pic:blipFill>
                  <pic:spPr>
                    <a:xfrm>
                      <a:off x="0" y="0"/>
                      <a:ext cx="5148074" cy="5345989"/>
                    </a:xfrm>
                    <a:prstGeom prst="rect">
                      <a:avLst/>
                    </a:prstGeom>
                  </pic:spPr>
                </pic:pic>
              </a:graphicData>
            </a:graphic>
          </wp:inline>
        </w:drawing>
      </w:r>
    </w:p>
    <w:p w14:paraId="0CA0A187" w14:textId="4B77EDC5" w:rsidR="00382AC9" w:rsidRPr="000B3E80" w:rsidRDefault="00382AC9" w:rsidP="00382AC9">
      <w:pPr>
        <w:pStyle w:val="Caption"/>
      </w:pPr>
      <w:bookmarkStart w:id="28" w:name="_Ref129427942"/>
      <w:bookmarkStart w:id="29" w:name="_Toc133496238"/>
      <w:r>
        <w:t xml:space="preserve">Figure </w:t>
      </w:r>
      <w:r w:rsidR="00537CEF">
        <w:fldChar w:fldCharType="begin"/>
      </w:r>
      <w:r w:rsidR="00537CEF">
        <w:instrText xml:space="preserve"> SEQ Figure \* ARABIC </w:instrText>
      </w:r>
      <w:r w:rsidR="00537CEF">
        <w:fldChar w:fldCharType="separate"/>
      </w:r>
      <w:r w:rsidR="00537CEF">
        <w:rPr>
          <w:noProof/>
        </w:rPr>
        <w:t>8</w:t>
      </w:r>
      <w:r w:rsidR="00537CEF">
        <w:fldChar w:fldCharType="end"/>
      </w:r>
      <w:bookmarkEnd w:id="28"/>
      <w:r>
        <w:t xml:space="preserve">: Gini Coefficient of Income Inequality, Great Britain 1961-2020. </w:t>
      </w:r>
      <w:r w:rsidR="00251953">
        <w:t xml:space="preserve">The range of the Gini Coefficient is 0 (zero) to 1, where 0 reflects total equality and 1 maximum inequality. Thus, the higher the Gini Coefficient, the greater the inequality. </w:t>
      </w:r>
      <w:r>
        <w:t xml:space="preserve">Source: </w:t>
      </w:r>
      <w:r w:rsidRPr="001242A2">
        <w:t>IFS (2022) Living standards, poverty and inequality in the UK</w:t>
      </w:r>
      <w:bookmarkEnd w:id="29"/>
      <w:r w:rsidR="00E36B34">
        <w:t>.</w:t>
      </w:r>
    </w:p>
    <w:p w14:paraId="627EA733" w14:textId="77777777" w:rsidR="00FB6649" w:rsidRDefault="00FB6649" w:rsidP="00FB6649"/>
    <w:p w14:paraId="09617D0E" w14:textId="592E5BA5" w:rsidR="00382AC9" w:rsidRDefault="00382AC9" w:rsidP="00382AC9">
      <w:pPr>
        <w:pStyle w:val="Heading3"/>
        <w:rPr>
          <w:lang w:eastAsia="en-GB"/>
        </w:rPr>
      </w:pPr>
      <w:bookmarkStart w:id="30" w:name="_Toc133496239"/>
      <w:r>
        <w:rPr>
          <w:lang w:eastAsia="en-GB"/>
        </w:rPr>
        <w:t>Home ownership</w:t>
      </w:r>
      <w:bookmarkEnd w:id="30"/>
    </w:p>
    <w:p w14:paraId="7C0740B9" w14:textId="56619B4B" w:rsidR="00382AC9" w:rsidRDefault="00382AC9" w:rsidP="00382AC9">
      <w:r>
        <w:t xml:space="preserve">The Golden Cohort were the </w:t>
      </w:r>
      <w:r w:rsidR="00300595">
        <w:t>first</w:t>
      </w:r>
      <w:r>
        <w:t xml:space="preserve"> generation to strike housing gold. They were the first cohort to escape private landlords and have high home ownership. </w:t>
      </w:r>
      <w:r w:rsidR="008E729F">
        <w:fldChar w:fldCharType="begin"/>
      </w:r>
      <w:r w:rsidR="008E729F">
        <w:instrText xml:space="preserve"> REF _Ref129426915  \* MERG</w:instrText>
      </w:r>
      <w:r w:rsidR="008E729F">
        <w:instrText xml:space="preserve">EFORMAT </w:instrText>
      </w:r>
      <w:r w:rsidR="008E729F">
        <w:fldChar w:fldCharType="separate"/>
      </w:r>
      <w:r w:rsidR="00BE338B">
        <w:t xml:space="preserve">Figure </w:t>
      </w:r>
      <w:r w:rsidR="00BE338B">
        <w:rPr>
          <w:noProof/>
        </w:rPr>
        <w:t>9</w:t>
      </w:r>
      <w:r w:rsidR="008E729F">
        <w:rPr>
          <w:noProof/>
        </w:rPr>
        <w:fldChar w:fldCharType="end"/>
      </w:r>
      <w:r>
        <w:t xml:space="preserve"> shows </w:t>
      </w:r>
      <w:r w:rsidRPr="00B43557">
        <w:t>the proportion of people in the UK who</w:t>
      </w:r>
      <w:r w:rsidR="000D046A">
        <w:t>, at any point,</w:t>
      </w:r>
      <w:r w:rsidRPr="00B43557">
        <w:t xml:space="preserve"> live</w:t>
      </w:r>
      <w:r w:rsidR="00FD40CB">
        <w:t xml:space="preserve">d </w:t>
      </w:r>
      <w:r w:rsidRPr="00B43557">
        <w:t>in a home owned outright or mortgaged by date (</w:t>
      </w:r>
      <w:r>
        <w:t>horizontal</w:t>
      </w:r>
      <w:r w:rsidRPr="00B43557">
        <w:t xml:space="preserve"> axis, from 1982 on left, to 2012) and</w:t>
      </w:r>
      <w:r w:rsidR="00FD40CB">
        <w:t xml:space="preserve"> by</w:t>
      </w:r>
      <w:r w:rsidRPr="00B43557">
        <w:t xml:space="preserve"> their age (</w:t>
      </w:r>
      <w:r>
        <w:t>vertical</w:t>
      </w:r>
      <w:r w:rsidRPr="00B43557">
        <w:t xml:space="preserve"> axis, from 17 years old at top to 90)</w:t>
      </w:r>
      <w:r w:rsidR="00682A97">
        <w:t xml:space="preserve"> </w:t>
      </w:r>
      <w:r>
        <w:fldChar w:fldCharType="begin"/>
      </w:r>
      <w:r w:rsidR="00626CB8">
        <w:instrText xml:space="preserve"> ADDIN ZOTERO_ITEM CSL_CITATION {"citationID":"XordQMSF","properties":{"formattedCitation":"(Dorling, 2015)","plainCitation":"(Dorling, 2015)","noteIndex":0},"citationItems":[{"id":1694,"uris":["http://zotero.org/users/7125982/items/UDZ5UX69"],"itemData":{"id":1694,"type":"webpage","title":"Only one lucky generation ever struck housing gold – Danny Dorling","URL":"https://www.dannydorling.org/?page_id=4635","author":[{"family":"Dorling","given":"Danny"}],"accessed":{"date-parts":[["2023",3,11]]},"issued":{"date-parts":[["2015"]]}}}],"schema":"https://github.com/citation-style-language/schema/raw/master/csl-citation.json"} </w:instrText>
      </w:r>
      <w:r>
        <w:fldChar w:fldCharType="separate"/>
      </w:r>
      <w:r w:rsidR="00CE500A">
        <w:rPr>
          <w:rFonts w:cs="Arial"/>
        </w:rPr>
        <w:t>(Dorling, 2015)</w:t>
      </w:r>
      <w:r>
        <w:fldChar w:fldCharType="end"/>
      </w:r>
      <w:r w:rsidR="00682A97">
        <w:t>.</w:t>
      </w:r>
      <w:r w:rsidR="00300595">
        <w:t xml:space="preserve"> </w:t>
      </w:r>
      <w:r w:rsidR="00FD40CB">
        <w:t>In 1982, t</w:t>
      </w:r>
      <w:r w:rsidR="00300595">
        <w:t>he Golden Cohort were aged between 48 and 57 years</w:t>
      </w:r>
      <w:r w:rsidR="00FD40CB">
        <w:t xml:space="preserve"> old</w:t>
      </w:r>
      <w:r w:rsidR="00300595">
        <w:t>.</w:t>
      </w:r>
      <w:r w:rsidRPr="00B43557">
        <w:t xml:space="preserve"> Green </w:t>
      </w:r>
      <w:r w:rsidR="00300595">
        <w:t xml:space="preserve">and blue </w:t>
      </w:r>
      <w:r w:rsidRPr="00B43557">
        <w:t xml:space="preserve">boxes represent high ownership (greater than </w:t>
      </w:r>
      <w:r w:rsidR="00300595">
        <w:t>75</w:t>
      </w:r>
      <w:r>
        <w:t>%</w:t>
      </w:r>
      <w:r w:rsidRPr="00B43557">
        <w:t xml:space="preserve">). The chart shows the </w:t>
      </w:r>
      <w:r w:rsidR="00300595">
        <w:t>beginning</w:t>
      </w:r>
      <w:r w:rsidRPr="00B43557">
        <w:t xml:space="preserve"> of a golden generation of high homeownership</w:t>
      </w:r>
      <w:r>
        <w:t xml:space="preserve"> for those born between 1925 and 1934</w:t>
      </w:r>
      <w:r w:rsidRPr="00B43557">
        <w:t xml:space="preserve">, </w:t>
      </w:r>
      <w:r w:rsidR="00FD40CB">
        <w:t xml:space="preserve">which </w:t>
      </w:r>
      <w:r w:rsidR="00300595">
        <w:t>maximised for those born in the in 1950s</w:t>
      </w:r>
      <w:r w:rsidR="00FD40CB">
        <w:t xml:space="preserve"> </w:t>
      </w:r>
      <w:r w:rsidR="00FD40CB">
        <w:lastRenderedPageBreak/>
        <w:t>(although that group had to pay far more to secure a home with a mortgage)</w:t>
      </w:r>
      <w:r w:rsidR="00300595">
        <w:t>.</w:t>
      </w:r>
      <w:r w:rsidR="00F15A04">
        <w:t xml:space="preserve"> Later born cohorts did not do so well and were also threatened with unemployment, which was especially frightening if you had a new mortgage and knew there was not enough council housing should you fail to pay the mortgage. When employment became much less secure during and following the oil shocks the 1970s, people (including many new homebuyers) began to strike.</w:t>
      </w:r>
    </w:p>
    <w:p w14:paraId="3D4AF3B7" w14:textId="77777777" w:rsidR="00382AC9" w:rsidRDefault="00382AC9" w:rsidP="00382AC9"/>
    <w:p w14:paraId="7F748CB7" w14:textId="49A905AC" w:rsidR="00382AC9" w:rsidRDefault="003516ED" w:rsidP="00382AC9">
      <w:pPr>
        <w:keepNext/>
      </w:pPr>
      <w:r>
        <w:rPr>
          <w:noProof/>
          <w14:ligatures w14:val="standardContextual"/>
        </w:rPr>
        <w:lastRenderedPageBreak/>
        <w:drawing>
          <wp:inline distT="0" distB="0" distL="0" distR="0" wp14:anchorId="1A68EBF7" wp14:editId="664A289C">
            <wp:extent cx="4838700" cy="7632700"/>
            <wp:effectExtent l="0" t="0" r="0" b="0"/>
            <wp:docPr id="1413204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04668" name="Picture 1413204668"/>
                    <pic:cNvPicPr/>
                  </pic:nvPicPr>
                  <pic:blipFill>
                    <a:blip r:embed="rId18">
                      <a:extLst>
                        <a:ext uri="{28A0092B-C50C-407E-A947-70E740481C1C}">
                          <a14:useLocalDpi xmlns:a14="http://schemas.microsoft.com/office/drawing/2010/main" val="0"/>
                        </a:ext>
                      </a:extLst>
                    </a:blip>
                    <a:stretch>
                      <a:fillRect/>
                    </a:stretch>
                  </pic:blipFill>
                  <pic:spPr>
                    <a:xfrm>
                      <a:off x="0" y="0"/>
                      <a:ext cx="4838700" cy="7632700"/>
                    </a:xfrm>
                    <a:prstGeom prst="rect">
                      <a:avLst/>
                    </a:prstGeom>
                  </pic:spPr>
                </pic:pic>
              </a:graphicData>
            </a:graphic>
          </wp:inline>
        </w:drawing>
      </w:r>
    </w:p>
    <w:p w14:paraId="65F972D7" w14:textId="39DDBA02" w:rsidR="00F63C17" w:rsidRPr="00F63C17" w:rsidRDefault="00382AC9" w:rsidP="00300595">
      <w:pPr>
        <w:pStyle w:val="Caption"/>
      </w:pPr>
      <w:bookmarkStart w:id="31" w:name="_Ref129426915"/>
      <w:bookmarkStart w:id="32" w:name="_Toc133496240"/>
      <w:r>
        <w:t xml:space="preserve">Figure </w:t>
      </w:r>
      <w:r w:rsidR="00537CEF">
        <w:fldChar w:fldCharType="begin"/>
      </w:r>
      <w:r w:rsidR="00537CEF">
        <w:instrText xml:space="preserve"> SEQ Figure \* ARABIC </w:instrText>
      </w:r>
      <w:r w:rsidR="00537CEF">
        <w:fldChar w:fldCharType="separate"/>
      </w:r>
      <w:r w:rsidR="00537CEF">
        <w:rPr>
          <w:noProof/>
        </w:rPr>
        <w:t>9</w:t>
      </w:r>
      <w:r w:rsidR="00537CEF">
        <w:fldChar w:fldCharType="end"/>
      </w:r>
      <w:bookmarkEnd w:id="31"/>
      <w:r>
        <w:t>: The proportion of people in the UK who live in a home owned outright or mortgaged by year and age. Source: Dorling, 2015</w:t>
      </w:r>
      <w:bookmarkEnd w:id="32"/>
      <w:r w:rsidR="00300595">
        <w:rPr>
          <w:color w:val="FF0000"/>
        </w:rPr>
        <w:t>.</w:t>
      </w:r>
      <w:r w:rsidR="00300595" w:rsidRPr="00300595">
        <w:t xml:space="preserve"> </w:t>
      </w:r>
    </w:p>
    <w:p w14:paraId="56F48D3B" w14:textId="77777777" w:rsidR="00300595" w:rsidRDefault="00300595" w:rsidP="002D2D36">
      <w:bookmarkStart w:id="33" w:name="_Toc133496241"/>
    </w:p>
    <w:p w14:paraId="0CA7BD49" w14:textId="72DB024F" w:rsidR="00382AC9" w:rsidRDefault="00382AC9" w:rsidP="00382AC9">
      <w:pPr>
        <w:pStyle w:val="Heading3"/>
      </w:pPr>
      <w:r>
        <w:lastRenderedPageBreak/>
        <w:t>The strikes of the 1970s</w:t>
      </w:r>
      <w:bookmarkEnd w:id="33"/>
    </w:p>
    <w:p w14:paraId="304F3291" w14:textId="2808CCE3" w:rsidR="00D47E0A" w:rsidRDefault="00382AC9" w:rsidP="00382AC9">
      <w:r>
        <w:t xml:space="preserve">The 1970s saw a multitude of strikes take place, including the UK miner’s strike of 1972 </w:t>
      </w:r>
      <w:r w:rsidR="009D69AE">
        <w:t xml:space="preserve">(as the Conservative government was holding miners’ pay down compared to that of other workers and in the 1960s) </w:t>
      </w:r>
      <w:r>
        <w:t>and the Winter of Discontent in 1979</w:t>
      </w:r>
      <w:r w:rsidR="009D69AE">
        <w:t xml:space="preserve"> (when mass unemployment was beginning)</w:t>
      </w:r>
      <w:r>
        <w:t xml:space="preserve">. Despite this substantial industrial action, still </w:t>
      </w:r>
      <w:r w:rsidR="009D69AE">
        <w:t xml:space="preserve">far </w:t>
      </w:r>
      <w:r>
        <w:t>fewer working days were lost than in the 1920s (</w:t>
      </w:r>
      <w:r>
        <w:fldChar w:fldCharType="begin"/>
      </w:r>
      <w:r>
        <w:instrText xml:space="preserve"> REF _Ref133070451 </w:instrText>
      </w:r>
      <w:r>
        <w:fldChar w:fldCharType="separate"/>
      </w:r>
      <w:r w:rsidR="00BE338B">
        <w:t xml:space="preserve">Figure </w:t>
      </w:r>
      <w:r w:rsidR="00BE338B">
        <w:rPr>
          <w:noProof/>
        </w:rPr>
        <w:t>10</w:t>
      </w:r>
      <w:r>
        <w:fldChar w:fldCharType="end"/>
      </w:r>
      <w:r>
        <w:t>)</w:t>
      </w:r>
      <w:r w:rsidR="00A60702">
        <w:t xml:space="preserve"> </w:t>
      </w:r>
      <w:r>
        <w:fldChar w:fldCharType="begin"/>
      </w:r>
      <w:r w:rsidR="00626CB8">
        <w:instrText xml:space="preserve"> ADDIN ZOTERO_ITEM CSL_CITATION {"citationID":"a22dski7ova","properties":{"formattedCitation":"(Office for National Statistics, 2015, 2023)","plainCitation":"(Office for National Statistics, 2015, 2023)","noteIndex":0},"citationItems":[{"id":1937,"uris":["http://zotero.org/users/7125982/items/KTY9XGR3"],"itemData":{"id":1937,"type":"webpage","title":"Labour disputes;UK;Sic 07;total working days lost;all inds. &amp; services (000's)","URL":"https://www.ons.gov.uk/employmentandlabourmarket/peopleinwork/employmentandemployeetypes/timeseries/bbfw/lms","author":[{"literal":"Office for National Statistics"}],"accessed":{"date-parts":[["2023",4,22]]},"issued":{"date-parts":[["2023"]]}}},{"id":1938,"uris":["http://zotero.org/users/7125982/items/I6FHPX4J"],"itemData":{"id":1938,"type":"webpage","title":"The history of strikes in the UK","URL":"https://www.ons.gov.uk/employmentandlabourmarket/peopleinwork/employmentandemployeetypes/articles/thehistoryofstrikesintheuk/2015-09-21","author":[{"literal":"Office for National Statistics"}],"accessed":{"date-parts":[["2023",4,22]]},"issued":{"date-parts":[["2015"]]}}}],"schema":"https://github.com/citation-style-language/schema/raw/master/csl-citation.json"} </w:instrText>
      </w:r>
      <w:r>
        <w:fldChar w:fldCharType="separate"/>
      </w:r>
      <w:r w:rsidR="00BF2F29">
        <w:rPr>
          <w:rFonts w:cs="Arial"/>
        </w:rPr>
        <w:t>(Office for National Statistics, 2015, 2023)</w:t>
      </w:r>
      <w:r>
        <w:fldChar w:fldCharType="end"/>
      </w:r>
      <w:r w:rsidR="00A60702">
        <w:t>,</w:t>
      </w:r>
      <w:r>
        <w:t xml:space="preserve"> Furthermore, the strikes of the 1970s </w:t>
      </w:r>
      <w:r w:rsidR="009D69AE">
        <w:t>failed to galvanise the population as a whole and</w:t>
      </w:r>
      <w:r w:rsidR="00C62BEF">
        <w:t>,</w:t>
      </w:r>
      <w:r w:rsidR="009D69AE">
        <w:t xml:space="preserve"> in how they were portrayed by the Newspapers and TV, may have even increased the size of the</w:t>
      </w:r>
      <w:r>
        <w:t xml:space="preserve"> landslide victory for Margaret Thatcher and the Conservative Party</w:t>
      </w:r>
      <w:r w:rsidR="009D69AE">
        <w:t>, which had</w:t>
      </w:r>
      <w:r>
        <w:t xml:space="preserve"> promise</w:t>
      </w:r>
      <w:r w:rsidR="009D69AE">
        <w:t>d</w:t>
      </w:r>
      <w:r>
        <w:t xml:space="preserve"> to restrict the power of the trade unions</w:t>
      </w:r>
      <w:r w:rsidR="00A60702">
        <w:t xml:space="preserve"> </w:t>
      </w:r>
      <w:r>
        <w:fldChar w:fldCharType="begin"/>
      </w:r>
      <w:r w:rsidR="00626CB8">
        <w:instrText xml:space="preserve"> ADDIN ZOTERO_ITEM CSL_CITATION {"citationID":"a28kra3396m","properties":{"formattedCitation":"(Office for National Statistics, 2015)","plainCitation":"(Office for National Statistics, 2015)","noteIndex":0},"citationItems":[{"id":1938,"uris":["http://zotero.org/users/7125982/items/I6FHPX4J"],"itemData":{"id":1938,"type":"webpage","title":"The history of strikes in the UK","URL":"https://www.ons.gov.uk/employmentandlabourmarket/peopleinwork/employmentandemployeetypes/articles/thehistoryofstrikesintheuk/2015-09-21","author":[{"literal":"Office for National Statistics"}],"accessed":{"date-parts":[["2023",4,22]]},"issued":{"date-parts":[["2015"]]}}}],"schema":"https://github.com/citation-style-language/schema/raw/master/csl-citation.json"} </w:instrText>
      </w:r>
      <w:r>
        <w:fldChar w:fldCharType="separate"/>
      </w:r>
      <w:r w:rsidR="00CE500A">
        <w:rPr>
          <w:rFonts w:cs="Arial"/>
        </w:rPr>
        <w:t>(Office for National Statistics, 2015)</w:t>
      </w:r>
      <w:r>
        <w:fldChar w:fldCharType="end"/>
      </w:r>
      <w:r w:rsidR="00A60702">
        <w:t>.</w:t>
      </w:r>
    </w:p>
    <w:p w14:paraId="4956C6F1" w14:textId="77777777" w:rsidR="00D47E0A" w:rsidRDefault="00D47E0A" w:rsidP="00382AC9"/>
    <w:p w14:paraId="1A154C53" w14:textId="0F5DD1A5" w:rsidR="00382AC9" w:rsidRDefault="00382AC9" w:rsidP="00382AC9">
      <w:r>
        <w:t>T</w:t>
      </w:r>
      <w:r w:rsidR="00D47E0A">
        <w:t>hose striking in the 1970s may have believed that eventually their day would come. T</w:t>
      </w:r>
      <w:r>
        <w:t xml:space="preserve">he strikes of the 1920s were successful, but </w:t>
      </w:r>
      <w:r w:rsidR="00D47E0A">
        <w:t xml:space="preserve">not immediately, </w:t>
      </w:r>
      <w:r>
        <w:t>only in the medium and long term, in contributing to equality growing both at the time and afterwards</w:t>
      </w:r>
      <w:r w:rsidRPr="000D046A">
        <w:rPr>
          <w:rStyle w:val="FootnoteReference"/>
        </w:rPr>
        <w:footnoteReference w:id="1"/>
      </w:r>
      <w:r w:rsidR="00F77572">
        <w:t xml:space="preserve"> </w:t>
      </w:r>
      <w:r w:rsidR="00F77572">
        <w:fldChar w:fldCharType="begin"/>
      </w:r>
      <w:r w:rsidR="00F77572">
        <w:instrText xml:space="preserve"> ADDIN ZOTERO_ITEM CSL_CITATION {"citationID":"y4s6jVxt","properties":{"formattedCitation":"(Darvos et al., 2023)","plainCitation":"(Darvos et al., 2023)","noteIndex":0},"citationItems":[{"id":3287,"uris":["http://zotero.org/users/7125982/items/FRAHWYMF"],"itemData":{"id":3287,"type":"webpage","abstract":"There is a negative correlation between collective bargaining coverage and inequality, but more research is needed to understand why.","container-title":"Bruegel | The Brussels-based economic think tank","language":"en","title":"Collective bargaining is associated with lower income inequality","URL":"https://www.bruegel.org/analysis/collective-bargaining-associated-lower-income-inequality","author":[{"family":"Darvos","given":"Zsolt"},{"family":"Gotti","given":"Giulia"},{"family":"Sekut","given":"Kamil"}],"accessed":{"date-parts":[["2023",8,18]]},"issued":{"date-parts":[["2023",7,26]]}}}],"schema":"https://github.com/citation-style-language/schema/raw/master/csl-citation.json"} </w:instrText>
      </w:r>
      <w:r w:rsidR="00F77572">
        <w:fldChar w:fldCharType="separate"/>
      </w:r>
      <w:r w:rsidR="00F77572">
        <w:rPr>
          <w:noProof/>
        </w:rPr>
        <w:t>(Darvos et al., 2023)</w:t>
      </w:r>
      <w:r w:rsidR="00F77572">
        <w:fldChar w:fldCharType="end"/>
      </w:r>
      <w:r w:rsidR="00F77572">
        <w:t>.</w:t>
      </w:r>
      <w:r>
        <w:t xml:space="preserve"> In the short term</w:t>
      </w:r>
      <w:r w:rsidR="00D47E0A">
        <w:t>,</w:t>
      </w:r>
      <w:r>
        <w:t xml:space="preserve"> the general strike of 1926, which lasted nine days, was seen as a defeat. However, as the graphs of income inequality above show, it was part of what it took to help maintain the momentum that had only just begun in the early 1920s towards greater and greater income equality for the next five decades. After 1926, successive governments were aware that a general strike was possible—before 1926 it was something that could only be imagined. </w:t>
      </w:r>
    </w:p>
    <w:p w14:paraId="3E1DC579" w14:textId="77777777" w:rsidR="00382AC9" w:rsidRDefault="00382AC9" w:rsidP="00382AC9"/>
    <w:p w14:paraId="172D8B13" w14:textId="77777777" w:rsidR="00382AC9" w:rsidRDefault="00382AC9" w:rsidP="00382AC9"/>
    <w:p w14:paraId="493D22C1" w14:textId="49108C0A" w:rsidR="00382AC9" w:rsidRDefault="001216BC" w:rsidP="00382AC9">
      <w:pPr>
        <w:keepNext/>
      </w:pPr>
      <w:r>
        <w:rPr>
          <w:noProof/>
          <w14:ligatures w14:val="standardContextual"/>
        </w:rPr>
        <w:lastRenderedPageBreak/>
        <w:drawing>
          <wp:inline distT="0" distB="0" distL="0" distR="0" wp14:anchorId="1AD93147" wp14:editId="450EDEDF">
            <wp:extent cx="5731510" cy="4150360"/>
            <wp:effectExtent l="0" t="0" r="0" b="2540"/>
            <wp:docPr id="1411386067"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86067" name="Picture 1" descr="Chart, histogram&#10;&#10;Description automatically generated"/>
                    <pic:cNvPicPr/>
                  </pic:nvPicPr>
                  <pic:blipFill>
                    <a:blip r:embed="rId19"/>
                    <a:stretch>
                      <a:fillRect/>
                    </a:stretch>
                  </pic:blipFill>
                  <pic:spPr>
                    <a:xfrm>
                      <a:off x="0" y="0"/>
                      <a:ext cx="5731510" cy="4150360"/>
                    </a:xfrm>
                    <a:prstGeom prst="rect">
                      <a:avLst/>
                    </a:prstGeom>
                  </pic:spPr>
                </pic:pic>
              </a:graphicData>
            </a:graphic>
          </wp:inline>
        </w:drawing>
      </w:r>
    </w:p>
    <w:p w14:paraId="496B318F" w14:textId="1D40527A" w:rsidR="00382AC9" w:rsidRDefault="00382AC9" w:rsidP="00382AC9">
      <w:pPr>
        <w:pStyle w:val="Caption"/>
      </w:pPr>
      <w:bookmarkStart w:id="34" w:name="_Ref133070451"/>
      <w:bookmarkStart w:id="35" w:name="_Toc133496242"/>
      <w:r>
        <w:t xml:space="preserve">Figure </w:t>
      </w:r>
      <w:r w:rsidR="00537CEF">
        <w:fldChar w:fldCharType="begin"/>
      </w:r>
      <w:r w:rsidR="00537CEF">
        <w:instrText xml:space="preserve"> SEQ Figure \* ARABIC </w:instrText>
      </w:r>
      <w:r w:rsidR="00537CEF">
        <w:fldChar w:fldCharType="separate"/>
      </w:r>
      <w:r w:rsidR="00537CEF">
        <w:rPr>
          <w:noProof/>
        </w:rPr>
        <w:t>10</w:t>
      </w:r>
      <w:r w:rsidR="00537CEF">
        <w:fldChar w:fldCharType="end"/>
      </w:r>
      <w:bookmarkEnd w:id="34"/>
      <w:r>
        <w:t xml:space="preserve">: </w:t>
      </w:r>
      <w:r w:rsidRPr="001216BC">
        <w:t>Number of working days lost due to labour disputes, 1925-2022. Source: ONS 2015,</w:t>
      </w:r>
      <w:r w:rsidRPr="001216BC">
        <w:fldChar w:fldCharType="begin"/>
      </w:r>
      <w:r w:rsidR="00626CB8">
        <w:instrText xml:space="preserve"> ADDIN ZOTERO_ITEM CSL_CITATION {"citationID":"a17dfsftabm","properties":{"formattedCitation":"(Office for National Statistics, 2015)","plainCitation":"(Office for National Statistics, 2015)","noteIndex":0},"citationItems":[{"id":1938,"uris":["http://zotero.org/users/7125982/items/I6FHPX4J"],"itemData":{"id":1938,"type":"webpage","title":"The history of strikes in the UK","URL":"https://www.ons.gov.uk/employmentandlabourmarket/peopleinwork/employmentandemployeetypes/articles/thehistoryofstrikesintheuk/2015-09-21","author":[{"literal":"Office for National Statistics"}],"accessed":{"date-parts":[["2023",4,22]]},"issued":{"date-parts":[["2015"]]}}}],"schema":"https://github.com/citation-style-language/schema/raw/master/csl-citation.json"} </w:instrText>
      </w:r>
      <w:r w:rsidRPr="001216BC">
        <w:fldChar w:fldCharType="separate"/>
      </w:r>
      <w:r w:rsidR="00CE500A" w:rsidRPr="001216BC">
        <w:t>(Office for National Statistics, 2015)</w:t>
      </w:r>
      <w:r w:rsidRPr="001216BC">
        <w:fldChar w:fldCharType="end"/>
      </w:r>
      <w:r w:rsidRPr="001216BC">
        <w:t xml:space="preserve"> ONS 2023</w:t>
      </w:r>
      <w:r w:rsidRPr="001216BC">
        <w:fldChar w:fldCharType="begin"/>
      </w:r>
      <w:r w:rsidR="00626CB8">
        <w:instrText xml:space="preserve"> ADDIN ZOTERO_ITEM CSL_CITATION {"citationID":"a2d8brperfn","properties":{"formattedCitation":"(Office for National Statistics, 2023)","plainCitation":"(Office for National Statistics, 2023)","noteIndex":0},"citationItems":[{"id":1937,"uris":["http://zotero.org/users/7125982/items/KTY9XGR3"],"itemData":{"id":1937,"type":"webpage","title":"Labour disputes;UK;Sic 07;total working days lost;all inds. &amp; services (000's)","URL":"https://www.ons.gov.uk/employmentandlabourmarket/peopleinwork/employmentandemployeetypes/timeseries/bbfw/lms","author":[{"literal":"Office for National Statistics"}],"accessed":{"date-parts":[["2023",4,22]]},"issued":{"date-parts":[["2023"]]}}}],"schema":"https://github.com/citation-style-language/schema/raw/master/csl-citation.json"} </w:instrText>
      </w:r>
      <w:r w:rsidRPr="001216BC">
        <w:fldChar w:fldCharType="separate"/>
      </w:r>
      <w:bookmarkEnd w:id="35"/>
      <w:r w:rsidR="00BF2F29">
        <w:t>(Office for National Statistics, 2023)</w:t>
      </w:r>
      <w:r w:rsidRPr="001216BC">
        <w:fldChar w:fldCharType="end"/>
      </w:r>
    </w:p>
    <w:p w14:paraId="77EBC2D2" w14:textId="77777777" w:rsidR="001216BC" w:rsidRDefault="001216BC" w:rsidP="002D2D36">
      <w:bookmarkStart w:id="36" w:name="_Toc133496243"/>
    </w:p>
    <w:p w14:paraId="305926EC" w14:textId="15C9C087" w:rsidR="00382AC9" w:rsidRDefault="00382AC9" w:rsidP="00382AC9">
      <w:pPr>
        <w:pStyle w:val="Heading3"/>
      </w:pPr>
      <w:r>
        <w:t>The austerity of the 1980s</w:t>
      </w:r>
      <w:bookmarkEnd w:id="36"/>
    </w:p>
    <w:p w14:paraId="6736FBC1" w14:textId="5BEE52B8" w:rsidR="00382AC9" w:rsidRPr="00B43557" w:rsidRDefault="00382AC9" w:rsidP="00382AC9">
      <w:r>
        <w:t>Following</w:t>
      </w:r>
      <w:r w:rsidRPr="00F23857">
        <w:t xml:space="preserve"> </w:t>
      </w:r>
      <w:r>
        <w:t>t</w:t>
      </w:r>
      <w:r w:rsidRPr="00F23857">
        <w:t>he optimism of the 1960s,</w:t>
      </w:r>
      <w:r w:rsidR="00D47E0A">
        <w:t xml:space="preserve"> and the strikes of the 1970s, the new Conservative government of 1979 immediately introduced sever</w:t>
      </w:r>
      <w:r w:rsidR="00C62BEF">
        <w:t>e</w:t>
      </w:r>
      <w:r w:rsidR="00D47E0A">
        <w:t xml:space="preserve"> austerity on much public spending which continued for many years, </w:t>
      </w:r>
      <w:r w:rsidR="00C62BEF">
        <w:t>that</w:t>
      </w:r>
      <w:r w:rsidR="00D47E0A">
        <w:t xml:space="preserve"> harmed the old, the poor and the young the most. </w:t>
      </w:r>
      <w:r>
        <w:t>The Golden Cohort</w:t>
      </w:r>
      <w:r w:rsidRPr="00F23857">
        <w:t xml:space="preserve"> were not greatly harmed by the austerity of the 1980s</w:t>
      </w:r>
      <w:r>
        <w:t>,</w:t>
      </w:r>
      <w:r w:rsidRPr="00F23857">
        <w:t xml:space="preserve"> as they were almost all in work, despite unemployment for people younger than them</w:t>
      </w:r>
      <w:r>
        <w:t>. In the worst years of the early 1980s</w:t>
      </w:r>
      <w:r w:rsidR="00C12934">
        <w:t>,</w:t>
      </w:r>
      <w:r>
        <w:t xml:space="preserve"> 2 million people aged under 25 were out of work and </w:t>
      </w:r>
      <w:r w:rsidR="00D47E0A">
        <w:t xml:space="preserve">had </w:t>
      </w:r>
      <w:r>
        <w:t>sign</w:t>
      </w:r>
      <w:r w:rsidR="00C62BEF">
        <w:t>ed</w:t>
      </w:r>
      <w:r>
        <w:t xml:space="preserve"> on the dole</w:t>
      </w:r>
      <w:r w:rsidR="00A60702">
        <w:t xml:space="preserve"> </w:t>
      </w:r>
      <w:r>
        <w:fldChar w:fldCharType="begin"/>
      </w:r>
      <w:r w:rsidR="00626CB8">
        <w:instrText xml:space="preserve"> ADDIN ZOTERO_ITEM CSL_CITATION {"citationID":"a1gp07ee341","properties":{"formattedCitation":"(Dorling, 1995)","plainCitation":"(Dorling, 1995)","noteIndex":0},"citationItems":[{"id":2020,"uris":["http://zotero.org/users/7125982/items/RW5UW2R7"],"itemData":{"id":2020,"type":"article-journal","abstract":"Through the use of new mapping techniques, in particular cartogrammetry, this book depicts the social geography of Britain at a highly detailed level. Using the administrative area of the ward as its basis for study; and using data from three national censuses together with employment, housing, education, finance and health records; this study reveals new patterns of social and ethnic population structure and precise representations of socioeconomic segregation. The book is divided into seven chapters dealing with population, demography, economic patterns, housing, health, society and politics respectively. Data is systematically presented in the form of coloured cartograms. A rigorous analysis of ward by ward data is presented for each section, covering a wide range of criteria. Explanations of the techniques used to create the cartograms are given. -after Publisher","container-title":"A new social atlas of Britain","language":"en","note":"ISBN: 9780471948681\npublisher: Wiley-Blackwell","source":"ora.ox.ac.uk","title":"A new social atlas of Britain","URL":"https://ora.ox.ac.uk/objects/uuid:df0f93aa-d387-4269-9b08-6d4a8f99f458","author":[{"family":"Dorling","given":"D."}],"accessed":{"date-parts":[["2023",4,25]]},"issued":{"date-parts":[["1995"]]}}}],"schema":"https://github.com/citation-style-language/schema/raw/master/csl-citation.json"} </w:instrText>
      </w:r>
      <w:r>
        <w:fldChar w:fldCharType="separate"/>
      </w:r>
      <w:r w:rsidR="0099441B">
        <w:rPr>
          <w:rFonts w:cs="Arial"/>
        </w:rPr>
        <w:t>(Dorling, 1995)</w:t>
      </w:r>
      <w:r>
        <w:fldChar w:fldCharType="end"/>
      </w:r>
      <w:r w:rsidRPr="00F23857">
        <w:t>.</w:t>
      </w:r>
      <w:r>
        <w:t xml:space="preserve"> </w:t>
      </w:r>
      <w:r w:rsidR="00D47E0A">
        <w:t xml:space="preserve">Widespread use of the dole had last been seen in the 1930s. </w:t>
      </w:r>
      <w:r>
        <w:t>Poverty rose greatly, but not so much for th</w:t>
      </w:r>
      <w:r w:rsidR="00D47E0A">
        <w:t>e lucky Golden</w:t>
      </w:r>
      <w:r>
        <w:t xml:space="preserve"> </w:t>
      </w:r>
      <w:r w:rsidR="00D47E0A">
        <w:t>G</w:t>
      </w:r>
      <w:r>
        <w:t xml:space="preserve">eneration. At this point, they were still young enough not to be too reliant on health care, which was not well funded in the 1980s. Britain saw the greatest increase in income inequality experienced in Europe in the 1980s (see </w:t>
      </w:r>
      <w:r>
        <w:fldChar w:fldCharType="begin"/>
      </w:r>
      <w:r>
        <w:instrText xml:space="preserve"> REF _Ref129427942 </w:instrText>
      </w:r>
      <w:r>
        <w:fldChar w:fldCharType="separate"/>
      </w:r>
      <w:r w:rsidR="00BE338B">
        <w:t xml:space="preserve">Figure </w:t>
      </w:r>
      <w:r w:rsidR="00BE338B">
        <w:rPr>
          <w:noProof/>
        </w:rPr>
        <w:t>8</w:t>
      </w:r>
      <w:r>
        <w:fldChar w:fldCharType="end"/>
      </w:r>
      <w:r>
        <w:t xml:space="preserve">); but </w:t>
      </w:r>
      <w:r w:rsidR="00D47E0A">
        <w:t xml:space="preserve">this was </w:t>
      </w:r>
      <w:r>
        <w:t>not the</w:t>
      </w:r>
      <w:r w:rsidR="00D47E0A">
        <w:t xml:space="preserve"> personal experience of the majority of the</w:t>
      </w:r>
      <w:r>
        <w:t xml:space="preserve"> Golden Cohort, who were mostly in work and approaching retirement.</w:t>
      </w:r>
    </w:p>
    <w:p w14:paraId="43651B04" w14:textId="77777777" w:rsidR="00382AC9" w:rsidRPr="00F23857" w:rsidRDefault="00382AC9" w:rsidP="00382AC9"/>
    <w:p w14:paraId="18CA449E" w14:textId="77777777" w:rsidR="00382AC9" w:rsidRPr="00524923" w:rsidRDefault="00382AC9" w:rsidP="00382AC9">
      <w:pPr>
        <w:pStyle w:val="Heading2"/>
        <w:rPr>
          <w:rFonts w:eastAsia="Times New Roman"/>
          <w:lang w:eastAsia="en-GB"/>
        </w:rPr>
      </w:pPr>
      <w:bookmarkStart w:id="37" w:name="_Toc133496244"/>
      <w:r>
        <w:rPr>
          <w:rFonts w:eastAsia="Times New Roman"/>
          <w:lang w:eastAsia="en-GB"/>
        </w:rPr>
        <w:lastRenderedPageBreak/>
        <w:t>The retirement years: 1985-1995 (women aged 60), 1990-2000 (men aged 65)</w:t>
      </w:r>
      <w:bookmarkEnd w:id="37"/>
    </w:p>
    <w:p w14:paraId="22B724E9" w14:textId="2A545EE1" w:rsidR="00382AC9" w:rsidRDefault="00382AC9" w:rsidP="00382AC9">
      <w:r>
        <w:t xml:space="preserve">Retirement came for the </w:t>
      </w:r>
      <w:r w:rsidRPr="00524923">
        <w:t xml:space="preserve">women </w:t>
      </w:r>
      <w:r w:rsidR="00D47E0A">
        <w:t xml:space="preserve">in this cohort </w:t>
      </w:r>
      <w:r w:rsidRPr="00524923">
        <w:t>at age 60 (</w:t>
      </w:r>
      <w:r w:rsidR="00D47E0A">
        <w:t xml:space="preserve">in the years </w:t>
      </w:r>
      <w:r w:rsidRPr="00524923">
        <w:t>1985-199</w:t>
      </w:r>
      <w:r>
        <w:t>4</w:t>
      </w:r>
      <w:r w:rsidRPr="00524923">
        <w:t xml:space="preserve">) </w:t>
      </w:r>
      <w:r>
        <w:t xml:space="preserve">and </w:t>
      </w:r>
      <w:r w:rsidRPr="00524923">
        <w:t xml:space="preserve">for men </w:t>
      </w:r>
      <w:r w:rsidR="00D47E0A">
        <w:t xml:space="preserve">usually at age </w:t>
      </w:r>
      <w:r w:rsidRPr="00524923">
        <w:t>65 (1990-</w:t>
      </w:r>
      <w:r>
        <w:t>1999</w:t>
      </w:r>
      <w:r w:rsidRPr="00524923">
        <w:t>)</w:t>
      </w:r>
      <w:r>
        <w:t xml:space="preserve">. </w:t>
      </w:r>
      <w:r w:rsidR="00D47E0A">
        <w:t>With the election of a New Labour government in 1997, which stuck to Conservative spending plans for two years, t</w:t>
      </w:r>
      <w:r>
        <w:t xml:space="preserve">he increase in health and social care funding (see Section 3.4) that came from 1999 onwards benefitted the Golden Cohort considerably more than </w:t>
      </w:r>
      <w:r w:rsidR="00D47E0A">
        <w:t xml:space="preserve">it helped </w:t>
      </w:r>
      <w:r>
        <w:t>younger generations.</w:t>
      </w:r>
      <w:r w:rsidRPr="5706CCB5">
        <w:t xml:space="preserve"> </w:t>
      </w:r>
      <w:r>
        <w:t>A large majority of t</w:t>
      </w:r>
      <w:r w:rsidR="00D47E0A">
        <w:t>his cohort</w:t>
      </w:r>
      <w:r>
        <w:t xml:space="preserve"> retired </w:t>
      </w:r>
      <w:r w:rsidR="00D47E0A">
        <w:t xml:space="preserve">while still living </w:t>
      </w:r>
      <w:r>
        <w:t xml:space="preserve">in homes they </w:t>
      </w:r>
      <w:r w:rsidR="00D47E0A">
        <w:t xml:space="preserve">now </w:t>
      </w:r>
      <w:r>
        <w:t>owned outright, in contrast to previous generations of older people who had often spent their final years in abject poverty</w:t>
      </w:r>
      <w:r w:rsidR="00A60702">
        <w:t xml:space="preserve"> </w:t>
      </w:r>
      <w:r>
        <w:fldChar w:fldCharType="begin"/>
      </w:r>
      <w:r w:rsidR="0099441B">
        <w:instrText xml:space="preserve"> ADDIN ZOTERO_ITEM CSL_CITATION {"citationID":"a3ocphrqig","properties":{"formattedCitation":"(Townsend, 1963)","plainCitation":"(Townsend, 1963)","noteIndex":0},"citationItems":[{"id":1934,"uris":["http://zotero.org/users/7125982/items/CN5FWPRE"],"itemData":{"id":1934,"type":"article-journal","container-title":"Harrmondsworth","journalAbbreviation":"Harrmondsworth","note":"publisher: Penguin Books","page":"188-205","title":"The family life of old people: An inquiry in East London","author":[{"family":"Townsend","given":"Peter"}],"issued":{"date-parts":[["1963"]]}}}],"schema":"https://github.com/citation-style-language/schema/raw/master/csl-citation.json"} </w:instrText>
      </w:r>
      <w:r>
        <w:fldChar w:fldCharType="separate"/>
      </w:r>
      <w:r w:rsidR="0099441B">
        <w:rPr>
          <w:rFonts w:cs="Arial"/>
        </w:rPr>
        <w:t>(Townsend, 1963)</w:t>
      </w:r>
      <w:r>
        <w:fldChar w:fldCharType="end"/>
      </w:r>
      <w:r w:rsidR="00A60702">
        <w:t>.</w:t>
      </w:r>
      <w:r>
        <w:t xml:space="preserve"> </w:t>
      </w:r>
      <w:r w:rsidR="00364B5A">
        <w:t>Poverty</w:t>
      </w:r>
      <w:r w:rsidR="00D47E0A">
        <w:t xml:space="preserve"> was not a common experience</w:t>
      </w:r>
      <w:r>
        <w:t xml:space="preserve"> for this Golden Cohort, </w:t>
      </w:r>
      <w:r w:rsidR="00D47E0A">
        <w:t xml:space="preserve">although </w:t>
      </w:r>
      <w:r w:rsidR="00364B5A">
        <w:t>for those whose parents were still alive, they</w:t>
      </w:r>
      <w:r w:rsidR="00D47E0A">
        <w:t xml:space="preserve"> were often poorer older pensioners</w:t>
      </w:r>
      <w:r w:rsidR="00364B5A">
        <w:t xml:space="preserve">. </w:t>
      </w:r>
      <w:r w:rsidR="00D47E0A">
        <w:t>However,</w:t>
      </w:r>
      <w:r>
        <w:t xml:space="preserve"> poverty was rising again among younger generations</w:t>
      </w:r>
      <w:r w:rsidR="005C748A">
        <w:t>.</w:t>
      </w:r>
    </w:p>
    <w:p w14:paraId="670FCB5E" w14:textId="77777777" w:rsidR="00382AC9" w:rsidRPr="00AD3E80" w:rsidRDefault="00382AC9" w:rsidP="00382AC9"/>
    <w:p w14:paraId="63F9D559" w14:textId="60058117" w:rsidR="00382AC9" w:rsidRDefault="00382AC9" w:rsidP="00382AC9">
      <w:pPr>
        <w:pStyle w:val="Heading2"/>
        <w:rPr>
          <w:rFonts w:eastAsia="Times New Roman"/>
          <w:lang w:eastAsia="en-GB"/>
        </w:rPr>
      </w:pPr>
      <w:bookmarkStart w:id="38" w:name="_Toc133496245"/>
      <w:r>
        <w:rPr>
          <w:rFonts w:eastAsia="Times New Roman"/>
          <w:lang w:eastAsia="en-GB"/>
        </w:rPr>
        <w:t>The New Labour years: 1997-2010 (aged 63</w:t>
      </w:r>
      <w:r w:rsidR="004B4D24">
        <w:rPr>
          <w:rFonts w:eastAsia="Times New Roman"/>
          <w:lang w:eastAsia="en-GB"/>
        </w:rPr>
        <w:t>-</w:t>
      </w:r>
      <w:r>
        <w:rPr>
          <w:rFonts w:eastAsia="Times New Roman"/>
          <w:lang w:eastAsia="en-GB"/>
        </w:rPr>
        <w:t xml:space="preserve">72 </w:t>
      </w:r>
      <w:r w:rsidR="004B4D24">
        <w:rPr>
          <w:rFonts w:eastAsia="Times New Roman"/>
          <w:lang w:eastAsia="en-GB"/>
        </w:rPr>
        <w:t>to</w:t>
      </w:r>
      <w:r>
        <w:rPr>
          <w:rFonts w:eastAsia="Times New Roman"/>
          <w:lang w:eastAsia="en-GB"/>
        </w:rPr>
        <w:t xml:space="preserve"> 76</w:t>
      </w:r>
      <w:r w:rsidR="004B4D24">
        <w:rPr>
          <w:rFonts w:eastAsia="Times New Roman"/>
          <w:lang w:eastAsia="en-GB"/>
        </w:rPr>
        <w:t>-</w:t>
      </w:r>
      <w:r>
        <w:rPr>
          <w:rFonts w:eastAsia="Times New Roman"/>
          <w:lang w:eastAsia="en-GB"/>
        </w:rPr>
        <w:t>85 years))</w:t>
      </w:r>
      <w:bookmarkEnd w:id="38"/>
    </w:p>
    <w:p w14:paraId="027AAF5F" w14:textId="77777777" w:rsidR="00382AC9" w:rsidRDefault="00382AC9" w:rsidP="00382AC9">
      <w:pPr>
        <w:pStyle w:val="Heading3"/>
      </w:pPr>
      <w:bookmarkStart w:id="39" w:name="_Toc133496246"/>
      <w:r>
        <w:t>Health and Social Care Investment</w:t>
      </w:r>
      <w:bookmarkEnd w:id="39"/>
    </w:p>
    <w:p w14:paraId="37A6828A" w14:textId="2F7F4097" w:rsidR="00382AC9" w:rsidRDefault="006630EB" w:rsidP="00382AC9">
      <w:r>
        <w:t>T</w:t>
      </w:r>
      <w:r w:rsidR="00382AC9">
        <w:t xml:space="preserve">he New Labour years of health and social care investment came </w:t>
      </w:r>
      <w:r>
        <w:t>as the Golden Cohort entered the older years of their lives, and thus</w:t>
      </w:r>
      <w:r w:rsidR="00382AC9">
        <w:t xml:space="preserve"> when they might have been needing such services</w:t>
      </w:r>
      <w:r w:rsidR="00D47E0A">
        <w:t xml:space="preserve"> the most</w:t>
      </w:r>
      <w:r w:rsidR="00382AC9">
        <w:t xml:space="preserve">. Health </w:t>
      </w:r>
      <w:r w:rsidR="00BA789E">
        <w:t xml:space="preserve">care </w:t>
      </w:r>
      <w:r w:rsidR="00382AC9">
        <w:t xml:space="preserve">and social </w:t>
      </w:r>
      <w:r w:rsidR="00BA789E">
        <w:t xml:space="preserve">security </w:t>
      </w:r>
      <w:r w:rsidR="00382AC9">
        <w:t xml:space="preserve">spending </w:t>
      </w:r>
      <w:r w:rsidR="00BA789E">
        <w:t>in pounds (GBP, £) per person to 2019-2020 prices</w:t>
      </w:r>
      <w:r w:rsidR="00382AC9">
        <w:t xml:space="preserve"> from 1955 to 2020 are shown in </w:t>
      </w:r>
      <w:r w:rsidR="00382AC9">
        <w:fldChar w:fldCharType="begin"/>
      </w:r>
      <w:r w:rsidR="00382AC9">
        <w:instrText xml:space="preserve"> REF _Ref132886707 </w:instrText>
      </w:r>
      <w:r w:rsidR="00382AC9">
        <w:fldChar w:fldCharType="separate"/>
      </w:r>
      <w:r w:rsidR="00BE338B">
        <w:t xml:space="preserve">Figure </w:t>
      </w:r>
      <w:r w:rsidR="00BE338B">
        <w:rPr>
          <w:noProof/>
        </w:rPr>
        <w:t>11</w:t>
      </w:r>
      <w:r w:rsidR="00382AC9">
        <w:fldChar w:fldCharType="end"/>
      </w:r>
      <w:r w:rsidR="00A60702">
        <w:t xml:space="preserve"> </w:t>
      </w:r>
      <w:r w:rsidR="00382AC9">
        <w:fldChar w:fldCharType="begin"/>
      </w:r>
      <w:r w:rsidR="00CE500A">
        <w:instrText xml:space="preserve"> ADDIN ZOTERO_ITEM CSL_CITATION {"citationID":"a2btt99kcfj","properties":{"formattedCitation":"(Institute for Fiscal Studies, 2023)","plainCitation":"(Institute for Fiscal Studies, 2023)","noteIndex":0},"citationItems":[{"id":1898,"uris":["http://zotero.org/users/7125982/items/A3RDDE4D"],"itemData":{"id":1898,"type":"webpage","abstract":"A spreadsheet with a breakdown of UK government spending since 1955.","container-title":"Institute for Fiscal Studies","language":"en","title":"IFS spending composition sheet | IFS Taxlab","URL":"https://ifs.org.uk/taxlab/taxlab-data-item/ifs-spending-composition-sheet","author":[{"literal":"Institute for Fiscal Studies"}],"accessed":{"date-parts":[["2023",4,20]]},"issued":{"date-parts":[["2023"]]}}}],"schema":"https://github.com/citation-style-language/schema/raw/master/csl-citation.json"} </w:instrText>
      </w:r>
      <w:r w:rsidR="00382AC9">
        <w:fldChar w:fldCharType="separate"/>
      </w:r>
      <w:r w:rsidR="00CE500A">
        <w:rPr>
          <w:rFonts w:cs="Arial"/>
        </w:rPr>
        <w:t>(Institute for Fiscal Studies, 2023)</w:t>
      </w:r>
      <w:r w:rsidR="00382AC9">
        <w:fldChar w:fldCharType="end"/>
      </w:r>
      <w:r w:rsidR="00A60702">
        <w:t>.</w:t>
      </w:r>
      <w:r w:rsidR="00382AC9">
        <w:t xml:space="preserve"> </w:t>
      </w:r>
      <w:r w:rsidR="00D47E0A">
        <w:t>Figure 11 reveals that</w:t>
      </w:r>
      <w:r w:rsidR="00382AC9">
        <w:t xml:space="preserve"> spending on both health</w:t>
      </w:r>
      <w:r w:rsidR="00BA789E">
        <w:t xml:space="preserve"> care</w:t>
      </w:r>
      <w:r w:rsidR="00382AC9">
        <w:t xml:space="preserve"> and social </w:t>
      </w:r>
      <w:r w:rsidR="00BA789E">
        <w:t xml:space="preserve">security </w:t>
      </w:r>
      <w:r w:rsidR="00382AC9">
        <w:t>increasing from 1999</w:t>
      </w:r>
      <w:r w:rsidR="00382AC9" w:rsidRPr="000D046A">
        <w:rPr>
          <w:rStyle w:val="FootnoteReference"/>
        </w:rPr>
        <w:footnoteReference w:id="2"/>
      </w:r>
      <w:r w:rsidR="00382AC9">
        <w:t xml:space="preserve"> to 2010 (</w:t>
      </w:r>
      <w:r w:rsidR="00D47E0A">
        <w:t xml:space="preserve">the </w:t>
      </w:r>
      <w:r w:rsidR="00364B5A">
        <w:t xml:space="preserve">grey vertical </w:t>
      </w:r>
      <w:r w:rsidR="00382AC9">
        <w:t>line</w:t>
      </w:r>
      <w:r w:rsidR="00364B5A">
        <w:t xml:space="preserve"> marks the 2010-2011 financial year</w:t>
      </w:r>
      <w:r w:rsidR="00382AC9">
        <w:t>). What happens after 2010 is discussed</w:t>
      </w:r>
      <w:r w:rsidR="00D47E0A">
        <w:t xml:space="preserve"> below,</w:t>
      </w:r>
      <w:r w:rsidR="00382AC9">
        <w:t xml:space="preserve"> in Section 4.2.</w:t>
      </w:r>
    </w:p>
    <w:p w14:paraId="0C62CA2E" w14:textId="20414ACD" w:rsidR="00382AC9" w:rsidRDefault="00382AC9" w:rsidP="00382AC9">
      <w:pPr>
        <w:pStyle w:val="Caption"/>
      </w:pPr>
      <w:bookmarkStart w:id="40" w:name="_Toc133496247"/>
      <w:r>
        <w:t>.</w:t>
      </w:r>
      <w:bookmarkEnd w:id="40"/>
      <w:r>
        <w:t xml:space="preserve"> </w:t>
      </w:r>
    </w:p>
    <w:p w14:paraId="6AFF1036" w14:textId="77777777" w:rsidR="00537CEF" w:rsidRDefault="00537CEF" w:rsidP="00537CEF">
      <w:pPr>
        <w:keepNext/>
      </w:pPr>
      <w:r>
        <w:rPr>
          <w:noProof/>
          <w14:ligatures w14:val="standardContextual"/>
        </w:rPr>
        <w:lastRenderedPageBreak/>
        <w:drawing>
          <wp:inline distT="0" distB="0" distL="0" distR="0" wp14:anchorId="4123D6AB" wp14:editId="6B6E9AE1">
            <wp:extent cx="5731510" cy="3184525"/>
            <wp:effectExtent l="0" t="0" r="0" b="3175"/>
            <wp:docPr id="944006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06825" name=""/>
                    <pic:cNvPicPr/>
                  </pic:nvPicPr>
                  <pic:blipFill>
                    <a:blip r:embed="rId20"/>
                    <a:stretch>
                      <a:fillRect/>
                    </a:stretch>
                  </pic:blipFill>
                  <pic:spPr>
                    <a:xfrm>
                      <a:off x="0" y="0"/>
                      <a:ext cx="5731510" cy="3184525"/>
                    </a:xfrm>
                    <a:prstGeom prst="rect">
                      <a:avLst/>
                    </a:prstGeom>
                  </pic:spPr>
                </pic:pic>
              </a:graphicData>
            </a:graphic>
          </wp:inline>
        </w:drawing>
      </w:r>
    </w:p>
    <w:p w14:paraId="681EC33E" w14:textId="0E883F7C" w:rsidR="00537CEF" w:rsidRDefault="00537CEF" w:rsidP="00614A54">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w:t>
      </w:r>
      <w:r w:rsidRPr="000558CA">
        <w:t xml:space="preserve">Health and Social Security spending </w:t>
      </w:r>
      <w:r>
        <w:t>per person in £ to 2019-2020 prices</w:t>
      </w:r>
      <w:r w:rsidRPr="000558CA">
        <w:t>, 1955-2020. Source: IFS data. Grey vertical line represents financial year 2010-11.</w:t>
      </w:r>
    </w:p>
    <w:p w14:paraId="44F3099F" w14:textId="77777777" w:rsidR="00382AC9" w:rsidRDefault="00382AC9" w:rsidP="00382AC9"/>
    <w:p w14:paraId="3AC4FA78" w14:textId="77777777" w:rsidR="00382AC9" w:rsidRDefault="00382AC9" w:rsidP="00382AC9">
      <w:pPr>
        <w:pStyle w:val="Heading3"/>
      </w:pPr>
      <w:bookmarkStart w:id="41" w:name="_Toc133496248"/>
      <w:r>
        <w:t>Health inequalities strategy</w:t>
      </w:r>
      <w:bookmarkEnd w:id="41"/>
    </w:p>
    <w:p w14:paraId="31C9A20A" w14:textId="75C031F7" w:rsidR="00382AC9" w:rsidRDefault="00382AC9" w:rsidP="00382AC9">
      <w:r>
        <w:t xml:space="preserve">New Labour’s “English health inequalities strategy” from 1999 to 2010 </w:t>
      </w:r>
      <w:r w:rsidR="00B32261">
        <w:t xml:space="preserve">had </w:t>
      </w:r>
      <w:r>
        <w:t>the aim of reducing the gap in life expectancy between poor and affluent areas. Research</w:t>
      </w:r>
      <w:r w:rsidR="00F018DE">
        <w:t>ers have</w:t>
      </w:r>
      <w:r>
        <w:t xml:space="preserve"> found </w:t>
      </w:r>
      <w:r w:rsidR="00F018DE">
        <w:t xml:space="preserve">that </w:t>
      </w:r>
      <w:r>
        <w:t xml:space="preserve">the strategy was successful </w:t>
      </w:r>
      <w:r w:rsidR="00F018DE">
        <w:t>according to</w:t>
      </w:r>
      <w:r>
        <w:t xml:space="preserve"> some measures. The time period of the strategy was associated with a reduction in geographical inequalities in the infant mortality rate (IMR)</w:t>
      </w:r>
      <w:r w:rsidR="00364B5A">
        <w:t xml:space="preserve"> </w:t>
      </w:r>
      <w:r>
        <w:fldChar w:fldCharType="begin"/>
      </w:r>
      <w:r w:rsidR="0099441B">
        <w:instrText xml:space="preserve"> ADDIN ZOTERO_ITEM CSL_CITATION {"citationID":"a1qhd67qubs","properties":{"formattedCitation":"(Robinson et al., 2019)","plainCitation":"(Robinson et al., 2019)","noteIndex":0},"citationItems":[{"id":1991,"uris":["http://zotero.org/users/7125982/items/8KDKHILD"],"itemData":{"id":1991,"type":"article-journal","abstract":"BACKGROUND: The English health inequalities strategy (1999-2010) aimed to reduce health inequalities between the most deprived local authorities and the rest of England. The multifaceted strategy included increased investment in healthcare, the early years, education and neighbourhood renewal. The objective of this study was to investigate whether the strategy was associated with a reduction in geographical inequalities in the infant mortality rate (IMR).\nMETHODS: We used segmented regression analysis to measure inequalities in the IMR between the most deprived local authorities and the rest of England before, during and after the health inequalities strategy period.\nRESULTS: Before the strategy was implemented (1983-1998), absolute inequalities in the IMR increased between the most deprived local authorities and the rest of England at a rate of 0.034 annually (95% CI 0.001 to 0.067). Once the strategy had been implemented (1999-2010), absolute inequalities decreased at a rate of -0.116 annually (95% CI -0.178 to -0.053). After the strategy period ended (2011-2017), absolute inequalities increased at a rate of 0.042 annually (95% CI -0.042 to 0.125). Relative inequalities also marginally decreased during the strategy period.\nCONCLUSION: The English health inequalities strategy period was associated with a decline in geographical inequalities in the IMR. This research adds to the evidence base suggesting that the English health inequalities strategy was at least partially effective in reducing health inequalities, and that current austerity policies may undermine these gains.","container-title":"Journal of Epidemiology and Community Health","DOI":"10.1136/jech-2018-211679","ISSN":"1470-2738","issue":"6","journalAbbreviation":"J Epidemiol Community Health","language":"eng","note":"PMID: 30890592","page":"564-568","source":"PubMed","title":"The impact of New Labour's English health inequalities strategy on geographical inequalities in infant mortality: a time-trend analysis","title-short":"The impact of New Labour's English health inequalities strategy on geographical inequalities in infant mortality","volume":"73","author":[{"family":"Robinson","given":"Tomos"},{"family":"Brown","given":"Heather"},{"family":"Norman","given":"Paul D."},{"family":"Fraser","given":"Lorna K."},{"family":"Barr","given":"Ben"},{"family":"Bambra","given":"Clare"}],"issued":{"date-parts":[["2019",6]]}}}],"schema":"https://github.com/citation-style-language/schema/raw/master/csl-citation.json"} </w:instrText>
      </w:r>
      <w:r>
        <w:fldChar w:fldCharType="separate"/>
      </w:r>
      <w:r w:rsidR="0099441B">
        <w:rPr>
          <w:rFonts w:cs="Arial"/>
        </w:rPr>
        <w:t>(Robinson et al., 2019)</w:t>
      </w:r>
      <w:r>
        <w:fldChar w:fldCharType="end"/>
      </w:r>
      <w:r>
        <w:t xml:space="preserve"> an</w:t>
      </w:r>
      <w:r w:rsidR="00364B5A">
        <w:t xml:space="preserve">d,  </w:t>
      </w:r>
      <w:r w:rsidR="00F018DE">
        <w:t>by some measures</w:t>
      </w:r>
      <w:r w:rsidR="00364B5A">
        <w:t>,</w:t>
      </w:r>
      <w:r>
        <w:t xml:space="preserve"> in life expectancy</w:t>
      </w:r>
      <w:r w:rsidR="00A60702">
        <w:t xml:space="preserve"> </w:t>
      </w:r>
      <w:r>
        <w:fldChar w:fldCharType="begin"/>
      </w:r>
      <w:r w:rsidR="0099441B">
        <w:instrText xml:space="preserve"> ADDIN ZOTERO_ITEM CSL_CITATION {"citationID":"ajae1n9uq0","properties":{"formattedCitation":"(Barr et al., 2017)","plainCitation":"(Barr et al., 2017)","noteIndex":0},"citationItems":[{"id":1998,"uris":["http://zotero.org/users/7125982/items/RKPQ3UJP"],"itemData":{"id":1998,"type":"article-journal","abstract":"Objective To investigate whether the English health inequalities strategy was associated with a decline in geographical health inequalities, compared with trends before and after the strategy.Design Time trend analysis.Setting Two groups of lower tier local authorities in England. The most deprived, bottom fifth and the rest of England.Intervention The English health inequalities strategy-a cross government strategy implemented between 1997 and 2010 to reduce health inequalities in England. Trends in geographical health inequalities were assessed before (1983-2003), during (2004-12), and after (2013-15) the strategy using segmented linear regression.Main outcome measure Geographical health inequalities measured as the relative and absolute differences in male and female life expectancy at birth between the most deprived local authorities in England and the rest of the country.Results Before the strategy the gap in male and female life expectancy between the most deprived local authorities in England and the rest of the country increased at a rate of 0.57 months each year (95% confidence interval 0.40 to 0.74 months) and 0.30 months each year (0.12 to 0.48 months). During the strategy period this trend reversed and the gap in life expectancy for men reduced by 0.91 months each year (0.54 to 1.27 months) and for women by 0.50 months each year (0.15 to 0.86 months). Since the end of the strategy period the inequality gap has increased again at a rate of 0.68 months each year (-0.20 to 1.56 months) for men and 0.31 months each year (-0.26 to 0.88) for women. By 2012 the gap in male life expectancy was 1.2 years smaller (95% confidence interval 0.8 to 1.5 years smaller) and the gap in female life expectancy was 0.6 years smaller (0.3 to 1.0 years smaller) than it would have been if the trends in inequalities before the strategy had continued.Conclusion The English health inequalities strategy was associated with a decline in geographical inequalities in life expectancy, reversing a previously increasing trend. Since the strategy ended, inequalities have started to increase again. The strategy may have reduced geographical health inequalities in life expectancy, and future approaches should learn from this experience. The concerns are that current policies are reversing the achievements of the strategy.","container-title":"BMJ (Clinical research ed.)","DOI":"10.1136/bmj.j3310","ISSN":"1756-1833","journalAbbreviation":"BMJ","language":"eng","note":"PMID: 28747304\nPMCID: PMC5527348","page":"j3310","source":"PubMed","title":"Investigating the impact of the English health inequalities strategy: time trend analysis","title-short":"Investigating the impact of the English health inequalities strategy","volume":"358","author":[{"family":"Barr","given":"Ben"},{"family":"Higgerson","given":"James"},{"family":"Whitehead","given":"Margaret"}],"issued":{"date-parts":[["2017",7,26]]}}}],"schema":"https://github.com/citation-style-language/schema/raw/master/csl-citation.json"} </w:instrText>
      </w:r>
      <w:r>
        <w:fldChar w:fldCharType="separate"/>
      </w:r>
      <w:r w:rsidR="0099441B">
        <w:rPr>
          <w:rFonts w:cs="Arial"/>
        </w:rPr>
        <w:t>(Barr et al., 2017)</w:t>
      </w:r>
      <w:r>
        <w:fldChar w:fldCharType="end"/>
      </w:r>
      <w:r w:rsidR="00A60702">
        <w:t>,</w:t>
      </w:r>
      <w:r>
        <w:t xml:space="preserve"> and the reallocation of NHS resources to increase funding in deprived areas compared to the more affluent </w:t>
      </w:r>
      <w:r w:rsidR="00F018DE">
        <w:t xml:space="preserve">areas </w:t>
      </w:r>
      <w:r>
        <w:t>reduced inequalities from causes amenable to healthcare</w:t>
      </w:r>
      <w:r w:rsidR="00F018DE">
        <w:t>, especially by increasing resources where fewer people survived into old age</w:t>
      </w:r>
      <w:r w:rsidR="00A60702">
        <w:t xml:space="preserve"> </w:t>
      </w:r>
      <w:r>
        <w:fldChar w:fldCharType="begin"/>
      </w:r>
      <w:r w:rsidR="00CE500A">
        <w:instrText xml:space="preserve"> ADDIN ZOTERO_ITEM CSL_CITATION {"citationID":"abnq51mvjt","properties":{"formattedCitation":"(Barr et al., 2014)","plainCitation":"(Barr et al., 2014)","noteIndex":0},"citationItems":[{"id":1994,"uris":["http://zotero.org/users/7125982/items/4F27IN4I"],"itemData":{"id":1994,"type":"article-journal","abstract":"Between 2001 and 2011, the NHS health inequalities policy of increasing the proportion of resources allocated to deprived areas compared with more affluent areas was associated with a reduction in absolute health inequalities from causes amenable to healthcare. Dropping this policy may widen inequal …","container-title":"BMJ (Clinical research ed.)","DOI":"10.1136/bmj.g3231","ISSN":"1756-1833","language":"en","note":"publisher: BMJ\nPMID: 24865459","source":"pubmed.ncbi.nlm.nih.gov","title":"The impact of NHS resource allocation policy on health inequalities in England 2001-11: longitudinal ecological study","title-short":"The impact of NHS resource allocation policy on health inequalities in England 2001-11","URL":"https://pubmed.ncbi.nlm.nih.gov/24865459/","volume":"348","author":[{"family":"Barr","given":"Ben"},{"family":"Bambra","given":"Clare"},{"family":"Whitehead","given":"Margaret"}],"accessed":{"date-parts":[["2023",4,24]]},"issued":{"date-parts":[["2014",5,27]]}}}],"schema":"https://github.com/citation-style-language/schema/raw/master/csl-citation.json"} </w:instrText>
      </w:r>
      <w:r>
        <w:fldChar w:fldCharType="separate"/>
      </w:r>
      <w:r w:rsidR="00CE500A">
        <w:rPr>
          <w:rFonts w:cs="Arial"/>
        </w:rPr>
        <w:t>(Barr et al., 2014)</w:t>
      </w:r>
      <w:r>
        <w:fldChar w:fldCharType="end"/>
      </w:r>
      <w:r w:rsidR="00A60702">
        <w:t>.</w:t>
      </w:r>
      <w:r>
        <w:t xml:space="preserve"> </w:t>
      </w:r>
      <w:r w:rsidR="00F018DE">
        <w:t>However, other research using a different method of measuring health inequalities concluded that: ‘</w:t>
      </w:r>
      <w:r w:rsidR="00F018DE" w:rsidRPr="00F018DE">
        <w:t>When measured by the relative index of inequality, geographical inequalities in age-sex standardised rates of mortality below age 75 have increased every two years from 1990-1 to 2006-7 without exception</w:t>
      </w:r>
      <w:r w:rsidR="00F018DE">
        <w:t>’ so the reduction in geographical inequalities was not seen in those younger than the golden cohort</w:t>
      </w:r>
      <w:r w:rsidR="003E394A">
        <w:t xml:space="preserve"> </w:t>
      </w:r>
      <w:r w:rsidR="003E394A">
        <w:fldChar w:fldCharType="begin"/>
      </w:r>
      <w:r w:rsidR="003E394A">
        <w:instrText xml:space="preserve"> ADDIN ZOTERO_ITEM CSL_CITATION {"citationID":"EfsIAex7","properties":{"formattedCitation":"(Thomas et al., 2010)","plainCitation":"(Thomas et al., 2010)","noteIndex":0},"citationItems":[{"id":3297,"uris":["http://zotero.org/users/7125982/items/PGA62YHT"],"itemData":{"id":3297,"type":"article-journal","abstract":"Objective To report on the extent of inequality in premature mortality as measured between geographical areas in Britain.\nDesign Observational study of routinely collected mortality data and public records. Population subdivided by age, sex, and geographical area (parliamentary constituencies from 1991 to2007, pre-1974 local authorities over a longer time span).\nSetting Great Britain.\nParticipants Entire population aged under 75 from 1990 to 2007, and entire population aged under 65 in the periods 1921-39, 1950-3, 1959-63, 1969-73, and 1981-2007.\nMain outcome measure Relative index of inequality (RII) and ratios of inequality in age-sex standardised mortality ratios under ages 75 and 65. The relative index of inequality is the relative rate of mortality for the hypothetically worst-off compared with the hypothetically best-off person in the population, assuming a linear association between socioeconomic position and risk of mortality. The ratio of inequality is the ratio of the standardised mortality ratio of the most deprived 10% to the least deprived 10%.\nResults When measured by the relative index of inequality, geographical inequalities in age-sex standardised rates of mortality below age 75 have increased every two years from 1990-1 to 2006-7 without exception. Over this period the relative index of inequality increased from 1.61 (95% confidence interval 1.52 to 1.69) in 1990-1 to 2.14 (2.02 to 2.27) in 2006-7. Simple ratios indicated a brief period around 2001 when a small reduction in inequality was recorded, but this was quickly reversed and inequalities up to the age of 75 have now reached the highest levels reported since at least 1990. Similarly, inequalities in mortality ratios under the age of 65 improved slightly in the early years of this century but the latest figures surpass the most extreme previously reported. Comparison of crudely age-sex standardised rates for those below age 65 from historical records showed that geographical inequalities in mortality are higher in the most recent decade than in any similar time period for which records are available since at least 1921.\nConclusions Inequalities in premature mortality between areas of Britain continued to rise steadily during the first decade of the 21st century. The last time in the long economic record that inequalities were almost as high was in the lead up to the economic crash of 1929 and the economic depression of the 1930s. The economic crash of 2008 might precede even greater inequalities in mortality between areas in Britain.","container-title":"BMJ","DOI":"10.1136/bmj.c3639","ISSN":"0959-8138, 1468-5833","journalAbbreviation":"BMJ","language":"en","license":"© Thomas et al 2010. This is an open-access article distributed under the terms of the Creative Commons Attribution Non-commercial License, which permits use, distribution, and reproduction in any medium, provided the original work is properly cited, the use is non commercial and is otherwise in compliance with the license. See: http://creativecommons.org/licenses/by-nc/2.0/  and  http://creativecommons.org/licenses/by-nc/2.0/legalcode.","note":"publisher: British Medical Journal Publishing Group\nsection: Research\nPMID: 20650979","page":"c3639","source":"www.bmj.com","title":"Inequalities in premature mortality in Britain: observational study from 1921 to 2007","title-short":"Inequalities in premature mortality in Britain","volume":"341","author":[{"family":"Thomas","given":"Bethan"},{"family":"Dorling","given":"Danny"},{"family":"Smith","given":"George Davey"}],"issued":{"date-parts":[["2010",7,22]]}}}],"schema":"https://github.com/citation-style-language/schema/raw/master/csl-citation.json"} </w:instrText>
      </w:r>
      <w:r w:rsidR="003E394A">
        <w:fldChar w:fldCharType="separate"/>
      </w:r>
      <w:r w:rsidR="003E394A">
        <w:rPr>
          <w:noProof/>
        </w:rPr>
        <w:t>(Thomas et al., 2010)</w:t>
      </w:r>
      <w:r w:rsidR="003E394A">
        <w:fldChar w:fldCharType="end"/>
      </w:r>
      <w:r w:rsidR="00F018DE">
        <w:t>.</w:t>
      </w:r>
    </w:p>
    <w:p w14:paraId="1F5A284F" w14:textId="77777777" w:rsidR="00382AC9" w:rsidRDefault="00382AC9" w:rsidP="00382AC9"/>
    <w:p w14:paraId="60C92DE6" w14:textId="77777777" w:rsidR="00382AC9" w:rsidRDefault="00382AC9" w:rsidP="00382AC9">
      <w:pPr>
        <w:pStyle w:val="Heading3"/>
      </w:pPr>
      <w:bookmarkStart w:id="42" w:name="_Toc133496249"/>
      <w:r>
        <w:t>Cardiovascular disease mortality improvements</w:t>
      </w:r>
      <w:bookmarkEnd w:id="42"/>
    </w:p>
    <w:p w14:paraId="20F2AA2C" w14:textId="60E8407F" w:rsidR="00382AC9" w:rsidRDefault="00382AC9" w:rsidP="00382AC9">
      <w:r>
        <w:t>Another important factor of this period is the rapid improvements in cardiovascular disease mortality. Between 1979 and 2013, total deaths from cardiovascular disease decreased by 70% in the UK, with even larger improvements in premature mortality</w:t>
      </w:r>
      <w:r w:rsidR="00A60702">
        <w:t xml:space="preserve"> </w:t>
      </w:r>
      <w:r>
        <w:fldChar w:fldCharType="begin"/>
      </w:r>
      <w:r w:rsidR="00CE500A">
        <w:instrText xml:space="preserve"> ADDIN ZOTERO_ITEM CSL_CITATION {"citationID":"a18a0ml53oe","properties":{"formattedCitation":"(Bhatnagar et al., 2016; World Health Organisation, 2023)","plainCitation":"(Bhatnagar et al., 2016; World Health Organisation, 2023)","noteIndex":0},"citationItems":[{"id":2004,"uris":["http://zotero.org/users/7125982/items/9958V6TX"],"itemData":{"id":2004,"type":"webpage","abstract":"&lt;div&gt;\n&lt;div&gt;\n&lt;div&gt;More deaths are caused by cardiovascular diseases than any other category. Cardiovascular deaths increase sharply with age, and most cardiovascular deaths occur in older adults. The two most common causes of cardiovascular deaths are ischemic heart disease and stroke. These, in turn, are caused by behavioral and metabolic risk factors such as tobacco use, physical inactivity, high blood pressure, and high blood glucose.&lt;/div&gt;\n&lt;/div&gt;\n&lt;/div&gt;","language":"en","title":"Cardiovascular diseases","URL":"https://platform.who.int/mortality/themes/theme-details/topics/topic-details/MDB/cardiovascular-diseases","author":[{"literal":"World Health Organisation"}],"accessed":{"date-parts":[["2023",4,24]]},"issued":{"date-parts":[["2023"]]}}},{"id":2001,"uris":["http://zotero.org/users/7125982/items/4XZWW67G"],"itemData":{"id":2001,"type":"article-journal","abstract":"Cardiovascular disease (CVD) mortality in the UK is declining; however, CVD burden comes not only from deaths, but also from those living with the disease. This review uses national datasets with multiple years of data to present secular trends in mortality, morbidity, and treatment for all CVD and specific subtypes within the UK. We produced all-ages and premature age-standardised mortality rates by gender, standardised to the 2013 European Standard Population, using data from the national statistics agencies of the UK. We obtained data on hospital admissions from the National Health Service records, using the main diagnosis. Prevalence data come from the Quality and Outcome Framework and national surveys. Total CVD mortality declined by 68% between 1980 and 2013 in the UK. Similar decreases were seen for coronary heart disease and stroke. Coronary heart disease prevalence has remained constant at around 3% in England and 4% in Scotland, Wales, and Northern Ireland. Hospital admissions for all CVD increased by over 46 000 between 2010/2011 and 2013/2014, with more than 36 500 of these increased admissions for men. Hospital admission trends vary by country and CVD condition. CVD prescriptions and operations have increased over the last decade. CVD mortality has declined notably for both men and women while hospital admissions have increased. CVD prevalence shows little evidence of change. This review highlights that improvements in the burden of CVD have not occurred equally between the four constituent countries of the UK, or between men and women.","container-title":"Heart","DOI":"10.1136/heartjnl-2016-309573","ISSN":"1355-6037, 1468-201X","issue":"24","journalAbbreviation":"Heart","language":"en","license":"Published by the BMJ Publishing Group Limited. For permission to use (where not already granted under a licence) please go to http://www.bmj.com/company/products-services/rights-and-licensing/. This is an Open Access article distributed in accordance with the terms of the Creative Commons Attribution (CC BY 4.0) license, which permits others to distribute, remix, adapt and build upon this work, for commercial use, provided the original work is properly cited. See: http://creativecommons.org/licenses/by/4.0/","note":"publisher: BMJ Publishing Group Ltd and British Cardiovascular Society\nsection: Review\nPMID: 27550425","page":"1945-1952","source":"heart.bmj.com","title":"Trends in the epidemiology of cardiovascular disease in the UK","volume":"102","author":[{"family":"Bhatnagar","given":"Prachi"},{"family":"Wickramasinghe","given":"Kremlin"},{"family":"Wilkins","given":"Elizabeth"},{"family":"Townsend","given":"Nick"}],"issued":{"date-parts":[["2016",12,15]]}}}],"schema":"https://github.com/citation-style-language/schema/raw/master/csl-citation.json"} </w:instrText>
      </w:r>
      <w:r>
        <w:fldChar w:fldCharType="separate"/>
      </w:r>
      <w:r w:rsidR="00CE500A">
        <w:rPr>
          <w:rFonts w:cs="Arial"/>
        </w:rPr>
        <w:t>(Bhatnagar et al., 2016; World Health Organisation, 2023)</w:t>
      </w:r>
      <w:r>
        <w:fldChar w:fldCharType="end"/>
      </w:r>
      <w:r w:rsidR="00A60702">
        <w:t>.</w:t>
      </w:r>
      <w:r>
        <w:t xml:space="preserve"> These improvements were reflected across many </w:t>
      </w:r>
      <w:r>
        <w:lastRenderedPageBreak/>
        <w:t>affluent countries, with advancements in diagnosis and management, and increasing recognition of prevention. In the UK, the rate of improvement has slowed since 2011</w:t>
      </w:r>
      <w:r w:rsidR="00A60702">
        <w:t xml:space="preserve"> </w:t>
      </w:r>
      <w:r>
        <w:fldChar w:fldCharType="begin"/>
      </w:r>
      <w:r w:rsidR="0099441B">
        <w:instrText xml:space="preserve"> ADDIN ZOTERO_ITEM CSL_CITATION {"citationID":"aaieufhsb4","properties":{"formattedCitation":"(OECD &amp; The King\\uc0\\u8217{}s Fund, 2020)","plainCitation":"(OECD &amp; The King’s Fund, 2020)","noteIndex":0},"citationItems":[{"id":1173,"uris":["http://zotero.org/users/7125982/items/QR6YMGIZ"],"itemData":{"id":1173,"type":"book","title":"Is Cardiovascular Disease Slowing Improvements in Life Expectancy?","author":[{"family":"OECD","given":""},{"family":"The King’s Fund","given":""}],"issued":{"date-parts":[["2020"]]}}}],"schema":"https://github.com/citation-style-language/schema/raw/master/csl-citation.json"} </w:instrText>
      </w:r>
      <w:r>
        <w:fldChar w:fldCharType="separate"/>
      </w:r>
      <w:r w:rsidR="0099441B" w:rsidRPr="0099441B">
        <w:rPr>
          <w:rFonts w:cs="Arial"/>
        </w:rPr>
        <w:t>(OECD &amp; The King’s Fund, 2020)</w:t>
      </w:r>
      <w:r>
        <w:fldChar w:fldCharType="end"/>
      </w:r>
      <w:r w:rsidR="00A60702">
        <w:t>,</w:t>
      </w:r>
      <w:r>
        <w:t xml:space="preserve"> and this is further explored in Section 4.3. </w:t>
      </w:r>
      <w:r w:rsidR="00F018DE">
        <w:t>Recent work has suggested that factors not well understood before the onset of the 2019 pandemic might also have played a part in this global decline seen from the late 1950s through to its abrupt end in 2020</w:t>
      </w:r>
      <w:r w:rsidR="003E394A">
        <w:t xml:space="preserve"> </w:t>
      </w:r>
      <w:r w:rsidR="003E394A">
        <w:fldChar w:fldCharType="begin"/>
      </w:r>
      <w:r w:rsidR="003E394A">
        <w:instrText xml:space="preserve"> ADDIN ZOTERO_ITEM CSL_CITATION {"citationID":"WTju21qy","properties":{"formattedCitation":"(Davey Smith &amp; Dorling, 2023)","plainCitation":"(Davey Smith &amp; Dorling, 2023)","noteIndex":0},"citationItems":[{"id":2557,"uris":["http://zotero.org/users/7125982/items/A5ZL2NX8"],"itemData":{"id":2557,"type":"article-journal","abstract":"The 20th century coronary heart disease pandemic remains a partial enigma. Here we focus on sex differences in mortality as an indicator of the disease during a time when classification of cause of death was uncertain. We suggest that cohorts born during a few decades around the turn of the century bore the brunt of the pandemic, and propose that the 1889-1895 Russian influenza epidemic may have contributed to this. That some evidence points to the introduction of a human seasonal coronavirus during the 1889-95 pandemic adds contemporary relevance to these speculations.","language":"English","note":"publisher: Society for Epidemiologic Research","source":"ora.ox.ac.uk","title":"Revisiting the point-source hypothesis of the coronary heart disease epidemic in light of the COVID-19 pandemic","URL":"https://ora.ox.ac.uk/objects/uuid:12849f9e-ffdd-40af-8b69-1250285dc2a6","author":[{"family":"Davey Smith","given":"G."},{"family":"Dorling","given":"D."}],"accessed":{"date-parts":[["2023",6,22]]},"issued":{"date-parts":[["2023"]]}}}],"schema":"https://github.com/citation-style-language/schema/raw/master/csl-citation.json"} </w:instrText>
      </w:r>
      <w:r w:rsidR="003E394A">
        <w:fldChar w:fldCharType="separate"/>
      </w:r>
      <w:r w:rsidR="003E394A">
        <w:rPr>
          <w:noProof/>
        </w:rPr>
        <w:t>(Davey Smith &amp; Dorling, 2023)</w:t>
      </w:r>
      <w:r w:rsidR="003E394A">
        <w:fldChar w:fldCharType="end"/>
      </w:r>
      <w:r w:rsidR="00F018DE">
        <w:t>.</w:t>
      </w:r>
    </w:p>
    <w:p w14:paraId="187716C1" w14:textId="77777777" w:rsidR="00382AC9" w:rsidRDefault="00382AC9" w:rsidP="00382AC9"/>
    <w:p w14:paraId="7C490E11" w14:textId="77777777" w:rsidR="008624EB" w:rsidRPr="008624EB" w:rsidRDefault="008624EB" w:rsidP="008624EB">
      <w:pPr>
        <w:pStyle w:val="Heading2"/>
        <w:rPr>
          <w:rFonts w:cs="Times New Roman (Headings CS)"/>
          <w:szCs w:val="32"/>
        </w:rPr>
      </w:pPr>
      <w:r>
        <w:t>The beginning of the end</w:t>
      </w:r>
    </w:p>
    <w:p w14:paraId="7733156E" w14:textId="2BCCC7AD" w:rsidR="001A6999" w:rsidRDefault="008624EB" w:rsidP="008624EB">
      <w:r>
        <w:t xml:space="preserve">The Golden Cohort saw overall improvements year-on-year in their mortality from birth to 2010, as outlined in this section. This was not due to a period or age effect, but a series of social and economic events </w:t>
      </w:r>
      <w:r w:rsidR="001A6999">
        <w:t xml:space="preserve">that </w:t>
      </w:r>
      <w:r>
        <w:t>occurred at just the time</w:t>
      </w:r>
      <w:r w:rsidR="003F73BC">
        <w:t>s</w:t>
      </w:r>
      <w:r>
        <w:t xml:space="preserve"> that benefitted them, such as war-time rationing</w:t>
      </w:r>
      <w:r w:rsidR="001A6999">
        <w:t xml:space="preserve"> and </w:t>
      </w:r>
      <w:r>
        <w:t xml:space="preserve">the birth of the NHS, or just at a time that they narrowly avoided adversity, such as the income inequality and unemployment of the 1980s. They were </w:t>
      </w:r>
      <w:r w:rsidR="00F018DE">
        <w:t xml:space="preserve">mostly </w:t>
      </w:r>
      <w:r>
        <w:t>too young to fight in WWII, too old to be hit by the</w:t>
      </w:r>
      <w:r w:rsidR="00F018DE">
        <w:t xml:space="preserve"> worse effects of</w:t>
      </w:r>
      <w:r>
        <w:t xml:space="preserve"> 1980s austerity, and just the right age to benefit from the late 1990s and early 2000s spending on health and social care. </w:t>
      </w:r>
    </w:p>
    <w:p w14:paraId="0C3D880D" w14:textId="7F45239B" w:rsidR="00382AC9" w:rsidRDefault="008624EB" w:rsidP="00FD114D">
      <w:pPr>
        <w:rPr>
          <w:rFonts w:cs="Times New Roman (Headings CS)"/>
          <w:szCs w:val="32"/>
        </w:rPr>
      </w:pPr>
      <w:r>
        <w:t xml:space="preserve">State involvement in </w:t>
      </w:r>
      <w:r w:rsidR="001A6999">
        <w:t>the</w:t>
      </w:r>
      <w:r>
        <w:t xml:space="preserve"> lives </w:t>
      </w:r>
      <w:r w:rsidR="001A6999">
        <w:t>of the Golden Cohort had been</w:t>
      </w:r>
      <w:r>
        <w:t xml:space="preserve">, on balance, positive up until this point. However, they entered the Austerity Years of the 2010s at just the wrong age: in their </w:t>
      </w:r>
      <w:r w:rsidR="003F73BC">
        <w:t xml:space="preserve">late 70s and early 80s, </w:t>
      </w:r>
      <w:r w:rsidR="00F018DE">
        <w:t xml:space="preserve">the ages </w:t>
      </w:r>
      <w:r w:rsidR="003F73BC">
        <w:t>when they would need the state to provide health and social care the most</w:t>
      </w:r>
      <w:r w:rsidR="00F018DE">
        <w:t xml:space="preserve"> – and when</w:t>
      </w:r>
      <w:r w:rsidR="00364B5A">
        <w:t>,</w:t>
      </w:r>
      <w:r w:rsidR="00F018DE">
        <w:t xml:space="preserve"> for many of them</w:t>
      </w:r>
      <w:r w:rsidR="00095567">
        <w:t>, it was no longer</w:t>
      </w:r>
      <w:r w:rsidR="00364B5A">
        <w:t xml:space="preserve"> reliably</w:t>
      </w:r>
      <w:r w:rsidR="00095567">
        <w:t xml:space="preserve"> there</w:t>
      </w:r>
      <w:r w:rsidR="003F73BC">
        <w:t>.</w:t>
      </w:r>
      <w:r w:rsidR="00382AC9">
        <w:br w:type="page"/>
      </w:r>
    </w:p>
    <w:p w14:paraId="2F9917CA" w14:textId="77777777" w:rsidR="00382AC9" w:rsidRPr="00CD2F55" w:rsidRDefault="00382AC9" w:rsidP="00382AC9">
      <w:pPr>
        <w:pStyle w:val="Heading1"/>
        <w:rPr>
          <w:rFonts w:eastAsia="Times New Roman"/>
          <w:lang w:eastAsia="en-GB"/>
        </w:rPr>
      </w:pPr>
      <w:bookmarkStart w:id="43" w:name="_Toc133496250"/>
      <w:r>
        <w:rPr>
          <w:rFonts w:eastAsia="Times New Roman"/>
          <w:lang w:eastAsia="en-GB"/>
        </w:rPr>
        <w:lastRenderedPageBreak/>
        <w:t>The Austerity Years, 2010 onwards (aged 76-85 onwards)</w:t>
      </w:r>
      <w:bookmarkEnd w:id="43"/>
    </w:p>
    <w:p w14:paraId="1F327BA6" w14:textId="4D99ACC0" w:rsidR="00382AC9" w:rsidRPr="00170BB9" w:rsidRDefault="00382AC9" w:rsidP="00382AC9">
      <w:r>
        <w:t xml:space="preserve">After the financial crash of 2008, </w:t>
      </w:r>
      <w:r w:rsidR="00095567">
        <w:t xml:space="preserve">much of life </w:t>
      </w:r>
      <w:r>
        <w:t xml:space="preserve">in Britain </w:t>
      </w:r>
      <w:r w:rsidR="00095567">
        <w:t xml:space="preserve">fundamentally </w:t>
      </w:r>
      <w:r>
        <w:t>changed. The election of the Conservative-Liberal Democrat coalition government of 2010 brought in the “age of austerity”, led by then Prime Minister David Cameron, with the aid of the deputy Prime Minster Nick Clegg and, crucially, the Chancellor, George Osborne. For the Golden Cohort, the state which had interfered to a remarkable level in their young lives had effectively walked out on them in their old age and</w:t>
      </w:r>
      <w:r w:rsidR="00095567">
        <w:t xml:space="preserve"> especially</w:t>
      </w:r>
      <w:r>
        <w:t xml:space="preserve"> </w:t>
      </w:r>
      <w:r w:rsidR="00095567">
        <w:t>for those in this group with the</w:t>
      </w:r>
      <w:r>
        <w:t xml:space="preserve"> great need</w:t>
      </w:r>
      <w:r w:rsidR="00095567">
        <w:t xml:space="preserve"> due to ill health or disability</w:t>
      </w:r>
      <w:r>
        <w:t xml:space="preserve">. Here, we first examine what is meant by the often-used term ‘austerity’, </w:t>
      </w:r>
      <w:r w:rsidR="00095567">
        <w:t xml:space="preserve">we consider </w:t>
      </w:r>
      <w:r>
        <w:t>the existing evidence on the impact of austerity on life expectancy, and finally present our analysis of the impact of the austerity years on the Golden Cohort. Could the generation that survived World War II, rationing, economic decline, rising inequalities, and epidemics have had their lives cut short by government policy</w:t>
      </w:r>
      <w:r w:rsidR="00095567">
        <w:t xml:space="preserve"> in the most dramatic and harmful of ways</w:t>
      </w:r>
      <w:r>
        <w:t>?</w:t>
      </w:r>
    </w:p>
    <w:p w14:paraId="6EBE4BEB" w14:textId="77777777" w:rsidR="00382AC9" w:rsidRDefault="00382AC9" w:rsidP="00382AC9"/>
    <w:p w14:paraId="1573748E" w14:textId="77777777" w:rsidR="00382AC9" w:rsidRDefault="00382AC9" w:rsidP="00382AC9">
      <w:pPr>
        <w:pStyle w:val="Heading2"/>
        <w:rPr>
          <w:lang w:eastAsia="en-GB"/>
        </w:rPr>
      </w:pPr>
      <w:bookmarkStart w:id="44" w:name="_Toc133496251"/>
      <w:r>
        <w:rPr>
          <w:lang w:eastAsia="en-GB"/>
        </w:rPr>
        <w:t>What is austerity?</w:t>
      </w:r>
      <w:bookmarkEnd w:id="44"/>
    </w:p>
    <w:p w14:paraId="094B1A92" w14:textId="0B3E5B75" w:rsidR="00382AC9" w:rsidRDefault="00382AC9" w:rsidP="00382AC9">
      <w:r>
        <w:t>‘Austerity’ originates from the Latin ‘</w:t>
      </w:r>
      <w:proofErr w:type="spellStart"/>
      <w:r w:rsidRPr="00CA7132">
        <w:rPr>
          <w:i/>
          <w:iCs/>
        </w:rPr>
        <w:t>austerus</w:t>
      </w:r>
      <w:proofErr w:type="spellEnd"/>
      <w:r>
        <w:t>’ meaning dry, plain, or harsh</w:t>
      </w:r>
      <w:r w:rsidR="00A60702">
        <w:t xml:space="preserve"> </w:t>
      </w:r>
      <w:r>
        <w:fldChar w:fldCharType="begin"/>
      </w:r>
      <w:r w:rsidR="003E394A">
        <w:instrText xml:space="preserve"> ADDIN ZOTERO_ITEM CSL_CITATION {"citationID":"7mikzU83","properties":{"formattedCitation":"(Anderson &amp; Minneman, 2014)","plainCitation":"(Anderson &amp; Minneman, 2014)","noteIndex":0},"citationItems":[{"id":"P59J3jrC/NgXvJp9w","uris":["http://zotero.org/users/7125982/items/2PXA9NJ7"],"itemData":{"id":1343,"type":"article-journal","abstract":"Austerity has become a widely used term in economic research and popular media as many countries have recently implemented deficit reduction policies. This article begins by exploring definitions of austerity used in research and the ways these different definitions impact analysis of policy effects. The article then takes into account a number of factors that can affect the outcome of these so-called austerity measures, including economic conditions, time period, and parties impacted by the policies. Without a clear definition of austerity and the contexts under which it is implemented, a conclusive analysis of austerity’s effects cannot be conducted. This article concludes that the term “austerity” will remain a confusing term that can breed misunderstanding, social uprisings, political unrest, and ill-prescribed solutions to economic problems. JEL classification: H10, H12, H41, H60 Keywords: Austerity, spending cuts, deficits, tax increases, recession","container-title":"OECD Journal on Budgeting","DOI":"10.1787/budget-14-5jxrmdxc6sq1","ISSN":"16812336","issue":"1","language":"en","note":"Company: OECD\nDistributor: OECD\nInstitution: OECD\nLabel: OECD\npublisher-place: Paris\npublisher: Organisation for Economic Co-operation and Development","page":"109-122","source":"OECD iLibrary","title":"The abuse and misuse of the term “Austerity” Implications for OECD countries","volume":"14","author":[{"family":"Anderson","given":"Barry"},{"family":"Minneman","given":"Elizabeth"}],"issued":{"date-parts":[["2014",12,22]]}}}],"schema":"https://github.com/citation-style-language/schema/raw/master/csl-citation.json"} </w:instrText>
      </w:r>
      <w:r>
        <w:fldChar w:fldCharType="separate"/>
      </w:r>
      <w:r w:rsidR="0099441B">
        <w:rPr>
          <w:rFonts w:ascii="Times New Roman" w:hAnsi="Times New Roman"/>
          <w:sz w:val="24"/>
        </w:rPr>
        <w:t>(Anderson &amp; Minneman, 2014)</w:t>
      </w:r>
      <w:r>
        <w:fldChar w:fldCharType="end"/>
      </w:r>
      <w:r w:rsidR="00A60702">
        <w:t>.</w:t>
      </w:r>
      <w:r>
        <w:t xml:space="preserve"> Before World War II (WWII), the term was used to describe physical conditions, not economic ones—only in the 1950s was ‘austerity’ used to describe economic policy, at which time it referred to post-War rationing with </w:t>
      </w:r>
      <w:r w:rsidR="00095567">
        <w:t xml:space="preserve">enforced </w:t>
      </w:r>
      <w:r>
        <w:t xml:space="preserve">decreased spending on household goods and </w:t>
      </w:r>
      <w:r w:rsidR="00095567">
        <w:t xml:space="preserve">on </w:t>
      </w:r>
      <w:r>
        <w:t xml:space="preserve">discretionary food, and continued substantial military spending. In its modern use, it refers to fiscal consolidation with spending cuts and/or increased taxes. However, many definitions exist, and this poses a challenge in research (see: Figure 3 in Anderson and </w:t>
      </w:r>
      <w:proofErr w:type="spellStart"/>
      <w:r>
        <w:t>Minneman</w:t>
      </w:r>
      <w:proofErr w:type="spellEnd"/>
      <w:r>
        <w:t xml:space="preserve"> 2014 regarding different definitions of austerity; and Table 1 in McCartney et al, 2020 regarding different definitions used in health outcomes research)</w:t>
      </w:r>
      <w:r w:rsidR="00A60702">
        <w:t xml:space="preserve"> </w:t>
      </w:r>
      <w:r>
        <w:fldChar w:fldCharType="begin"/>
      </w:r>
      <w:r w:rsidR="003E394A">
        <w:instrText xml:space="preserve"> ADDIN ZOTERO_ITEM CSL_CITATION {"citationID":"bN2YtHUe","properties":{"formattedCitation":"(Anderson &amp; Minneman, 2014; McCartney et al., 2020)","plainCitation":"(Anderson &amp; Minneman, 2014; McCartney et al., 2020)","noteIndex":0},"citationItems":[{"id":"P59J3jrC/NgXvJp9w","uris":["http://zotero.org/users/7125982/items/2PXA9NJ7"],"itemData":{"id":"rWWB4Dyp/TQltkPbW","type":"article-journal","abstract":"Austerity has become a widely used term in economic research and popular media as many countries have recently implemented deficit reduction policies. This article begins by exploring definitions of austerity used in research and the ways these different definitions impact analysis of policy effects. The article then takes into account a number of factors that can affect the outcome of these so-called austerity measures, including economic conditions, time period, and parties impacted by the policies. Without a clear definition of austerity and the contexts under which it is implemented, a conclusive analysis of austerity’s effects cannot be conducted. This article concludes that the term “austerity” will remain a confusing term that can breed misunderstanding, social uprisings, political unrest, and ill-prescribed solutions to economic problems. JEL classification: H10, H12, H41, H60 Keywords: Austerity, spending cuts, deficits, tax increases, recession","container-title":"OECD Journal on Budgeting","DOI":"10.1787/budget-14-5jxrmdxc6sq1","ISSN":"16812336","issue":"1","language":"en","note":"Company: OECD\nDistributor: OECD\nInstitution: OECD\nLabel: OECD\npublisher-place: Paris\npublisher: Organisation for Economic Co-operation and Development","page":"109-122","source":"OECD iLibrary","title":"The abuse and misuse of the term “Austerity” Implications for OECD countries","volume":"14","author":[{"family":"Anderson","given":"Barry"},{"family":"Minneman","given":"Elizabeth"}],"issued":{"date-parts":[["2014",12,22]]}}},{"id":1135,"uris":["http://zotero.org/users/7125982/items/CQ27EQCR"],"itemData":{"id":1135,"type":"article-journal","abstract":"INTRODUCTION: Mortality rates in many high-income countries have changed from their long-term trends since around 2011. This paper sets out a protocol for testing the extent to which economic austerity can explain the variance in recent mortality trends across high-income countries. METHODS AND ANALYSIS: This is an ecological natural experiment study, which will use regression adjustment to account for differences in exposure, outcomes and confounding. All high-income countries with available data will be included in the sample. The timing of any changes in the trends for four measures of austerity (the Alesina-Ardagna Fiscal Index, real per capita government expenditure, public social spending and the cyclically adjusted primary balance) will be identified and the cumulative difference in exposure to these measures thereafter will be calculated. These will be regressed against the difference in the mean annual change in life expectancy, mortality rates and lifespan variation compared with the previous trends, with an initial lag of 2 years after the identified change point in the exposure measure. The role of underemployment and individual incomes as outcomes in their own right and as mediating any relationship between austerity and mortality will also be considered. Sensitivity analyses varying the lag period to 0 and 5 years, and adjusting for recession, will be undertaken. ETHICS AND DISSEMINATION: All of the data used for this study are publicly available, aggregated datasets with no individuals identifiable. There is, therefore, no requirement for ethical committee approval for the study. The study will be lodged within the National Health Service research governance system. All results of the study will be published following sharing with partner agencies. No new datasets will be created as part of this work for deposition or curation.","container-title":"BMJ Open","DOI":"10.1136/bmjopen-2019-034832","ISSN":"2044-6055","issue":"1","language":"eng","note":"PMCID: PMC7044814","page":"e034832","title":"Is austerity responsible for the recent change in mortality trends across high-income nations? A protocol for an observational study","volume":"10","author":[{"family":"McCartney","given":"G."},{"family":"Fenton","given":"L."},{"family":"Minton","given":"J."},{"family":"Fischbacher","given":"C."},{"family":"Taulbut","given":"M."},{"family":"Little","given":"K."},{"family":"Humphreys","given":"C."},{"family":"Cumbers","given":"A."},{"family":"Popham","given":"F."},{"family":"McMaster","given":"R."}],"issued":{"date-parts":[["2020",1,23]]}}}],"schema":"https://github.com/citation-style-language/schema/raw/master/csl-citation.json"} </w:instrText>
      </w:r>
      <w:r>
        <w:fldChar w:fldCharType="separate"/>
      </w:r>
      <w:r w:rsidR="0099441B">
        <w:rPr>
          <w:rFonts w:ascii="Times New Roman" w:hAnsi="Times New Roman"/>
          <w:sz w:val="24"/>
        </w:rPr>
        <w:t>(Anderson &amp; Minneman, 2014; McCartney et al., 2020)</w:t>
      </w:r>
      <w:r>
        <w:fldChar w:fldCharType="end"/>
      </w:r>
      <w:r w:rsidR="00A60702">
        <w:t>.</w:t>
      </w:r>
      <w:r>
        <w:t xml:space="preserve"> </w:t>
      </w:r>
    </w:p>
    <w:p w14:paraId="2147023F" w14:textId="77777777" w:rsidR="00382AC9" w:rsidRPr="00B153C8" w:rsidRDefault="00382AC9" w:rsidP="00382AC9"/>
    <w:p w14:paraId="3C2DEEFF" w14:textId="77777777" w:rsidR="00382AC9" w:rsidRPr="001D575F" w:rsidRDefault="00382AC9" w:rsidP="00382AC9">
      <w:pPr>
        <w:pStyle w:val="Heading2"/>
      </w:pPr>
      <w:bookmarkStart w:id="45" w:name="_Toc133496252"/>
      <w:r>
        <w:t>Austerity in Britain</w:t>
      </w:r>
      <w:bookmarkEnd w:id="45"/>
    </w:p>
    <w:p w14:paraId="49368ABF" w14:textId="77777777" w:rsidR="00382AC9" w:rsidRDefault="00382AC9" w:rsidP="00382AC9">
      <w:pPr>
        <w:pStyle w:val="Heading3"/>
      </w:pPr>
      <w:bookmarkStart w:id="46" w:name="_Toc133496253"/>
      <w:r>
        <w:t>A tale of two austerity Britains</w:t>
      </w:r>
      <w:bookmarkEnd w:id="46"/>
    </w:p>
    <w:p w14:paraId="4C75A09F" w14:textId="0E561ADE" w:rsidR="00382AC9" w:rsidRDefault="00382AC9" w:rsidP="00382AC9">
      <w:r>
        <w:t>Under 1950s austerity, those living in poverty were still fed well because of rationing (see timeline). The “Great Leveller” of war meant people did not have to witness the inequality of the affluent still being able to spend money</w:t>
      </w:r>
      <w:r w:rsidR="00A60702">
        <w:t xml:space="preserve"> </w:t>
      </w:r>
      <w:r>
        <w:fldChar w:fldCharType="begin"/>
      </w:r>
      <w:r w:rsidR="0099441B">
        <w:instrText xml:space="preserve"> ADDIN ZOTERO_ITEM CSL_CITATION {"citationID":"zI7GMXXF","properties":{"formattedCitation":"(Scheidel, 2018)","plainCitation":"(Scheidel, 2018)","noteIndex":0},"citationItems":[{"id":925,"uris":["http://zotero.org/users/7125982/items/HD4QNY7R"],"itemData":{"id":925,"type":"book","abstract":"\"Are mass violence and catastrophes the only forces that can seriously decrease economic inequality? To judge by thousands of years of history, the answer is yes. Tracing the global history of inequality from the Stone Age to today, Walter Scheidel shows that inequality never dies peacefully. Inequality declines when carnage and disaster strike and increases when peace and stability return. The Great Leveler is the first book to chart the crucial role of violent shocks in reducing inequality over the full sweep of human history around the world. Ever since humans began to farm, herd livestock, and pass on their assets to future generations, economic inequality has been a defining feature of civilization. Over thousands of years, only violent events have significantly lessened inequality. The \"Four Horsemen\" of leveling--mass-mobilization warfare, transformative revolutions, state collapse, and catastrophic plagues--have repeatedly destroyed the fortunes of the rich. Scheidel identifies and examines these processes, from the crises of the earliest civilizations to the cataclysmic world wars and communist revolutions of the twentieth century. Today, the violence that reduced inequality in the past seems to have diminished, and that is a good thing. But it casts serious doubt on the prospects for a more equal future. An essential contribution to the debate about inequality, The Great Leveler provides important new insights about why inequality is so persistent - and why it is unlikely to decline anytime soon.\" -- Publisher's description","collection-title":"The Princeton economic history of the western world","edition":"First paperback printing","event-place":"Princeton Oxford","ISBN":"978-0-691-18325-1","language":"eng","number-of-pages":"504","publisher":"Princeton University Press","publisher-place":"Princeton Oxford","source":"K10plus ISBN","title":"The great leveler: violence and the history of inequality from the Stone Age to the twenty-first century","title-short":"The great leveler","author":[{"family":"Scheidel","given":"Walter"}],"issued":{"date-parts":[["2018"]]}}}],"schema":"https://github.com/citation-style-language/schema/raw/master/csl-citation.json"} </w:instrText>
      </w:r>
      <w:r>
        <w:fldChar w:fldCharType="separate"/>
      </w:r>
      <w:r w:rsidR="0099441B">
        <w:rPr>
          <w:rFonts w:ascii="Times New Roman" w:hAnsi="Times New Roman"/>
          <w:sz w:val="24"/>
        </w:rPr>
        <w:t>(Scheidel, 2018)</w:t>
      </w:r>
      <w:r>
        <w:fldChar w:fldCharType="end"/>
      </w:r>
      <w:r w:rsidR="00A60702">
        <w:t>.</w:t>
      </w:r>
      <w:r>
        <w:t xml:space="preserve"> The recently established National Health Service meant people no longer lived in fear of the catastrophic financial cost of illness</w:t>
      </w:r>
      <w:r w:rsidR="00566B66">
        <w:t xml:space="preserve"> </w:t>
      </w:r>
      <w:r>
        <w:fldChar w:fldCharType="begin"/>
      </w:r>
      <w:r w:rsidR="00CE500A">
        <w:instrText xml:space="preserve"> ADDIN ZOTERO_ITEM CSL_CITATION {"citationID":"OzNX9U3Z","properties":{"formattedCitation":"(Bevan, 1952)","plainCitation":"(Bevan, 1952)","noteIndex":0},"citationItems":[{"id":903,"uris":["http://zotero.org/users/7125982/items/MN8W8GXB"],"itemData":{"id":903,"type":"book","event-place":"New York","publisher-place":"New York","title":"In Place of Fear","author":[{"family":"Bevan","given":"Aneurin"}],"issued":{"date-parts":[["1952"]]}}}],"schema":"https://github.com/citation-style-language/schema/raw/master/csl-citation.json"} </w:instrText>
      </w:r>
      <w:r>
        <w:fldChar w:fldCharType="separate"/>
      </w:r>
      <w:r w:rsidR="00CE500A">
        <w:rPr>
          <w:rFonts w:cs="Arial"/>
        </w:rPr>
        <w:t>(Bevan, 1952)</w:t>
      </w:r>
      <w:r>
        <w:fldChar w:fldCharType="end"/>
      </w:r>
      <w:r w:rsidR="00566B66">
        <w:t>.</w:t>
      </w:r>
      <w:r>
        <w:t xml:space="preserve"> House prices fell, and housing became more affordable. By 1957, the Prime Minister Harold </w:t>
      </w:r>
      <w:r w:rsidR="00B32261">
        <w:t xml:space="preserve">Macmillan </w:t>
      </w:r>
      <w:r>
        <w:t>could tell people they had ‘never had it so good’</w:t>
      </w:r>
      <w:r w:rsidR="00566B66">
        <w:t xml:space="preserve"> </w:t>
      </w:r>
      <w:r>
        <w:fldChar w:fldCharType="begin"/>
      </w:r>
      <w:r w:rsidR="0099441B">
        <w:instrText xml:space="preserve"> ADDIN ZOTERO_ITEM CSL_CITATION {"citationID":"K5kwGwLQ","properties":{"formattedCitation":"(Hennessy, 2007)","plainCitation":"(Hennessy, 2007)","noteIndex":0},"citationItems":[{"id":1828,"uris":["http://zotero.org/users/7125982/items/PRMH95PT"],"itemData":{"id":1828,"type":"book","ISBN":"0-14-192931-6","publisher":"Penguin UK","title":"Having it so good: Britain in the fifties","author":[{"family":"Hennessy","given":"Peter"}],"issued":{"date-parts":[["2007"]]}}}],"schema":"https://github.com/citation-style-language/schema/raw/master/csl-citation.json"} </w:instrText>
      </w:r>
      <w:r>
        <w:fldChar w:fldCharType="separate"/>
      </w:r>
      <w:r w:rsidR="0099441B">
        <w:rPr>
          <w:rFonts w:cs="Arial"/>
        </w:rPr>
        <w:t>(Hennessy, 2007)</w:t>
      </w:r>
      <w:r>
        <w:fldChar w:fldCharType="end"/>
      </w:r>
      <w:r w:rsidR="00566B66">
        <w:t>.</w:t>
      </w:r>
      <w:r>
        <w:t xml:space="preserve">  </w:t>
      </w:r>
    </w:p>
    <w:p w14:paraId="7A6B79C9" w14:textId="48FF384E" w:rsidR="00A34BD6" w:rsidRDefault="00382AC9" w:rsidP="00382AC9">
      <w:r>
        <w:lastRenderedPageBreak/>
        <w:t>The story of austerity in the 21</w:t>
      </w:r>
      <w:r w:rsidRPr="00471683">
        <w:rPr>
          <w:vertAlign w:val="superscript"/>
        </w:rPr>
        <w:t>st</w:t>
      </w:r>
      <w:r>
        <w:t xml:space="preserve"> century is a very different one. In 2009, then leader of the opposition party David Cameron gave </w:t>
      </w:r>
      <w:r w:rsidR="00095567">
        <w:t xml:space="preserve">his now infamous </w:t>
      </w:r>
      <w:r>
        <w:t>“age of austerity” speech at the Conservative party conference</w:t>
      </w:r>
      <w:r w:rsidRPr="000D046A">
        <w:rPr>
          <w:rStyle w:val="FootnoteReference"/>
        </w:rPr>
        <w:footnoteReference w:id="3"/>
      </w:r>
      <w:r w:rsidR="00566B66">
        <w:t xml:space="preserve"> </w:t>
      </w:r>
      <w:r>
        <w:fldChar w:fldCharType="begin"/>
      </w:r>
      <w:r w:rsidR="00CE500A">
        <w:instrText xml:space="preserve"> ADDIN ZOTERO_ITEM CSL_CITATION {"citationID":"eY9Nbu5N","properties":{"formattedCitation":"(Evans &amp; Walker, 2019; Summers, 2009)","plainCitation":"(Evans &amp; Walker, 2019; Summers, 2009)","noteIndex":0},"citationItems":[{"id":1837,"uris":["http://zotero.org/users/7125982/items/KZ5HB5W5"],"itemData":{"id":1837,"type":"article-newspaper","abstract":"Tory leader promises online record of public spending above £25,000 and salaries over £150,000","container-title":"The Guardian","ISSN":"0261-3077","language":"en-GB","section":"Politics","source":"The Guardian","title":"David Cameron warns of 'new age of austerity'","URL":"https://www.theguardian.com/politics/2009/apr/26/david-cameron-conservative-economic-policy1","author":[{"family":"Summers","given":"Deborah"}],"accessed":{"date-parts":[["2023",4,18]]},"issued":{"date-parts":[["2009"]]}}},{"id":1838,"uris":["http://zotero.org/users/7125982/items/TGSAGZ6Q"],"itemData":{"id":1838,"type":"article-journal","abstract":"This paper investigates David Cameron’s use of the word austerity in his keynote speech (as leader of the opposition) at the 2009 Conservative Party spring conference. It builds on previous critical stylistic studies that demonstrate how word forms can take on particular sociopolitical meanings in media and political discourses that are subtly different from the everyday usage of the same word. Such wordforms, which we refer to as sociopolitical keywords, can function as a kind of shorthand for a whole ideological stance (see, for example, Evans and Jeffries 2015; Evans and Schuller 2015; Jeffries and Walker 2018).Austerity has strong connections with 1940s and ’50s Britain, when the consumption of food and clothing was regulated and reduced via rationing. During the 1940s, austerity was frequently used in parliamentary discourse in the House of Commons (Jeffries and Walker 2019). It then re-emerged during the build-up to the 2010 general election when David Cameron and George Osborne (respectively the Conservative leader and shadow Chancellor at that time) repeatedly used the word, possibly in an attempt to evoke past days of supposed national unity. Their veneration of austerity asserted the ideology that public spending cuts, rather than additional public spending, were the solution for the 2008 financial crisis. Those who disagreed with this ideology found themselves in the position of having to argue against a nebulous idea, with little clarity as to what exactly austerity meant.The paper will outline the methodology for the systematic analysis of a complete text, report on linguistic patterns in the data, and finish by drawing conclusions about the status of austerity as a socio-political keyword.","container-title":"Critical Approaches to Discourse Analysis across Disciplines","ISSN":"1752-3079","issue":"2","page":"169-186","source":"University of Huddersfield Research Portal","title":"The Beginning of 'the Age of Austerity': A Critical Stylistic Analysis of David Cameron's 2009 Spring Conference Speech","title-short":"The Beginning of 'the Age of Austerity'","volume":"11","author":[{"family":"Evans","given":"Matthew"},{"family":"Walker","given":"Brian"}],"issued":{"date-parts":[["2019",12,1]]}}}],"schema":"https://github.com/citation-style-language/schema/raw/master/csl-citation.json"} </w:instrText>
      </w:r>
      <w:r>
        <w:fldChar w:fldCharType="separate"/>
      </w:r>
      <w:r w:rsidR="00CE500A">
        <w:rPr>
          <w:rFonts w:ascii="Times New Roman" w:hAnsi="Times New Roman"/>
          <w:sz w:val="24"/>
        </w:rPr>
        <w:t>(Evans &amp; Walker, 2019; Summers, 2009)</w:t>
      </w:r>
      <w:r>
        <w:fldChar w:fldCharType="end"/>
      </w:r>
      <w:r w:rsidR="00566B66">
        <w:t>.</w:t>
      </w:r>
      <w:r>
        <w:t xml:space="preserve"> </w:t>
      </w:r>
      <w:r w:rsidR="00047F51">
        <w:t>Due to</w:t>
      </w:r>
      <w:r>
        <w:t xml:space="preserve"> the support of the Liberal Democrats</w:t>
      </w:r>
      <w:r w:rsidR="00047F51">
        <w:t>,</w:t>
      </w:r>
      <w:r>
        <w:t xml:space="preserve"> the Conservative-led </w:t>
      </w:r>
      <w:r w:rsidR="00047F51">
        <w:t xml:space="preserve">coalition </w:t>
      </w:r>
      <w:r>
        <w:t xml:space="preserve">government of 2010 could implement austerity. This led to significant cuts </w:t>
      </w:r>
      <w:r w:rsidR="00177F38">
        <w:t xml:space="preserve">in </w:t>
      </w:r>
      <w:r>
        <w:t xml:space="preserve">public spending, including on health and social care. In the 1950s, fear of healthcare costs had been alleviated thanks to the NHS. In the 2020s, following a decade of </w:t>
      </w:r>
      <w:r w:rsidR="00095567">
        <w:t>the new 21</w:t>
      </w:r>
      <w:r w:rsidR="00095567" w:rsidRPr="00614A54">
        <w:rPr>
          <w:vertAlign w:val="superscript"/>
        </w:rPr>
        <w:t>st</w:t>
      </w:r>
      <w:r w:rsidR="00095567">
        <w:t xml:space="preserve"> century </w:t>
      </w:r>
      <w:r>
        <w:t>austerity and the pandemic, more and more people are turning to private health care, as the chronically under-funded NHS fails to keep pace with demand, with many</w:t>
      </w:r>
      <w:r w:rsidR="00095567">
        <w:t xml:space="preserve"> if not most ill people now</w:t>
      </w:r>
      <w:r>
        <w:t xml:space="preserve"> stating their health needs are not met</w:t>
      </w:r>
      <w:r w:rsidR="00004FBB">
        <w:t xml:space="preserve"> </w:t>
      </w:r>
      <w:r>
        <w:fldChar w:fldCharType="begin"/>
      </w:r>
      <w:r w:rsidR="0099441B">
        <w:instrText xml:space="preserve"> ADDIN ZOTERO_ITEM CSL_CITATION {"citationID":"1y2BmZIl","properties":{"formattedCitation":"(Hiam &amp; Yates, 2022)","plainCitation":"(Hiam &amp; Yates, 2022)","noteIndex":0},"citationItems":[{"id":1901,"uris":["http://zotero.org/users/7125982/items/JYSIRMYB"],"itemData":{"id":1901,"type":"article-journal","abstract":"In 1952, Queen Elizabeth II ascended to the throne. In that same year, Aneurin Bevan, secretary of state for health and founder of Britain’s National Health Service, published his seminal book In Place of Fear .1 Bevan wrote: “The essence of a satisfactory health service is that the rich and the poor are treated alike, that poverty is not a disability, and wealth is not advantaged.”2 It was a remarkable period in British history. As with many universal healthcare (UHC) reforms around the world, the NHS was founded in the wake of crises.3 After World War II, rationing, falling living standards, and high military spending led to the term “austerity” being used for economic policy.* 4 In spite of significant economic challenges, when the Labour Government came to power in 1945, the “Great Leveller”5 of war had resulted in an awareness that another way was possible. There was an aspiration for the population to live with safe housing and treatment of ill health regardless of their position in society.6 In place of the fear households had endured that at any moment they could face the catastrophic costs of ill health, a …","container-title":"BMJ","DOI":"10.1136/bmj.o2987","ISSN":"1756-1833","journalAbbreviation":"BMJ","language":"en","license":"Published by the BMJ Publishing Group Limited. For permission to use (where not already granted under a licence) please go to http://group.bmj.com/group/rights-licensing/permissions","note":"publisher: British Medical Journal Publishing Group\nsection: Opinion\nPMID: 36523181","page":"o2987","source":"www.bmj.com","title":"Britain can afford the NHS—and it must to reduce fear during a period of crisis","volume":"379","author":[{"family":"Hiam","given":"Lucinda"},{"family":"Yates","given":"Rob"}],"issued":{"date-parts":[["2022",12,12]]}}}],"schema":"https://github.com/citation-style-language/schema/raw/master/csl-citation.json"} </w:instrText>
      </w:r>
      <w:r>
        <w:fldChar w:fldCharType="separate"/>
      </w:r>
      <w:r w:rsidR="0099441B">
        <w:rPr>
          <w:rFonts w:ascii="Times New Roman" w:hAnsi="Times New Roman"/>
          <w:sz w:val="24"/>
        </w:rPr>
        <w:t>(Hiam &amp; Yates, 2022)</w:t>
      </w:r>
      <w:r>
        <w:fldChar w:fldCharType="end"/>
      </w:r>
      <w:r w:rsidR="00004FBB">
        <w:t>.</w:t>
      </w:r>
      <w:r>
        <w:t xml:space="preserve"> </w:t>
      </w:r>
    </w:p>
    <w:p w14:paraId="579FC86E" w14:textId="021FDEF5" w:rsidR="00382AC9" w:rsidRDefault="00382AC9" w:rsidP="00382AC9">
      <w:r>
        <w:t xml:space="preserve">In contrast to the ‘leveller’ of food rationing, </w:t>
      </w:r>
      <w:r w:rsidR="00095567">
        <w:t>unprecedented post-war numbers of people</w:t>
      </w:r>
      <w:r>
        <w:t xml:space="preserve"> in Britain have been forced into food poverty, with austerity policies linked to food insecurity and food bank use</w:t>
      </w:r>
      <w:r w:rsidR="00EF4D96">
        <w:t xml:space="preserve"> </w:t>
      </w:r>
      <w:r w:rsidR="00EF4D96">
        <w:fldChar w:fldCharType="begin"/>
      </w:r>
      <w:r w:rsidR="00C05981">
        <w:instrText xml:space="preserve"> ADDIN ZOTERO_ITEM CSL_CITATION {"citationID":"DsTmPrJV","properties":{"formattedCitation":"(Jenkins et al., 2021)","plainCitation":"(Jenkins et al., 2021)","noteIndex":0},"citationItems":[{"id":3300,"uris":["http://zotero.org/users/7125982/items/JUCVN9BT"],"itemData":{"id":3300,"type":"article-journal","container-title":"EClinicalMedicine","DOI":"10.1016/j.eclinm.2021.100781","ISSN":"25895370","journalAbbreviation":"EClinicalMedicine","language":"en","page":"100781","source":"DOI.org (Crossref)","title":"The relationship between austerity and food insecurity in the UK: A systematic review","title-short":"The relationship between austerity and food insecurity in the UK","volume":"33","author":[{"family":"Jenkins","given":"Rosemary H."},{"family":"Aliabadi","given":"Shirin"},{"family":"Vamos","given":"Eszter P."},{"family":"Taylor-Robinson","given":"David"},{"family":"Wickham","given":"Sophie"},{"family":"Millett","given":"Christopher"},{"family":"Laverty","given":"Anthony A."}],"issued":{"date-parts":[["2021",3]]}}}],"schema":"https://github.com/citation-style-language/schema/raw/master/csl-citation.json"} </w:instrText>
      </w:r>
      <w:r w:rsidR="00EF4D96">
        <w:fldChar w:fldCharType="separate"/>
      </w:r>
      <w:r w:rsidR="00C05981">
        <w:rPr>
          <w:noProof/>
        </w:rPr>
        <w:t>(Jenkins et al., 2021)</w:t>
      </w:r>
      <w:r w:rsidR="00EF4D96">
        <w:fldChar w:fldCharType="end"/>
      </w:r>
      <w:r w:rsidR="00004FBB">
        <w:t>.</w:t>
      </w:r>
      <w:r>
        <w:t xml:space="preserve"> Despite an open letter in 2014 from the Faculty of Public Health in </w:t>
      </w:r>
      <w:r>
        <w:rPr>
          <w:i/>
          <w:iCs/>
        </w:rPr>
        <w:t xml:space="preserve">the Lancet </w:t>
      </w:r>
      <w:r>
        <w:t>raising the alarm on rising food poverty</w:t>
      </w:r>
      <w:r w:rsidR="00004FBB">
        <w:t xml:space="preserve"> </w:t>
      </w:r>
      <w:r>
        <w:fldChar w:fldCharType="begin"/>
      </w:r>
      <w:r w:rsidR="0099441B">
        <w:instrText xml:space="preserve"> ADDIN ZOTERO_ITEM CSL_CITATION {"citationID":"8rKET3jl","properties":{"formattedCitation":"(Ashton et al., 2014)","plainCitation":"(Ashton et al., 2014)","noteIndex":0},"citationItems":[{"id":1914,"uris":["http://zotero.org/users/7125982/items/KTL2GLJX"],"itemData":{"id":1914,"type":"article-journal","container-title":"The Lancet","DOI":"10.1016/S0140-6736(14)60536-5","ISSN":"0140-6736, 1474-547X","issue":"9929","journalAbbreviation":"The Lancet","language":"English","note":"publisher: Elsevier\nPMID: 24794817","page":"1631","source":"www.thelancet.com","title":"Open letter to Prime Minister David Cameron on food poverty in the UK","volume":"383","author":[{"family":"Ashton","given":"John R."},{"family":"Middleton","given":"John"},{"family":"Lang","given":"Tim"}],"issued":{"date-parts":[["2014",5,10]]}}}],"schema":"https://github.com/citation-style-language/schema/raw/master/csl-citation.json"} </w:instrText>
      </w:r>
      <w:r>
        <w:fldChar w:fldCharType="separate"/>
      </w:r>
      <w:r w:rsidR="0099441B">
        <w:rPr>
          <w:rFonts w:ascii="Times New Roman" w:hAnsi="Times New Roman"/>
          <w:sz w:val="24"/>
        </w:rPr>
        <w:t>(Ashton et al., 2014)</w:t>
      </w:r>
      <w:r>
        <w:fldChar w:fldCharType="end"/>
      </w:r>
      <w:r w:rsidR="00004FBB">
        <w:t>,</w:t>
      </w:r>
      <w:r>
        <w:t xml:space="preserve"> with coverage citing John Boyd-Orr’s role in the “delivery of equitable nutrition” during the austerity of WWII into the 1950s</w:t>
      </w:r>
      <w:r w:rsidR="00004FBB">
        <w:t xml:space="preserve"> </w:t>
      </w:r>
      <w:r>
        <w:fldChar w:fldCharType="begin"/>
      </w:r>
      <w:r w:rsidR="00C4130B">
        <w:instrText xml:space="preserve"> ADDIN ZOTERO_ITEM CSL_CITATION {"citationID":"LE10ju1d","properties":{"formattedCitation":"(The Lancet, 2014)","plainCitation":"(The Lancet, 2014)","noteIndex":0},"citationItems":[{"id":1911,"uris":["http://zotero.org/users/7125982/items/FQGUXZSW"],"itemData":{"id":1911,"type":"article-journal","container-title":"The Lancet","DOI":"10.1016/S0140-6736(14)60771-6","ISSN":"0140-6736, 1474-547X","issue":"9929","journalAbbreviation":"The Lancet","language":"English","note":"publisher: Elsevier\nPMID: 24814443","page":"1609","source":"www.thelancet.com","title":"Economic austerity, food poverty, and health","volume":"383","author":[{"literal":"The Lancet"}],"issued":{"date-parts":[["2014",5,10]]}}}],"schema":"https://github.com/citation-style-language/schema/raw/master/csl-citation.json"} </w:instrText>
      </w:r>
      <w:r>
        <w:fldChar w:fldCharType="separate"/>
      </w:r>
      <w:r w:rsidR="00C4130B">
        <w:rPr>
          <w:rFonts w:ascii="Times New Roman" w:hAnsi="Times New Roman"/>
          <w:sz w:val="24"/>
        </w:rPr>
        <w:t>(The Lancet, 2014)</w:t>
      </w:r>
      <w:r>
        <w:fldChar w:fldCharType="end"/>
      </w:r>
      <w:r w:rsidR="00004FBB">
        <w:t>,</w:t>
      </w:r>
      <w:r>
        <w:t xml:space="preserve"> there was no government intervention. Subsequently, both food bank use and food insecurity have continued to rise</w:t>
      </w:r>
      <w:r w:rsidR="00004FBB">
        <w:t xml:space="preserve"> </w:t>
      </w:r>
      <w:r>
        <w:fldChar w:fldCharType="begin"/>
      </w:r>
      <w:r w:rsidR="0099441B">
        <w:instrText xml:space="preserve"> ADDIN ZOTERO_ITEM CSL_CITATION {"citationID":"GhxJiea3","properties":{"formattedCitation":"(Gorb et al., 2023)","plainCitation":"(Gorb et al., 2023)","noteIndex":0},"citationItems":[{"id":1924,"uris":["http://zotero.org/users/7125982/items/MZAMRJIE"],"itemData":{"id":1924,"type":"article-journal","abstract":"This paper provides statistics on household food insecurity, food bank usage and free school meals in the UK, and tracks the impact of rising living costs.","language":"en-GB","source":"commonslibrary.parliament.uk","title":"Food poverty: Households, food banks and free school meals","title-short":"Food poverty","URL":"https://commonslibrary.parliament.uk/research-briefings/cbp-9209/","author":[{"family":"Gorb","given":"Aleksandra"},{"family":"Francis-Devine","given":"Brigid"},{"family":"Danechi","given":"Shadi"},{"family":"Malik","given":"Xameerah"},{"family":"Zayed","given":"Yago"}],"accessed":{"date-parts":[["2023",4,21]]},"issued":{"date-parts":[["2023",4,21]]}}}],"schema":"https://github.com/citation-style-language/schema/raw/master/csl-citation.json"} </w:instrText>
      </w:r>
      <w:r>
        <w:fldChar w:fldCharType="separate"/>
      </w:r>
      <w:r w:rsidR="0099441B">
        <w:rPr>
          <w:rFonts w:ascii="Times New Roman" w:hAnsi="Times New Roman"/>
          <w:sz w:val="24"/>
        </w:rPr>
        <w:t>(Gorb et al., 2023)</w:t>
      </w:r>
      <w:r>
        <w:fldChar w:fldCharType="end"/>
      </w:r>
      <w:r w:rsidR="00004FBB">
        <w:t>,</w:t>
      </w:r>
      <w:r>
        <w:t xml:space="preserve"> with the number of children living in food poverty almost doubling between 2022 and 2023 to 4 million</w:t>
      </w:r>
      <w:r w:rsidR="00004FBB">
        <w:t xml:space="preserve"> </w:t>
      </w:r>
      <w:r>
        <w:fldChar w:fldCharType="begin"/>
      </w:r>
      <w:r w:rsidR="00CE500A">
        <w:instrText xml:space="preserve"> ADDIN ZOTERO_ITEM CSL_CITATION {"citationID":"VkHSDr5y","properties":{"formattedCitation":"(Butler, 2023)","plainCitation":"(Butler, 2023)","noteIndex":0},"citationItems":[{"id":1926,"uris":["http://zotero.org/users/7125982/items/DU7ELFV2"],"itemData":{"id":1926,"type":"webpage","title":"Number of UK children in food poverty nearly doubles in a year to 4m | Food poverty | The Guardian","URL":"https://www.theguardian.com/society/2023/mar/01/number-of-uk-children-in-food-poverty-nearly-doubles-in-a-year-to-4m","author":[{"family":"Butler","given":"Patrick"}],"accessed":{"date-parts":[["2023",4,21]]},"issued":{"date-parts":[["2023"]]}}}],"schema":"https://github.com/citation-style-language/schema/raw/master/csl-citation.json"} </w:instrText>
      </w:r>
      <w:r>
        <w:fldChar w:fldCharType="separate"/>
      </w:r>
      <w:r w:rsidR="00CE500A">
        <w:rPr>
          <w:rFonts w:ascii="Times New Roman" w:hAnsi="Times New Roman"/>
          <w:sz w:val="24"/>
        </w:rPr>
        <w:t>(Butler, 2023)</w:t>
      </w:r>
      <w:r>
        <w:fldChar w:fldCharType="end"/>
      </w:r>
      <w:r w:rsidR="00004FBB">
        <w:t>.</w:t>
      </w:r>
      <w:r w:rsidR="00626CB8">
        <w:t xml:space="preserve"> A survey in September 2022 by the Food Foundation reported 1 in 4 households with children had experienced food insecurity in the past month, increasing to 42.2% of households with 3 or more children</w:t>
      </w:r>
      <w:r w:rsidR="00877BCE">
        <w:t xml:space="preserve"> </w:t>
      </w:r>
      <w:r w:rsidR="00626CB8">
        <w:fldChar w:fldCharType="begin"/>
      </w:r>
      <w:r w:rsidR="00626CB8">
        <w:instrText xml:space="preserve"> ADDIN ZOTERO_ITEM CSL_CITATION {"citationID":"afoC8iwu","properties":{"formattedCitation":"(Godie, 2022)","plainCitation":"(Godie, 2022)","noteIndex":0},"citationItems":[{"id":3285,"uris":["http://zotero.org/users/7125982/items/6BVGWXF8"],"itemData":{"id":3285,"type":"webpage","container-title":"The Food Foundation","language":"en","title":"New data show 4 million children in households affected by food insecurity | Food Foundation","URL":"https://foodfoundation.org.uk/publication/new-data-show-4-million-children-households-affected-food-insecurity","author":[{"family":"Godie","given":"Shona"}],"accessed":{"date-parts":[["2023",8,18]]},"issued":{"date-parts":[["2022",10]]}}}],"schema":"https://github.com/citation-style-language/schema/raw/master/csl-citation.json"} </w:instrText>
      </w:r>
      <w:r w:rsidR="00626CB8">
        <w:fldChar w:fldCharType="separate"/>
      </w:r>
      <w:r w:rsidR="00626CB8">
        <w:rPr>
          <w:noProof/>
        </w:rPr>
        <w:t>(Godie, 2022)</w:t>
      </w:r>
      <w:r w:rsidR="00626CB8">
        <w:fldChar w:fldCharType="end"/>
      </w:r>
      <w:r w:rsidR="00877BCE">
        <w:t>.</w:t>
      </w:r>
      <w:r w:rsidR="00626CB8">
        <w:t xml:space="preserve"> </w:t>
      </w:r>
      <w:r>
        <w:t xml:space="preserve"> For older people, cuts to Meals on Wheels across local authorities ha</w:t>
      </w:r>
      <w:r w:rsidR="00877BCE">
        <w:t>ve</w:t>
      </w:r>
      <w:r>
        <w:t xml:space="preserve"> left many </w:t>
      </w:r>
      <w:r w:rsidR="00877BCE">
        <w:t xml:space="preserve">in </w:t>
      </w:r>
      <w:r>
        <w:t>vulnerable</w:t>
      </w:r>
      <w:r w:rsidR="00877BCE">
        <w:t xml:space="preserve"> situations</w:t>
      </w:r>
      <w:r>
        <w:t xml:space="preserve"> going hungry several days a month or a week</w:t>
      </w:r>
      <w:r w:rsidR="004513DD">
        <w:t xml:space="preserve">—this </w:t>
      </w:r>
      <w:r>
        <w:t>has been further exacerbated by the pandemic</w:t>
      </w:r>
      <w:r w:rsidR="00004FBB">
        <w:t xml:space="preserve"> </w:t>
      </w:r>
      <w:r>
        <w:fldChar w:fldCharType="begin"/>
      </w:r>
      <w:r w:rsidR="00CE500A">
        <w:instrText xml:space="preserve"> ADDIN ZOTERO_ITEM CSL_CITATION {"citationID":"8wCozXjs","properties":{"formattedCitation":"(Camden Unison, 2011; Dickinson &amp; Wills, 2022)","plainCitation":"(Camden Unison, 2011; Dickinson &amp; Wills, 2022)","noteIndex":0},"citationItems":[{"id":1532,"uris":["http://zotero.org/users/7125982/items/UX3F5UGM"],"itemData":{"id":1532,"type":"article-journal","abstract":"In recent years, Meals on Wheels (MoW) services have been in a state of decline as austerity policies have become entrenched. However, this decline is occurring with little knowledge of the impact withdrawal of MoW services has on the health and well-being of those who use them. The pandemic has raised awareness of precarity and vulnerability in relation to food that affects many people in the UK and other Westernised countries and this provides further context for the analysis presented. This paper presents findings of a mixed methods ethnographic study drawing on qualitative interviews and visual methods underpinned by social practice theory to explore the household food practices of older people receiving MoW services. Interviews were conducted with 14 older people receiving MoW, eight MoW staff delivering MoW services in the east of England and one expert. The Covid-19 pandemic interrupted the study, and once the first lockdown began visits to the homes of older people were terminated and the remaining interviews were undertaken by telephone. The study found that a number of threats accumulated to change food practices and moved people towards vulnerability to food insecurity. Threats included difficulty accessing food and cooking due to sensory and physical challenges. The MoW service increased participants' coping capacity. As well as benefiting from the food provided, the relational aspect of the service was important. Brief encounters between MoW staff built caring relationships that developed over time to ensure older people felt valued and cared for. The study demonstrates how MoW services make a positive contribution to food practices, supporting vulnerable adults to continue living well in their own homes and protecting them from food insecurity and ill-being. Local authorities looking to make cost savings through ending MoW services should consider the impact this would have on the well-being of older residents.","container-title":"Health &amp; Social Care in the Community","DOI":"10.1111/hsc.14092","ISSN":"1365-2524","issue":"6","language":"en","note":"_eprint: https://onlinelibrary.wiley.com/doi/pdf/10.1111/hsc.14092","page":"e6699-e6707","source":"Wiley Online Library","title":"Meals on wheels services and the food security of older people","volume":"30","author":[{"family":"Dickinson","given":"Angela"},{"family":"Wills","given":"Wendy"}],"issued":{"date-parts":[["2022"]]}}},{"id":1536,"uris":["http://zotero.org/users/7125982/items/B4R7YF6M"],"itemData":{"id":1536,"type":"webpage","abstract":"Meals on Wheels services are being withdrawn by Camden Council. This is a statutory service and the Council have decided to take away this service from some of the most vulnerable people without any proper consultation with the clients, their carers or families, the trade unions and the current provider claims to have had minimal information about the future of this service.\n\n\nBefore any consultation with anyone, the Council has now started sending out Social Workers and Assessors with a questionnaire to the clients, and in all known cases, assessed that a daily hot meal is no longer necessary, and have advised clients to order their own shopping and heat the meals themselves, or get family or carer do take over shopping and cooking. The alternative advice is that they could get assessed as needing a carer 7 days a week, but given the cost rise of this service, it is likely that many would feel this is too expensive. What has not been looked into fully is the fact that many supermarkets do not do the specialist foods that our Meals service provide, such as gluten free, pureed or cultural-specific foods in enough variety or at all.\n\nWe understand that where anyone is assessed as needing someone to heat a meal, the client will be offered a carer (at an additional cost) and will be provided with a microwave and freezer for heating and storage.\n\nWhat this does not take account of is that many of these clients were originally assessed as in need of a hot meal delivery by health professionals – but have GPs and health providers been consulted? I suspect not.\n\nMany of the clients are not able to heat up food safely; forget to eat or need a daily reminder and encouragement to eat; and some would possibly use any spare money on anything other than food so are a danger to themselves.\n\nCoupled with this, many of the clients of meals on wheels are also users of many of our Day centres which are now facing possible closure. With the prospect of both services closing this will just leave some of our most vulnerable residents without any hot meals or daily contact at all.\n\nThe current Meals on Wheels service provides a much needed daily lifeline. Staff know their clients and can report any health concerns, or call in the necessary help before leaving that client. In the recent snow, many Home Carers were unable to get out to clients, but the Meals service ensured the meal was delivered in those adverse conditions and could check the safety of those clients.\n\nIf someone is now ‘assessed’ as able to do weekly or fortnightly orders of food and store them in a freezer, is it acceptable that days could go past without anyone checking up on them. What would happen if someone has a fall and cannot report it?\n\nMany clients cannot even get to open the door, so delivery staff hold keys for their properties. Is anyone going to entrust their door keys to a supermarket delivery department where a different person could come out each time or would they have a CRB (Criminal Records Bureau) check?\n\nCamden should stop this closure now, otherwise the consequences could be tragic.\n\nPhoebe Watkins Co-convenor HASC","language":"en-US","title":"Meals on Wheels ended","URL":"https://camdenunison.org.uk/2011/07/22/meals-on-wheels-ended/","author":[{"family":"Camden Unison","given":""}],"accessed":{"date-parts":[["2023",2,17]]},"issued":{"date-parts":[["2011"]]}}}],"schema":"https://github.com/citation-style-language/schema/raw/master/csl-citation.json"} </w:instrText>
      </w:r>
      <w:r>
        <w:fldChar w:fldCharType="separate"/>
      </w:r>
      <w:r w:rsidR="00CE500A">
        <w:rPr>
          <w:rFonts w:ascii="Times New Roman" w:hAnsi="Times New Roman"/>
          <w:sz w:val="24"/>
        </w:rPr>
        <w:t>(Camden Unison, 2011; Dickinson &amp; Wills, 2022)</w:t>
      </w:r>
      <w:r>
        <w:fldChar w:fldCharType="end"/>
      </w:r>
      <w:r w:rsidR="00004FBB">
        <w:t>.</w:t>
      </w:r>
      <w:r>
        <w:t xml:space="preserve"> </w:t>
      </w:r>
      <w:r w:rsidR="00095567">
        <w:t>Those ‘Meal</w:t>
      </w:r>
      <w:r w:rsidR="007D7484">
        <w:t>s</w:t>
      </w:r>
      <w:r w:rsidR="00095567">
        <w:t xml:space="preserve"> on Wheels’ cuts began in 2011 and 2012 in many local authorities in the UK – from then on</w:t>
      </w:r>
      <w:r w:rsidR="00877BCE">
        <w:t>,</w:t>
      </w:r>
      <w:r w:rsidR="00095567">
        <w:t xml:space="preserve"> for the </w:t>
      </w:r>
      <w:r w:rsidR="008866C1">
        <w:t>frailest</w:t>
      </w:r>
      <w:r w:rsidR="00095567">
        <w:t xml:space="preserve"> of the golden cohort, especially those living alone, simply feeding themselves often became much harder.</w:t>
      </w:r>
    </w:p>
    <w:p w14:paraId="27D9078B" w14:textId="259791E9" w:rsidR="00382AC9" w:rsidRPr="00A32244" w:rsidRDefault="00095567" w:rsidP="00382AC9">
      <w:r>
        <w:t xml:space="preserve">During the </w:t>
      </w:r>
      <w:r w:rsidR="00382AC9">
        <w:t xml:space="preserve">2010s austerity, house prices </w:t>
      </w:r>
      <w:r>
        <w:t>rose</w:t>
      </w:r>
      <w:r w:rsidR="00382AC9">
        <w:t xml:space="preserve"> sharply, out of step with the average salary</w:t>
      </w:r>
      <w:r>
        <w:t xml:space="preserve">, so an </w:t>
      </w:r>
      <w:r w:rsidR="00877BCE">
        <w:t>older</w:t>
      </w:r>
      <w:r>
        <w:t xml:space="preserve"> person unable to access Meals on Wheels could appear to be </w:t>
      </w:r>
      <w:r w:rsidR="008866C1">
        <w:t>wealthy but</w:t>
      </w:r>
      <w:r>
        <w:t xml:space="preserve"> was increasingly hungry</w:t>
      </w:r>
      <w:r w:rsidR="00382AC9">
        <w:t>.</w:t>
      </w:r>
      <w:r w:rsidR="009626FB">
        <w:t xml:space="preserve"> The number of</w:t>
      </w:r>
      <w:r w:rsidR="00382AC9">
        <w:t xml:space="preserve"> </w:t>
      </w:r>
      <w:r w:rsidR="009626FB">
        <w:t>p</w:t>
      </w:r>
      <w:r w:rsidR="00382AC9">
        <w:t>eople rough sleeping in England r</w:t>
      </w:r>
      <w:r>
        <w:t>ose</w:t>
      </w:r>
      <w:r w:rsidR="00382AC9">
        <w:t xml:space="preserve"> by 74% from 2010 to 2022</w:t>
      </w:r>
      <w:r w:rsidR="00004FBB">
        <w:t xml:space="preserve"> </w:t>
      </w:r>
      <w:r w:rsidR="00382AC9">
        <w:fldChar w:fldCharType="begin"/>
      </w:r>
      <w:r w:rsidR="00CE500A">
        <w:instrText xml:space="preserve"> ADDIN ZOTERO_ITEM CSL_CITATION {"citationID":"VVslfD7N","properties":{"formattedCitation":"(Department for Levelling Up, Housing and Communities, 2023)","plainCitation":"(Department for Levelling Up, Housing and Communities, 2023)","noteIndex":0},"citationItems":[{"id":1931,"uris":["http://zotero.org/users/7125982/items/F5D9SETL"],"itemData":{"id":1931,"type":"webpage","abstract":"Statistical release about the annual single night snapshot of the number of people sleeping rough in local authorities across England.","container-title":"GOV.UK","language":"en","title":"Rough sleeping snapshot in England: autumn 2022","title-short":"Rough sleeping snapshot in England","URL":"https://www.gov.uk/government/statistics/rough-sleeping-snapshot-in-england-autumn-2022","author":[{"literal":"Department for Levelling Up, Housing and Communities"}],"accessed":{"date-parts":[["2023",4,21]]},"issued":{"date-parts":[["2023"]]}}}],"schema":"https://github.com/citation-style-language/schema/raw/master/csl-citation.json"} </w:instrText>
      </w:r>
      <w:r w:rsidR="00382AC9">
        <w:fldChar w:fldCharType="separate"/>
      </w:r>
      <w:r w:rsidR="00CE500A">
        <w:rPr>
          <w:rFonts w:ascii="Times New Roman" w:hAnsi="Times New Roman"/>
          <w:sz w:val="24"/>
        </w:rPr>
        <w:t>(Department for Levelling Up, Housing and Communities, 2023)</w:t>
      </w:r>
      <w:r w:rsidR="00382AC9">
        <w:fldChar w:fldCharType="end"/>
      </w:r>
      <w:r w:rsidR="00004FBB">
        <w:t>,</w:t>
      </w:r>
      <w:r w:rsidR="00382AC9">
        <w:t xml:space="preserve"> and those living in temporary accommodation ha</w:t>
      </w:r>
      <w:r w:rsidR="009626FB">
        <w:t>ve</w:t>
      </w:r>
      <w:r w:rsidR="00382AC9">
        <w:t xml:space="preserve"> increased sharply</w:t>
      </w:r>
      <w:r w:rsidR="00004FBB">
        <w:t xml:space="preserve"> </w:t>
      </w:r>
      <w:r w:rsidR="00382AC9">
        <w:fldChar w:fldCharType="begin"/>
      </w:r>
      <w:r w:rsidR="00CE500A">
        <w:instrText xml:space="preserve"> ADDIN ZOTERO_ITEM CSL_CITATION {"citationID":"3KwF6FHH","properties":{"formattedCitation":"(Shelter, 2023)","plainCitation":"(Shelter, 2023)","noteIndex":0},"citationItems":[{"id":1929,"uris":["http://zotero.org/users/7125982/items/XBNUQWQN"],"itemData":{"id":1929,"type":"webpage","abstract":"Shelter warns of bleak start to 2023 for those without a place to call home","container-title":"Shelter England","language":"en","title":"At least 271,000 people are homeless in England today","URL":"https://england.shelter.org.uk/media/press_release/at_least_271000_people_are_homeless_in_england_today","author":[{"literal":"Shelter"}],"accessed":{"date-parts":[["2023",4,21]]},"issued":{"date-parts":[["2023"]]}}}],"schema":"https://github.com/citation-style-language/schema/raw/master/csl-citation.json"} </w:instrText>
      </w:r>
      <w:r w:rsidR="00382AC9">
        <w:fldChar w:fldCharType="separate"/>
      </w:r>
      <w:r w:rsidR="00CE500A">
        <w:rPr>
          <w:rFonts w:ascii="Times New Roman" w:hAnsi="Times New Roman"/>
          <w:sz w:val="24"/>
        </w:rPr>
        <w:t>(Shelter, 2023)</w:t>
      </w:r>
      <w:r w:rsidR="00382AC9">
        <w:fldChar w:fldCharType="end"/>
      </w:r>
      <w:r w:rsidR="00004FBB">
        <w:t>.</w:t>
      </w:r>
      <w:r w:rsidR="00382AC9">
        <w:t xml:space="preserve"> The cost of living </w:t>
      </w:r>
      <w:r w:rsidR="00382AC9">
        <w:lastRenderedPageBreak/>
        <w:t>crisis has given rise to the choice “heating or eating”—with older people disproportionately affected</w:t>
      </w:r>
      <w:r w:rsidR="00004FBB">
        <w:t xml:space="preserve"> </w:t>
      </w:r>
      <w:r w:rsidR="000564EA">
        <w:fldChar w:fldCharType="begin"/>
      </w:r>
      <w:r w:rsidR="000564EA">
        <w:instrText xml:space="preserve"> ADDIN ZOTERO_ITEM CSL_CITATION {"citationID":"aKoPjLGq","properties":{"formattedCitation":"(Bullard, 2022)","plainCitation":"(Bullard, 2022)","noteIndex":0},"citationItems":[{"id":2047,"uris":["http://zotero.org/users/7125982/items/GWQHFU77"],"itemData":{"id":2047,"type":"webpage","abstract":"Households already struggling face skyrocketing bills","container-title":"Medium","language":"en","title":"Forced to choose between heating or eating","URL":"https://wearecitizensadvice.org.uk/forced-to-choose-between-heating-or-eating-8c6bdcd0565f","author":[{"family":"Bullard","given":"Tom Brooke"}],"accessed":{"date-parts":[["2023",4,25]]},"issued":{"date-parts":[["2022",1,10]]}}}],"schema":"https://github.com/citation-style-language/schema/raw/master/csl-citation.json"} </w:instrText>
      </w:r>
      <w:r w:rsidR="000564EA">
        <w:fldChar w:fldCharType="separate"/>
      </w:r>
      <w:r w:rsidR="000564EA">
        <w:rPr>
          <w:noProof/>
        </w:rPr>
        <w:t>(Bullard, 2022)</w:t>
      </w:r>
      <w:r w:rsidR="000564EA">
        <w:fldChar w:fldCharType="end"/>
      </w:r>
      <w:r w:rsidR="000564EA">
        <w:t>.</w:t>
      </w:r>
    </w:p>
    <w:p w14:paraId="4C032255" w14:textId="77777777" w:rsidR="00382AC9" w:rsidRPr="00471683" w:rsidRDefault="00382AC9" w:rsidP="00382AC9"/>
    <w:p w14:paraId="2F48F19E" w14:textId="77777777" w:rsidR="00382AC9" w:rsidRPr="00471683" w:rsidRDefault="00382AC9" w:rsidP="00382AC9">
      <w:pPr>
        <w:pStyle w:val="Heading3"/>
      </w:pPr>
      <w:bookmarkStart w:id="47" w:name="_Toc133496254"/>
      <w:r>
        <w:t>Health and social care spending, 2010-2020</w:t>
      </w:r>
      <w:bookmarkEnd w:id="47"/>
    </w:p>
    <w:p w14:paraId="1C6A12F7" w14:textId="1AAD693E" w:rsidR="00382AC9" w:rsidRDefault="00382AC9" w:rsidP="00382AC9">
      <w:r>
        <w:t>The impact of austerity on health and social care spending has been severe. For example, in England non-education spending per council resident decreased by almost one quarter between 2009-10 and 2019-20</w:t>
      </w:r>
      <w:r w:rsidR="00004FBB">
        <w:t xml:space="preserve"> </w:t>
      </w:r>
      <w:r>
        <w:fldChar w:fldCharType="begin"/>
      </w:r>
      <w:r w:rsidR="00FB6074">
        <w:instrText xml:space="preserve"> ADDIN ZOTERO_ITEM CSL_CITATION {"citationID":"1ugfPPhk","properties":{"formattedCitation":"(Ogden, K. et al., 2021)","plainCitation":"(Ogden, K. et al., 2021)","noteIndex":0},"citationItems":[{"id":1840,"uris":["http://zotero.org/users/7125982/items/V3BGHYJW"],"itemData":{"id":1840,"type":"webpage","abstract":"We examine what’s happened and what’s next for councils in England and Wales, focusing on the short-term financial impact of the COVID-19 pandemic, the medium-term financial outlook, and planned and potential financial and service reforms over the next few years.","container-title":"Institute for Fiscal Studies","language":"en","title":"What’s happened and what’s next for councils?","URL":"https://ifs.org.uk/books/whats-happened-and-whats-next-councils","author":[{"literal":"Ogden, K."},{"literal":"Phillips, D."},{"literal":"Siôn, C."}],"accessed":{"date-parts":[["2023",4,18]]},"issued":{"date-parts":[["2021"]]}}}],"schema":"https://github.com/citation-style-language/schema/raw/master/csl-citation.json"} </w:instrText>
      </w:r>
      <w:r>
        <w:fldChar w:fldCharType="separate"/>
      </w:r>
      <w:r w:rsidR="00FB6074">
        <w:rPr>
          <w:rFonts w:ascii="Times New Roman" w:hAnsi="Times New Roman"/>
          <w:sz w:val="24"/>
        </w:rPr>
        <w:t>(Ogden, K. et al., 2021)</w:t>
      </w:r>
      <w:r>
        <w:fldChar w:fldCharType="end"/>
      </w:r>
      <w:r w:rsidR="00004FBB">
        <w:t>,</w:t>
      </w:r>
      <w:r>
        <w:t xml:space="preserve"> while spending on health (specifically NHS England) </w:t>
      </w:r>
      <w:r w:rsidR="0043347B">
        <w:t xml:space="preserve">slowed </w:t>
      </w:r>
      <w:r>
        <w:t xml:space="preserve">substantially, well below the average annual increase for 1955-2019, as shown in </w:t>
      </w:r>
      <w:r>
        <w:fldChar w:fldCharType="begin"/>
      </w:r>
      <w:r>
        <w:instrText xml:space="preserve"> REF _Ref132717728 </w:instrText>
      </w:r>
      <w:r>
        <w:fldChar w:fldCharType="separate"/>
      </w:r>
      <w:r w:rsidR="00BE338B">
        <w:t xml:space="preserve">Figure </w:t>
      </w:r>
      <w:r w:rsidR="00BE338B">
        <w:rPr>
          <w:noProof/>
        </w:rPr>
        <w:t>12</w:t>
      </w:r>
      <w:r>
        <w:rPr>
          <w:noProof/>
        </w:rPr>
        <w:fldChar w:fldCharType="end"/>
      </w:r>
      <w:r w:rsidR="00004FBB">
        <w:rPr>
          <w:noProof/>
        </w:rPr>
        <w:t xml:space="preserve"> </w:t>
      </w:r>
      <w:r>
        <w:fldChar w:fldCharType="begin"/>
      </w:r>
      <w:r w:rsidR="00CE500A">
        <w:instrText xml:space="preserve"> ADDIN ZOTERO_ITEM CSL_CITATION {"citationID":"slelJWzS","properties":{"formattedCitation":"(Institute for Fiscal Studies, 2023)","plainCitation":"(Institute for Fiscal Studies, 2023)","noteIndex":0},"citationItems":[{"id":1898,"uris":["http://zotero.org/users/7125982/items/A3RDDE4D"],"itemData":{"id":1898,"type":"webpage","abstract":"A spreadsheet with a breakdown of UK government spending since 1955.","container-title":"Institute for Fiscal Studies","language":"en","title":"IFS spending composition sheet | IFS Taxlab","URL":"https://ifs.org.uk/taxlab/taxlab-data-item/ifs-spending-composition-sheet","author":[{"literal":"Institute for Fiscal Studies"}],"accessed":{"date-parts":[["2023",4,20]]},"issued":{"date-parts":[["2023"]]}}}],"schema":"https://github.com/citation-style-language/schema/raw/master/csl-citation.json"} </w:instrText>
      </w:r>
      <w:r>
        <w:fldChar w:fldCharType="separate"/>
      </w:r>
      <w:r w:rsidR="00CE500A">
        <w:rPr>
          <w:rFonts w:ascii="Times New Roman" w:hAnsi="Times New Roman"/>
          <w:sz w:val="24"/>
        </w:rPr>
        <w:t>(Institute for Fiscal Studies, 2023)</w:t>
      </w:r>
      <w:r>
        <w:fldChar w:fldCharType="end"/>
      </w:r>
      <w:r w:rsidR="00004FBB">
        <w:t>.</w:t>
      </w:r>
    </w:p>
    <w:p w14:paraId="2C665C08" w14:textId="4DB72287" w:rsidR="00382AC9" w:rsidRDefault="00382AC9" w:rsidP="00382AC9">
      <w:pPr>
        <w:keepNext/>
      </w:pPr>
      <w:r w:rsidRPr="00A2085B">
        <w:rPr>
          <w:noProof/>
        </w:rPr>
        <w:drawing>
          <wp:inline distT="0" distB="0" distL="0" distR="0" wp14:anchorId="2F14DF24" wp14:editId="4EC12179">
            <wp:extent cx="965200" cy="292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65200" cy="292100"/>
                    </a:xfrm>
                    <a:prstGeom prst="rect">
                      <a:avLst/>
                    </a:prstGeom>
                  </pic:spPr>
                </pic:pic>
              </a:graphicData>
            </a:graphic>
          </wp:inline>
        </w:drawing>
      </w:r>
    </w:p>
    <w:p w14:paraId="76B27E66" w14:textId="57D7E4DA" w:rsidR="0065596D" w:rsidRDefault="0065596D" w:rsidP="00382AC9">
      <w:pPr>
        <w:keepNext/>
      </w:pPr>
      <w:r>
        <w:rPr>
          <w:noProof/>
          <w14:ligatures w14:val="standardContextual"/>
        </w:rPr>
        <w:drawing>
          <wp:inline distT="0" distB="0" distL="0" distR="0" wp14:anchorId="10736853" wp14:editId="7EC29A1A">
            <wp:extent cx="5731510" cy="3376930"/>
            <wp:effectExtent l="0" t="0" r="0" b="1270"/>
            <wp:docPr id="204313027"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3027" name="Picture 1" descr="Chart, bar chart&#10;&#10;Description automatically generated"/>
                    <pic:cNvPicPr/>
                  </pic:nvPicPr>
                  <pic:blipFill>
                    <a:blip r:embed="rId22"/>
                    <a:stretch>
                      <a:fillRect/>
                    </a:stretch>
                  </pic:blipFill>
                  <pic:spPr>
                    <a:xfrm>
                      <a:off x="0" y="0"/>
                      <a:ext cx="5731510" cy="3376930"/>
                    </a:xfrm>
                    <a:prstGeom prst="rect">
                      <a:avLst/>
                    </a:prstGeom>
                  </pic:spPr>
                </pic:pic>
              </a:graphicData>
            </a:graphic>
          </wp:inline>
        </w:drawing>
      </w:r>
    </w:p>
    <w:p w14:paraId="6DE571A0" w14:textId="77777777" w:rsidR="00382AC9" w:rsidRDefault="00382AC9" w:rsidP="00382AC9">
      <w:pPr>
        <w:keepNext/>
      </w:pPr>
    </w:p>
    <w:p w14:paraId="1644F559" w14:textId="0F2A6DE4" w:rsidR="00382AC9" w:rsidRPr="00A2085B" w:rsidRDefault="00382AC9" w:rsidP="00382AC9">
      <w:pPr>
        <w:pStyle w:val="Caption"/>
      </w:pPr>
      <w:bookmarkStart w:id="48" w:name="_Ref132717728"/>
      <w:bookmarkStart w:id="49" w:name="_Toc97657402"/>
      <w:bookmarkStart w:id="50" w:name="_Toc133496255"/>
      <w:r>
        <w:t xml:space="preserve">Figure </w:t>
      </w:r>
      <w:r w:rsidR="00537CEF">
        <w:fldChar w:fldCharType="begin"/>
      </w:r>
      <w:r w:rsidR="00537CEF">
        <w:instrText xml:space="preserve"> SEQ Figure \* ARABIC </w:instrText>
      </w:r>
      <w:r w:rsidR="00537CEF">
        <w:fldChar w:fldCharType="separate"/>
      </w:r>
      <w:r w:rsidR="00537CEF">
        <w:rPr>
          <w:noProof/>
        </w:rPr>
        <w:t>12</w:t>
      </w:r>
      <w:r w:rsidR="00537CEF">
        <w:fldChar w:fldCharType="end"/>
      </w:r>
      <w:bookmarkEnd w:id="48"/>
      <w:r>
        <w:t xml:space="preserve">: </w:t>
      </w:r>
      <w:r w:rsidRPr="00F63C17">
        <w:t xml:space="preserve">Average annual increase in government spending on health, 1955-2019, based on 2019/20 prices. Source: </w:t>
      </w:r>
      <w:bookmarkEnd w:id="49"/>
      <w:r w:rsidRPr="00F63C17">
        <w:t>authors’ calculations based on IFS spending composition sheet</w:t>
      </w:r>
      <w:r w:rsidR="00F63C17" w:rsidRPr="00F63C17">
        <w:t xml:space="preserve"> </w:t>
      </w:r>
      <w:r w:rsidRPr="00F63C17">
        <w:fldChar w:fldCharType="begin"/>
      </w:r>
      <w:r w:rsidR="00CE500A" w:rsidRPr="00F63C17">
        <w:instrText xml:space="preserve"> ADDIN ZOTERO_ITEM CSL_CITATION {"citationID":"2INAgDvx","properties":{"formattedCitation":"(Institute for Fiscal Studies, 2023)","plainCitation":"(Institute for Fiscal Studies, 2023)","noteIndex":0},"citationItems":[{"id":1898,"uris":["http://zotero.org/users/7125982/items/A3RDDE4D"],"itemData":{"id":1898,"type":"webpage","abstract":"A spreadsheet with a breakdown of UK government spending since 1955.","container-title":"Institute for Fiscal Studies","language":"en","title":"IFS spending composition sheet | IFS Taxlab","URL":"https://ifs.org.uk/taxlab/taxlab-data-item/ifs-spending-composition-sheet","author":[{"literal":"Institute for Fiscal Studies"}],"accessed":{"date-parts":[["2023",4,20]]},"issued":{"date-parts":[["2023"]]}}}],"schema":"https://github.com/citation-style-language/schema/raw/master/csl-citation.json"} </w:instrText>
      </w:r>
      <w:r w:rsidRPr="00F63C17">
        <w:fldChar w:fldCharType="separate"/>
      </w:r>
      <w:r w:rsidR="00CE500A" w:rsidRPr="00F63C17">
        <w:t>(Institute for Fiscal Studies, 2023)</w:t>
      </w:r>
      <w:r w:rsidRPr="00F63C17">
        <w:fldChar w:fldCharType="end"/>
      </w:r>
      <w:r w:rsidRPr="00F63C17">
        <w:t xml:space="preserve"> adapted from the BBC graphic</w:t>
      </w:r>
      <w:r w:rsidR="00F63C17" w:rsidRPr="00F63C17">
        <w:t xml:space="preserve"> </w:t>
      </w:r>
      <w:r w:rsidRPr="00F63C17">
        <w:fldChar w:fldCharType="begin"/>
      </w:r>
      <w:r w:rsidR="00C4130B" w:rsidRPr="00F63C17">
        <w:instrText xml:space="preserve"> ADDIN ZOTERO_ITEM CSL_CITATION {"citationID":"2rSmBgcw","properties":{"formattedCitation":"(Triggle &amp; Butcher, 2020)","plainCitation":"(Triggle &amp; Butcher, 2020)","noteIndex":0},"citationItems":[{"id":1844,"uris":["http://zotero.org/users/7125982/items/8WU6RX7D"],"itemData":{"id":1844,"type":"webpage","title":"11 charts on the problems facing the NHS - BBC News","URL":"https://www.bbc.com/news/health-50290033","author":[{"family":"Triggle","given":"Nick"},{"family":"Butcher","given":"Ben"}],"accessed":{"date-parts":[["2023",4,18]]},"issued":{"date-parts":[["2020",1,9]]}}}],"schema":"https://github.com/citation-style-language/schema/raw/master/csl-citation.json"} </w:instrText>
      </w:r>
      <w:r w:rsidRPr="00F63C17">
        <w:fldChar w:fldCharType="separate"/>
      </w:r>
      <w:bookmarkEnd w:id="50"/>
      <w:r w:rsidR="00C4130B" w:rsidRPr="00F63C17">
        <w:t>(Triggle &amp; Butcher, 2020)</w:t>
      </w:r>
      <w:r w:rsidRPr="00F63C17">
        <w:fldChar w:fldCharType="end"/>
      </w:r>
    </w:p>
    <w:p w14:paraId="6E85124C" w14:textId="77777777" w:rsidR="00382AC9" w:rsidRDefault="00382AC9" w:rsidP="00382AC9"/>
    <w:p w14:paraId="021BEBF1" w14:textId="30940345" w:rsidR="00382AC9" w:rsidRDefault="00382AC9" w:rsidP="00382AC9">
      <w:r>
        <w:t xml:space="preserve">Another useful measure to compare spending over time is as </w:t>
      </w:r>
      <w:r w:rsidR="0028779F">
        <w:t>per person</w:t>
      </w:r>
      <w:r>
        <w:t xml:space="preserve">, as shown in </w:t>
      </w:r>
      <w:r>
        <w:fldChar w:fldCharType="begin"/>
      </w:r>
      <w:r>
        <w:instrText xml:space="preserve"> REF _Ref132886707 </w:instrText>
      </w:r>
      <w:r>
        <w:fldChar w:fldCharType="separate"/>
      </w:r>
      <w:r w:rsidR="006630EB">
        <w:t xml:space="preserve">Figure </w:t>
      </w:r>
      <w:r w:rsidR="006630EB">
        <w:rPr>
          <w:noProof/>
        </w:rPr>
        <w:t>11</w:t>
      </w:r>
      <w:r>
        <w:fldChar w:fldCharType="end"/>
      </w:r>
      <w:r>
        <w:t xml:space="preserve"> (Section 3.4). In the Figure, social </w:t>
      </w:r>
      <w:r w:rsidR="000F0DA8">
        <w:t xml:space="preserve">security </w:t>
      </w:r>
      <w:r>
        <w:t xml:space="preserve">is shown as a total (all) and divided into pensioners and non-pensioners from 1978. It shows that for all health and social </w:t>
      </w:r>
      <w:r w:rsidR="000F0DA8">
        <w:t xml:space="preserve">security </w:t>
      </w:r>
      <w:r>
        <w:t xml:space="preserve">spending there was a stall and decline since 2010, </w:t>
      </w:r>
      <w:r w:rsidR="008866C1">
        <w:t>except for</w:t>
      </w:r>
      <w:r>
        <w:t xml:space="preserve"> the uptick in 2020 for health spending due to COVID-19</w:t>
      </w:r>
      <w:r w:rsidR="00F37346">
        <w:t>. It is noteworthy that the 2020 spending increase</w:t>
      </w:r>
      <w:r>
        <w:t xml:space="preserve"> includes </w:t>
      </w:r>
      <w:r w:rsidR="00F37346">
        <w:t>a reported £15 billion “wasted” on unused COVID supplies</w:t>
      </w:r>
      <w:r w:rsidR="0001137E">
        <w:t xml:space="preserve"> </w:t>
      </w:r>
      <w:r w:rsidR="00F37346">
        <w:fldChar w:fldCharType="begin"/>
      </w:r>
      <w:r w:rsidR="00A00C71">
        <w:instrText xml:space="preserve"> ADDIN ZOTERO_ITEM CSL_CITATION {"citationID":"86L5NhbY","properties":{"formattedCitation":"(Hall &amp; Campbell, 2023)","plainCitation":"(Hall &amp; Campbell, 2023)","noteIndex":0},"citationItems":[{"id":2033,"uris":["http://zotero.org/users/7125982/items/WV3AWZTS"],"itemData":{"id":2033,"type":"webpage","title":"Department of Health wasted £15bn on unused Covid supplies, watchdog finds | NHS | The Guardian","URL":"https://www.theguardian.com/society/2023/jan/26/department-of-health-wasted-15bn-on-unused-covid-supplies-watchdog-finds","author":[{"family":"Hall","given":"Rachel"},{"family":"Campbell","given":"Denis"}],"accessed":{"date-parts":[["2023",4,25]]},"issued":{"date-parts":[["2023"]]}}}],"schema":"https://github.com/citation-style-language/schema/raw/master/csl-citation.json"} </w:instrText>
      </w:r>
      <w:r w:rsidR="00F37346">
        <w:fldChar w:fldCharType="separate"/>
      </w:r>
      <w:r w:rsidR="00A00C71">
        <w:rPr>
          <w:rFonts w:cs="Arial"/>
        </w:rPr>
        <w:t>(Hall &amp; Campbell, 2023)</w:t>
      </w:r>
      <w:r w:rsidR="00F37346">
        <w:fldChar w:fldCharType="end"/>
      </w:r>
      <w:r w:rsidR="0001137E">
        <w:t>,</w:t>
      </w:r>
      <w:r w:rsidR="00F37346">
        <w:t xml:space="preserve"> £37 billion over two years on</w:t>
      </w:r>
      <w:r>
        <w:t xml:space="preserve"> </w:t>
      </w:r>
      <w:r w:rsidR="00F37346">
        <w:t xml:space="preserve">a </w:t>
      </w:r>
      <w:r>
        <w:t>track and trace</w:t>
      </w:r>
      <w:r w:rsidR="00F37346">
        <w:t xml:space="preserve"> system which </w:t>
      </w:r>
      <w:r w:rsidR="00B36C18">
        <w:t>did not deliver on</w:t>
      </w:r>
      <w:r w:rsidR="00F37346">
        <w:t xml:space="preserve"> in its objective of </w:t>
      </w:r>
      <w:r w:rsidR="00F37346">
        <w:lastRenderedPageBreak/>
        <w:t>preventing a further lockdown</w:t>
      </w:r>
      <w:r w:rsidR="0001137E">
        <w:t xml:space="preserve"> </w:t>
      </w:r>
      <w:r w:rsidR="00F37346">
        <w:fldChar w:fldCharType="begin"/>
      </w:r>
      <w:r w:rsidR="00FB6074">
        <w:instrText xml:space="preserve"> ADDIN ZOTERO_ITEM CSL_CITATION {"citationID":"CNF9cp49","properties":{"formattedCitation":"(UK Parliament Public Accounts Committee, 2021)","plainCitation":"(UK Parliament Public Accounts Committee, 2021)","noteIndex":0},"citationItems":[{"id":2035,"uris":["http://zotero.org/users/7125982/items/YQHY7UN7"],"itemData":{"id":2035,"type":"webpage","abstract":"&lt;p&gt;In May last year NHS Test and Trace (NHST&amp;amp;T) was set up with a budget of &amp;pound;22 billion. Since then it has been allocated &amp;pound;15 billion more: totalling &amp;pound;37 billion over two years.&lt;/p&gt;","language":"en","title":"“Unimaginable” cost of Test &amp; Trace failed to deliver central promise of averting another lockdown - Committees - UK Parliament","URL":"https://committees.parliament.uk/committee/127/public-accounts-committee/news/150988/unimaginable-cost-of-test-trace-failed-to-deliver-central-promise-of-averting-another-lockdown/","author":[{"literal":"UK Parliament Public Accounts Committee"}],"accessed":{"date-parts":[["2023",4,25]]},"issued":{"date-parts":[["2021"]]}}}],"schema":"https://github.com/citation-style-language/schema/raw/master/csl-citation.json"} </w:instrText>
      </w:r>
      <w:r w:rsidR="00F37346">
        <w:fldChar w:fldCharType="separate"/>
      </w:r>
      <w:r w:rsidR="00FB6074">
        <w:rPr>
          <w:rFonts w:cs="Arial"/>
        </w:rPr>
        <w:t>(UK Parliament Public Accounts Committee, 2021)</w:t>
      </w:r>
      <w:r w:rsidR="00F37346">
        <w:fldChar w:fldCharType="end"/>
      </w:r>
      <w:r w:rsidR="0001137E">
        <w:t>,</w:t>
      </w:r>
      <w:r>
        <w:t xml:space="preserve"> and beyond</w:t>
      </w:r>
      <w:r w:rsidR="00B36C18">
        <w:t>. The Figure</w:t>
      </w:r>
      <w:r>
        <w:t xml:space="preserve"> also shows that the suggestion pensioners were protected from austerity is not apparent when it comes to spending </w:t>
      </w:r>
      <w:r w:rsidR="000564EA">
        <w:t>per person</w:t>
      </w:r>
      <w:r>
        <w:t xml:space="preserve">, with a clear decline in social </w:t>
      </w:r>
      <w:r w:rsidR="000564EA">
        <w:t xml:space="preserve">security </w:t>
      </w:r>
      <w:r>
        <w:t>seen.</w:t>
      </w:r>
    </w:p>
    <w:p w14:paraId="0437399F" w14:textId="77777777" w:rsidR="00382AC9" w:rsidRDefault="00382AC9" w:rsidP="00382AC9"/>
    <w:p w14:paraId="55AA3DAA" w14:textId="77777777" w:rsidR="00382AC9" w:rsidRDefault="00382AC9" w:rsidP="00382AC9">
      <w:pPr>
        <w:pStyle w:val="Heading3"/>
      </w:pPr>
      <w:bookmarkStart w:id="51" w:name="_Toc133496256"/>
      <w:r>
        <w:t>Austerity elsewhere in Europe</w:t>
      </w:r>
      <w:bookmarkEnd w:id="51"/>
    </w:p>
    <w:p w14:paraId="7F0C765D" w14:textId="42AC683B" w:rsidR="00382AC9" w:rsidRDefault="00382AC9" w:rsidP="00382AC9">
      <w:r>
        <w:t>Austerity measures were implemented across Europe following the 2008 financial crash, with cuts to public spending in many countries</w:t>
      </w:r>
      <w:r w:rsidR="00F35B98">
        <w:t xml:space="preserve"> </w:t>
      </w:r>
      <w:r>
        <w:fldChar w:fldCharType="begin"/>
      </w:r>
      <w:r w:rsidR="0099441B">
        <w:instrText xml:space="preserve"> ADDIN ZOTERO_ITEM CSL_CITATION {"citationID":"PyclioY6","properties":{"formattedCitation":"(McKee et al., 2012)","plainCitation":"(McKee et al., 2012)","noteIndex":0},"citationItems":[{"id":1142,"uris":["http://zotero.org/users/7125982/items/VSSITUSG"],"itemData":{"id":1142,"type":"article-journal","abstract":"Many governments in Europe, either of their own volition or at the behest of the international financial institutions, have adopted stringent austerity policies in response to the financial crisis. By contrast, the USA launched a financial stimulus. The results of these experiments are now clear: the American economy is growing and those European countries adopting austerity, including the UK, Ireland, Greece, Portugal and Spain, are stagnating and struggling to repay rising debts. An initial recovery in the UK was halted once austerity measures hit. However, austerity has been not only an economic failure, but also a health failure, with increasing numbers of suicides and, where cuts in health budgets are being imposed, increasing numbers of people being unable to access care. Yet their stories remain largely untold. Here, we argue that there is an alternative to austerity, but that ideology is triumphing over evidence. Our paper was written to contribute to discussions among health policy leaders in Europe that will take place at the 15th European Health Forum at Gastein in October 2012, as its theme 'Crisis and Opportunity - Health in an Age of Austerity'.","container-title":"Clin Med (Lond)","DOI":"10.7861/clinmedicine.12-4-346","ISSN":"1470-2118 (Print) 1470-2118","issue":"4","language":"eng","note":"PMCID: PMC4952125","page":"346-50","title":"Austerity: a failed experiment on the people of Europe","volume":"12","author":[{"family":"McKee","given":"M."},{"family":"Karanikolos","given":"M."},{"family":"Belcher","given":"P."},{"family":"Stuckler","given":"D."}],"issued":{"date-parts":[["2012",8]]}}}],"schema":"https://github.com/citation-style-language/schema/raw/master/csl-citation.json"} </w:instrText>
      </w:r>
      <w:r>
        <w:fldChar w:fldCharType="separate"/>
      </w:r>
      <w:r w:rsidR="0099441B">
        <w:rPr>
          <w:rFonts w:ascii="Times New Roman" w:hAnsi="Times New Roman"/>
          <w:sz w:val="24"/>
        </w:rPr>
        <w:t>(McKee et al., 2012)</w:t>
      </w:r>
      <w:r>
        <w:fldChar w:fldCharType="end"/>
      </w:r>
      <w:r w:rsidR="00F35B98">
        <w:t>.</w:t>
      </w:r>
      <w:r>
        <w:t xml:space="preserve"> However, the UK saw the deepest cuts. </w:t>
      </w:r>
      <w:r>
        <w:fldChar w:fldCharType="begin"/>
      </w:r>
      <w:r>
        <w:instrText xml:space="preserve"> REF _Ref132889364 </w:instrText>
      </w:r>
      <w:r>
        <w:fldChar w:fldCharType="separate"/>
      </w:r>
      <w:r w:rsidR="00BE338B">
        <w:t xml:space="preserve">Figure </w:t>
      </w:r>
      <w:r w:rsidR="00BE338B">
        <w:rPr>
          <w:noProof/>
        </w:rPr>
        <w:t>13</w:t>
      </w:r>
      <w:r>
        <w:fldChar w:fldCharType="end"/>
      </w:r>
      <w:r>
        <w:t xml:space="preserve"> shows public spending as a percentage of GDP from 1980 (the earliest available data) to 2019 using IMF data for 5 comparable Western European countries: France, Italy, Spain, Germany, and the UK. While the UK had seen an increase in public spending from the mid-late 1990s to 2010, at points catching up with Spain and edging closer to post-unification Germany, in 2010 it entered austerity from the lowest position and had the greatest reduction in spending from 2010 to 2019 at 5.9%. In comparison, France and Italy saw a reduction of 1.3% in public spending from 2010 to 2019, Germany 3% and Spain 4%. Other countries, such as Finland, increased the proportion of their GDP spent on the public good during and after the crash as a response to its effects.</w:t>
      </w:r>
    </w:p>
    <w:p w14:paraId="1C25D9FA" w14:textId="77777777" w:rsidR="00382AC9" w:rsidRDefault="00382AC9" w:rsidP="00382AC9"/>
    <w:p w14:paraId="73281FF6" w14:textId="7166AAA4" w:rsidR="00382AC9" w:rsidRDefault="00AD1285" w:rsidP="00382AC9">
      <w:pPr>
        <w:keepNext/>
      </w:pPr>
      <w:r>
        <w:rPr>
          <w:noProof/>
          <w14:ligatures w14:val="standardContextual"/>
        </w:rPr>
        <w:drawing>
          <wp:inline distT="0" distB="0" distL="0" distR="0" wp14:anchorId="0AAD43A7" wp14:editId="3F25297E">
            <wp:extent cx="5731510" cy="3856990"/>
            <wp:effectExtent l="0" t="0" r="0" b="3810"/>
            <wp:docPr id="756295414"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95414" name="Picture 1" descr="Diagram&#10;&#10;Description automatically generated with medium confidence"/>
                    <pic:cNvPicPr/>
                  </pic:nvPicPr>
                  <pic:blipFill>
                    <a:blip r:embed="rId23"/>
                    <a:stretch>
                      <a:fillRect/>
                    </a:stretch>
                  </pic:blipFill>
                  <pic:spPr>
                    <a:xfrm>
                      <a:off x="0" y="0"/>
                      <a:ext cx="5731510" cy="3856990"/>
                    </a:xfrm>
                    <a:prstGeom prst="rect">
                      <a:avLst/>
                    </a:prstGeom>
                  </pic:spPr>
                </pic:pic>
              </a:graphicData>
            </a:graphic>
          </wp:inline>
        </w:drawing>
      </w:r>
    </w:p>
    <w:p w14:paraId="655F1FE5" w14:textId="1AE1512F" w:rsidR="00382AC9" w:rsidRDefault="00382AC9" w:rsidP="00382AC9">
      <w:pPr>
        <w:pStyle w:val="Caption"/>
      </w:pPr>
      <w:bookmarkStart w:id="52" w:name="_Ref132889364"/>
      <w:bookmarkStart w:id="53" w:name="_Toc133496257"/>
      <w:r>
        <w:t xml:space="preserve">Figure </w:t>
      </w:r>
      <w:r w:rsidR="00537CEF">
        <w:fldChar w:fldCharType="begin"/>
      </w:r>
      <w:r w:rsidR="00537CEF">
        <w:instrText xml:space="preserve"> SEQ Figure \* ARABIC </w:instrText>
      </w:r>
      <w:r w:rsidR="00537CEF">
        <w:fldChar w:fldCharType="separate"/>
      </w:r>
      <w:r w:rsidR="00537CEF">
        <w:rPr>
          <w:noProof/>
        </w:rPr>
        <w:t>13</w:t>
      </w:r>
      <w:r w:rsidR="00537CEF">
        <w:fldChar w:fldCharType="end"/>
      </w:r>
      <w:bookmarkEnd w:id="52"/>
      <w:r>
        <w:t>: Public spending as a percentage of GDP from 1980 (or earliest available) to 2019 in 5 European Countries. Source: International Monetary Fund, World Economic Outlook Database, April 2021.</w:t>
      </w:r>
      <w:bookmarkEnd w:id="53"/>
      <w:r w:rsidR="00AD1285">
        <w:t xml:space="preserve"> Note: Axis does not start at 0. </w:t>
      </w:r>
    </w:p>
    <w:p w14:paraId="1F11F840" w14:textId="77777777" w:rsidR="00CA7132" w:rsidRPr="00CA7132" w:rsidRDefault="00CA7132" w:rsidP="00CA7132">
      <w:pPr>
        <w:rPr>
          <w:lang w:eastAsia="en-US"/>
        </w:rPr>
      </w:pPr>
    </w:p>
    <w:p w14:paraId="0D577407" w14:textId="77777777" w:rsidR="00382AC9" w:rsidRDefault="00382AC9" w:rsidP="00382AC9">
      <w:pPr>
        <w:pStyle w:val="Heading2"/>
        <w:rPr>
          <w:lang w:eastAsia="en-GB"/>
        </w:rPr>
      </w:pPr>
      <w:bookmarkStart w:id="54" w:name="_Toc133496258"/>
      <w:r>
        <w:rPr>
          <w:lang w:eastAsia="en-GB"/>
        </w:rPr>
        <w:t>Austerity and mortality</w:t>
      </w:r>
      <w:bookmarkEnd w:id="54"/>
    </w:p>
    <w:p w14:paraId="6F0AF03B" w14:textId="0A6F14E0" w:rsidR="00382AC9" w:rsidRDefault="00382AC9" w:rsidP="00382AC9">
      <w:r>
        <w:t>Life expectancy in the UK since 2010 follows a similar pattern to that of health spending (</w:t>
      </w:r>
      <w:r>
        <w:fldChar w:fldCharType="begin"/>
      </w:r>
      <w:r>
        <w:instrText xml:space="preserve"> REF _Ref132886707 </w:instrText>
      </w:r>
      <w:r>
        <w:fldChar w:fldCharType="separate"/>
      </w:r>
      <w:r w:rsidR="00BE338B">
        <w:t xml:space="preserve">Figure </w:t>
      </w:r>
      <w:r w:rsidR="00BE338B">
        <w:rPr>
          <w:noProof/>
        </w:rPr>
        <w:t>11</w:t>
      </w:r>
      <w:r>
        <w:fldChar w:fldCharType="end"/>
      </w:r>
      <w:r>
        <w:t>). After decades of improvements, with some fluctuations, life expectancy improvements halted in the years that followed 2010, before falling for some groups, beginning with older women</w:t>
      </w:r>
      <w:r w:rsidR="00C70F1A">
        <w:t xml:space="preserve"> in 2012</w:t>
      </w:r>
      <w:r w:rsidR="00F35B98">
        <w:t xml:space="preserve"> </w:t>
      </w:r>
      <w:r>
        <w:fldChar w:fldCharType="begin"/>
      </w:r>
      <w:r w:rsidR="0099441B">
        <w:instrText xml:space="preserve"> ADDIN ZOTERO_ITEM CSL_CITATION {"citationID":"CWPRWIms","properties":{"formattedCitation":"(Hiam et al., 2020)","plainCitation":"(Hiam et al., 2020)","noteIndex":0},"citationItems":[{"id":1054,"uris":["http://zotero.org/users/7125982/items/269P9K9G"],"itemData":{"id":1054,"type":"article-journal","abstract":"BACKGROUND: A very large number of studies have reported a stalling of health improvements in the UK since 2010. SOURCES OF DATA: Almost all relevant data are produced by the Office for National Statistics and other national statistical agencies. AREAS OF AGREEMENT: There has been a dramatic slowdown in life expectancy and diverging trends in infant mortality in the UK as a whole and England and Wales, respectively. AREAS OF CONTROVERSY: Many commentators are loath to describe the falls in life expectancy as actual falls or to ascribe blame to the political situation in the UK. GROWING POINTS: Health trends in the UK are worrying and raise important questions about government policies. AREAS TIMELY FOR DEVELOPING RESEARCH: These findings point to a need for greater investment in research on the political determinants of health, on the timely detection and interpretation of evidence of worsening health, and on how political and policy processes respond to such findings.","container-title":"Br Med Bull","DOI":"10.1093/bmb/ldz041","ISSN":"0007-1420","issue":"1","language":"eng","page":"4-15","title":"Things Fall Apart: the British Health Crisis 2010-2020","volume":"133","author":[{"family":"Hiam","given":"L."},{"family":"Dorling","given":"D."},{"family":"McKee","given":"M."}],"issued":{"date-parts":[["2020",5,15]]}}}],"schema":"https://github.com/citation-style-language/schema/raw/master/csl-citation.json"} </w:instrText>
      </w:r>
      <w:r>
        <w:fldChar w:fldCharType="separate"/>
      </w:r>
      <w:r w:rsidR="0099441B">
        <w:rPr>
          <w:rFonts w:ascii="Times New Roman" w:hAnsi="Times New Roman"/>
          <w:sz w:val="24"/>
        </w:rPr>
        <w:t>(Hiam et al., 2020)</w:t>
      </w:r>
      <w:r>
        <w:fldChar w:fldCharType="end"/>
      </w:r>
      <w:r w:rsidR="00F35B98">
        <w:t>.</w:t>
      </w:r>
      <w:r>
        <w:t xml:space="preserve"> A plethora of evidence has linked the cuts to public services through austerity with the increase in deaths and </w:t>
      </w:r>
      <w:r w:rsidR="00C70F1A">
        <w:t xml:space="preserve">the </w:t>
      </w:r>
      <w:r>
        <w:t>subsequent stall in improvements in life expectancy seen throughout the UK, with some groups and communities seeing their life expectancy fall</w:t>
      </w:r>
      <w:r w:rsidR="00C70F1A">
        <w:t xml:space="preserve"> earlier than others</w:t>
      </w:r>
      <w:r>
        <w:t xml:space="preserve">, beginning first with older women in </w:t>
      </w:r>
      <w:r w:rsidR="00C70F1A">
        <w:t xml:space="preserve">2012 (first identified and released as a media story in early </w:t>
      </w:r>
      <w:r>
        <w:t>2014</w:t>
      </w:r>
      <w:r w:rsidR="00C70F1A">
        <w:t>)</w:t>
      </w:r>
      <w:r>
        <w:t xml:space="preserve">, followed by others </w:t>
      </w:r>
      <w:r w:rsidR="00F35B98">
        <w:t xml:space="preserve">subsequently </w:t>
      </w:r>
      <w:r>
        <w:fldChar w:fldCharType="begin"/>
      </w:r>
      <w:r w:rsidR="001076C5">
        <w:instrText xml:space="preserve"> ADDIN ZOTERO_ITEM CSL_CITATION {"citationID":"li1ggyvN","properties":{"formattedCitation":"(Alexiou et al., 2021; Bennett et al., 2018; Darlington-Pollock et al., 2022; Hiam et al., 2020; Hiam, Harrison, et al., 2018; Rashid et al., 2021; Walsh, Dundas, et al., 2022)","plainCitation":"(Alexiou et al., 2021; Bennett et al., 2018; Darlington-Pollock et al., 2022; Hiam et al., 2020; Hiam, Harrison, et al., 2018; Rashid et al., 2021; Walsh, Dundas, et al., 2022)","noteIndex":0},"citationItems":[{"id":1054,"uris":["http://zotero.org/users/7125982/items/269P9K9G"],"itemData":{"id":1054,"type":"article-journal","abstract":"BACKGROUND: A very large number of studies have reported a stalling of health improvements in the UK since 2010. SOURCES OF DATA: Almost all relevant data are produced by the Office for National Statistics and other national statistical agencies. AREAS OF AGREEMENT: There has been a dramatic slowdown in life expectancy and diverging trends in infant mortality in the UK as a whole and England and Wales, respectively. AREAS OF CONTROVERSY: Many commentators are loath to describe the falls in life expectancy as actual falls or to ascribe blame to the political situation in the UK. GROWING POINTS: Health trends in the UK are worrying and raise important questions about government policies. AREAS TIMELY FOR DEVELOPING RESEARCH: These findings point to a need for greater investment in research on the political determinants of health, on the timely detection and interpretation of evidence of worsening health, and on how political and policy processes respond to such findings.","container-title":"Br Med Bull","DOI":"10.1093/bmb/ldz041","ISSN":"0007-1420","issue":"1","language":"eng","page":"4-15","title":"Things Fall Apart: the British Health Crisis 2010-2020","volume":"133","author":[{"family":"Hiam","given":"L."},{"family":"Dorling","given":"D."},{"family":"McKee","given":"M."}],"issued":{"date-parts":[["2020",5,15]]}}},{"id":537,"uris":["http://zotero.org/users/7125982/items/JT3R4QAL"],"itemData":{"id":537,"type":"article-journal","abstract":"&lt;strong&gt;Background&lt;/strong&gt; High-resolution data for how mortality and longevity have changed in England, UK are scarce. We aimed to estimate trends from 2002 to 2019 in life expectancy and probabilities of death at different ages for all 6791 middle-layer super output areas (MSOAs) in England. &lt;br&gt; &lt;strong&gt;Methods&lt;/strong&gt; We performed a high-resolution spatiotemporal analysis of civil registration data from the UK Small Area Health Statistics Unit research database using de-identified data for all deaths in England from 2002 to 2019, with information on age, sex, and MSOA of residence, and population counts by age, sex, and MSOA. We used a Bayesian hierarchical model to obtain estimates of age-specific death rates by sharing information across age groups, MSOAs, and years. We used life table methods to calculate life expectancy at birth and probabilities of death in different ages by sex and MSOA. &lt;br&gt; &lt;strong&gt;Findings&lt;/strong&gt; In 2002–06 and 2006–10, all but a few (0–1%) MSOAs had a life expectancy increase for female and male sexes. In 2010–14, female life expectancy decreased in 351 (5·2%) of 6791 MSOAs. By 2014–19, the number of MSOAs with declining life expectancy was 1270 (18·7%) for women and 784 (11·5%) for men. The life expectancy increase from 2002 to 2019 was smaller in MSOAs where life expectancy had been lower in 2002 (mostly northern urban MSOAs), and larger in MSOAs where life expectancy had been higher in 2002 (mostly MSOAs in and around London). As a result of these trends, the gap between the first and 99th percentiles of MSOA life expectancy for women increased from 10·7 years (95% credible interval 10·4–10·9) in 2002 to reach 14·2 years (13·9–14·5) in 2019, and for men increased from 11·5 years (11·3–11·7) in 2002 to 13·6 years (13·4–13·9) in 2019. &lt;br&gt; &lt;strong&gt;Interpretation&lt;/strong&gt; In the decade before the COVID-19 pandemic, life expectancy declined in increasing numbers of communities in England. To ensure that this trend does not continue or worsen, there is a need for pro-equity economic and social policies, and greater investment in public health and health care throughout the entire country. &lt;br&gt; &lt;strong&gt;Funding&lt;/strong&gt; Wellcome Trust, Imperial College London, Medical Research Council, Health Data Research UK, and National Institutes of Health Research.","container-title":"Lancet Public Health","issue":"11","language":"English","note":"publisher: Elsevier","source":"ora.ox.ac.uk","title":"Life expectancy and risk of death in 6791 communities in England from 2002 to 2019: high-resolution spatiotemporal analysis of civil registration data","title-short":"Life expectancy and risk of death in 6791 communities in England from 2002 to 2019","URL":"https://ora.ox.ac.uk/objects/uuid:a2ab5c72-a957-4fd8-a0b5-4e4dbbc4358a","volume":"6","author":[{"family":"Rashid","given":"T."},{"family":"Bennett","given":"J. E."},{"family":"Paciorek","given":"C. J."},{"family":"Doyle","given":"Y."},{"family":"Pearson-Stuttard","given":"J."},{"family":"Flaxman","given":"S."},{"family":"Fecht","given":"D."},{"family":"Toledano","given":"M. B."},{"family":"Li","given":"G."},{"family":"Daby","given":"H. I."},{"family":"Johnson","given":"E."},{"family":"Davies","given":"B."},{"family":"Ezzati","given":"M."}],"accessed":{"date-parts":[["2022",4,6]]},"issued":{"date-parts":[["2021"]]}}},{"id":1472,"uris":["http://zotero.org/users/7125982/items/EYXU2CKL"],"itemData":{"id":1472,"type":"article-journal","abstract":"BACKGROUND: Since 2010, large reductions in funding for local government services have been introduced in England. These reductions in funding have potentially led to reduced provision of health-promoting public services. We aimed to investigate whether areas that showed a greater decline in funding also had more adverse trends in life expectancy and premature mortality.\nMETHODS: In this longitudinal ecological study, we linked annual data from the Ministry of Housing, Communities, and Local Government on local government revenue expenditure and financing to 147 upper-tier local authorities in England between 2013 and 2017 with data from Public Health England, on male and female life expectancy at birth, male and female life expectancy at age 65 years, and premature (younger than 75 years) all-cause mortality rate for male and female individuals. Local authorities were excluded if their populations were too small or if changes in boundaries meant consistent data were not available. Using multivariable fixed-effects panel regression models, and controlling for local socioeconomic conditions, we estimated whether changes in local funding from 2013 were associated with changes in life expectancy and premature mortality. We included a set of alternative model specifications to test the robustness of our findings.\nFINDINGS: Between 2013 and 2017, mean per-capita central funding to local governments decreased by 33% or £168 per person (range -£385 to £1). Each £100 reduction in annual per person funding was associated over the study period 2013-17 with an average decrease in life expectancy at birth of 1·3 months (95% CI 0·7-1·9) for male individuals and 1·2 months (0·7-1·7) for female individuals; for life expectancy at age 65 years, the results show a decrease of 0·8 months (0·3-1·3) for male individuals and 1·1 months (0·7-1·5) for female individuals. Funding reductions were greater in more deprived areas and these areas had the worst changes in life expectancy. We estimated that cuts in funding were associated with an increase in the gap in life expectancy between the most and least deprived quintiles by 3% for men and 4% for women. Overall reductions in funding during this period were associated with an additional 9600 deaths in people younger than 75 years in England (3800-15 400), an increase of 1·25%.\nINTERPRETATION: Our findings indicate that cuts in funding for local government might in part explain adverse trends in life expectancy. Given that more deprived areas showed greater reductions in funding, our analysis suggests that inequalities have widened. Since the pandemic, strategies to address these adverse trends in life expectancy and reduce health inequalities could prioritise reinvestment in funding for local government services, particularly within the most deprived areas of England.\nFUNDING: National Institute for Health Research (NIHR) School for Public Health Research, NIHR Applied Research Collaboration North East and North Cumbria, NIHR Applied Research Collaboration North West Coast and Medical Research Council.","container-title":"The Lancet. Public Health","DOI":"10.1016/S2468-2667(21)00110-9","ISSN":"2468-2667","issue":"9","journalAbbreviation":"Lancet Public Health","language":"eng","note":"PMID: 34265265\nPMCID: PMC8390384","page":"e641-e647","source":"PubMed","title":"Local government funding and life expectancy in England: a longitudinal ecological study","title-short":"Local government funding and life expectancy in England","volume":"6","author":[{"family":"Alexiou","given":"Alexandros"},{"family":"Fahy","given":"Katie"},{"family":"Mason","given":"Kate"},{"family":"Bennett","given":"Davara"},{"family":"Brown","given":"Heather"},{"family":"Bambra","given":"Clare"},{"family":"Taylor-Robinson","given":"David"},{"family":"Barr","given":"Benjamin"}],"issued":{"date-parts":[["2021",9]]}}},{"id":538,"uris":["http://zotero.org/users/7125982/items/YU7PZQCU"],"itemData":{"id":538,"type":"article-journal","container-title":"The Lancet Public Health","DOI":"10.1016/S2468-2667(18)30214-7","ISSN":"2468-2667","issue":"12","journalAbbreviation":"The Lancet Public Health","language":"English","note":"publisher: Elsevier\nPMID: 30473483","page":"e586-e597","source":"www.thelancet.com","title":"Contributions of diseases and injuries to widening life expectancy inequalities in England from 2001 to 2016: a population-based analysis of vital registration data","title-short":"Contributions of diseases and injuries to widening life expectancy inequalities in England from 2001 to 2016","volume":"3","author":[{"family":"Bennett","given":"James E."},{"family":"Pearson-Stuttard","given":"Jonathan"},{"family":"Kontis","given":"Vasilis"},{"family":"Capewell","given":"Simon"},{"family":"Wolfe","given":"Ingrid"},{"family":"Ezzati","given":"Majid"}],"issued":{"date-parts":[["2018",12,1]]}}},{"id":904,"uris":["http://zotero.org/users/7125982/items/UBN5FFPU"],"itemData":{"id":904,"type":"article-journal","abstract":"Background Mortality rates across the UK stopped improving in the early 2010s, largely attributable to UK Government’s ‘austerity’ policies. Such policies are thought to disproportionately affect women in terms of greater financial impact and loss of services. The aim here was to investigate whether the mortality impact of austerity—in terms of when rates changed and the scale of excess deaths—has also been worse for women.\nMethods All-cause mortality data by sex, age, Great Britain (GB) nation and deprivation quintile were obtained from national agencies. Trends in age-standardised mortality rates were calculated, and segmented regression analyses used to identify break points between 1981 and 2019. Excess deaths were calculated for 2012–2019 based on comparison of observed deaths with numbers predicted by the linear trend for 1981–2011.\nResults Changes in trends were observed for both men and women, especially for those living in the 20% most deprived areas. In those areas, mortality increased between 2010/2012 and 2017/2019 among women but not men. Break points in trends occurred at similar time points. Approximately 335 000 more deaths occurred between 2012 and 2019 than was expected based on previous trends, with the excess greater among men.\nConclusions It remains unclear whether there are sex differences in UK austerity-related health effects. Nonetheless, this study provides further evidence of adverse trends in the UK and the associated scale of excess deaths. There is a clear need for such policies to be reversed, and for policies to be implemented to protect the most vulnerable in society.","container-title":"J Epidemiol Community Health","DOI":"10.1136/jech-2022-219645","ISSN":"0143-005X, 1470-2738","journalAbbreviation":"J Epidemiol Community Health","language":"en","license":"© Author(s) (or their employer(s)) 2022. Re-use permitted under CC BY. Published by BMJ.. https://creativecommons.org/licenses/by/4.0/This is an open access article distributed in accordance with the Creative Commons Attribution 4.0 Unported (CC BY 4.0) license, which permits others to copy, redistribute, remix, transform and build upon this work for any purpose, provided the original work is properly cited, a link to the licence is given, and indication of whether changes were made. See: https://creativecommons.org/licenses/by/4.0/.","note":"publisher: BMJ Publishing Group Ltd\nsection: Original research\nPMID: 36195463","source":"jech.bmj.com","title":"Bearing the burden of austerity: how do changing mortality rates in the UK compare between men and women?","title-short":"Bearing the burden of austerity","URL":"https://jech.bmj.com/content/early/2022/09/26/jech-2022-219645","author":[{"family":"Walsh","given":"David"},{"family":"Dundas","given":"Ruth"},{"family":"McCartney","given":"Gerry"},{"family":"Gibson","given":"Marcia"},{"family":"Seaman","given":"Rosie"}],"accessed":{"date-parts":[["2022",10,5]]},"issued":{"date-parts":[["2022",9,27]]}}},{"id":1057,"uris":["http://zotero.org/users/7125982/items/K5ZSUARB","http://zotero.org/users/7125982/items/ICH67WIA"],"itemData":{"id":1057,"type":"article-journal","container-title":"J Epidemiol Community Health","DOI":"10.1136/jech-2017-210401","ISSN":"0143-005x","issue":"5","journalAbbreviation":"Journal of epidemiology and community health","language":"eng","page":"404-408","title":"Why is life expectancy in England and Wales 'stalling'?","volume":"72","author":[{"family":"Hiam","given":"L."},{"family":"Harrison","given":"D."},{"family":"McKee","given":"M."},{"family":"Dorling","given":"D."}],"issued":{"date-parts":[["2018",5]]}}},{"id":1336,"uris":["http://zotero.org/users/7125982/items/SATMDLDK"],"itemData":{"id":1336,"type":"article-journal","abstract":"BACKGROUND: Policy responses to the Global Financial Crisis emphasized wide-ranging fiscal austerity measures, many of which have been found to negatively impact health outcomes. This paper investigates change in patterns of mortality at local authority level in England (2010-11 to 2017-18) and the relation with fiscal austerity measures.\nMETHODS: Data from official local authority administrative records are used to quantify the gap between observed deaths and what was anticipated in the 2010-based subnational population projections. Regression analyses are used to explore the relation between excess deaths, austerity and wider process of population change at local authority level.\nRESULTS: We estimate 231 707 total excess deaths, the majority of which occurred since 2014-15 (89%) across the majority of local authorities (91%). Austerity is positively associated with excess deaths. For working age adults, there is a clear gradient to the impact of austerity, whereas for older adults, the impact is more uniform.\nCONCLUSIONS: Fiscal austerity policies contributed to an excess of deaths for older people and widened social inequalities for younger populations. These results call for an end to all austerity measures and require further research into areas with the highest total excess deaths as a priority following the COVID-19 pandemic.","container-title":"Journal of Public Health (Oxford, England)","DOI":"10.1093/pubmed/fdab023","ISSN":"1741-3850","issue":"2","journalAbbreviation":"J Public Health (Oxf)","language":"eng","note":"PMID: 33765120\nPMCID: PMC8083632","page":"310-318","source":"PubMed","title":"Why were there 231 707 more deaths than expected in England between 2010 and 2018? An ecological analysis of mortality records","title-short":"Why were there 231 707 more deaths than expected in England between 2010 and 2018?","volume":"44","author":[{"family":"Darlington-Pollock","given":"Frances"},{"family":"Green","given":"Mark A."},{"family":"Simpson","given":"Ludi"}],"issued":{"date-parts":[["2022",6,27]]}}}],"schema":"https://github.com/citation-style-language/schema/raw/master/csl-citation.json"} </w:instrText>
      </w:r>
      <w:r>
        <w:fldChar w:fldCharType="separate"/>
      </w:r>
      <w:r w:rsidR="001076C5">
        <w:rPr>
          <w:rFonts w:ascii="Times New Roman" w:hAnsi="Times New Roman"/>
          <w:sz w:val="24"/>
        </w:rPr>
        <w:t>(Alexiou et al., 2021; Bennett et al., 2018; Darlington-Pollock et al., 2022; Hiam et al., 2020; Hiam, Harrison, et al., 2018; Rashid et al., 2021; Walsh, Dundas, et al., 2022)</w:t>
      </w:r>
      <w:r>
        <w:fldChar w:fldCharType="end"/>
      </w:r>
      <w:r w:rsidR="00F35B98">
        <w:t>.</w:t>
      </w:r>
      <w:r>
        <w:t xml:space="preserve"> A 2023 analysis from the </w:t>
      </w:r>
      <w:r w:rsidRPr="00170BB9">
        <w:rPr>
          <w:i/>
          <w:iCs/>
        </w:rPr>
        <w:t>Economist</w:t>
      </w:r>
      <w:r>
        <w:t xml:space="preserve"> suggested</w:t>
      </w:r>
      <w:r w:rsidR="00C70F1A">
        <w:t>, that</w:t>
      </w:r>
      <w:r>
        <w:t xml:space="preserve"> of 700,000 “additional deaths” in Britain between 2012 and 2022, 250,000 </w:t>
      </w:r>
      <w:r w:rsidR="00C70F1A">
        <w:t xml:space="preserve">additional </w:t>
      </w:r>
      <w:r>
        <w:t xml:space="preserve">deaths were specific to </w:t>
      </w:r>
      <w:r w:rsidR="00C70F1A">
        <w:t xml:space="preserve">problems in </w:t>
      </w:r>
      <w:r>
        <w:t xml:space="preserve">Britain, and not explained by an overall slowdown in life expectancy across Europe </w:t>
      </w:r>
      <w:r w:rsidR="00CE08FE">
        <w:t>n</w:t>
      </w:r>
      <w:r>
        <w:t>or</w:t>
      </w:r>
      <w:r w:rsidR="00C70F1A">
        <w:t xml:space="preserve"> by</w:t>
      </w:r>
      <w:r>
        <w:t xml:space="preserve"> the COVID-19 pandemic</w:t>
      </w:r>
      <w:r w:rsidR="00F35B98">
        <w:t xml:space="preserve"> </w:t>
      </w:r>
      <w:r>
        <w:fldChar w:fldCharType="begin"/>
      </w:r>
      <w:r w:rsidR="00C4130B">
        <w:instrText xml:space="preserve"> ADDIN ZOTERO_ITEM CSL_CITATION {"citationID":"qe8IlZqz","properties":{"formattedCitation":"(The Economist, 2023)","plainCitation":"(The Economist, 2023)","noteIndex":0},"citationItems":[{"id":1690,"uris":["http://zotero.org/users/7125982/items/BI4MQEDE"],"itemData":{"id":1690,"type":"article-magazine","container-title":"The Economist","ISSN":"0013-0613","source":"The Economist","title":"Why did 250,000 Britons die sooner than expected?","URL":"https://www.economist.com/interactive/britain/2023/03/09/why-did-250000-britons-die-sooner-than-expected","author":[{"literal":"The Economist"}],"accessed":{"date-parts":[["2023",3,10]]},"issued":{"date-parts":[["2023"]]}}}],"schema":"https://github.com/citation-style-language/schema/raw/master/csl-citation.json"} </w:instrText>
      </w:r>
      <w:r>
        <w:fldChar w:fldCharType="separate"/>
      </w:r>
      <w:r w:rsidR="00C4130B">
        <w:rPr>
          <w:rFonts w:ascii="Times New Roman" w:hAnsi="Times New Roman"/>
          <w:sz w:val="24"/>
        </w:rPr>
        <w:t>(The Economist, 2023)</w:t>
      </w:r>
      <w:r>
        <w:fldChar w:fldCharType="end"/>
      </w:r>
      <w:r w:rsidR="00F35B98">
        <w:t>.</w:t>
      </w:r>
      <w:r>
        <w:t xml:space="preserve"> The change has been so stark t</w:t>
      </w:r>
      <w:r w:rsidR="00807586">
        <w:t xml:space="preserve">hat </w:t>
      </w:r>
      <w:r w:rsidR="00CE08FE">
        <w:t>t</w:t>
      </w:r>
      <w:r>
        <w:t>he ONS have had to repeatedly revise their population projections downwards (</w:t>
      </w:r>
      <w:r>
        <w:fldChar w:fldCharType="begin"/>
      </w:r>
      <w:r>
        <w:instrText xml:space="preserve"> REF _Ref133309009 </w:instrText>
      </w:r>
      <w:r>
        <w:fldChar w:fldCharType="separate"/>
      </w:r>
      <w:r w:rsidR="00BE338B">
        <w:t xml:space="preserve">Figure </w:t>
      </w:r>
      <w:r w:rsidR="00BE338B">
        <w:rPr>
          <w:noProof/>
        </w:rPr>
        <w:t>14</w:t>
      </w:r>
      <w:r>
        <w:fldChar w:fldCharType="end"/>
      </w:r>
      <w:r>
        <w:t>)</w:t>
      </w:r>
      <w:r w:rsidR="00F35B98">
        <w:t xml:space="preserve"> </w:t>
      </w:r>
      <w:r>
        <w:fldChar w:fldCharType="begin"/>
      </w:r>
      <w:r w:rsidR="0099441B">
        <w:instrText xml:space="preserve"> ADDIN ZOTERO_ITEM CSL_CITATION {"citationID":"yXsfYdTx","properties":{"formattedCitation":"(Hiam &amp; Dorling, 2022)","plainCitation":"(Hiam &amp; Dorling, 2022)","noteIndex":0},"citationItems":[{"id":1049,"uris":["http://zotero.org/users/7125982/items/JUDAEEUJ"],"itemData":{"id":1049,"type":"article-journal","container-title":"Bmj","DOI":"10.1136/bmj-2022-071329","journalAbbreviation":"BMJ (Clinical research ed.)","page":"e071329","title":"The end of great expectations?","volume":"377","author":[{"family":"Hiam","given":"Lucinda"},{"family":"Dorling","given":"Danny"}],"issued":{"date-parts":[["2022"]]}}}],"schema":"https://github.com/citation-style-language/schema/raw/master/csl-citation.json"} </w:instrText>
      </w:r>
      <w:r>
        <w:fldChar w:fldCharType="separate"/>
      </w:r>
      <w:r w:rsidR="0099441B">
        <w:rPr>
          <w:rFonts w:ascii="Times New Roman" w:hAnsi="Times New Roman"/>
          <w:sz w:val="24"/>
        </w:rPr>
        <w:t>(Hiam &amp; Dorling, 2022)</w:t>
      </w:r>
      <w:r>
        <w:fldChar w:fldCharType="end"/>
      </w:r>
      <w:r w:rsidR="00F35B98">
        <w:t>,</w:t>
      </w:r>
      <w:r>
        <w:t xml:space="preserve"> and pension companies </w:t>
      </w:r>
      <w:r w:rsidR="00C70F1A">
        <w:t xml:space="preserve">have made great </w:t>
      </w:r>
      <w:r>
        <w:t>adjust</w:t>
      </w:r>
      <w:r w:rsidR="00807586">
        <w:t>ments</w:t>
      </w:r>
      <w:r>
        <w:t xml:space="preserve"> </w:t>
      </w:r>
      <w:r w:rsidR="00C9228A">
        <w:t xml:space="preserve">to </w:t>
      </w:r>
      <w:r>
        <w:t>their expectations</w:t>
      </w:r>
      <w:r w:rsidR="00807586">
        <w:t xml:space="preserve">. </w:t>
      </w:r>
    </w:p>
    <w:p w14:paraId="11AEF069" w14:textId="77777777" w:rsidR="00382AC9" w:rsidRDefault="00382AC9" w:rsidP="00382AC9">
      <w:pPr>
        <w:keepNext/>
      </w:pPr>
      <w:r>
        <w:rPr>
          <w:noProof/>
          <w14:ligatures w14:val="standardContextual"/>
        </w:rPr>
        <w:lastRenderedPageBreak/>
        <w:drawing>
          <wp:inline distT="0" distB="0" distL="0" distR="0" wp14:anchorId="36716513" wp14:editId="33E13EDC">
            <wp:extent cx="5568043" cy="45854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0935" cy="4604300"/>
                    </a:xfrm>
                    <a:prstGeom prst="rect">
                      <a:avLst/>
                    </a:prstGeom>
                  </pic:spPr>
                </pic:pic>
              </a:graphicData>
            </a:graphic>
          </wp:inline>
        </w:drawing>
      </w:r>
    </w:p>
    <w:p w14:paraId="7F49B20D" w14:textId="14B156E3" w:rsidR="00382AC9" w:rsidRPr="00ED6DF7" w:rsidRDefault="00382AC9" w:rsidP="00382AC9">
      <w:pPr>
        <w:pStyle w:val="Caption"/>
      </w:pPr>
      <w:bookmarkStart w:id="55" w:name="_Ref133309009"/>
      <w:bookmarkStart w:id="56" w:name="_Toc133496259"/>
      <w:r>
        <w:t xml:space="preserve">Figure </w:t>
      </w:r>
      <w:r w:rsidR="00537CEF">
        <w:fldChar w:fldCharType="begin"/>
      </w:r>
      <w:r w:rsidR="00537CEF">
        <w:instrText xml:space="preserve"> SEQ Figure \* ARABIC </w:instrText>
      </w:r>
      <w:r w:rsidR="00537CEF">
        <w:fldChar w:fldCharType="separate"/>
      </w:r>
      <w:r w:rsidR="00537CEF">
        <w:rPr>
          <w:noProof/>
        </w:rPr>
        <w:t>14</w:t>
      </w:r>
      <w:r w:rsidR="00537CEF">
        <w:fldChar w:fldCharType="end"/>
      </w:r>
      <w:bookmarkEnd w:id="55"/>
      <w:r>
        <w:t xml:space="preserve">: </w:t>
      </w:r>
      <w:r w:rsidRPr="008255E5">
        <w:t>Projections of life expectancy at birth for males and females in the UK, 2012 onwards. The dotted lines show the actual recorded historical data from 2000 to 2019, and the solid lines show ONS projections made every year from 2011 to 2025</w:t>
      </w:r>
      <w:r>
        <w:t>. Source: Hiam and Dorling, BMJ, 2022.</w:t>
      </w:r>
      <w:bookmarkEnd w:id="56"/>
    </w:p>
    <w:p w14:paraId="4940889F" w14:textId="77777777" w:rsidR="00382AC9" w:rsidRDefault="00382AC9" w:rsidP="00382AC9">
      <w:pPr>
        <w:rPr>
          <w:rFonts w:ascii="Calibri" w:hAnsi="Calibri" w:cs="Calibri"/>
          <w:color w:val="212121"/>
        </w:rPr>
      </w:pPr>
    </w:p>
    <w:p w14:paraId="4BC604D1" w14:textId="77777777" w:rsidR="00382AC9" w:rsidRDefault="00382AC9" w:rsidP="00382AC9">
      <w:pPr>
        <w:pStyle w:val="Heading3"/>
        <w:rPr>
          <w:rFonts w:eastAsia="Times New Roman"/>
          <w:lang w:eastAsia="en-GB"/>
        </w:rPr>
      </w:pPr>
      <w:bookmarkStart w:id="57" w:name="_Toc133496260"/>
      <w:r>
        <w:rPr>
          <w:rFonts w:eastAsia="Times New Roman"/>
          <w:lang w:eastAsia="en-GB"/>
        </w:rPr>
        <w:t>Other explanations cited for worsening mortality</w:t>
      </w:r>
      <w:bookmarkEnd w:id="57"/>
    </w:p>
    <w:p w14:paraId="06B3A397" w14:textId="7396AD2C" w:rsidR="00382AC9" w:rsidRDefault="00382AC9" w:rsidP="00382AC9">
      <w:r>
        <w:t xml:space="preserve">The stalls in mortality improvements have invited much speculation since they were first highlighted in </w:t>
      </w:r>
      <w:r w:rsidR="00C13465">
        <w:t>the 2010s</w:t>
      </w:r>
      <w:r>
        <w:t xml:space="preserve">. These trends </w:t>
      </w:r>
      <w:r w:rsidR="00C70F1A">
        <w:t xml:space="preserve">of </w:t>
      </w:r>
      <w:r w:rsidR="00807586">
        <w:t>stalling</w:t>
      </w:r>
      <w:r w:rsidR="00C70F1A">
        <w:t xml:space="preserve"> life expectancy</w:t>
      </w:r>
      <w:r w:rsidR="00807586">
        <w:t xml:space="preserve"> improvements</w:t>
      </w:r>
      <w:r w:rsidR="00C70F1A">
        <w:t xml:space="preserve"> </w:t>
      </w:r>
      <w:r>
        <w:t xml:space="preserve">occurred </w:t>
      </w:r>
      <w:r w:rsidR="00C70F1A">
        <w:t xml:space="preserve">long </w:t>
      </w:r>
      <w:r>
        <w:t>before COVID-19</w:t>
      </w:r>
      <w:r w:rsidR="00C70F1A">
        <w:t>. They occurred</w:t>
      </w:r>
      <w:r>
        <w:t xml:space="preserve"> in the absence of mass-migration</w:t>
      </w:r>
      <w:r w:rsidR="00807586">
        <w:t xml:space="preserve">, </w:t>
      </w:r>
      <w:r>
        <w:t xml:space="preserve">data artefact, large-scale environmental event, or </w:t>
      </w:r>
      <w:r w:rsidR="00C70F1A">
        <w:t xml:space="preserve">any </w:t>
      </w:r>
      <w:r>
        <w:t>other disease pandemic. Following the 2015 spike in annual mortality, many, including Public Health England (PHE), attributed the spike in mortality to influenza and cold winters, whilst highlighting the subsequent decrease in mortality in 2016</w:t>
      </w:r>
      <w:r w:rsidR="00F35B98">
        <w:t xml:space="preserve"> </w:t>
      </w:r>
      <w:r>
        <w:fldChar w:fldCharType="begin"/>
      </w:r>
      <w:r w:rsidR="0099441B">
        <w:instrText xml:space="preserve"> ADDIN ZOTERO_ITEM CSL_CITATION {"citationID":"Lv5haP5r","properties":{"formattedCitation":"(Baker et al., 2018)","plainCitation":"(Baker et al., 2018)","noteIndex":0},"citationItems":[{"id":1328,"uris":["http://zotero.org/users/7125982/items/8QCD2YYU"],"itemData":{"id":1328,"type":"article-journal","container-title":"Journal of the Royal Society of Medicine","DOI":"10.1177/0141076817743075","ISSN":"1758-1095","issue":"2","journalAbbreviation":"J R Soc Med","language":"eng","note":"PMID: 29436928\nPMCID: PMC5814034","page":"40-41","source":"PubMed","title":"Response to articles on mortality in England and Wales","volume":"111","author":[{"family":"Baker","given":"Allan"},{"family":"Ege","given":"Faith"},{"family":"Fitzpatrick","given":"Justine"},{"family":"Newton","given":"John"}],"issued":{"date-parts":[["2018",2]]}}}],"schema":"https://github.com/citation-style-language/schema/raw/master/csl-citation.json"} </w:instrText>
      </w:r>
      <w:r>
        <w:fldChar w:fldCharType="separate"/>
      </w:r>
      <w:r w:rsidR="0099441B">
        <w:rPr>
          <w:rFonts w:ascii="Times New Roman" w:hAnsi="Times New Roman"/>
          <w:sz w:val="24"/>
        </w:rPr>
        <w:t>(Baker et al., 2018)</w:t>
      </w:r>
      <w:r>
        <w:fldChar w:fldCharType="end"/>
      </w:r>
      <w:r w:rsidR="00F35B98">
        <w:t>.</w:t>
      </w:r>
      <w:r>
        <w:t xml:space="preserve"> While ‘flu may have played a </w:t>
      </w:r>
      <w:r w:rsidR="00C70F1A">
        <w:t xml:space="preserve">small </w:t>
      </w:r>
      <w:r>
        <w:t>role in the winter mortality spike in 2015, both in the UK and other European countries</w:t>
      </w:r>
      <w:r w:rsidR="00F35B98">
        <w:t xml:space="preserve"> </w:t>
      </w:r>
      <w:r>
        <w:fldChar w:fldCharType="begin"/>
      </w:r>
      <w:r w:rsidR="0099441B">
        <w:instrText xml:space="preserve"> ADDIN ZOTERO_ITEM CSL_CITATION {"citationID":"nXk6d1tj","properties":{"formattedCitation":"(Molbak et al., 2015)","plainCitation":"(Molbak et al., 2015)","noteIndex":0},"citationItems":[{"id":1491,"uris":["http://zotero.org/users/7125982/items/52UNHITJ"],"itemData":{"id":1491,"type":"article-journal","abstract":"Since December 2014 and up to February 2015, the weekly number of excess deaths from all-causes among individuals ≥ 65 years of age in 14 European countries have been significantly higher than in the four previous winter seasons. The rise in unspecified excess mortality coincides with increased proportion of influenza detection in the European influenza surveillance schemes with a main predominance of influenza A (H3N2) viruses seen throughout Europe in the current season, though cold snaps and other respiratory infections may also have had an effect.","container-title":"Euro Surveillance: Bulletin Europeen Sur Les Maladies Transmissibles = European Communicable Disease Bulletin","DOI":"10.2807/1560-7917.es2015.20.11.21065","ISSN":"1560-7917","issue":"11","journalAbbreviation":"Euro Surveill","language":"eng","note":"PMID: 25811643","page":"21065","source":"PubMed","title":"Excess mortality among the elderly in European countries, December 2014 to February 2015","volume":"20","author":[{"family":"Molbak","given":"K."},{"family":"Espenhain","given":"L."},{"family":"Nielsen","given":"J."},{"family":"Tersago","given":"K."},{"family":"Bossuyt","given":"N."},{"family":"Denissov","given":"G."},{"family":"Baburin","given":"A."},{"family":"Virtanen","given":"M."},{"family":"Fouillet","given":"A."},{"family":"Sideroglou","given":"T."},{"family":"Gkolfinopoulou","given":"K."},{"family":"Paldy","given":"A."},{"family":"Bobvos","given":"J."},{"family":"Asten","given":"L.","non-dropping-particle":"van"},{"family":"Lange","given":"M.","non-dropping-particle":"de"},{"family":"Nunes","given":"B."},{"family":"Silva","given":"S.","non-dropping-particle":"da"},{"family":"Larrauri","given":"A."},{"family":"Gomez","given":"I. L."},{"family":"Tsoumanis","given":"A."},{"family":"Junker","given":"C."},{"family":"Green","given":"H."},{"family":"Pebody","given":"R."},{"family":"McMenamin","given":"J."},{"family":"Reynolds","given":"A."},{"family":"Mazick","given":"A."}],"issued":{"date-parts":[["2015",3,19]]}}}],"schema":"https://github.com/citation-style-language/schema/raw/master/csl-citation.json"} </w:instrText>
      </w:r>
      <w:r>
        <w:fldChar w:fldCharType="separate"/>
      </w:r>
      <w:r w:rsidR="0099441B">
        <w:rPr>
          <w:rFonts w:ascii="Times New Roman" w:hAnsi="Times New Roman"/>
          <w:sz w:val="24"/>
        </w:rPr>
        <w:t>(Molbak et al., 2015)</w:t>
      </w:r>
      <w:r>
        <w:fldChar w:fldCharType="end"/>
      </w:r>
      <w:r w:rsidR="00F35B98">
        <w:t>,</w:t>
      </w:r>
      <w:r>
        <w:t xml:space="preserve"> it does not explain the ongoing trends and slowdown of life expectancy improvements over time, nor the falls for some groups</w:t>
      </w:r>
      <w:r w:rsidR="00C70F1A">
        <w:t>, nor why life expectancy in the UK in 2016 was lower than it had been in 2014, and why it continued to be lower in 2017 and 2018 than in 2014 (for both women and men)</w:t>
      </w:r>
      <w:r>
        <w:t xml:space="preserve">. </w:t>
      </w:r>
    </w:p>
    <w:p w14:paraId="34978D48" w14:textId="77777777" w:rsidR="00382AC9" w:rsidRDefault="00382AC9" w:rsidP="00382AC9"/>
    <w:p w14:paraId="3513CA30" w14:textId="64740822" w:rsidR="00382AC9" w:rsidRDefault="00382AC9" w:rsidP="00382AC9">
      <w:r>
        <w:t>Such was the interest and, at points, controversy, that in 2018 PHE published a report investigating some of the many explanations</w:t>
      </w:r>
      <w:r w:rsidR="00F35B98">
        <w:t xml:space="preserve"> </w:t>
      </w:r>
      <w:r>
        <w:fldChar w:fldCharType="begin"/>
      </w:r>
      <w:r w:rsidR="0099441B">
        <w:instrText xml:space="preserve"> ADDIN ZOTERO_ITEM CSL_CITATION {"citationID":"vKJR4KSC","properties":{"formattedCitation":"(Public Health England, 2018)","plainCitation":"(Public Health England, 2018)","noteIndex":0},"citationItems":[{"id":1221,"uris":["http://zotero.org/users/7125982/items/GI93S5DN"],"itemData":{"id":1221,"type":"report","title":"A review of recent trends in mortality in England","author":[{"family":"Public Health England","given":""}],"issued":{"date-parts":[["2018",12]]}}}],"schema":"https://github.com/citation-style-language/schema/raw/master/csl-citation.json"} </w:instrText>
      </w:r>
      <w:r>
        <w:fldChar w:fldCharType="separate"/>
      </w:r>
      <w:r w:rsidR="0099441B">
        <w:rPr>
          <w:rFonts w:ascii="Times New Roman" w:hAnsi="Times New Roman"/>
          <w:sz w:val="24"/>
        </w:rPr>
        <w:t>(Public Health England, 2018)</w:t>
      </w:r>
      <w:r>
        <w:fldChar w:fldCharType="end"/>
      </w:r>
      <w:r w:rsidR="00F35B98">
        <w:t>.</w:t>
      </w:r>
      <w:r>
        <w:t xml:space="preserve"> In it, they reported </w:t>
      </w:r>
      <w:r w:rsidR="00C70F1A">
        <w:t xml:space="preserve">that </w:t>
      </w:r>
      <w:r>
        <w:t xml:space="preserve">measurement artefact and migration were unlikely to have played a role, but </w:t>
      </w:r>
      <w:r w:rsidR="00C70F1A">
        <w:t xml:space="preserve">they suggested that </w:t>
      </w:r>
      <w:r>
        <w:t xml:space="preserve">a combination of ambient temperature, influenza, increasing mortality rates from dementia, slowdown in previous improvements in cardiovascular disease mortality rates, widening health inequalities, cohort effects, and possibly health and social care spending all required further investigation. </w:t>
      </w:r>
    </w:p>
    <w:p w14:paraId="534074C5" w14:textId="77777777" w:rsidR="00382AC9" w:rsidRDefault="00382AC9" w:rsidP="00382AC9"/>
    <w:p w14:paraId="6ACC8188" w14:textId="087D3FBD" w:rsidR="00382AC9" w:rsidRDefault="00382AC9" w:rsidP="00382AC9">
      <w:r>
        <w:t xml:space="preserve">Five years later, with more data to analyse, the evidence has shown </w:t>
      </w:r>
      <w:r w:rsidR="008866C1">
        <w:t>all</w:t>
      </w:r>
      <w:r>
        <w:t xml:space="preserve"> these explanations to be implausible. The possibility of the stall in improvements post-2010 being a return to normal improvements after an unusual period of improvement due to declining cardiovascular disease mortality </w:t>
      </w:r>
      <w:r w:rsidR="00AD359D">
        <w:t>could be claimed to be</w:t>
      </w:r>
      <w:r>
        <w:t xml:space="preserve"> an important factor</w:t>
      </w:r>
      <w:r w:rsidR="00F35B98">
        <w:t xml:space="preserve"> </w:t>
      </w:r>
      <w:r>
        <w:fldChar w:fldCharType="begin"/>
      </w:r>
      <w:r w:rsidR="0099441B">
        <w:instrText xml:space="preserve"> ADDIN ZOTERO_ITEM CSL_CITATION {"citationID":"O5LkX5N3","properties":{"formattedCitation":"(OECD &amp; The King\\uc0\\u8217{}s Fund, 2020)","plainCitation":"(OECD &amp; The King’s Fund, 2020)","noteIndex":0},"citationItems":[{"id":1173,"uris":["http://zotero.org/users/7125982/items/QR6YMGIZ"],"itemData":{"id":1173,"type":"book","title":"Is Cardiovascular Disease Slowing Improvements in Life Expectancy?","author":[{"family":"OECD","given":""},{"family":"The King’s Fund","given":""}],"issued":{"date-parts":[["2020"]]}}}],"schema":"https://github.com/citation-style-language/schema/raw/master/csl-citation.json"} </w:instrText>
      </w:r>
      <w:r>
        <w:fldChar w:fldCharType="separate"/>
      </w:r>
      <w:r w:rsidR="0099441B" w:rsidRPr="0099441B">
        <w:rPr>
          <w:rFonts w:ascii="Times New Roman" w:hAnsi="Times New Roman"/>
          <w:sz w:val="24"/>
        </w:rPr>
        <w:t>(OECD &amp; The King’s Fund, 2020)</w:t>
      </w:r>
      <w:r>
        <w:fldChar w:fldCharType="end"/>
      </w:r>
      <w:r w:rsidR="00F35B98">
        <w:t>,</w:t>
      </w:r>
      <w:r>
        <w:t xml:space="preserve"> but analysis has shown the post-2010 rates have not returned to “normal”, but to a lower level, suggesting it is, at best, an incomplete explanation</w:t>
      </w:r>
      <w:r w:rsidR="00F35B98">
        <w:t xml:space="preserve"> </w:t>
      </w:r>
      <w:r>
        <w:fldChar w:fldCharType="begin"/>
      </w:r>
      <w:r w:rsidR="0099441B">
        <w:instrText xml:space="preserve"> ADDIN ZOTERO_ITEM CSL_CITATION {"citationID":"wRAOiUwy","properties":{"formattedCitation":"(Minton et al., 2022)","plainCitation":"(Minton et al., 2022)","noteIndex":0},"citationItems":[{"id":1504,"uris":["http://zotero.org/users/7125982/items/WIZSTDEG"],"itemData":{"id":1504,"type":"article-journal","abstract":"Life expectancy is an important summary measure of population health. In the absence of a significant event like war or disease outbreak, trends should, and historically have, increase over time, albeit with some fluctuations.Data were extracted from the human mortality database for life expectancy at birth and age 65 years from 1980 to the latest available year for England &amp;amp; Wales, Scotland (Great Britain), France, Spain, Italy, the Netherlands and Germany.It is well established that life expectancy improvements in Great Britain have stalled in recent years, and that a similar stalling was seen in other high-income countries during the mid-2010s.The significance and causes of the slowdown in improvement in life expectancy in Britain are disputed. First, was Britain’s slowdown in progress in life expectancy in the 2010s a deviation ‘from’ earlier sustained improvements or simply returning to normal (slower) improvement rates following faster gains in the 2000s? Second, did other European countries have slowdowns comparable to that in Britain?Life expectancy, as a summary measure, conceals inequalities. Other measures, such as lifespan disparity, complement it in understanding changing trends. While annual fluctuations in life expectancy are expected, continued stalls should raise concern. The three British nations examined were the only ones among these European countries to experience stalling of life expectancy gains in both sexes.While it is clear that Britain is making less progress in health than similar countries, more research is needed to explain why.","container-title":"British Medical Bulletin","DOI":"10.1093/bmb/ldac036","ISSN":"0007-1420","journalAbbreviation":"British Medical Bulletin","page":"ldac036","source":"Silverchair","title":"Slowing down or returning to normal? Life expectancy improvements in Britain compared to five large European countries before the COVID-19 pandemic","title-short":"Slowing down or returning to normal?","author":[{"family":"Minton","given":"Jon"},{"family":"Hiam","given":"Lucinda"},{"family":"McKee","given":"Martin"},{"family":"Dorling","given":"Danny"}],"issued":{"date-parts":[["2022",12,25]]}}}],"schema":"https://github.com/citation-style-language/schema/raw/master/csl-citation.json"} </w:instrText>
      </w:r>
      <w:r>
        <w:fldChar w:fldCharType="separate"/>
      </w:r>
      <w:r w:rsidR="0099441B">
        <w:rPr>
          <w:rFonts w:ascii="Times New Roman" w:hAnsi="Times New Roman"/>
          <w:sz w:val="24"/>
        </w:rPr>
        <w:t>(Minton et al., 2022)</w:t>
      </w:r>
      <w:r>
        <w:fldChar w:fldCharType="end"/>
      </w:r>
      <w:r w:rsidR="00F35B98">
        <w:t>.</w:t>
      </w:r>
      <w:r>
        <w:t xml:space="preserve"> The role of flu has often been over-emphasised in the period after the last serious global pandemic (1968-1970). Deaths are usually attributed to influenza without testing for the virus, and mostly among the very elderly. Comparisons of rises in mortality between countries in Europe in winter suggests that there are other social and economic factors that matter more, such as public spending on health care and more equitable socioeconomic circumstances</w:t>
      </w:r>
      <w:r w:rsidR="00E07699">
        <w:t xml:space="preserve"> </w:t>
      </w:r>
      <w:r w:rsidR="00E07699">
        <w:fldChar w:fldCharType="begin"/>
      </w:r>
      <w:r w:rsidR="00E07699">
        <w:instrText xml:space="preserve"> ADDIN ZOTERO_ITEM CSL_CITATION {"citationID":"RiOPBHgD","properties":{"formattedCitation":"(Healy, 2003)","plainCitation":"(Healy, 2003)","noteIndex":0},"citationItems":[{"id":2070,"uris":["http://zotero.org/users/7125982/items/PHN6C3BP"],"itemData":{"id":2070,"type":"article-journal","container-title":"Journal of Epidemiology &amp; Community Health","DOI":"10.1136/jech.57.10.784","ISSN":"0143-005X","issue":"10","journalAbbreviation":"Journal of Epidemiology &amp; Community Health","language":"en","page":"784-789","source":"DOI.org (Crossref)","title":"Excess winter mortality in Europe: a cross country analysis identifying key risk factors","title-short":"Excess winter mortality in Europe","volume":"57","author":[{"family":"Healy","given":"J D"}],"issued":{"date-parts":[["2003",10,1]]}}}],"schema":"https://github.com/citation-style-language/schema/raw/master/csl-citation.json"} </w:instrText>
      </w:r>
      <w:r w:rsidR="00E07699">
        <w:fldChar w:fldCharType="separate"/>
      </w:r>
      <w:r w:rsidR="00E07699">
        <w:rPr>
          <w:noProof/>
        </w:rPr>
        <w:t>(Healy, 2003)</w:t>
      </w:r>
      <w:r w:rsidR="00E07699">
        <w:fldChar w:fldCharType="end"/>
      </w:r>
      <w:r w:rsidR="00E07699">
        <w:t>.</w:t>
      </w:r>
      <w:r w:rsidR="00F35B98">
        <w:t xml:space="preserve"> </w:t>
      </w:r>
    </w:p>
    <w:p w14:paraId="429221B0" w14:textId="77777777" w:rsidR="00382AC9" w:rsidRDefault="00382AC9" w:rsidP="00382AC9"/>
    <w:p w14:paraId="7B232A56" w14:textId="75272C6E" w:rsidR="00382AC9" w:rsidRDefault="00382AC9" w:rsidP="00382AC9">
      <w:r w:rsidRPr="00D4571C">
        <w:t>Deaths from dementia and Alzheimer’s disease increased in the past decade</w:t>
      </w:r>
      <w:r>
        <w:t>, and contributed to the spike in mortality 2014-15</w:t>
      </w:r>
      <w:r w:rsidR="00F35B98">
        <w:t xml:space="preserve"> </w:t>
      </w:r>
      <w:r>
        <w:fldChar w:fldCharType="begin"/>
      </w:r>
      <w:r w:rsidR="00D54E4D">
        <w:instrText xml:space="preserve"> ADDIN ZOTERO_ITEM CSL_CITATION {"citationID":"ajqhla1o3g","properties":{"formattedCitation":"(Hiam et al., 2017; Office for National Statistics, 2016)","plainCitation":"(Hiam et al., 2017; Office for National Statistics, 2016)","noteIndex":0},"citationItems":[{"id":1322,"uris":["http://zotero.org/users/7125982/items/9N7RL3EK"],"itemData":{"id":1322,"type":"article-journal","abstract":"Objectives To understand why mortality increased in England and Wales in 2015. Design Iterative demographic analysis. Setting England and Wales Participants Population of England and Wales. Main outcome measures Causes and ages at death contributing to life expectancy changes between 2013 and 2015. Results The long-term decline in age-standardised mortality in England and Wales was reversed in 2011. Although there was a small fall in mortality rates between 2013 and 2014, in 2015 we then saw one of the largest increases in deaths in the post-war period. Nonetheless, mortality in 2015 was higher than in any year since 2008. A small decline in life expectancy at birth between 2013 and 2015 was not significant but declines in life expectancy at ages over 60 were. The largest contributors to the observed changes in life expectancy were in those aged over 85 years, with dementias making the greatest contributions in both sexes. However, changes in coding practices and diagnosis of dementia demands caution in interpreting this finding. Conclusions The long-term decline in mortality in England and Wales has reversed, with approximately 30,000 extra deaths compared to what would be expected if the average age-specific death rates in 2006-2014 had continued. These excess deaths are largely in the older population, who are most dependent on health and social care. The major contributor, based on reported causes of death, was dementia but caution was advised in this interpretation. The role of the health and social care system is explored in an accompanying paper.","container-title":"Journal of the Royal Society of Medicine","DOI":"10.1177/0141076817693599","ISSN":"1758-1095","issue":"4","journalAbbreviation":"J R Soc Med","language":"eng","note":"PMID: 28208027\nPMCID: PMC5407517","page":"153-162","source":"PubMed","title":"Why has mortality in England and Wales been increasing? An iterative demographic analysis","title-short":"Why has mortality in England and Wales been increasing?","volume":"110","author":[{"family":"Hiam","given":"Lucinda"},{"family":"Dorling","given":"Danny"},{"family":"Harrison","given":"Dominic"},{"family":"McKee","given":"Martin"}],"issued":{"date-parts":[["2017",4]]}}},{"id":1458,"uris":["http://zotero.org/users/7125982/items/MH35UERX"],"itemData":{"id":1458,"type":"webpage","title":"Dementia/alzheimer's and respiratory disesase behind biggest annual increase in deaths since the 1960s - Office for National Statistics","URL":"https://www.ons.gov.uk/peoplepopulationandcommunity/birthsdeathsandmarriages/deaths/articles/dementiaandrespiratorydiseasebehindbiggestannualdeathsincreasesincethe1960s/2016-04-07","author":[{"family":"Office for National Statistics","given":""}],"accessed":{"date-parts":[["2023",1,31]]},"issued":{"date-parts":[["2016"]]}}}],"schema":"https://github.com/citation-style-language/schema/raw/master/csl-citation.json"} </w:instrText>
      </w:r>
      <w:r>
        <w:fldChar w:fldCharType="separate"/>
      </w:r>
      <w:r w:rsidR="00D54E4D">
        <w:rPr>
          <w:rFonts w:cs="Arial"/>
        </w:rPr>
        <w:t>(Hiam et al., 2017; Office for National Statistics, 2016)</w:t>
      </w:r>
      <w:r>
        <w:fldChar w:fldCharType="end"/>
      </w:r>
      <w:r w:rsidR="00F35B98">
        <w:t>,</w:t>
      </w:r>
      <w:r>
        <w:t xml:space="preserve"> fell in 2019, and increased in 2020 (</w:t>
      </w:r>
      <w:r>
        <w:fldChar w:fldCharType="begin"/>
      </w:r>
      <w:r>
        <w:instrText xml:space="preserve"> REF _Ref133160781 </w:instrText>
      </w:r>
      <w:r>
        <w:fldChar w:fldCharType="separate"/>
      </w:r>
      <w:r w:rsidR="00BE338B">
        <w:t xml:space="preserve">Figure </w:t>
      </w:r>
      <w:r w:rsidR="00BE338B">
        <w:rPr>
          <w:noProof/>
        </w:rPr>
        <w:t>15</w:t>
      </w:r>
      <w:r>
        <w:fldChar w:fldCharType="end"/>
      </w:r>
      <w:r>
        <w:t>)</w:t>
      </w:r>
      <w:r w:rsidR="00F35B98">
        <w:t xml:space="preserve"> </w:t>
      </w:r>
      <w:r>
        <w:fldChar w:fldCharType="begin"/>
      </w:r>
      <w:r w:rsidR="00BF2F29">
        <w:instrText xml:space="preserve"> ADDIN ZOTERO_ITEM CSL_CITATION {"citationID":"a1546m23sa0","properties":{"formattedCitation":"(Office for National Statistics, 2020, 2022)","plainCitation":"(Office for National Statistics, 2020, 2022)","noteIndex":0},"citationItems":[{"id":1975,"uris":["http://zotero.org/users/7125982/items/5QSPKGAL"],"itemData":{"id":1975,"type":"webpage","title":"Dementia and Alzheimer's disease deaths including comorbidities, England and Wales - Office for National Statistics","URL":"https://www.ons.gov.uk/peoplepopulationandcommunity/birthsdeathsandmarriages/deaths/bulletins/dementiaandalzheimersdiseasedeathsincludingcomorbiditiesenglandandwales/2019registrations","author":[{"literal":"Office for National Statistics"}],"accessed":{"date-parts":[["2023",4,23]]},"issued":{"date-parts":[["2020"]]}}},{"id":1977,"uris":["http://zotero.org/users/7125982/items/EIRL9P8H"],"itemData":{"id":1977,"type":"webpage","title":"Climate-related mortality and hospital admissions, England and Wales - Office for National Statistics","URL":"https://www.ons.gov.uk/peoplepopulationandcommunity/birthsdeathsandmarriages/deaths/datasets/climaterelatedmortalityandhospitaladmissionsenglandandwales","author":[{"literal":"Office for National Statistics"}],"accessed":{"date-parts":[["2023",4,23]]},"issued":{"date-parts":[["2022"]]}}}],"schema":"https://github.com/citation-style-language/schema/raw/master/csl-citation.json"} </w:instrText>
      </w:r>
      <w:r>
        <w:fldChar w:fldCharType="separate"/>
      </w:r>
      <w:r w:rsidR="00BF2F29">
        <w:rPr>
          <w:rFonts w:cs="Arial"/>
        </w:rPr>
        <w:t>(Office for National Statistics, 2020, 2022)</w:t>
      </w:r>
      <w:r>
        <w:fldChar w:fldCharType="end"/>
      </w:r>
      <w:r w:rsidR="00F35B98">
        <w:t>.</w:t>
      </w:r>
      <w:r w:rsidRPr="00D4571C">
        <w:t xml:space="preserve"> </w:t>
      </w:r>
      <w:r>
        <w:t xml:space="preserve">However, these data should be interpreted with caution, as outlined by the ONS, </w:t>
      </w:r>
      <w:r w:rsidR="00C13465">
        <w:t xml:space="preserve">as a result of </w:t>
      </w:r>
      <w:r>
        <w:t xml:space="preserve">data </w:t>
      </w:r>
      <w:r w:rsidRPr="00D4571C">
        <w:t xml:space="preserve">artefact </w:t>
      </w:r>
      <w:r>
        <w:t>due to a</w:t>
      </w:r>
      <w:r w:rsidRPr="00D4571C">
        <w:t xml:space="preserve"> change in the way cause</w:t>
      </w:r>
      <w:r>
        <w:t>s</w:t>
      </w:r>
      <w:r w:rsidRPr="00D4571C">
        <w:t xml:space="preserve"> of death</w:t>
      </w:r>
      <w:r>
        <w:t>s</w:t>
      </w:r>
      <w:r w:rsidRPr="00D4571C">
        <w:t xml:space="preserve"> </w:t>
      </w:r>
      <w:r>
        <w:t>were</w:t>
      </w:r>
      <w:r w:rsidRPr="00D4571C">
        <w:t xml:space="preserve"> coded between 2011 and 2014, </w:t>
      </w:r>
      <w:r>
        <w:t>which resulted in</w:t>
      </w:r>
      <w:r w:rsidRPr="00D4571C">
        <w:t xml:space="preserve"> an increase in dementia </w:t>
      </w:r>
      <w:r>
        <w:t>coding</w:t>
      </w:r>
      <w:r w:rsidRPr="00D4571C">
        <w:t xml:space="preserve">; an ageing population surviving other </w:t>
      </w:r>
      <w:r>
        <w:t>causes</w:t>
      </w:r>
      <w:r w:rsidRPr="00D4571C">
        <w:t xml:space="preserve"> of death; and the measures put in place as part of the “Prime Minister’s Challenge”</w:t>
      </w:r>
      <w:r w:rsidR="00F35B98">
        <w:t xml:space="preserve"> </w:t>
      </w:r>
      <w:r>
        <w:fldChar w:fldCharType="begin"/>
      </w:r>
      <w:r w:rsidR="00FB6074">
        <w:instrText xml:space="preserve"> ADDIN ZOTERO_ITEM CSL_CITATION {"citationID":"a20q64460jt","properties":{"formattedCitation":"(Department of Health and Social Care et al., 2015)","plainCitation":"(Department of Health and Social Care et al., 2015)","noteIndex":0},"citationItems":[{"id":1973,"uris":["http://zotero.org/users/7125982/items/L73RAAGB"],"itemData":{"id":1973,"type":"webpage","abstract":"This document launches the next phase of the Prime Minister's challenge on dementia.","container-title":"GOV.UK","language":"en","title":"Prime Minister's challenge on dementia 2020","URL":"https://www.gov.uk/government/publications/prime-ministers-challenge-on-dementia-2020","author":[{"literal":"Department of Health and Social Care"},{"literal":"Cabinet Office"},{"literal":"Prime Minister's Office"}],"accessed":{"date-parts":[["2023",4,23]]},"issued":{"date-parts":[["2015"]]}}}],"schema":"https://github.com/citation-style-language/schema/raw/master/csl-citation.json"} </w:instrText>
      </w:r>
      <w:r>
        <w:fldChar w:fldCharType="separate"/>
      </w:r>
      <w:r w:rsidR="00FB6074">
        <w:rPr>
          <w:rFonts w:cs="Arial"/>
        </w:rPr>
        <w:t>(Department of Health and Social Care et al., 2015)</w:t>
      </w:r>
      <w:r>
        <w:fldChar w:fldCharType="end"/>
      </w:r>
      <w:r w:rsidRPr="00D4571C">
        <w:t xml:space="preserve"> which included a target of </w:t>
      </w:r>
      <w:r>
        <w:t>diagnosing two thirds</w:t>
      </w:r>
      <w:r w:rsidRPr="00D4571C">
        <w:t xml:space="preserve"> of people estimated to be living with dementia, </w:t>
      </w:r>
      <w:r>
        <w:t>alongside</w:t>
      </w:r>
      <w:r w:rsidRPr="00D4571C">
        <w:t xml:space="preserve"> financial incentives for GPs</w:t>
      </w:r>
      <w:r>
        <w:t xml:space="preserve"> offered between October 2014 and March 2015. </w:t>
      </w:r>
      <w:r>
        <w:fldChar w:fldCharType="begin"/>
      </w:r>
      <w:r>
        <w:instrText xml:space="preserve"> REF _Ref133163711 </w:instrText>
      </w:r>
      <w:r>
        <w:fldChar w:fldCharType="separate"/>
      </w:r>
      <w:r w:rsidR="00BE338B">
        <w:t xml:space="preserve">Figure </w:t>
      </w:r>
      <w:r w:rsidR="00BE338B">
        <w:rPr>
          <w:noProof/>
        </w:rPr>
        <w:t>16</w:t>
      </w:r>
      <w:r>
        <w:fldChar w:fldCharType="end"/>
      </w:r>
      <w:r>
        <w:t xml:space="preserve"> shows a clear impact of this with a jump in dementia prevalence between 2014 and 2015</w:t>
      </w:r>
      <w:r w:rsidR="00F35B98">
        <w:t xml:space="preserve"> </w:t>
      </w:r>
      <w:r>
        <w:fldChar w:fldCharType="begin"/>
      </w:r>
      <w:r w:rsidR="00FB6074">
        <w:instrText xml:space="preserve"> ADDIN ZOTERO_ITEM CSL_CITATION {"citationID":"a215hnb9oop","properties":{"formattedCitation":"(NHS Digital, 2022)","plainCitation":"(NHS Digital, 2022)","noteIndex":0},"citationItems":[{"id":1983,"uris":["http://zotero.org/users/7125982/items/82MY6HMZ"],"itemData":{"id":1983,"type":"webpage","abstract":"Data about people with dementia at each GP practice. It&amp;nbsp;includes the rate of dementia diagnosis. As not everyone with dementia has a formal diagnosis, this statistic compares the number of people thought to have dementia with the number of people diagnosed with dementia, aged 65 and over.","container-title":"NDRS","language":"en","title":"Recorded Dementia Diagnoses, January 2022","URL":"https://digital.nhs.uk/data-and-information/publications/statistical/recorded-dementia-diagnoses/january-2022","author":[{"literal":"NHS Digital"}],"accessed":{"date-parts":[["2023",4,23]]},"issued":{"date-parts":[["2022"]]}}}],"schema":"https://github.com/citation-style-language/schema/raw/master/csl-citation.json"} </w:instrText>
      </w:r>
      <w:r>
        <w:fldChar w:fldCharType="separate"/>
      </w:r>
      <w:r w:rsidR="00FB6074">
        <w:rPr>
          <w:rFonts w:cs="Arial"/>
        </w:rPr>
        <w:t>(NHS Digital, 2022)</w:t>
      </w:r>
      <w:r>
        <w:fldChar w:fldCharType="end"/>
      </w:r>
      <w:r w:rsidR="00F35B98">
        <w:t>.</w:t>
      </w:r>
    </w:p>
    <w:p w14:paraId="0F1C1770" w14:textId="77777777" w:rsidR="00382AC9" w:rsidRDefault="00382AC9" w:rsidP="00382AC9"/>
    <w:p w14:paraId="43BBD045" w14:textId="77777777" w:rsidR="00382AC9" w:rsidRDefault="00382AC9" w:rsidP="00382AC9">
      <w:pPr>
        <w:keepNext/>
      </w:pPr>
      <w:r>
        <w:rPr>
          <w:noProof/>
          <w14:ligatures w14:val="standardContextual"/>
        </w:rPr>
        <w:lastRenderedPageBreak/>
        <w:drawing>
          <wp:inline distT="0" distB="0" distL="0" distR="0" wp14:anchorId="161E9EFB" wp14:editId="7CE795AB">
            <wp:extent cx="4767943" cy="3545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03760" cy="3571686"/>
                    </a:xfrm>
                    <a:prstGeom prst="rect">
                      <a:avLst/>
                    </a:prstGeom>
                  </pic:spPr>
                </pic:pic>
              </a:graphicData>
            </a:graphic>
          </wp:inline>
        </w:drawing>
      </w:r>
    </w:p>
    <w:p w14:paraId="1731C3D5" w14:textId="7AE05E76" w:rsidR="00382AC9" w:rsidRDefault="00382AC9" w:rsidP="00382AC9">
      <w:pPr>
        <w:pStyle w:val="Caption"/>
      </w:pPr>
      <w:bookmarkStart w:id="58" w:name="_Ref133160781"/>
      <w:bookmarkStart w:id="59" w:name="_Toc133496261"/>
      <w:r>
        <w:t xml:space="preserve">Figure </w:t>
      </w:r>
      <w:r w:rsidR="00537CEF">
        <w:fldChar w:fldCharType="begin"/>
      </w:r>
      <w:r w:rsidR="00537CEF">
        <w:instrText xml:space="preserve"> SEQ Figure \* ARABIC </w:instrText>
      </w:r>
      <w:r w:rsidR="00537CEF">
        <w:fldChar w:fldCharType="separate"/>
      </w:r>
      <w:r w:rsidR="00537CEF">
        <w:rPr>
          <w:noProof/>
        </w:rPr>
        <w:t>15</w:t>
      </w:r>
      <w:r w:rsidR="00537CEF">
        <w:fldChar w:fldCharType="end"/>
      </w:r>
      <w:bookmarkEnd w:id="58"/>
      <w:r>
        <w:t>: Deaths and Age Standardised Mortality Rates (ASMR) for Dementia (black lines) and Alzheimer’s disease (blue lines) in England and Wales, 2000-2020. Source: ONS</w:t>
      </w:r>
      <w:bookmarkEnd w:id="59"/>
    </w:p>
    <w:p w14:paraId="6B3270E8" w14:textId="77777777" w:rsidR="00382AC9" w:rsidRDefault="00382AC9" w:rsidP="00382AC9">
      <w:pPr>
        <w:keepNext/>
      </w:pPr>
      <w:r>
        <w:rPr>
          <w:noProof/>
          <w14:ligatures w14:val="standardContextual"/>
        </w:rPr>
        <w:drawing>
          <wp:inline distT="0" distB="0" distL="0" distR="0" wp14:anchorId="53333291" wp14:editId="49712D18">
            <wp:extent cx="4978411" cy="3135086"/>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24711" cy="3164243"/>
                    </a:xfrm>
                    <a:prstGeom prst="rect">
                      <a:avLst/>
                    </a:prstGeom>
                  </pic:spPr>
                </pic:pic>
              </a:graphicData>
            </a:graphic>
          </wp:inline>
        </w:drawing>
      </w:r>
    </w:p>
    <w:p w14:paraId="09226CC5" w14:textId="3E87B17B" w:rsidR="00382AC9" w:rsidRPr="00690DBC" w:rsidRDefault="00382AC9" w:rsidP="00382AC9">
      <w:pPr>
        <w:pStyle w:val="Caption"/>
      </w:pPr>
      <w:bookmarkStart w:id="60" w:name="_Ref133163711"/>
      <w:bookmarkStart w:id="61" w:name="_Toc133496262"/>
      <w:r>
        <w:t xml:space="preserve">Figure </w:t>
      </w:r>
      <w:r w:rsidR="00537CEF">
        <w:fldChar w:fldCharType="begin"/>
      </w:r>
      <w:r w:rsidR="00537CEF">
        <w:instrText xml:space="preserve"> SEQ Figure \* ARABIC </w:instrText>
      </w:r>
      <w:r w:rsidR="00537CEF">
        <w:fldChar w:fldCharType="separate"/>
      </w:r>
      <w:r w:rsidR="00537CEF">
        <w:rPr>
          <w:noProof/>
        </w:rPr>
        <w:t>16</w:t>
      </w:r>
      <w:r w:rsidR="00537CEF">
        <w:fldChar w:fldCharType="end"/>
      </w:r>
      <w:bookmarkEnd w:id="60"/>
      <w:r>
        <w:t>: Prevalence of dementia over time (estimated). Note missing data for 2016-2019 (dashed line). England, 2006-2022. Data for 2020-2022 are from January and February. Source: NHS Digital, 2022.</w:t>
      </w:r>
      <w:bookmarkEnd w:id="61"/>
    </w:p>
    <w:p w14:paraId="08B3780B" w14:textId="77777777" w:rsidR="00382AC9" w:rsidRDefault="00382AC9" w:rsidP="00382AC9"/>
    <w:p w14:paraId="6810F37E" w14:textId="25BAD4E3" w:rsidR="00382AC9" w:rsidRDefault="00382AC9" w:rsidP="00382AC9">
      <w:r>
        <w:t>Recent research has shown earlier increases in obesity rates in England and Scotland may have played a role in the stalling</w:t>
      </w:r>
      <w:r w:rsidR="00F35B98">
        <w:t xml:space="preserve"> </w:t>
      </w:r>
      <w:r>
        <w:fldChar w:fldCharType="begin"/>
      </w:r>
      <w:r w:rsidR="0099441B">
        <w:instrText xml:space="preserve"> ADDIN ZOTERO_ITEM CSL_CITATION {"citationID":"NDxicFoS","properties":{"formattedCitation":"(Walsh, Tod, et al., 2022)","plainCitation":"(Walsh, Tod, et al., 2022)","noteIndex":0},"citationItems":[{"id":1851,"uris":["http://zotero.org/users/7125982/items/IQ8GQMDE"],"itemData":{"id":1851,"type":"article-journal","container-title":"BMJ open","ISSN":"2044-6055","issue":"12","journalAbbreviation":"BMJ open","note":"publisher: British Medical Journal Publishing Group","page":"e067310","title":"How much of the stalled mortality trends in Scotland and England can be attributed to obesity?","volume":"12","author":[{"family":"Walsh","given":"David"},{"family":"Tod","given":"Elaine"},{"family":"McCartney","given":"Gerry"},{"family":"Levin","given":"Kate Ann"}],"issued":{"date-parts":[["2022"]]}}}],"schema":"https://github.com/citation-style-language/schema/raw/master/csl-citation.json"} </w:instrText>
      </w:r>
      <w:r>
        <w:fldChar w:fldCharType="separate"/>
      </w:r>
      <w:r w:rsidR="0099441B">
        <w:rPr>
          <w:rFonts w:ascii="Times New Roman" w:hAnsi="Times New Roman"/>
          <w:sz w:val="24"/>
        </w:rPr>
        <w:t>(Walsh, Tod, et al., 2022)</w:t>
      </w:r>
      <w:r>
        <w:fldChar w:fldCharType="end"/>
      </w:r>
      <w:r w:rsidR="00F35B98">
        <w:t>,</w:t>
      </w:r>
      <w:r>
        <w:t xml:space="preserve"> though the role of the obesogenic environment and social determinants of health could still be linked back to austerity</w:t>
      </w:r>
      <w:r w:rsidR="00C13465">
        <w:t xml:space="preserve">. </w:t>
      </w:r>
      <w:r>
        <w:t xml:space="preserve">There are some who have suggested that it is the demise of the Golden Cohort </w:t>
      </w:r>
      <w:r w:rsidR="00F42C48">
        <w:lastRenderedPageBreak/>
        <w:t xml:space="preserve">that </w:t>
      </w:r>
      <w:r>
        <w:t>has been a factor in stalling life expectancy</w:t>
      </w:r>
      <w:r w:rsidR="00F35B98">
        <w:t xml:space="preserve"> </w:t>
      </w:r>
      <w:r>
        <w:fldChar w:fldCharType="begin"/>
      </w:r>
      <w:r w:rsidR="00626CB8">
        <w:instrText xml:space="preserve"> ADDIN ZOTERO_ITEM CSL_CITATION {"citationID":"Qtc66UdP","properties":{"formattedCitation":"(Wilson &amp; Coghlan, 2018)","plainCitation":"(Wilson &amp; Coghlan, 2018)","noteIndex":0},"citationItems":[{"id":1817,"uris":["http://zotero.org/users/7125982/items/MVR6GSDN","http://zotero.org/users/7125982/items/JWLP3PPC"],"itemData":{"id":1817,"type":"article-journal","ISSN":"0262-4079","note":"publisher: Elsevier","title":"The big slowdown","author":[{"family":"Wilson","given":"Clare"},{"family":"Coghlan","given":"Andy"}],"issued":{"date-parts":[["2018"]]}}}],"schema":"https://github.com/citation-style-language/schema/raw/master/csl-citation.json"} </w:instrText>
      </w:r>
      <w:r>
        <w:fldChar w:fldCharType="separate"/>
      </w:r>
      <w:r w:rsidR="0099441B">
        <w:rPr>
          <w:rFonts w:ascii="Times New Roman" w:hAnsi="Times New Roman"/>
          <w:sz w:val="24"/>
        </w:rPr>
        <w:t>(Wilson &amp; Coghlan, 2018)</w:t>
      </w:r>
      <w:r>
        <w:fldChar w:fldCharType="end"/>
      </w:r>
      <w:r w:rsidR="00F35B98">
        <w:t>,</w:t>
      </w:r>
      <w:r>
        <w:t xml:space="preserve"> which we aim to explore further here.</w:t>
      </w:r>
    </w:p>
    <w:p w14:paraId="6D5A1D22" w14:textId="77777777" w:rsidR="00382AC9" w:rsidRDefault="00382AC9" w:rsidP="00382AC9"/>
    <w:p w14:paraId="351CA4ED" w14:textId="77777777" w:rsidR="00382AC9" w:rsidRDefault="00382AC9" w:rsidP="00382AC9">
      <w:pPr>
        <w:pStyle w:val="Heading3"/>
        <w:rPr>
          <w:lang w:eastAsia="en-GB"/>
        </w:rPr>
      </w:pPr>
      <w:bookmarkStart w:id="62" w:name="_Toc133496263"/>
      <w:r>
        <w:rPr>
          <w:lang w:eastAsia="en-GB"/>
        </w:rPr>
        <w:t>International trends</w:t>
      </w:r>
      <w:bookmarkEnd w:id="62"/>
    </w:p>
    <w:p w14:paraId="26EFF071" w14:textId="1FC881BA" w:rsidR="00382AC9" w:rsidRDefault="00382AC9" w:rsidP="00382AC9">
      <w:r>
        <w:t xml:space="preserve">Finally, many argue that these changes were seen across many high-income countries (HICs). Indeed, </w:t>
      </w:r>
      <w:r w:rsidRPr="001F6145">
        <w:t xml:space="preserve">many countries in Europe experienced both austerity </w:t>
      </w:r>
      <w:r>
        <w:t xml:space="preserve">(See </w:t>
      </w:r>
      <w:r>
        <w:fldChar w:fldCharType="begin"/>
      </w:r>
      <w:r>
        <w:instrText xml:space="preserve"> REF _Ref132889364 </w:instrText>
      </w:r>
      <w:r>
        <w:fldChar w:fldCharType="separate"/>
      </w:r>
      <w:r w:rsidR="00BE338B">
        <w:t xml:space="preserve">Figure </w:t>
      </w:r>
      <w:r w:rsidR="00BE338B">
        <w:rPr>
          <w:noProof/>
        </w:rPr>
        <w:t>13</w:t>
      </w:r>
      <w:r>
        <w:fldChar w:fldCharType="end"/>
      </w:r>
      <w:r>
        <w:t xml:space="preserve">) </w:t>
      </w:r>
      <w:r w:rsidRPr="001F6145">
        <w:t>and adverse impacts on health</w:t>
      </w:r>
      <w:r w:rsidR="00F35B98">
        <w:t xml:space="preserve"> </w:t>
      </w:r>
      <w:r>
        <w:fldChar w:fldCharType="begin"/>
      </w:r>
      <w:r w:rsidR="0099441B">
        <w:instrText xml:space="preserve"> ADDIN ZOTERO_ITEM CSL_CITATION {"citationID":"AfpaPKBM","properties":{"formattedCitation":"(Stuckler et al., 2017)","plainCitation":"(Stuckler et al., 2017)","noteIndex":0},"citationItems":[{"id":1331,"uris":["http://zotero.org/users/7125982/items/3BUY4ZY2"],"itemData":{"id":1331,"type":"article-journal","abstract":"Austerity measures-reducing social spending and increasing taxation-hurts deprived groups the most. Less is known about the impact on health. In this short review, we evaluate the evidence of austerity's impact on health, through two main mechanisms: a 'social risk effect' of increasing unemployment, poverty, homelessness and other socio-economic risk factors (indirect), and a 'healthcare effect' through cuts to healthcare services, as well as reductions in health coverage and restricting access to care (direct). We distinguish those impacts of economic crises from those of austerity as a response to it. Where possible, data from across Europe will be drawn upon, as well as more extensive analysis of the UK's austerity measures performed by the authors of this review.","container-title":"European Journal of Public Health","DOI":"10.1093/eurpub/ckx167","ISSN":"1464-360X","issue":"suppl_4","journalAbbreviation":"Eur J Public Health","language":"eng","note":"PMID: 29028245\nPMCID: PMC5881725","page":"18-21","source":"PubMed","title":"Austerity and health: the impact in the UK and Europe","title-short":"Austerity and health","volume":"27","author":[{"family":"Stuckler","given":"David"},{"family":"Reeves","given":"Aaron"},{"family":"Loopstra","given":"Rachel"},{"family":"Karanikolos","given":"Marina"},{"family":"McKee","given":"Martin"}],"issued":{"date-parts":[["2017",10,1]]}}}],"schema":"https://github.com/citation-style-language/schema/raw/master/csl-citation.json"} </w:instrText>
      </w:r>
      <w:r>
        <w:fldChar w:fldCharType="separate"/>
      </w:r>
      <w:r w:rsidR="0099441B">
        <w:rPr>
          <w:rFonts w:ascii="Times New Roman" w:hAnsi="Times New Roman"/>
          <w:sz w:val="24"/>
        </w:rPr>
        <w:t>(Stuckler et al., 2017)</w:t>
      </w:r>
      <w:r>
        <w:fldChar w:fldCharType="end"/>
      </w:r>
      <w:r w:rsidR="00F35B98">
        <w:t>.</w:t>
      </w:r>
      <w:r>
        <w:t xml:space="preserve"> </w:t>
      </w:r>
      <w:r w:rsidRPr="001F6145">
        <w:t>However, there are challenges with attributing health outcomes to changes in economic policy due to</w:t>
      </w:r>
      <w:r>
        <w:t>:</w:t>
      </w:r>
      <w:r w:rsidRPr="001F6145">
        <w:t xml:space="preserve"> variable definitions</w:t>
      </w:r>
      <w:r w:rsidR="00F35B98">
        <w:t xml:space="preserve"> </w:t>
      </w:r>
      <w:r>
        <w:fldChar w:fldCharType="begin"/>
      </w:r>
      <w:r w:rsidR="003E394A">
        <w:instrText xml:space="preserve"> ADDIN ZOTERO_ITEM CSL_CITATION {"citationID":"YlsnDd18","properties":{"formattedCitation":"(Anderson &amp; Minneman, 2014)","plainCitation":"(Anderson &amp; Minneman, 2014)","noteIndex":0},"citationItems":[{"id":"P59J3jrC/NgXvJp9w","uris":["http://zotero.org/users/7125982/items/2PXA9NJ7"],"itemData":{"id":"rWWB4Dyp/TQltkPbW","type":"article-journal","abstract":"Austerity has become a widely used term in economic research and popular media as many countries have recently implemented deficit reduction policies. This article begins by exploring definitions of austerity used in research and the ways these different definitions impact analysis of policy effects. The article then takes into account a number of factors that can affect the outcome of these so-called austerity measures, including economic conditions, time period, and parties impacted by the policies. Without a clear definition of austerity and the contexts under which it is implemented, a conclusive analysis of austerity’s effects cannot be conducted. This article concludes that the term “austerity” will remain a confusing term that can breed misunderstanding, social uprisings, political unrest, and ill-prescribed solutions to economic problems. JEL classification: H10, H12, H41, H60 Keywords: Austerity, spending cuts, deficits, tax increases, recession","container-title":"OECD Journal on Budgeting","DOI":"10.1787/budget-14-5jxrmdxc6sq1","ISSN":"16812336","issue":"1","language":"en","note":"Company: OECD\nDistributor: OECD\nInstitution: OECD\nLabel: OECD\npublisher-place: Paris\npublisher: Organisation for Economic Co-operation and Development","page":"109-122","source":"OECD iLibrary","title":"The abuse and misuse of the term “Austerity” Implications for OECD countries","volume":"14","author":[{"family":"Anderson","given":"Barry"},{"family":"Minneman","given":"Elizabeth"}],"issued":{"date-parts":[["2014",12,22]]}}}],"schema":"https://github.com/citation-style-language/schema/raw/master/csl-citation.json"} </w:instrText>
      </w:r>
      <w:r>
        <w:fldChar w:fldCharType="separate"/>
      </w:r>
      <w:r w:rsidR="0099441B">
        <w:rPr>
          <w:rFonts w:ascii="Times New Roman" w:hAnsi="Times New Roman"/>
          <w:sz w:val="24"/>
        </w:rPr>
        <w:t>(Anderson &amp; Minneman, 2014)</w:t>
      </w:r>
      <w:r>
        <w:fldChar w:fldCharType="end"/>
      </w:r>
      <w:r w:rsidRPr="001F6145">
        <w:t xml:space="preserve"> </w:t>
      </w:r>
      <w:r>
        <w:t>(see section 4.1)</w:t>
      </w:r>
      <w:r w:rsidRPr="001F6145">
        <w:t>, the co-occurrence of policies making it difficult to evaluate effects</w:t>
      </w:r>
      <w:r w:rsidR="00F35B98">
        <w:t xml:space="preserve"> </w:t>
      </w:r>
      <w:r>
        <w:fldChar w:fldCharType="begin"/>
      </w:r>
      <w:r w:rsidR="0099441B">
        <w:instrText xml:space="preserve"> ADDIN ZOTERO_ITEM CSL_CITATION {"citationID":"NXK65FeW","properties":{"formattedCitation":"(Matthay et al., 2022)","plainCitation":"(Matthay et al., 2022)","noteIndex":0},"citationItems":[{"id":1131,"uris":["http://zotero.org/users/7125982/items/RETK26RW"],"itemData":{"id":1131,"type":"article-journal","abstract":"Extensive empirical health research leverages variation in the timing and location of policy changes as quasi-experiments. Multiple social policies may be adopted simultaneously in the same locations, creating co-occurrence that must be addressed analytically for valid inferences. The pervasiveness and consequences of co-occurring policies have received limited attention. We analyzed a systematic sample of 13 social policy databases covering diverse domains including poverty, paid family leave, and tobacco use. We quantified policy co-occurrence in each database as the fraction of variation in each policy measure across different jurisdictions and times that could be explained by covariation with other policies. We used simulations to estimate the ratio of the variance of effect estimates under the observed policy co-occurrence to variance if policies were independent. Policy co-occurrence ranged from very high for state-level cannabis policies to low for country-level sexual minority-rights policies. For 65% of policies, greater than 90% of the place-time variation was explained by other policies. Policy co-occurrence increased the variance of effect estimates by a median of 57-fold. Co-occurring policies are common and pose a major methodological challenge to rigorously evaluating health effects of individual social policies. When uncontrolled, co-occurring policies confound one another, and when controlled, resulting positivity violations may substantially inflate the variance of estimated effects. Tools to enhance validity and precision for evaluating co-occurring policies are needed.","container-title":"Epidemiol Rev","DOI":"10.1093/epirev/mxab009","ISSN":"0193-936X (Print) 0193-936x","issue":"1","language":"eng","note":"PMCID: PMC8763115","page":"19-32","title":"The Revolution Will Be Hard to Evaluate: How Co-Occurring Policy Changes Affect Research on the Health Effects of Social Policies","volume":"43","author":[{"family":"Matthay","given":"E. C."},{"family":"Hagan","given":"E."},{"family":"Joshi","given":"S."},{"family":"Tan","given":"M. L."},{"family":"Vlahov","given":"D."},{"family":"Adler","given":"N."},{"family":"Glymour","given":"M. M."}],"issued":{"date-parts":[["2022",1,14]]}}}],"schema":"https://github.com/citation-style-language/schema/raw/master/csl-citation.json"} </w:instrText>
      </w:r>
      <w:r>
        <w:fldChar w:fldCharType="separate"/>
      </w:r>
      <w:r w:rsidR="0099441B">
        <w:rPr>
          <w:rFonts w:ascii="Times New Roman" w:hAnsi="Times New Roman"/>
          <w:sz w:val="24"/>
        </w:rPr>
        <w:t>(Matthay et al., 2022)</w:t>
      </w:r>
      <w:r>
        <w:fldChar w:fldCharType="end"/>
      </w:r>
      <w:r w:rsidR="00F35B98">
        <w:t>,</w:t>
      </w:r>
      <w:r w:rsidRPr="001F6145">
        <w:t xml:space="preserve"> and the challenges of causality</w:t>
      </w:r>
      <w:r w:rsidR="00F35B98">
        <w:t xml:space="preserve"> </w:t>
      </w:r>
      <w:r>
        <w:fldChar w:fldCharType="begin"/>
      </w:r>
      <w:r w:rsidR="00626CB8">
        <w:instrText xml:space="preserve"> ADDIN ZOTERO_ITEM CSL_CITATION {"citationID":"V41r10tS","properties":{"formattedCitation":"(Hiam, Dorling, et al., 2018)","plainCitation":"(Hiam, Dorling, et al., 2018)","noteIndex":0},"citationItems":[{"id":1051,"uris":["http://zotero.org/users/7125982/items/XU3KXAW8","http://zotero.org/users/7125982/items/SQF5BWT4"],"itemData":{"id":1051,"type":"article-journal","container-title":"J R Soc Med","DOI":"10.1177/0141076818779237","ISSN":"0141-0768","issue":"6","journalAbbreviation":"Journal of the Royal Society of Medicine","language":"eng","page":"199-202","title":"The cuts and poor health: when and how can we say that one thing causes another?","volume":"111","author":[{"family":"Hiam","given":"L."},{"family":"Dorling","given":"D."},{"family":"McKee","given":"M."}],"issued":{"date-parts":[["2018",6]]}}}],"schema":"https://github.com/citation-style-language/schema/raw/master/csl-citation.json"} </w:instrText>
      </w:r>
      <w:r>
        <w:fldChar w:fldCharType="separate"/>
      </w:r>
      <w:r w:rsidR="0099441B">
        <w:rPr>
          <w:rFonts w:ascii="Times New Roman" w:hAnsi="Times New Roman"/>
          <w:sz w:val="24"/>
        </w:rPr>
        <w:t>(Hiam, Dorling, et al., 2018)</w:t>
      </w:r>
      <w:r>
        <w:fldChar w:fldCharType="end"/>
      </w:r>
      <w:r w:rsidR="00F35B98">
        <w:t>.</w:t>
      </w:r>
      <w:r>
        <w:t xml:space="preserve"> </w:t>
      </w:r>
    </w:p>
    <w:p w14:paraId="5DE7D872" w14:textId="77777777" w:rsidR="00382AC9" w:rsidRDefault="00382AC9" w:rsidP="00382AC9"/>
    <w:p w14:paraId="22676C80" w14:textId="75C1483E" w:rsidR="00382AC9" w:rsidRDefault="00382AC9" w:rsidP="00382AC9">
      <w:r w:rsidRPr="001F6145">
        <w:t xml:space="preserve">International research on austerity </w:t>
      </w:r>
      <w:r>
        <w:t>has so far been</w:t>
      </w:r>
      <w:r w:rsidRPr="001F6145">
        <w:t xml:space="preserve"> inconclusive, with few studies seeking to measure austerity against health outcomes.</w:t>
      </w:r>
      <w:r w:rsidR="00AD359D">
        <w:t xml:space="preserve"> For example,</w:t>
      </w:r>
      <w:r w:rsidRPr="001F6145">
        <w:t xml:space="preserve"> </w:t>
      </w:r>
      <w:r w:rsidR="00AD359D">
        <w:t>r</w:t>
      </w:r>
      <w:r w:rsidRPr="001F6145">
        <w:t>esearch</w:t>
      </w:r>
      <w:r>
        <w:t xml:space="preserve">ers </w:t>
      </w:r>
      <w:r w:rsidRPr="001F6145">
        <w:t xml:space="preserve">examined standardised mortality </w:t>
      </w:r>
      <w:r>
        <w:t>rates</w:t>
      </w:r>
      <w:r w:rsidRPr="001F6145">
        <w:t xml:space="preserve"> (SMRs) in 15 European countries between 2011-2015, stratifying the nations into high-, intermediate-, and low-levels of austerity (measured as cyclical adjusted primary balance using IMF figures)</w:t>
      </w:r>
      <w:r w:rsidR="00F35B98">
        <w:t xml:space="preserve"> </w:t>
      </w:r>
      <w:r>
        <w:fldChar w:fldCharType="begin"/>
      </w:r>
      <w:r w:rsidR="0099441B">
        <w:instrText xml:space="preserve"> ADDIN ZOTERO_ITEM CSL_CITATION {"citationID":"IRqLs4dV","properties":{"formattedCitation":"(Rajmil &amp; Fern\\uc0\\u225{}ndez de Sanmamed, 2019)","plainCitation":"(Rajmil &amp; Fernández de Sanmamed, 2019)","noteIndex":0},"citationItems":[{"id":1233,"uris":["http://zotero.org/users/7125982/items/2X5YBUCF"],"itemData":{"id":1233,"type":"article-journal","abstract":"OBJECTIVES: To assess time trends in mortality rates in European countries for the period 2011 to 2015 by level of austerity measures imposed by governments in response to the economic and financial crisis. METHODS: We analyzed standardized mortality rates (SMRs) for 2011 through 2015 in 15 European countries based on Eurostat data ( http://ec.europa.eu/eurostat/data/database ). We used the Cyclically Adjusted Primary Balance (CAPB) in terciles as an independent variable to represent the level of austerity adopted in each country. We conducted a longitudinal analysis of panel data using generalized estimating equation models of SMR. We included interaction terms to assess the influence of time period and level of austerity. RESULTS: SMRs generally declined in the study period, except in the last year of the study. In 2015, compared with countries in the low-austerity group, countries with intermediate austerity had excess mortality of 40.2 per 100 000 per year and those with high austerity had excess mortality of 31.22 per 100 000 per year. CONCLUSIONS: The results suggest a negative effect on mortality in those countries that apply a higher level of austerity.","container-title":"Am J Public Health","DOI":"10.2105/ajph.2019.304997","ISSN":"0090-0036 (Print) 0090-0036","issue":"5","journalAbbreviation":"American journal of public health","language":"eng","note":"PMCID: PMC6459668","page":"768-770","title":"Austerity Policies and Mortality Rates in European Countries, 2011-2015","volume":"109","author":[{"family":"Rajmil","given":"L."},{"family":"Fernández de Sanmamed","given":"M. J."}],"issued":{"date-parts":[["2019",5]]}}}],"schema":"https://github.com/citation-style-language/schema/raw/master/csl-citation.json"} </w:instrText>
      </w:r>
      <w:r>
        <w:fldChar w:fldCharType="separate"/>
      </w:r>
      <w:r w:rsidR="0099441B" w:rsidRPr="0099441B">
        <w:rPr>
          <w:rFonts w:ascii="Times New Roman" w:hAnsi="Times New Roman"/>
          <w:sz w:val="24"/>
        </w:rPr>
        <w:t>(Rajmil &amp; Fernández de Sanmamed, 2019)</w:t>
      </w:r>
      <w:r>
        <w:fldChar w:fldCharType="end"/>
      </w:r>
      <w:r w:rsidR="00F35B98">
        <w:t>.</w:t>
      </w:r>
      <w:r w:rsidRPr="001F6145">
        <w:t xml:space="preserve"> </w:t>
      </w:r>
      <w:r>
        <w:t xml:space="preserve">They </w:t>
      </w:r>
      <w:r w:rsidRPr="001F6145">
        <w:t>found that while SMRs decreased for all nations between 2011-2014, in countries implementing high- and intermediate- levels of austerity, SMR</w:t>
      </w:r>
      <w:r>
        <w:t>s</w:t>
      </w:r>
      <w:r w:rsidRPr="001F6145">
        <w:t xml:space="preserve"> increased in 2015, while </w:t>
      </w:r>
      <w:r w:rsidR="00AD359D">
        <w:t>mortality</w:t>
      </w:r>
      <w:r>
        <w:t xml:space="preserve"> rates</w:t>
      </w:r>
      <w:r w:rsidR="00AD359D">
        <w:t xml:space="preserve"> summarised in that way</w:t>
      </w:r>
      <w:r w:rsidRPr="001F6145">
        <w:t xml:space="preserve"> continued to fall where there was little austerity. There was one notable exception: Germany, which was included as a country that had limited austerity but also saw an increase in</w:t>
      </w:r>
      <w:r>
        <w:t xml:space="preserve"> its</w:t>
      </w:r>
      <w:r w:rsidRPr="001F6145">
        <w:t xml:space="preserve"> SMR</w:t>
      </w:r>
      <w:r>
        <w:t>s</w:t>
      </w:r>
      <w:r w:rsidRPr="001F6145">
        <w:t xml:space="preserve">. </w:t>
      </w:r>
    </w:p>
    <w:p w14:paraId="74BA313B" w14:textId="77777777" w:rsidR="00382AC9" w:rsidRDefault="00382AC9" w:rsidP="00382AC9"/>
    <w:p w14:paraId="25FF9042" w14:textId="12FD5A27" w:rsidR="00382AC9" w:rsidRDefault="00382AC9" w:rsidP="00382AC9">
      <w:r w:rsidRPr="001F6145">
        <w:t>Other research has found that austerity increased all-cause mortality by 0.7% across 28 EU countries between 1991 and 2013</w:t>
      </w:r>
      <w:r w:rsidR="00F35B98">
        <w:t xml:space="preserve"> </w:t>
      </w:r>
      <w:r>
        <w:fldChar w:fldCharType="begin"/>
      </w:r>
      <w:r w:rsidR="0099441B">
        <w:instrText xml:space="preserve"> ADDIN ZOTERO_ITEM CSL_CITATION {"citationID":"5j3ogXFP","properties":{"formattedCitation":"(Toffolutti &amp; Suhrcke, 2019)","plainCitation":"(Toffolutti &amp; Suhrcke, 2019)","noteIndex":0},"citationItems":[{"id":1267,"uris":["http://zotero.org/users/7125982/items/B8WTF6QB"],"itemData":{"id":1267,"type":"article-journal","abstract":"A growing body of the literature has argued that austerity has been bad for health, though without directly measuring austerity. This paper explicitly distinguishes the association of mortality with macroeconomic fluctuations from that with fiscal policy measures, using data for 28 European Union (EU) countries covering the period 1991-2013. The main results present a nuanced, complex picture about the mortality impact of fiscal policies. We confirm the mortality decreasing (increasing) effect of recessions (booms), with the exception of suicide mortality, which shows the opposite effects. Austerity regimes are associated with an increase in all-cause mortality (0.7%). At the same time, fiscal stimuli tend to significantly increase death rates due to cirrhosis or chronic liver disease (3%) and those due to vehicle accidents (4.3%). Our results are sensitive to the set of countries included: when excluding the Baltics, Romania and Hungary, austerity policies turn out to significantly increase suicide-related mortality (2.8%), while the effect on all-cause mortality remains unaffected (0.7%). Overall, however it appears that the austerity-increasing effects are mostly compensated by the (mostly) mortality-decreasing effects of recessions. A notable exception appears to be suicides, which receive a 'double-boost' from both recessions and austerity.","container-title":"Econ Hum Biol","DOI":"10.1016/j.ehb.2019.03.002","ISSN":"1570-677x","language":"eng","page":"211-223","title":"Does austerity really kill?","volume":"33","author":[{"family":"Toffolutti","given":"V."},{"family":"Suhrcke","given":"M."}],"issued":{"date-parts":[["2019",5]]}}}],"schema":"https://github.com/citation-style-language/schema/raw/master/csl-citation.json"} </w:instrText>
      </w:r>
      <w:r>
        <w:fldChar w:fldCharType="separate"/>
      </w:r>
      <w:r w:rsidR="0099441B">
        <w:rPr>
          <w:rFonts w:ascii="Times New Roman" w:hAnsi="Times New Roman"/>
          <w:sz w:val="24"/>
        </w:rPr>
        <w:t>(Toffolutti &amp; Suhrcke, 2019)</w:t>
      </w:r>
      <w:r>
        <w:fldChar w:fldCharType="end"/>
      </w:r>
      <w:r w:rsidR="00F35B98">
        <w:t>,</w:t>
      </w:r>
      <w:r w:rsidRPr="001F6145">
        <w:t xml:space="preserve"> and</w:t>
      </w:r>
      <w:r>
        <w:t xml:space="preserve"> that</w:t>
      </w:r>
      <w:r w:rsidRPr="001F6145">
        <w:t xml:space="preserve"> it was associated with an increase in inequalities in self-reported general health, an effect that grew over time, from 2002-2015 in 25 European countries</w:t>
      </w:r>
      <w:r w:rsidR="00F35B98">
        <w:t xml:space="preserve"> </w:t>
      </w:r>
      <w:r>
        <w:fldChar w:fldCharType="begin"/>
      </w:r>
      <w:r w:rsidR="0099441B">
        <w:instrText xml:space="preserve"> ADDIN ZOTERO_ITEM CSL_CITATION {"citationID":"euB8xsRE","properties":{"formattedCitation":"(van der Wel et al., 2018)","plainCitation":"(van der Wel et al., 2018)","noteIndex":0},"citationItems":[{"id":1274,"uris":["http://zotero.org/users/7125982/items/ZRHS6NVZ"],"itemData":{"id":1274,"type":"article-journal","abstract":"This paper investigates the association between the Great Recession and educational inequalities in self-rated general health in 25 European countries. We investigate four different indicators related to economic recession: GDP; unemployment; austerity and a 'crisis' indicator signifying severe simultaneous drops in GDP and welfare generosity. We also assess the extent to which health inequality changes can be attributed to changes in the economic conditions and social capital in the European populations. The paper uses data from the European Social Survey (2002-2014). The analyses include both cross-sectional and lagged associations using multilevel linear regression models with country fixed effects. This approach allows us to identify health inequality changes net of all time-invariant differences between countries. GDP drops and increasing unemployment were associated with decreasing health inequalities. Austerity, however, was related to increasing health inequalities, an association that grew stronger with time. The strongest increase in health inequality was found for the more robust 'crisis' indicator. Changes in trust, social relationships and in the experience of economic hardship of the populations accounted for much of the increase in health inequality. The paper concludes that social policy has an important role in the development of health inequalities, particularly during times of economic crisis.","container-title":"Sociol Health Illn","DOI":"10.1111/1467-9566.12723","ISSN":"0141-9889","issue":"4","language":"eng","page":"750-768","title":"European health inequality through the 'Great Recession': social policy matters","volume":"40","author":[{"family":"Wel","given":"K. A.","non-dropping-particle":"van der"},{"family":"Saltkjel","given":"T."},{"family":"Chen","given":"W. H."},{"family":"Dahl","given":"E."},{"family":"Halvorsen","given":"K."}],"issued":{"date-parts":[["2018",5]]}}}],"schema":"https://github.com/citation-style-language/schema/raw/master/csl-citation.json"} </w:instrText>
      </w:r>
      <w:r>
        <w:fldChar w:fldCharType="separate"/>
      </w:r>
      <w:r w:rsidR="0099441B">
        <w:rPr>
          <w:rFonts w:ascii="Times New Roman" w:hAnsi="Times New Roman"/>
          <w:sz w:val="24"/>
        </w:rPr>
        <w:t>(van der Wel et al., 2018)</w:t>
      </w:r>
      <w:r>
        <w:fldChar w:fldCharType="end"/>
      </w:r>
      <w:r w:rsidR="00F35B98">
        <w:t>,</w:t>
      </w:r>
      <w:r w:rsidRPr="001F6145">
        <w:t xml:space="preserve"> and slower improvements in subjective health across age groups</w:t>
      </w:r>
      <w:r>
        <w:t>.</w:t>
      </w:r>
      <w:r w:rsidRPr="001F6145">
        <w:t xml:space="preserve"> </w:t>
      </w:r>
      <w:r>
        <w:t>T</w:t>
      </w:r>
      <w:r w:rsidRPr="001F6145">
        <w:t xml:space="preserve">he UK was an exception </w:t>
      </w:r>
      <w:r w:rsidR="00AF44B0">
        <w:t xml:space="preserve">in what was then the EU-28, </w:t>
      </w:r>
      <w:r w:rsidRPr="001F6145">
        <w:t xml:space="preserve">with all age groups experiencing a fall in subjective health, in particular </w:t>
      </w:r>
      <w:r w:rsidR="00AF44B0">
        <w:t xml:space="preserve">the population aged </w:t>
      </w:r>
      <w:r w:rsidRPr="001F6145">
        <w:t>over 65</w:t>
      </w:r>
      <w:r w:rsidR="00F35B98">
        <w:t xml:space="preserve"> </w:t>
      </w:r>
      <w:r>
        <w:fldChar w:fldCharType="begin"/>
      </w:r>
      <w:r w:rsidR="0099441B">
        <w:instrText xml:space="preserve"> ADDIN ZOTERO_ITEM CSL_CITATION {"citationID":"X2TGQh7P","properties":{"formattedCitation":"(Franklin B, 2017)","plainCitation":"(Franklin B, 2017)","noteIndex":0},"citationItems":[{"id":1038,"uris":["http://zotero.org/users/7125982/items/8YY3JRDV"],"itemData":{"id":1038,"type":"report","publisher":"ILC-UK","title":"Public health in Europe during the austerity years: A Research Report from ILC-UK","author":[{"family":"Franklin B","given":"Hochlaf D."}],"issued":{"date-parts":[["2017",11]]}}}],"schema":"https://github.com/citation-style-language/schema/raw/master/csl-citation.json"} </w:instrText>
      </w:r>
      <w:r>
        <w:fldChar w:fldCharType="separate"/>
      </w:r>
      <w:r w:rsidR="0099441B">
        <w:rPr>
          <w:rFonts w:ascii="Times New Roman" w:hAnsi="Times New Roman"/>
          <w:sz w:val="24"/>
        </w:rPr>
        <w:t>(Franklin B, 2017)</w:t>
      </w:r>
      <w:r>
        <w:fldChar w:fldCharType="end"/>
      </w:r>
      <w:r w:rsidR="00F35B98">
        <w:t>.</w:t>
      </w:r>
      <w:r w:rsidRPr="001F6145">
        <w:t xml:space="preserve"> Countries that had the greatest spending cuts had a positive statistical relationship with greatest level of unmet health needs.</w:t>
      </w:r>
    </w:p>
    <w:p w14:paraId="584DF623" w14:textId="77777777" w:rsidR="00382AC9" w:rsidRDefault="00382AC9" w:rsidP="00382AC9"/>
    <w:p w14:paraId="41E88577" w14:textId="1C7845BD" w:rsidR="00382AC9" w:rsidRDefault="00382AC9" w:rsidP="00382AC9">
      <w:r>
        <w:t>In contrast with the support for other causes, such as flu, which have become weaker with time and more data,</w:t>
      </w:r>
      <w:r w:rsidDel="000D4FB7">
        <w:t xml:space="preserve"> </w:t>
      </w:r>
      <w:r>
        <w:t>the evidence linking austerity and poor health in the UK is becoming increasingly robust</w:t>
      </w:r>
      <w:r w:rsidR="00AF44B0">
        <w:t xml:space="preserve"> as more studies are being released in the current decade</w:t>
      </w:r>
      <w:r>
        <w:t>. R</w:t>
      </w:r>
      <w:r w:rsidRPr="00654EE4">
        <w:t xml:space="preserve">esearch </w:t>
      </w:r>
      <w:r>
        <w:t>in 2021 linked</w:t>
      </w:r>
      <w:r w:rsidRPr="00654EE4">
        <w:t xml:space="preserve"> austerity </w:t>
      </w:r>
      <w:r>
        <w:t xml:space="preserve">to </w:t>
      </w:r>
      <w:r w:rsidRPr="00654EE4">
        <w:t>excess deaths due to cuts in local government funding</w:t>
      </w:r>
      <w:r w:rsidR="00F35B98">
        <w:t xml:space="preserve"> </w:t>
      </w:r>
      <w:r>
        <w:fldChar w:fldCharType="begin"/>
      </w:r>
      <w:r w:rsidR="0099441B">
        <w:instrText xml:space="preserve"> ADDIN ZOTERO_ITEM CSL_CITATION {"citationID":"ymy3mR47","properties":{"formattedCitation":"(Alexiou et al., 2021)","plainCitation":"(Alexiou et al., 2021)","noteIndex":0},"citationItems":[{"id":1472,"uris":["http://zotero.org/users/7125982/items/EYXU2CKL"],"itemData":{"id":1472,"type":"article-journal","abstract":"BACKGROUND: Since 2010, large reductions in funding for local government services have been introduced in England. These reductions in funding have potentially led to reduced provision of health-promoting public services. We aimed to investigate whether areas that showed a greater decline in funding also had more adverse trends in life expectancy and premature mortality.\nMETHODS: In this longitudinal ecological study, we linked annual data from the Ministry of Housing, Communities, and Local Government on local government revenue expenditure and financing to 147 upper-tier local authorities in England between 2013 and 2017 with data from Public Health England, on male and female life expectancy at birth, male and female life expectancy at age 65 years, and premature (younger than 75 years) all-cause mortality rate for male and female individuals. Local authorities were excluded if their populations were too small or if changes in boundaries meant consistent data were not available. Using multivariable fixed-effects panel regression models, and controlling for local socioeconomic conditions, we estimated whether changes in local funding from 2013 were associated with changes in life expectancy and premature mortality. We included a set of alternative model specifications to test the robustness of our findings.\nFINDINGS: Between 2013 and 2017, mean per-capita central funding to local governments decreased by 33% or £168 per person (range -£385 to £1). Each £100 reduction in annual per person funding was associated over the study period 2013-17 with an average decrease in life expectancy at birth of 1·3 months (95% CI 0·7-1·9) for male individuals and 1·2 months (0·7-1·7) for female individuals; for life expectancy at age 65 years, the results show a decrease of 0·8 months (0·3-1·3) for male individuals and 1·1 months (0·7-1·5) for female individuals. Funding reductions were greater in more deprived areas and these areas had the worst changes in life expectancy. We estimated that cuts in funding were associated with an increase in the gap in life expectancy between the most and least deprived quintiles by 3% for men and 4% for women. Overall reductions in funding during this period were associated with an additional 9600 deaths in people younger than 75 years in England (3800-15 400), an increase of 1·25%.\nINTERPRETATION: Our findings indicate that cuts in funding for local government might in part explain adverse trends in life expectancy. Given that more deprived areas showed greater reductions in funding, our analysis suggests that inequalities have widened. Since the pandemic, strategies to address these adverse trends in life expectancy and reduce health inequalities could prioritise reinvestment in funding for local government services, particularly within the most deprived areas of England.\nFUNDING: National Institute for Health Research (NIHR) School for Public Health Research, NIHR Applied Research Collaboration North East and North Cumbria, NIHR Applied Research Collaboration North West Coast and Medical Research Council.","container-title":"The Lancet. Public Health","DOI":"10.1016/S2468-2667(21)00110-9","ISSN":"2468-2667","issue":"9","journalAbbreviation":"Lancet Public Health","language":"eng","note":"PMID: 34265265\nPMCID: PMC8390384","page":"e641-e647","source":"PubMed","title":"Local government funding and life expectancy in England: a longitudinal ecological study","title-short":"Local government funding and life expectancy in England","volume":"6","author":[{"family":"Alexiou","given":"Alexandros"},{"family":"Fahy","given":"Katie"},{"family":"Mason","given":"Kate"},{"family":"Bennett","given":"Davara"},{"family":"Brown","given":"Heather"},{"family":"Bambra","given":"Clare"},{"family":"Taylor-Robinson","given":"David"},{"family":"Barr","given":"Benjamin"}],"issued":{"date-parts":[["2021",9]]}}}],"schema":"https://github.com/citation-style-language/schema/raw/master/csl-citation.json"} </w:instrText>
      </w:r>
      <w:r>
        <w:fldChar w:fldCharType="separate"/>
      </w:r>
      <w:r w:rsidR="0099441B">
        <w:rPr>
          <w:rFonts w:ascii="Times New Roman" w:hAnsi="Times New Roman"/>
          <w:sz w:val="24"/>
        </w:rPr>
        <w:t xml:space="preserve">(Alexiou et </w:t>
      </w:r>
      <w:r w:rsidR="0099441B">
        <w:rPr>
          <w:rFonts w:ascii="Times New Roman" w:hAnsi="Times New Roman"/>
          <w:sz w:val="24"/>
        </w:rPr>
        <w:lastRenderedPageBreak/>
        <w:t>al., 2021)</w:t>
      </w:r>
      <w:r>
        <w:fldChar w:fldCharType="end"/>
      </w:r>
      <w:r w:rsidR="00F35B98">
        <w:t>,</w:t>
      </w:r>
      <w:r>
        <w:t xml:space="preserve"> </w:t>
      </w:r>
      <w:r w:rsidRPr="00654EE4">
        <w:t>excess deaths in older adults and widening inequalities for younger populations</w:t>
      </w:r>
      <w:r w:rsidR="00F35B98">
        <w:t xml:space="preserve"> </w:t>
      </w:r>
      <w:r>
        <w:fldChar w:fldCharType="begin"/>
      </w:r>
      <w:r w:rsidR="0099441B">
        <w:instrText xml:space="preserve"> ADDIN ZOTERO_ITEM CSL_CITATION {"citationID":"7yLzkQSC","properties":{"formattedCitation":"(Darlington-Pollock et al., 2022)","plainCitation":"(Darlington-Pollock et al., 2022)","noteIndex":0},"citationItems":[{"id":1336,"uris":["http://zotero.org/users/7125982/items/SATMDLDK"],"itemData":{"id":1336,"type":"article-journal","abstract":"BACKGROUND: Policy responses to the Global Financial Crisis emphasized wide-ranging fiscal austerity measures, many of which have been found to negatively impact health outcomes. This paper investigates change in patterns of mortality at local authority level in England (2010-11 to 2017-18) and the relation with fiscal austerity measures.\nMETHODS: Data from official local authority administrative records are used to quantify the gap between observed deaths and what was anticipated in the 2010-based subnational population projections. Regression analyses are used to explore the relation between excess deaths, austerity and wider process of population change at local authority level.\nRESULTS: We estimate 231 707 total excess deaths, the majority of which occurred since 2014-15 (89%) across the majority of local authorities (91%). Austerity is positively associated with excess deaths. For working age adults, there is a clear gradient to the impact of austerity, whereas for older adults, the impact is more uniform.\nCONCLUSIONS: Fiscal austerity policies contributed to an excess of deaths for older people and widened social inequalities for younger populations. These results call for an end to all austerity measures and require further research into areas with the highest total excess deaths as a priority following the COVID-19 pandemic.","container-title":"Journal of Public Health (Oxford, England)","DOI":"10.1093/pubmed/fdab023","ISSN":"1741-3850","issue":"2","journalAbbreviation":"J Public Health (Oxf)","language":"eng","note":"PMID: 33765120\nPMCID: PMC8083632","page":"310-318","source":"PubMed","title":"Why were there 231 707 more deaths than expected in England between 2010 and 2018? An ecological analysis of mortality records","title-short":"Why were there 231 707 more deaths than expected in England between 2010 and 2018?","volume":"44","author":[{"family":"Darlington-Pollock","given":"Frances"},{"family":"Green","given":"Mark A."},{"family":"Simpson","given":"Ludi"}],"issued":{"date-parts":[["2022",6,27]]}}}],"schema":"https://github.com/citation-style-language/schema/raw/master/csl-citation.json"} </w:instrText>
      </w:r>
      <w:r>
        <w:fldChar w:fldCharType="separate"/>
      </w:r>
      <w:r w:rsidR="0099441B">
        <w:rPr>
          <w:rFonts w:ascii="Times New Roman" w:hAnsi="Times New Roman"/>
          <w:sz w:val="24"/>
        </w:rPr>
        <w:t>(Darlington-Pollock et al., 2022)</w:t>
      </w:r>
      <w:r>
        <w:fldChar w:fldCharType="end"/>
      </w:r>
      <w:r w:rsidR="00F35B98">
        <w:t>,</w:t>
      </w:r>
      <w:r>
        <w:t xml:space="preserve"> not just to stalls but to absolute </w:t>
      </w:r>
      <w:r w:rsidRPr="00654EE4">
        <w:t>declines in life expectancy in an increasing number of communities</w:t>
      </w:r>
      <w:r w:rsidR="00F35B98">
        <w:t xml:space="preserve"> </w:t>
      </w:r>
      <w:r>
        <w:fldChar w:fldCharType="begin"/>
      </w:r>
      <w:r w:rsidR="0099441B">
        <w:instrText xml:space="preserve"> ADDIN ZOTERO_ITEM CSL_CITATION {"citationID":"bDNbzKMN","properties":{"formattedCitation":"(Rashid et al., 2021)","plainCitation":"(Rashid et al., 2021)","noteIndex":0},"citationItems":[{"id":537,"uris":["http://zotero.org/users/7125982/items/JT3R4QAL"],"itemData":{"id":537,"type":"article-journal","abstract":"&lt;strong&gt;Background&lt;/strong&gt; High-resolution data for how mortality and longevity have changed in England, UK are scarce. We aimed to estimate trends from 2002 to 2019 in life expectancy and probabilities of death at different ages for all 6791 middle-layer super output areas (MSOAs) in England. &lt;br&gt; &lt;strong&gt;Methods&lt;/strong&gt; We performed a high-resolution spatiotemporal analysis of civil registration data from the UK Small Area Health Statistics Unit research database using de-identified data for all deaths in England from 2002 to 2019, with information on age, sex, and MSOA of residence, and population counts by age, sex, and MSOA. We used a Bayesian hierarchical model to obtain estimates of age-specific death rates by sharing information across age groups, MSOAs, and years. We used life table methods to calculate life expectancy at birth and probabilities of death in different ages by sex and MSOA. &lt;br&gt; &lt;strong&gt;Findings&lt;/strong&gt; In 2002–06 and 2006–10, all but a few (0–1%) MSOAs had a life expectancy increase for female and male sexes. In 2010–14, female life expectancy decreased in 351 (5·2%) of 6791 MSOAs. By 2014–19, the number of MSOAs with declining life expectancy was 1270 (18·7%) for women and 784 (11·5%) for men. The life expectancy increase from 2002 to 2019 was smaller in MSOAs where life expectancy had been lower in 2002 (mostly northern urban MSOAs), and larger in MSOAs where life expectancy had been higher in 2002 (mostly MSOAs in and around London). As a result of these trends, the gap between the first and 99th percentiles of MSOA life expectancy for women increased from 10·7 years (95% credible interval 10·4–10·9) in 2002 to reach 14·2 years (13·9–14·5) in 2019, and for men increased from 11·5 years (11·3–11·7) in 2002 to 13·6 years (13·4–13·9) in 2019. &lt;br&gt; &lt;strong&gt;Interpretation&lt;/strong&gt; In the decade before the COVID-19 pandemic, life expectancy declined in increasing numbers of communities in England. To ensure that this trend does not continue or worsen, there is a need for pro-equity economic and social policies, and greater investment in public health and health care throughout the entire country. &lt;br&gt; &lt;strong&gt;Funding&lt;/strong&gt; Wellcome Trust, Imperial College London, Medical Research Council, Health Data Research UK, and National Institutes of Health Research.","container-title":"Lancet Public Health","issue":"11","language":"English","note":"publisher: Elsevier","source":"ora.ox.ac.uk","title":"Life expectancy and risk of death in 6791 communities in England from 2002 to 2019: high-resolution spatiotemporal analysis of civil registration data","title-short":"Life expectancy and risk of death in 6791 communities in England from 2002 to 2019","URL":"https://ora.ox.ac.uk/objects/uuid:a2ab5c72-a957-4fd8-a0b5-4e4dbbc4358a","volume":"6","author":[{"family":"Rashid","given":"T."},{"family":"Bennett","given":"J. E."},{"family":"Paciorek","given":"C. J."},{"family":"Doyle","given":"Y."},{"family":"Pearson-Stuttard","given":"J."},{"family":"Flaxman","given":"S."},{"family":"Fecht","given":"D."},{"family":"Toledano","given":"M. B."},{"family":"Li","given":"G."},{"family":"Daby","given":"H. I."},{"family":"Johnson","given":"E."},{"family":"Davies","given":"B."},{"family":"Ezzati","given":"M."}],"accessed":{"date-parts":[["2022",4,6]]},"issued":{"date-parts":[["2021"]]}}}],"schema":"https://github.com/citation-style-language/schema/raw/master/csl-citation.json"} </w:instrText>
      </w:r>
      <w:r>
        <w:fldChar w:fldCharType="separate"/>
      </w:r>
      <w:r w:rsidR="0099441B">
        <w:rPr>
          <w:rFonts w:ascii="Times New Roman" w:hAnsi="Times New Roman"/>
          <w:sz w:val="24"/>
        </w:rPr>
        <w:t>(Rashid et al., 2021)</w:t>
      </w:r>
      <w:r>
        <w:fldChar w:fldCharType="end"/>
      </w:r>
      <w:r w:rsidR="00F35B98">
        <w:t>,</w:t>
      </w:r>
      <w:r>
        <w:t xml:space="preserve"> </w:t>
      </w:r>
      <w:r w:rsidRPr="00654EE4">
        <w:t xml:space="preserve">and widened inequalities impacting the most deprived deciles, </w:t>
      </w:r>
      <w:r>
        <w:t>with declines</w:t>
      </w:r>
      <w:r w:rsidRPr="00654EE4">
        <w:t xml:space="preserve"> </w:t>
      </w:r>
      <w:r>
        <w:t xml:space="preserve">in life expectancy </w:t>
      </w:r>
      <w:r w:rsidRPr="00654EE4">
        <w:t>in the two most deprived deciles for women</w:t>
      </w:r>
      <w:r>
        <w:t xml:space="preserve"> in 2018</w:t>
      </w:r>
      <w:r w:rsidR="00F35B98">
        <w:t xml:space="preserve"> </w:t>
      </w:r>
      <w:r>
        <w:fldChar w:fldCharType="begin"/>
      </w:r>
      <w:r w:rsidR="0099441B">
        <w:instrText xml:space="preserve"> ADDIN ZOTERO_ITEM CSL_CITATION {"citationID":"AgZExD6m","properties":{"formattedCitation":"(Bennett et al., 2018)","plainCitation":"(Bennett et al., 2018)","noteIndex":0},"citationItems":[{"id":538,"uris":["http://zotero.org/users/7125982/items/YU7PZQCU"],"itemData":{"id":538,"type":"article-journal","container-title":"The Lancet Public Health","DOI":"10.1016/S2468-2667(18)30214-7","ISSN":"2468-2667","issue":"12","journalAbbreviation":"The Lancet Public Health","language":"English","note":"publisher: Elsevier\nPMID: 30473483","page":"e586-e597","source":"www.thelancet.com","title":"Contributions of diseases and injuries to widening life expectancy inequalities in England from 2001 to 2016: a population-based analysis of vital registration data","title-short":"Contributions of diseases and injuries to widening life expectancy inequalities in England from 2001 to 2016","volume":"3","author":[{"family":"Bennett","given":"James E."},{"family":"Pearson-Stuttard","given":"Jonathan"},{"family":"Kontis","given":"Vasilis"},{"family":"Capewell","given":"Simon"},{"family":"Wolfe","given":"Ingrid"},{"family":"Ezzati","given":"Majid"}],"issued":{"date-parts":[["2018",12,1]]}}}],"schema":"https://github.com/citation-style-language/schema/raw/master/csl-citation.json"} </w:instrText>
      </w:r>
      <w:r>
        <w:fldChar w:fldCharType="separate"/>
      </w:r>
      <w:r w:rsidR="0099441B">
        <w:rPr>
          <w:rFonts w:ascii="Times New Roman" w:hAnsi="Times New Roman"/>
          <w:sz w:val="24"/>
        </w:rPr>
        <w:t>(Bennett et al., 2018)</w:t>
      </w:r>
      <w:r>
        <w:fldChar w:fldCharType="end"/>
      </w:r>
      <w:r w:rsidR="00F35B98">
        <w:t>.</w:t>
      </w:r>
      <w:r>
        <w:t xml:space="preserve"> </w:t>
      </w:r>
    </w:p>
    <w:p w14:paraId="1054FD86" w14:textId="77777777" w:rsidR="00382AC9" w:rsidRDefault="00382AC9" w:rsidP="00382AC9"/>
    <w:p w14:paraId="278EC89C" w14:textId="7FA8E448" w:rsidR="00382AC9" w:rsidRPr="00471683" w:rsidRDefault="00382AC9" w:rsidP="00382AC9">
      <w:r>
        <w:t xml:space="preserve">Furthermore, while other high-income or affluent countries did see stalls in improvements in life expectancy between 2014 and 2015, research has shown of 18 </w:t>
      </w:r>
      <w:r w:rsidRPr="00CE602C">
        <w:t xml:space="preserve">Organisation for Economic Cooperation and Development </w:t>
      </w:r>
      <w:r>
        <w:t xml:space="preserve">(OECD) </w:t>
      </w:r>
      <w:r w:rsidRPr="00CE602C">
        <w:t>countries</w:t>
      </w:r>
      <w:r>
        <w:t>, only the</w:t>
      </w:r>
      <w:r w:rsidRPr="00CE602C">
        <w:t xml:space="preserve"> US</w:t>
      </w:r>
      <w:r>
        <w:t>, where life expectancy is falling,</w:t>
      </w:r>
      <w:r w:rsidRPr="00CE602C">
        <w:t xml:space="preserve"> and </w:t>
      </w:r>
      <w:r>
        <w:t xml:space="preserve">in the </w:t>
      </w:r>
      <w:r w:rsidRPr="00CE602C">
        <w:t>UK</w:t>
      </w:r>
      <w:r>
        <w:t>,</w:t>
      </w:r>
      <w:r w:rsidRPr="00CE602C">
        <w:t xml:space="preserve"> </w:t>
      </w:r>
      <w:r>
        <w:t>was there no recovery in 2015-16 with any of the “robust gains” found elsewhere</w:t>
      </w:r>
      <w:r w:rsidR="00F35B98">
        <w:t xml:space="preserve"> </w:t>
      </w:r>
      <w:r>
        <w:fldChar w:fldCharType="begin"/>
      </w:r>
      <w:r w:rsidR="0099441B">
        <w:instrText xml:space="preserve"> ADDIN ZOTERO_ITEM CSL_CITATION {"citationID":"jAeSpAbd","properties":{"formattedCitation":"(Ho &amp; Hendi, 2018)","plainCitation":"(Ho &amp; Hendi, 2018)","noteIndex":0},"citationItems":[{"id":540,"uris":["http://zotero.org/users/7125982/items/9QXHSZQG"],"itemData":{"id":540,"type":"article-journal","abstract":"Objectives To assess whether declines in life expectancy occurred across high income countries during 2014-16, to identify the causes of death contributing to these declines, and to examine the extent to which these declines were driven by shared or differing factors across countries.\nDesign Demographic analysis using aggregated data.\nSetting Vital statistics systems of 18 member countries of the Organisation for Economic Co-operation and Development.\nParticipants 18 countries with high quality all cause and cause specific mortality data available in 2014-16.\nMain outcome measures Life expectancy at birth, 0-65 years, and 65 or more years and cause of death contributions to changes in life expectancy at birth.\nResults The majority of high income countries in the study experienced declines in life expectancy during 2014-15; of the 18 countries, 12 experienced declines in life expectancy among women and 11 experienced declines in life expectancy among men. The average decline was 0.21 years for women and 0.18 years for men. In most countries experiencing declines in life expectancy, these declines were predominantly driven by trends in older age (≥65 years) mortality and in deaths related to respiratory disease, cardiovascular disease, nervous system disease, and mental disorders. In the United States, declines in life expectancy were more concentrated at younger ages (0-65 years), and drug overdose and other external causes of death played important roles in driving these declines.\nConclusions Most of the countries that experienced declines in life expectancy during 2014-15 experienced robust gains in life expectancy during 2015-16 that more than compensated for the declines. However, the United Kingdom and the United States appear to be experiencing stagnating or continued declines in life expectancy, raising questions about future trends in these countries.","container-title":"BMJ","DOI":"10.1136/bmj.k2562","ISSN":"0959-8138, 1756-1833","journalAbbreviation":"BMJ","language":"en","license":"Published by the BMJ Publishing Group Limited. For permission to use (where not already granted under a licence) please go to http://group.bmj.com/group/rights-licensing/permissions. 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http://creativecommons.org/licenses/by-nc/4.0/.","note":"publisher: British Medical Journal Publishing Group\nsection: Research\nPMID: 30111634","page":"k2562","source":"www.bmj.com","title":"Recent trends in life expectancy across high income countries: retrospective observational study","title-short":"Recent trends in life expectancy across high income countries","volume":"362","author":[{"family":"Ho","given":"Jessica Y."},{"family":"Hendi","given":"Arun S."}],"issued":{"date-parts":[["2018",8,15]]}}}],"schema":"https://github.com/citation-style-language/schema/raw/master/csl-citation.json"} </w:instrText>
      </w:r>
      <w:r>
        <w:fldChar w:fldCharType="separate"/>
      </w:r>
      <w:r w:rsidR="0099441B">
        <w:rPr>
          <w:rFonts w:ascii="Times New Roman" w:hAnsi="Times New Roman"/>
          <w:sz w:val="24"/>
        </w:rPr>
        <w:t>(Ho &amp; Hendi, 2018)</w:t>
      </w:r>
      <w:r>
        <w:fldChar w:fldCharType="end"/>
      </w:r>
      <w:r w:rsidR="00F35B98">
        <w:t>.</w:t>
      </w:r>
      <w:r>
        <w:t xml:space="preserve"> Of course, a comparison of rates of improvement depends on the time periods being compared. However, research examining different time periods have also concluded the same: Fenton et al. found the smallest improvements in life expectancy in Iceland, USA and UK nations when comparing 5-year time periods from 1992 to 2016</w:t>
      </w:r>
      <w:r w:rsidR="00F35B98">
        <w:t xml:space="preserve"> </w:t>
      </w:r>
      <w:r>
        <w:fldChar w:fldCharType="begin"/>
      </w:r>
      <w:r w:rsidR="0099441B">
        <w:instrText xml:space="preserve"> ADDIN ZOTERO_ITEM CSL_CITATION {"citationID":"Q0OAHfBw","properties":{"formattedCitation":"(Fenton et al., 2019)","plainCitation":"(Fenton et al., 2019)","noteIndex":0},"citationItems":[{"id":1027,"uris":["http://zotero.org/users/7125982/items/AMPR37WU"],"itemData":{"id":1027,"type":"article-journal","abstract":"OBJECTIVE: Gains in life expectancy have faltered in several high-income countries in recent years. Scotland has consistently had a lower life expectancy than many other high-income countries over the past 70 years. We aim to compare life expectancy trends in Scotland to those seen internationally and to assess the timing and importance of any recent changes in mortality trends for Scotland. SETTING: Austria, Croatia, Czech Republic, Denmark, England and Wales, Estonia, France, Germany, Hungary, Iceland, Israel, Japan, Korea, Latvia, Lithuania, Netherlands, Northern Ireland, Poland, Scotland, Slovakia, Spain, Sweden, Switzerland and USA. METHODS: We used life expectancy data from the Human Mortality Database (HMD) to calculate the mean annual life expectancy change for 24 high-income countries over 5-year periods from 1992 to 2016. Linear regression was used to assess the association between life expectancy in 2011 and mean life expectancy change over the subsequent 5 years. One-break and two-break segmented regression models were used to test the timing of mortality rate changes in Scotland between 1990 and 2018. RESULTS: Mean improvements in life expectancy in 2012-2016 were smallest among women (&lt;2 weeks/year) in Northern Ireland, Iceland, England and Wales, and the USA and among men (&lt;5 weeks/year) in Iceland, USA, England and Wales, and Scotland. Japan, Korea and countries of Eastern Europe had substantial gains in life expectancy over the same period. The best estimate of when mortality rates changed to a slower rate of improvement in Scotland was the year to 2012 quarter 4 for men and the year to 2014 quarter 2 for women. CONCLUSIONS: Life expectancy improvement has stalled across many, but not all, high-income countries. The recent change in the mortality trend in Scotland occurred within the period 2012-2014. Further research is required to understand these trends, but governments must also take timely action on plausible contributors.","container-title":"BMJ Open","DOI":"10.1136/bmjopen-2019-029936","ISSN":"2044-6055","issue":"10","language":"eng","note":"PMCID: PMC6830653","page":"e029936","title":"Recent adverse mortality trends in Scotland: comparison with other high-income countries","volume":"9","author":[{"family":"Fenton","given":"L."},{"family":"Minton","given":"J."},{"family":"Ramsay","given":"J."},{"family":"Kaye-Bardgett","given":"M."},{"family":"Fischbacher","given":"C."},{"family":"Wyper","given":"G. M. A."},{"family":"McCartney","given":"G."}],"issued":{"date-parts":[["2019",10,31]]}}}],"schema":"https://github.com/citation-style-language/schema/raw/master/csl-citation.json"} </w:instrText>
      </w:r>
      <w:r>
        <w:fldChar w:fldCharType="separate"/>
      </w:r>
      <w:r w:rsidR="0099441B">
        <w:rPr>
          <w:rFonts w:ascii="Times New Roman" w:hAnsi="Times New Roman"/>
          <w:sz w:val="24"/>
        </w:rPr>
        <w:t>(Fenton et al., 2019)</w:t>
      </w:r>
      <w:r>
        <w:fldChar w:fldCharType="end"/>
      </w:r>
      <w:r w:rsidR="00F35B98">
        <w:t>,</w:t>
      </w:r>
      <w:r>
        <w:t xml:space="preserve"> while Leon et al. found that from 1970-2016 while many affluent countries saw slowed increases since 2011, England and Wales performed the worst</w:t>
      </w:r>
      <w:r w:rsidR="00F35B98">
        <w:t xml:space="preserve"> </w:t>
      </w:r>
      <w:r>
        <w:fldChar w:fldCharType="begin"/>
      </w:r>
      <w:r w:rsidR="0099441B">
        <w:instrText xml:space="preserve"> ADDIN ZOTERO_ITEM CSL_CITATION {"citationID":"4riLrCxG","properties":{"formattedCitation":"(Leon et al., 2019)","plainCitation":"(Leon et al., 2019)","noteIndex":0},"citationItems":[{"id":1115,"uris":["http://zotero.org/users/7125982/items/DGYDY97Z"],"itemData":{"id":1115,"type":"article-journal","container-title":"The Lancet Public Health","DOI":"10.1016/S2468-2667(19)30177-X","ISSN":"2468-2667","issue":"11","page":"e575-e582","title":"Trends in life expectancy and age-specific mortality in England and Wales, 1970&amp;#x2013;2016, in comparison with a set of 22 high-income countries: an analysis of vital statistics data","volume":"4","author":[{"family":"Leon","given":"David A."},{"family":"Jdanov","given":"Dmitry A."},{"family":"Shkolnikov","given":"Vladimir M."}],"issued":{"date-parts":[["2019"]]}}}],"schema":"https://github.com/citation-style-language/schema/raw/master/csl-citation.json"} </w:instrText>
      </w:r>
      <w:r>
        <w:fldChar w:fldCharType="separate"/>
      </w:r>
      <w:r w:rsidR="0099441B">
        <w:rPr>
          <w:rFonts w:ascii="Times New Roman" w:hAnsi="Times New Roman"/>
          <w:sz w:val="24"/>
        </w:rPr>
        <w:t>(Leon et al., 2019)</w:t>
      </w:r>
      <w:r>
        <w:fldChar w:fldCharType="end"/>
      </w:r>
      <w:r w:rsidR="00F35B98">
        <w:t>.</w:t>
      </w:r>
      <w:r>
        <w:t xml:space="preserve"> </w:t>
      </w:r>
    </w:p>
    <w:p w14:paraId="2BB2D4BA" w14:textId="77777777" w:rsidR="00382AC9" w:rsidRPr="00471683" w:rsidRDefault="00382AC9" w:rsidP="00382AC9"/>
    <w:p w14:paraId="0697A510" w14:textId="77777777" w:rsidR="00382AC9" w:rsidRDefault="00382AC9" w:rsidP="00382AC9">
      <w:pPr>
        <w:pStyle w:val="Heading3"/>
        <w:rPr>
          <w:lang w:eastAsia="en-GB"/>
        </w:rPr>
      </w:pPr>
      <w:bookmarkStart w:id="63" w:name="_Toc133496264"/>
      <w:r>
        <w:rPr>
          <w:lang w:eastAsia="en-GB"/>
        </w:rPr>
        <w:t>Lack of consensus</w:t>
      </w:r>
      <w:bookmarkEnd w:id="63"/>
    </w:p>
    <w:p w14:paraId="02A400DA" w14:textId="6E1D963F" w:rsidR="00382AC9" w:rsidRPr="0062187C" w:rsidRDefault="00C13465" w:rsidP="00382AC9">
      <w:r>
        <w:t>It may be that</w:t>
      </w:r>
      <w:r w:rsidR="00AF44B0">
        <w:t xml:space="preserve"> in</w:t>
      </w:r>
      <w:r>
        <w:t xml:space="preserve"> the</w:t>
      </w:r>
      <w:r w:rsidR="00AF44B0">
        <w:t xml:space="preserve"> </w:t>
      </w:r>
      <w:r w:rsidR="00880F1C">
        <w:t>future</w:t>
      </w:r>
      <w:r w:rsidR="00AF44B0">
        <w:t xml:space="preserve"> when you are reading these words history may appear more clear,</w:t>
      </w:r>
      <w:r w:rsidR="00DF715A">
        <w:t xml:space="preserve"> but</w:t>
      </w:r>
      <w:r w:rsidR="00AF44B0">
        <w:t xml:space="preserve"> it is important to note that i</w:t>
      </w:r>
      <w:r w:rsidR="00382AC9">
        <w:t>n 2023 the link between austerity and flatlining life expectancy improvement remain</w:t>
      </w:r>
      <w:r w:rsidR="00AF44B0">
        <w:t>ed very much</w:t>
      </w:r>
      <w:r w:rsidR="00382AC9">
        <w:t xml:space="preserve"> a contested one, with a lack of agreement not only among politicians, but also among public health experts</w:t>
      </w:r>
      <w:r w:rsidR="008E577B">
        <w:t xml:space="preserve"> </w:t>
      </w:r>
      <w:r w:rsidR="00382AC9">
        <w:fldChar w:fldCharType="begin"/>
      </w:r>
      <w:r w:rsidR="001076C5">
        <w:instrText xml:space="preserve"> ADDIN ZOTERO_ITEM CSL_CITATION {"citationID":"zRvznkda","properties":{"formattedCitation":"(Hiam, Dorling, et al., 2023b)","plainCitation":"(Hiam, Dorling, et al., 2023b)","noteIndex":0},"citationItems":[{"id":1484,"uris":["http://zotero.org/users/7125982/items/646NRWAW"],"itemData":{"id":1484,"type":"article-journal","abstract":"Objectives\nTo ascertain the views of public health experts on adverse trends in life expectancy across England and Wales over the past decade, causal factors, possible solutions, and their opinions about how the prepandemic situation influenced the UK's COVID-19 response.\n\nStudy design\nSemistructured, in-depth interviews.\n\nMethods\nNineteen public health experts were identified by purposeful sampling and invited to take part via e-mail. Sixty-three percent responded and participated (n = 12), six females and six males. Interviews took place via Microsoft Teams between November 2021 and January 2022. Interviews were transcribed and analysed using thematic content analysis.\n\nResults\nThere was no consensus on the significance of the stalling and, at some ages, reversal of previous improvements in life expectancy between 2010 and 2020. Explanations offered included data misinterpretation, widening health inequalities, and disinvestment in public services, as well as some disease-specific causes. Those accepting that the decline was concerning linked it to social factors and suggested solutions based on increased investment and implementing existing evidence on how to reduce health inequalities. These interviewees also pointed to the same factors playing a role in the UK's poor COVID-19 response, highlighting the need to understand and address these underlying issues as part of pandemic preparedness.\n\nConclusions\nThere was no consensus among a group of influential public health experts in the UK on the scale, nature, and explanations of recent trends in life expectancy. A majority called for implementation of existing evidence on reducing inequalities, especially in the wake of COVID-19. However, without agreement on what the problem is, action is likely to remain elusive.","container-title":"Public Health","DOI":"10.1016/j.puhe.2022.10.019","ISSN":"0033-3506","journalAbbreviation":"Public Health","note":"PMID: 36528937\nPMCID: PMC9754903","page":"96-105","source":"PubMed Central","title":"When experts disagree: interviews with public health experts on health outcomes in the UK 2010–2020","title-short":"When experts disagree","volume":"214","author":[{"family":"Hiam","given":"Lucinda"},{"family":"Dorling","given":"Danny"},{"family":"McKee","given":"Martin"}],"issued":{"date-parts":[["2023",1]]}}}],"schema":"https://github.com/citation-style-language/schema/raw/master/csl-citation.json"} </w:instrText>
      </w:r>
      <w:r w:rsidR="00382AC9">
        <w:fldChar w:fldCharType="separate"/>
      </w:r>
      <w:r w:rsidR="001076C5">
        <w:rPr>
          <w:rFonts w:ascii="Times New Roman" w:hAnsi="Times New Roman"/>
          <w:sz w:val="24"/>
        </w:rPr>
        <w:t>(Hiam, Dorling, et al., 2023b)</w:t>
      </w:r>
      <w:r w:rsidR="00382AC9">
        <w:fldChar w:fldCharType="end"/>
      </w:r>
      <w:r w:rsidR="008E577B">
        <w:t>.</w:t>
      </w:r>
      <w:r w:rsidR="00382AC9">
        <w:t xml:space="preserve"> There </w:t>
      </w:r>
      <w:r w:rsidR="00AF44B0">
        <w:t>we</w:t>
      </w:r>
      <w:r w:rsidR="00382AC9">
        <w:t>re those who assert</w:t>
      </w:r>
      <w:r w:rsidR="00AF44B0">
        <w:t>ed that</w:t>
      </w:r>
      <w:r w:rsidR="00382AC9">
        <w:t xml:space="preserve"> it cannot be proven that austerity has caused harm to health, as it is impossible to analyse the impact of no austerity compared to austerity. However </w:t>
      </w:r>
      <w:r w:rsidR="00AF44B0">
        <w:t xml:space="preserve">others </w:t>
      </w:r>
      <w:r w:rsidR="00993065">
        <w:t>suggested</w:t>
      </w:r>
      <w:r w:rsidR="00AF44B0">
        <w:t xml:space="preserve"> that</w:t>
      </w:r>
      <w:r w:rsidR="00382AC9">
        <w:t xml:space="preserve"> is reasonable to draw conclusions with </w:t>
      </w:r>
      <w:r w:rsidR="00AF44B0">
        <w:t xml:space="preserve">the use of the </w:t>
      </w:r>
      <w:r w:rsidR="00382AC9">
        <w:t>mounting evidence and plausibility, along with other criteria for cause and effect</w:t>
      </w:r>
      <w:r w:rsidR="008E577B">
        <w:t xml:space="preserve"> </w:t>
      </w:r>
      <w:r w:rsidR="00382AC9">
        <w:fldChar w:fldCharType="begin"/>
      </w:r>
      <w:r w:rsidR="00626CB8">
        <w:instrText xml:space="preserve"> ADDIN ZOTERO_ITEM CSL_CITATION {"citationID":"jKdbESsK","properties":{"formattedCitation":"(Hiam, Dorling, et al., 2018)","plainCitation":"(Hiam, Dorling, et al., 2018)","noteIndex":0},"citationItems":[{"id":1051,"uris":["http://zotero.org/users/7125982/items/XU3KXAW8","http://zotero.org/users/7125982/items/SQF5BWT4"],"itemData":{"id":1051,"type":"article-journal","container-title":"J R Soc Med","DOI":"10.1177/0141076818779237","ISSN":"0141-0768","issue":"6","journalAbbreviation":"Journal of the Royal Society of Medicine","language":"eng","page":"199-202","title":"The cuts and poor health: when and how can we say that one thing causes another?","volume":"111","author":[{"family":"Hiam","given":"L."},{"family":"Dorling","given":"D."},{"family":"McKee","given":"M."}],"issued":{"date-parts":[["2018",6]]}}}],"schema":"https://github.com/citation-style-language/schema/raw/master/csl-citation.json"} </w:instrText>
      </w:r>
      <w:r w:rsidR="00382AC9">
        <w:fldChar w:fldCharType="separate"/>
      </w:r>
      <w:r w:rsidR="0099441B">
        <w:rPr>
          <w:rFonts w:ascii="Times New Roman" w:hAnsi="Times New Roman"/>
          <w:sz w:val="24"/>
        </w:rPr>
        <w:t>(Hiam, Dorling, et al., 2018)</w:t>
      </w:r>
      <w:r w:rsidR="00382AC9">
        <w:fldChar w:fldCharType="end"/>
      </w:r>
      <w:r w:rsidR="008E577B">
        <w:t>.</w:t>
      </w:r>
      <w:r w:rsidR="00382AC9">
        <w:t xml:space="preserve"> </w:t>
      </w:r>
      <w:r w:rsidR="00DA6950">
        <w:t>Finally</w:t>
      </w:r>
      <w:r w:rsidR="00880F1C">
        <w:t>,</w:t>
      </w:r>
      <w:r w:rsidR="00AF44B0">
        <w:t xml:space="preserve"> we </w:t>
      </w:r>
      <w:r w:rsidR="003719E5">
        <w:t>explore further</w:t>
      </w:r>
      <w:r w:rsidR="00AF44B0">
        <w:t xml:space="preserve"> by asking: ‘</w:t>
      </w:r>
      <w:r w:rsidR="00382AC9">
        <w:t>Could some of the key answers to settling this lack of consensus lie with the fate of the Golden Cohort?</w:t>
      </w:r>
      <w:r w:rsidR="00AF44B0">
        <w:t>’</w:t>
      </w:r>
    </w:p>
    <w:p w14:paraId="68C15AD9" w14:textId="77777777" w:rsidR="00382AC9" w:rsidRPr="00524923" w:rsidRDefault="00382AC9" w:rsidP="00382AC9">
      <w:pPr>
        <w:pStyle w:val="ListParagraph"/>
        <w:rPr>
          <w:lang w:eastAsia="en-GB"/>
        </w:rPr>
      </w:pPr>
    </w:p>
    <w:p w14:paraId="5CC724C1" w14:textId="77777777" w:rsidR="00382AC9" w:rsidRDefault="00382AC9" w:rsidP="00382AC9">
      <w:pPr>
        <w:pStyle w:val="Heading2"/>
        <w:rPr>
          <w:rFonts w:eastAsia="Times New Roman"/>
          <w:lang w:eastAsia="en-GB"/>
        </w:rPr>
      </w:pPr>
      <w:bookmarkStart w:id="64" w:name="_Toc133496265"/>
      <w:r>
        <w:rPr>
          <w:rFonts w:eastAsia="Times New Roman"/>
          <w:lang w:eastAsia="en-GB"/>
        </w:rPr>
        <w:t>Austerity and the Golden Cohort</w:t>
      </w:r>
      <w:bookmarkEnd w:id="64"/>
      <w:r>
        <w:rPr>
          <w:rFonts w:eastAsia="Times New Roman"/>
          <w:lang w:eastAsia="en-GB"/>
        </w:rPr>
        <w:t xml:space="preserve"> </w:t>
      </w:r>
    </w:p>
    <w:p w14:paraId="5ED9DC80" w14:textId="0019D8C4" w:rsidR="00382AC9" w:rsidRDefault="00382AC9" w:rsidP="00382AC9">
      <w:r>
        <w:t xml:space="preserve">By mid-2011, 2.7 million of the Golden Cohort remained alive, now with substantially more females than males (see </w:t>
      </w:r>
      <w:r>
        <w:fldChar w:fldCharType="begin"/>
      </w:r>
      <w:r>
        <w:instrText xml:space="preserve"> REF _Ref133074982 </w:instrText>
      </w:r>
      <w:r>
        <w:fldChar w:fldCharType="separate"/>
      </w:r>
      <w:r w:rsidR="00BE338B">
        <w:t xml:space="preserve">Figure </w:t>
      </w:r>
      <w:r w:rsidR="00BE338B">
        <w:rPr>
          <w:noProof/>
        </w:rPr>
        <w:t>5</w:t>
      </w:r>
      <w:r>
        <w:fldChar w:fldCharType="end"/>
      </w:r>
      <w:r>
        <w:t xml:space="preserve">). The Golden Cohort continued to see remarkable mortality improvements up until 2008 compared to those born both before and after them </w:t>
      </w:r>
      <w:r w:rsidR="00A34BD6">
        <w:t>(</w:t>
      </w:r>
      <w:r w:rsidR="000A5ABD">
        <w:fldChar w:fldCharType="begin"/>
      </w:r>
      <w:r w:rsidR="000A5ABD">
        <w:instrText xml:space="preserve"> REF _Ref134704269 </w:instrText>
      </w:r>
      <w:r w:rsidR="000A5ABD">
        <w:fldChar w:fldCharType="separate"/>
      </w:r>
      <w:r w:rsidR="00BE338B">
        <w:t xml:space="preserve">Figure </w:t>
      </w:r>
      <w:r w:rsidR="00BE338B">
        <w:rPr>
          <w:noProof/>
        </w:rPr>
        <w:t>2</w:t>
      </w:r>
      <w:r w:rsidR="000A5ABD">
        <w:fldChar w:fldCharType="end"/>
      </w:r>
      <w:r w:rsidR="00A34BD6">
        <w:t>)</w:t>
      </w:r>
      <w:r w:rsidR="000A5ABD">
        <w:t xml:space="preserve">. </w:t>
      </w:r>
      <w:r>
        <w:t xml:space="preserve">Here we present the latest available data on the mortality improvements of this </w:t>
      </w:r>
      <w:r>
        <w:lastRenderedPageBreak/>
        <w:t xml:space="preserve">generation in recent years, to explore what happened to the Golden Cohort in the 2010s when austerity came into effect. At the beginning of the decade, the Golden Cohort were aged between 76 and 85 years old. Statistically, there were few years of life left for this remarkable generation. Yet, as we demonstrate, over time, those few years became even fewer, as they began to die at a faster rate the cohorts born before them had. In short, the Golden Cohort </w:t>
      </w:r>
      <w:r w:rsidR="00AF44B0">
        <w:t xml:space="preserve">in its final years </w:t>
      </w:r>
      <w:r>
        <w:t xml:space="preserve">was shattered. What we find is that the trend shown in </w:t>
      </w:r>
      <w:r>
        <w:fldChar w:fldCharType="begin"/>
      </w:r>
      <w:r>
        <w:instrText xml:space="preserve"> REF _Ref133309009 </w:instrText>
      </w:r>
      <w:r>
        <w:fldChar w:fldCharType="separate"/>
      </w:r>
      <w:r w:rsidR="00BE338B">
        <w:t xml:space="preserve">Figure </w:t>
      </w:r>
      <w:r w:rsidR="00BE338B">
        <w:rPr>
          <w:noProof/>
        </w:rPr>
        <w:t>14</w:t>
      </w:r>
      <w:r>
        <w:fldChar w:fldCharType="end"/>
      </w:r>
      <w:r>
        <w:t xml:space="preserve"> was caused to a disproportionate degree by what happened to the Golden Cohort</w:t>
      </w:r>
      <w:r w:rsidR="006B7318">
        <w:t xml:space="preserve"> in those years – a period effect</w:t>
      </w:r>
      <w:r>
        <w:t>.</w:t>
      </w:r>
    </w:p>
    <w:p w14:paraId="66ECF2EA" w14:textId="77777777" w:rsidR="00382AC9" w:rsidRDefault="00382AC9" w:rsidP="00382AC9"/>
    <w:p w14:paraId="2B2FE1BC" w14:textId="77777777" w:rsidR="00382AC9" w:rsidRDefault="00382AC9" w:rsidP="00382AC9">
      <w:pPr>
        <w:pStyle w:val="Heading2"/>
      </w:pPr>
      <w:bookmarkStart w:id="65" w:name="_Toc133496266"/>
      <w:r>
        <w:t>Data sources and methods</w:t>
      </w:r>
      <w:bookmarkEnd w:id="65"/>
    </w:p>
    <w:p w14:paraId="66F3C442" w14:textId="5FF2FDF9" w:rsidR="00382AC9" w:rsidRDefault="00382AC9" w:rsidP="00382AC9">
      <w:r>
        <w:t>We use publicly available data from the Human Mortality Database (HMD) for 1900 to 2020 for males and females for England and Wales. We have triangulated these data with that provided by the ONS and the results coincided exactly or varied minimally (</w:t>
      </w:r>
      <w:r w:rsidR="008866C1">
        <w:t>e.g.,</w:t>
      </w:r>
      <w:r>
        <w:t xml:space="preserve"> by 1 year)—we present the HMD data here as it has a slightly different definition and allows for international comparisons. First, we show an updated heat map to demonstrate the cohort effect outlined in Section 2 (seen up to 2008 in</w:t>
      </w:r>
      <w:r w:rsidR="000A5ABD">
        <w:t xml:space="preserve"> </w:t>
      </w:r>
      <w:r w:rsidR="000A5ABD">
        <w:fldChar w:fldCharType="begin"/>
      </w:r>
      <w:r w:rsidR="000A5ABD">
        <w:instrText xml:space="preserve"> REF _Ref134704269 </w:instrText>
      </w:r>
      <w:r w:rsidR="000A5ABD">
        <w:fldChar w:fldCharType="separate"/>
      </w:r>
      <w:r w:rsidR="00BE338B">
        <w:t xml:space="preserve">Figure </w:t>
      </w:r>
      <w:r w:rsidR="00BE338B">
        <w:rPr>
          <w:noProof/>
        </w:rPr>
        <w:t>2</w:t>
      </w:r>
      <w:r w:rsidR="000A5ABD">
        <w:fldChar w:fldCharType="end"/>
      </w:r>
      <w:r>
        <w:t>). Next, we look in more detail at the change in life expectancy improvements, presented as descriptive graphs</w:t>
      </w:r>
      <w:r w:rsidRPr="000D046A">
        <w:rPr>
          <w:rStyle w:val="FootnoteReference"/>
        </w:rPr>
        <w:footnoteReference w:id="4"/>
      </w:r>
      <w:r>
        <w:t xml:space="preserve">. </w:t>
      </w:r>
    </w:p>
    <w:p w14:paraId="30BD0573" w14:textId="77777777" w:rsidR="00382AC9" w:rsidRDefault="00382AC9" w:rsidP="00382AC9"/>
    <w:p w14:paraId="5E86CEB6" w14:textId="77777777" w:rsidR="00382AC9" w:rsidRDefault="00382AC9" w:rsidP="00382AC9">
      <w:pPr>
        <w:pStyle w:val="Heading2"/>
      </w:pPr>
      <w:bookmarkStart w:id="66" w:name="_Toc133496267"/>
      <w:r>
        <w:t>Results</w:t>
      </w:r>
      <w:bookmarkEnd w:id="66"/>
    </w:p>
    <w:p w14:paraId="74B51653" w14:textId="77777777" w:rsidR="00382AC9" w:rsidRDefault="00382AC9" w:rsidP="00382AC9">
      <w:pPr>
        <w:pStyle w:val="Heading3"/>
      </w:pPr>
      <w:bookmarkStart w:id="67" w:name="_Toc133496268"/>
      <w:r>
        <w:t>Lexis diagrams (or heat maps)</w:t>
      </w:r>
      <w:bookmarkEnd w:id="67"/>
    </w:p>
    <w:p w14:paraId="622651CE" w14:textId="4DC7F976" w:rsidR="00382AC9" w:rsidRDefault="00DA6950" w:rsidP="00382AC9">
      <w:pPr>
        <w:rPr>
          <w:lang w:eastAsia="en-US"/>
        </w:rPr>
      </w:pPr>
      <w:r>
        <w:rPr>
          <w:lang w:eastAsia="en-US"/>
        </w:rPr>
        <w:t>W</w:t>
      </w:r>
      <w:r w:rsidR="00382AC9">
        <w:rPr>
          <w:lang w:eastAsia="en-US"/>
        </w:rPr>
        <w:t xml:space="preserve">e present lexis diagrams similar to those in </w:t>
      </w:r>
      <w:r w:rsidR="000A5ABD">
        <w:rPr>
          <w:lang w:eastAsia="en-US"/>
        </w:rPr>
        <w:fldChar w:fldCharType="begin"/>
      </w:r>
      <w:r w:rsidR="000A5ABD">
        <w:rPr>
          <w:lang w:eastAsia="en-US"/>
        </w:rPr>
        <w:instrText xml:space="preserve"> REF _Ref134704269 </w:instrText>
      </w:r>
      <w:r w:rsidR="000A5ABD">
        <w:rPr>
          <w:lang w:eastAsia="en-US"/>
        </w:rPr>
        <w:fldChar w:fldCharType="separate"/>
      </w:r>
      <w:r w:rsidR="00BE338B">
        <w:t xml:space="preserve">Figure </w:t>
      </w:r>
      <w:r w:rsidR="00BE338B">
        <w:rPr>
          <w:noProof/>
        </w:rPr>
        <w:t>2</w:t>
      </w:r>
      <w:r w:rsidR="000A5ABD">
        <w:rPr>
          <w:lang w:eastAsia="en-US"/>
        </w:rPr>
        <w:fldChar w:fldCharType="end"/>
      </w:r>
      <w:r w:rsidR="000A5ABD">
        <w:rPr>
          <w:lang w:eastAsia="en-US"/>
        </w:rPr>
        <w:t xml:space="preserve"> </w:t>
      </w:r>
      <w:r w:rsidR="00382AC9">
        <w:rPr>
          <w:lang w:eastAsia="en-US"/>
        </w:rPr>
        <w:t xml:space="preserve">with some key differences. First, we have used the latest data up to 2020 (from 1900). Second, we use HMD data for the </w:t>
      </w:r>
      <w:r w:rsidR="00382AC9" w:rsidRPr="00552E81">
        <w:rPr>
          <w:i/>
          <w:iCs/>
          <w:lang w:eastAsia="en-US"/>
        </w:rPr>
        <w:t>civilian</w:t>
      </w:r>
      <w:r w:rsidR="00382AC9">
        <w:rPr>
          <w:lang w:eastAsia="en-US"/>
        </w:rPr>
        <w:t xml:space="preserve"> population of England and Wales. This means the deaths of soldiers during the two World Wars are excluded, though the wider impacts of the wars can still be seen. Third, the data are not smoothed. Finally, the colours are different. Here, purple represents worsening mortality, and green improving mortality, measured as the annual percentage change compared to the 3-year rolling average. The Golden Cohort are highlighted with the two red lines—born between 1925 and 1934. These are presented for females (</w:t>
      </w:r>
      <w:r w:rsidR="00382AC9">
        <w:rPr>
          <w:lang w:eastAsia="en-US"/>
        </w:rPr>
        <w:fldChar w:fldCharType="begin"/>
      </w:r>
      <w:r w:rsidR="00382AC9">
        <w:rPr>
          <w:lang w:eastAsia="en-US"/>
        </w:rPr>
        <w:instrText xml:space="preserve"> REF _Ref133076233 </w:instrText>
      </w:r>
      <w:r w:rsidR="00382AC9">
        <w:rPr>
          <w:lang w:eastAsia="en-US"/>
        </w:rPr>
        <w:fldChar w:fldCharType="separate"/>
      </w:r>
      <w:r w:rsidR="00BE338B">
        <w:t xml:space="preserve">Figure </w:t>
      </w:r>
      <w:r w:rsidR="00BE338B">
        <w:rPr>
          <w:noProof/>
        </w:rPr>
        <w:t>17</w:t>
      </w:r>
      <w:r w:rsidR="00382AC9">
        <w:rPr>
          <w:lang w:eastAsia="en-US"/>
        </w:rPr>
        <w:fldChar w:fldCharType="end"/>
      </w:r>
      <w:r w:rsidR="00382AC9">
        <w:rPr>
          <w:lang w:eastAsia="en-US"/>
        </w:rPr>
        <w:t>) and males (</w:t>
      </w:r>
      <w:r w:rsidR="00382AC9">
        <w:rPr>
          <w:lang w:eastAsia="en-US"/>
        </w:rPr>
        <w:fldChar w:fldCharType="begin"/>
      </w:r>
      <w:r w:rsidR="00382AC9">
        <w:rPr>
          <w:lang w:eastAsia="en-US"/>
        </w:rPr>
        <w:instrText xml:space="preserve"> REF _Ref133077050 </w:instrText>
      </w:r>
      <w:r w:rsidR="00382AC9">
        <w:rPr>
          <w:lang w:eastAsia="en-US"/>
        </w:rPr>
        <w:fldChar w:fldCharType="separate"/>
      </w:r>
      <w:r w:rsidR="00BE338B">
        <w:t xml:space="preserve">Figure </w:t>
      </w:r>
      <w:r w:rsidR="00BE338B">
        <w:rPr>
          <w:noProof/>
        </w:rPr>
        <w:t>18</w:t>
      </w:r>
      <w:r w:rsidR="00382AC9">
        <w:rPr>
          <w:lang w:eastAsia="en-US"/>
        </w:rPr>
        <w:fldChar w:fldCharType="end"/>
      </w:r>
      <w:r w:rsidR="00382AC9">
        <w:rPr>
          <w:lang w:eastAsia="en-US"/>
        </w:rPr>
        <w:t>).</w:t>
      </w:r>
    </w:p>
    <w:p w14:paraId="731D3C27" w14:textId="77777777" w:rsidR="00382AC9" w:rsidRDefault="00382AC9" w:rsidP="00382AC9">
      <w:pPr>
        <w:rPr>
          <w:lang w:eastAsia="en-US"/>
        </w:rPr>
      </w:pPr>
    </w:p>
    <w:p w14:paraId="439988B9" w14:textId="71A96712" w:rsidR="00382AC9" w:rsidRDefault="00BE0651" w:rsidP="00382AC9">
      <w:pPr>
        <w:keepNext/>
      </w:pPr>
      <w:r w:rsidRPr="00762685">
        <w:rPr>
          <w:noProof/>
        </w:rPr>
        <w:lastRenderedPageBreak/>
        <w:drawing>
          <wp:inline distT="0" distB="0" distL="0" distR="0" wp14:anchorId="0AE41F78" wp14:editId="6C97F0DE">
            <wp:extent cx="5727700" cy="572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5727700"/>
                    </a:xfrm>
                    <a:prstGeom prst="rect">
                      <a:avLst/>
                    </a:prstGeom>
                  </pic:spPr>
                </pic:pic>
              </a:graphicData>
            </a:graphic>
          </wp:inline>
        </w:drawing>
      </w:r>
    </w:p>
    <w:p w14:paraId="741EF20D" w14:textId="0BBA1516" w:rsidR="00382AC9" w:rsidRPr="008029DA" w:rsidRDefault="00382AC9" w:rsidP="00382AC9">
      <w:pPr>
        <w:pStyle w:val="Caption"/>
      </w:pPr>
      <w:bookmarkStart w:id="68" w:name="_Ref133076233"/>
      <w:bookmarkStart w:id="69" w:name="_Toc133496269"/>
      <w:r>
        <w:t xml:space="preserve">Figure </w:t>
      </w:r>
      <w:r w:rsidR="00537CEF">
        <w:fldChar w:fldCharType="begin"/>
      </w:r>
      <w:r w:rsidR="00537CEF">
        <w:instrText xml:space="preserve"> SEQ Figure \* ARABIC </w:instrText>
      </w:r>
      <w:r w:rsidR="00537CEF">
        <w:fldChar w:fldCharType="separate"/>
      </w:r>
      <w:r w:rsidR="00537CEF">
        <w:rPr>
          <w:noProof/>
        </w:rPr>
        <w:t>17</w:t>
      </w:r>
      <w:r w:rsidR="00537CEF">
        <w:fldChar w:fldCharType="end"/>
      </w:r>
      <w:bookmarkEnd w:id="68"/>
      <w:r>
        <w:t xml:space="preserve">: Annual percentage change in female mortality rates in England and Wales, civilian population, 1900-2020 (3-year rolling averages – comparing the three year period up to the year shown with the three years immediately prior to those three years – so the 2020 column is the average annual </w:t>
      </w:r>
      <w:r w:rsidR="00B61765">
        <w:t>change</w:t>
      </w:r>
      <w:r>
        <w:t xml:space="preserve"> in mortality between 2015-2017 and 2018-2020).</w:t>
      </w:r>
      <w:bookmarkEnd w:id="69"/>
    </w:p>
    <w:p w14:paraId="01D4F148" w14:textId="77777777" w:rsidR="00B61765" w:rsidRDefault="00B61765" w:rsidP="00382AC9"/>
    <w:p w14:paraId="6238DC8C" w14:textId="324B808E" w:rsidR="00382AC9" w:rsidRDefault="00382AC9" w:rsidP="00382AC9">
      <w:r>
        <w:fldChar w:fldCharType="begin"/>
      </w:r>
      <w:r>
        <w:instrText xml:space="preserve"> REF _Ref133076233 </w:instrText>
      </w:r>
      <w:r>
        <w:fldChar w:fldCharType="separate"/>
      </w:r>
      <w:r w:rsidR="00BE338B">
        <w:t xml:space="preserve">Figure </w:t>
      </w:r>
      <w:r w:rsidR="00BE338B">
        <w:rPr>
          <w:noProof/>
        </w:rPr>
        <w:t>17</w:t>
      </w:r>
      <w:r>
        <w:fldChar w:fldCharType="end"/>
      </w:r>
      <w:r>
        <w:t xml:space="preserve"> shows the annual percentage change in female mortality rates from 1900 to 2020 (increase in mortality in purple, decrease in mortality</w:t>
      </w:r>
      <w:r w:rsidR="00DA6950">
        <w:t xml:space="preserve"> in</w:t>
      </w:r>
      <w:r>
        <w:t xml:space="preserve"> green). The same trend of mortality improvements (green) shown in </w:t>
      </w:r>
      <w:r w:rsidR="001035DA">
        <w:fldChar w:fldCharType="begin"/>
      </w:r>
      <w:r w:rsidR="001035DA">
        <w:instrText xml:space="preserve"> REF _Ref134704269 </w:instrText>
      </w:r>
      <w:r w:rsidR="001035DA">
        <w:fldChar w:fldCharType="separate"/>
      </w:r>
      <w:r w:rsidR="00BE338B">
        <w:t xml:space="preserve">Figure </w:t>
      </w:r>
      <w:r w:rsidR="00BE338B">
        <w:rPr>
          <w:noProof/>
        </w:rPr>
        <w:t>2</w:t>
      </w:r>
      <w:r w:rsidR="001035DA">
        <w:fldChar w:fldCharType="end"/>
      </w:r>
      <w:r w:rsidR="001035DA">
        <w:t xml:space="preserve"> </w:t>
      </w:r>
      <w:r>
        <w:t xml:space="preserve">are replicated here up to and beyond 2008, continuing for 2010 and 2011. At 2012, for the older members of the cohort, these change to purple (worsening/increasing mortality), and do not return to green again. For the younger members of the cohort, first the mortality improvements slow, before also declining, and by 2014 the Golden Cohort for the first time since 1942 has declining mortality across almost all ages. Looking beyond the Golden Cohort, the purple squares (worsening mortality) around </w:t>
      </w:r>
      <w:r>
        <w:lastRenderedPageBreak/>
        <w:t>2014 are visible in a vertical stripe across almost age groups and continue for the subsequent years for many (a period effect, see Section 2.2)</w:t>
      </w:r>
      <w:r w:rsidR="008C4377">
        <w:t>.</w:t>
      </w:r>
      <w:r>
        <w:t xml:space="preserve"> This is continued, and for some, worsened, in 2020, when the COVID-19 pandemic hit.</w:t>
      </w:r>
    </w:p>
    <w:p w14:paraId="3A71E291" w14:textId="77777777" w:rsidR="00382AC9" w:rsidRDefault="00382AC9" w:rsidP="00382AC9">
      <w:pPr>
        <w:spacing w:line="240" w:lineRule="auto"/>
        <w:rPr>
          <w:rFonts w:eastAsiaTheme="minorHAnsi"/>
        </w:rPr>
      </w:pPr>
    </w:p>
    <w:p w14:paraId="3E0DAA3F" w14:textId="7C72BD7A" w:rsidR="00382AC9" w:rsidRDefault="00BE0651" w:rsidP="00382AC9">
      <w:pPr>
        <w:keepNext/>
        <w:spacing w:line="240" w:lineRule="auto"/>
      </w:pPr>
      <w:r w:rsidRPr="00F14C11">
        <w:rPr>
          <w:noProof/>
        </w:rPr>
        <w:drawing>
          <wp:inline distT="0" distB="0" distL="0" distR="0" wp14:anchorId="58DBF0C6" wp14:editId="08B0B4B9">
            <wp:extent cx="5727700" cy="5727700"/>
            <wp:effectExtent l="0" t="0" r="0" b="0"/>
            <wp:docPr id="280413636" name="Picture 28041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7700" cy="5727700"/>
                    </a:xfrm>
                    <a:prstGeom prst="rect">
                      <a:avLst/>
                    </a:prstGeom>
                  </pic:spPr>
                </pic:pic>
              </a:graphicData>
            </a:graphic>
          </wp:inline>
        </w:drawing>
      </w:r>
    </w:p>
    <w:p w14:paraId="2D48F6FF" w14:textId="158F8448" w:rsidR="00382AC9" w:rsidRPr="002E363E" w:rsidRDefault="00382AC9" w:rsidP="00382AC9">
      <w:pPr>
        <w:pStyle w:val="Caption"/>
      </w:pPr>
      <w:bookmarkStart w:id="70" w:name="_Ref133077050"/>
      <w:bookmarkStart w:id="71" w:name="_Toc133496270"/>
      <w:r>
        <w:t xml:space="preserve">Figure </w:t>
      </w:r>
      <w:r w:rsidR="00537CEF">
        <w:fldChar w:fldCharType="begin"/>
      </w:r>
      <w:r w:rsidR="00537CEF">
        <w:instrText xml:space="preserve"> SEQ Figure \* ARABIC </w:instrText>
      </w:r>
      <w:r w:rsidR="00537CEF">
        <w:fldChar w:fldCharType="separate"/>
      </w:r>
      <w:r w:rsidR="00537CEF">
        <w:rPr>
          <w:noProof/>
        </w:rPr>
        <w:t>18</w:t>
      </w:r>
      <w:r w:rsidR="00537CEF">
        <w:fldChar w:fldCharType="end"/>
      </w:r>
      <w:bookmarkEnd w:id="70"/>
      <w:r>
        <w:t xml:space="preserve">: </w:t>
      </w:r>
      <w:r w:rsidRPr="00A60EE4">
        <w:t xml:space="preserve">Annual percentage change in </w:t>
      </w:r>
      <w:r>
        <w:t>male</w:t>
      </w:r>
      <w:r w:rsidRPr="00A60EE4">
        <w:t xml:space="preserve"> mortality rates in England and Wales, civilian population, 1900-2020 (3-year rolling averages).</w:t>
      </w:r>
      <w:bookmarkEnd w:id="71"/>
    </w:p>
    <w:p w14:paraId="2D64BC7A" w14:textId="77777777" w:rsidR="00B61765" w:rsidRDefault="00B61765" w:rsidP="00382AC9">
      <w:pPr>
        <w:rPr>
          <w:rFonts w:eastAsiaTheme="minorHAnsi" w:cstheme="minorBidi"/>
          <w:kern w:val="2"/>
          <w:lang w:eastAsia="en-US"/>
          <w14:ligatures w14:val="standardContextual"/>
        </w:rPr>
      </w:pPr>
    </w:p>
    <w:p w14:paraId="633872BF" w14:textId="6D9AA1D8" w:rsidR="00382AC9" w:rsidRDefault="00382AC9" w:rsidP="00382AC9">
      <w:pPr>
        <w:rPr>
          <w:rFonts w:eastAsiaTheme="minorHAnsi" w:cstheme="minorBidi"/>
          <w:kern w:val="2"/>
          <w:lang w:eastAsia="en-US"/>
          <w14:ligatures w14:val="standardContextual"/>
        </w:rPr>
      </w:pPr>
      <w:r>
        <w:rPr>
          <w:rFonts w:eastAsiaTheme="minorHAnsi" w:cstheme="minorBidi"/>
          <w:kern w:val="2"/>
          <w:lang w:eastAsia="en-US"/>
          <w14:ligatures w14:val="standardContextual"/>
        </w:rPr>
        <w:fldChar w:fldCharType="begin"/>
      </w:r>
      <w:r>
        <w:rPr>
          <w:rFonts w:eastAsiaTheme="minorHAnsi" w:cstheme="minorBidi"/>
          <w:kern w:val="2"/>
          <w:lang w:eastAsia="en-US"/>
          <w14:ligatures w14:val="standardContextual"/>
        </w:rPr>
        <w:instrText xml:space="preserve"> REF _Ref133077050 </w:instrText>
      </w:r>
      <w:r>
        <w:rPr>
          <w:rFonts w:eastAsiaTheme="minorHAnsi" w:cstheme="minorBidi"/>
          <w:kern w:val="2"/>
          <w:lang w:eastAsia="en-US"/>
          <w14:ligatures w14:val="standardContextual"/>
        </w:rPr>
        <w:fldChar w:fldCharType="separate"/>
      </w:r>
      <w:r w:rsidR="00BE338B">
        <w:t xml:space="preserve">Figure </w:t>
      </w:r>
      <w:r w:rsidR="00BE338B">
        <w:rPr>
          <w:noProof/>
        </w:rPr>
        <w:t>18</w:t>
      </w:r>
      <w:r>
        <w:rPr>
          <w:rFonts w:eastAsiaTheme="minorHAnsi" w:cstheme="minorBidi"/>
          <w:kern w:val="2"/>
          <w:lang w:eastAsia="en-US"/>
          <w14:ligatures w14:val="standardContextual"/>
        </w:rPr>
        <w:fldChar w:fldCharType="end"/>
      </w:r>
      <w:r>
        <w:rPr>
          <w:rFonts w:eastAsiaTheme="minorHAnsi" w:cstheme="minorBidi"/>
          <w:kern w:val="2"/>
          <w:lang w:eastAsia="en-US"/>
          <w14:ligatures w14:val="standardContextual"/>
        </w:rPr>
        <w:t xml:space="preserve"> shows the same for males from 1900 to 2020. It is important again to note here these data are for the civilian population, though men decommissioned from fighting became civilians and many were very badly injured, and some did not survive their wounds. This shows a similar pattern to females, with many good years of improvement after WWII (green), but, in contrast to females, more varied experiences in middle age though still better than generations either side. As shown in females, for males these trends of consistent mortality improvements continue post-2008 into 2010 and 2011 but in 2012 and the </w:t>
      </w:r>
      <w:r>
        <w:rPr>
          <w:rFonts w:eastAsiaTheme="minorHAnsi" w:cstheme="minorBidi"/>
          <w:kern w:val="2"/>
          <w:lang w:eastAsia="en-US"/>
          <w14:ligatures w14:val="standardContextual"/>
        </w:rPr>
        <w:lastRenderedPageBreak/>
        <w:t>subsequent years mortality improvements stall and, for some ages, reduce. As for females, a similar period effect is seen across many years at this period (2012-14 onwards), and the impact of the 2020 COVID-19 pandemic clear.</w:t>
      </w:r>
    </w:p>
    <w:p w14:paraId="0796E8A0" w14:textId="77777777" w:rsidR="00382AC9" w:rsidRDefault="00382AC9" w:rsidP="00382AC9">
      <w:pPr>
        <w:rPr>
          <w:rFonts w:eastAsiaTheme="minorHAnsi" w:cstheme="minorBidi"/>
          <w:kern w:val="2"/>
          <w:lang w:eastAsia="en-US"/>
          <w14:ligatures w14:val="standardContextual"/>
        </w:rPr>
      </w:pPr>
    </w:p>
    <w:p w14:paraId="4366F06E" w14:textId="77777777" w:rsidR="00382AC9" w:rsidRDefault="00382AC9" w:rsidP="00382AC9">
      <w:pPr>
        <w:rPr>
          <w:rFonts w:eastAsiaTheme="minorHAnsi" w:cstheme="minorBidi"/>
          <w:kern w:val="2"/>
          <w:lang w:eastAsia="en-US"/>
          <w14:ligatures w14:val="standardContextual"/>
        </w:rPr>
      </w:pPr>
      <w:r>
        <w:rPr>
          <w:rFonts w:eastAsiaTheme="minorHAnsi" w:cstheme="minorBidi"/>
          <w:kern w:val="2"/>
          <w:lang w:eastAsia="en-US"/>
          <w14:ligatures w14:val="standardContextual"/>
        </w:rPr>
        <w:t>Another consistent finding in both Figures is an apparent cohort effect seen of those born around 1918-1919—a purple stripe from the late 1950s onwards. This is consistent with the impact of those born to mothers who had influenza in 1918 while pregnant (see Section 2.1) and may be one reason the Golden Cohort did so much better than the generation born just before them.</w:t>
      </w:r>
    </w:p>
    <w:p w14:paraId="5F228F8A" w14:textId="77777777" w:rsidR="00382AC9" w:rsidRDefault="00382AC9" w:rsidP="00382AC9">
      <w:pPr>
        <w:rPr>
          <w:rFonts w:eastAsiaTheme="minorHAnsi" w:cstheme="minorBidi"/>
          <w:kern w:val="2"/>
          <w:lang w:eastAsia="en-US"/>
          <w14:ligatures w14:val="standardContextual"/>
        </w:rPr>
      </w:pPr>
    </w:p>
    <w:p w14:paraId="4BE98A55" w14:textId="77777777" w:rsidR="00382AC9" w:rsidRDefault="00382AC9" w:rsidP="00382AC9">
      <w:r>
        <w:t>A key finding in both lexis diagrams is that while the Golden Cohort have had a remarkable lifetime of mortality improvements, it has not always been the case. This is important as it suggests what is being seen is not a “birth cohort effect”, but a series of economic and social events, as outlined in Section 3, that for them were often very beneficial to their health and, consequently, their lower mortality.</w:t>
      </w:r>
    </w:p>
    <w:p w14:paraId="596CB99E" w14:textId="77777777" w:rsidR="00382AC9" w:rsidRDefault="00382AC9" w:rsidP="00382AC9"/>
    <w:p w14:paraId="3B19BAF7" w14:textId="77777777" w:rsidR="00382AC9" w:rsidRPr="00471683" w:rsidRDefault="00382AC9" w:rsidP="00382AC9">
      <w:pPr>
        <w:pStyle w:val="Heading3"/>
      </w:pPr>
      <w:bookmarkStart w:id="72" w:name="_Toc133496271"/>
      <w:r>
        <w:t>Changes in life expectancy at different ages</w:t>
      </w:r>
      <w:bookmarkEnd w:id="72"/>
    </w:p>
    <w:p w14:paraId="73F9A4BF" w14:textId="5DDD9ED8" w:rsidR="00DC078D" w:rsidRDefault="00382AC9" w:rsidP="00382AC9">
      <w:r>
        <w:t>It is clear from the heat map that the Golden Cohort saw an unusual and large number of years of improvement compared to those born before and after them (the green squares)</w:t>
      </w:r>
      <w:r w:rsidR="00DC078D">
        <w:t xml:space="preserve"> for almost </w:t>
      </w:r>
      <w:r w:rsidR="00F4068A">
        <w:t>all</w:t>
      </w:r>
      <w:r w:rsidR="00DC078D">
        <w:t xml:space="preserve"> their lives </w:t>
      </w:r>
      <w:r>
        <w:t>until 2012. To examine this in more detail</w:t>
      </w:r>
      <w:r w:rsidR="00DC078D">
        <w:t>,</w:t>
      </w:r>
      <w:r>
        <w:t xml:space="preserve"> and their later years, we next compare life expectancy at ages 55, 65, 75, 85, and 95 (denoted ‘e55, e65’ etc.), for females and males in England and Wales from 1978 to 2020. </w:t>
      </w:r>
      <w:r>
        <w:fldChar w:fldCharType="begin"/>
      </w:r>
      <w:r>
        <w:instrText xml:space="preserve"> REF _Ref133077749 </w:instrText>
      </w:r>
      <w:r>
        <w:fldChar w:fldCharType="separate"/>
      </w:r>
      <w:r w:rsidR="00BE338B">
        <w:t xml:space="preserve">Figure </w:t>
      </w:r>
      <w:r w:rsidR="00BE338B">
        <w:rPr>
          <w:noProof/>
        </w:rPr>
        <w:t>19</w:t>
      </w:r>
      <w:r>
        <w:fldChar w:fldCharType="end"/>
      </w:r>
      <w:r w:rsidR="00E512DF">
        <w:t>, below,</w:t>
      </w:r>
      <w:r>
        <w:t xml:space="preserve"> includes five lines. Each line shows the </w:t>
      </w:r>
      <w:r w:rsidR="00DC078D">
        <w:t xml:space="preserve">annual </w:t>
      </w:r>
      <w:r>
        <w:t>change in life expectancy for people of that age group. T</w:t>
      </w:r>
      <w:r w:rsidR="00DC078D">
        <w:t>o be precise over our definition of change: t</w:t>
      </w:r>
      <w:r>
        <w:t>he three-year average life expectancy</w:t>
      </w:r>
      <w:r w:rsidR="00DC078D">
        <w:t xml:space="preserve"> up to any year</w:t>
      </w:r>
      <w:r>
        <w:t xml:space="preserve"> is compared to th</w:t>
      </w:r>
      <w:r w:rsidR="00DC078D">
        <w:t xml:space="preserve">e </w:t>
      </w:r>
      <w:r w:rsidR="00D53014">
        <w:t>three-year</w:t>
      </w:r>
      <w:r w:rsidR="00DC078D">
        <w:t xml:space="preserve"> period</w:t>
      </w:r>
      <w:r>
        <w:t xml:space="preserve"> immediately before and the change is </w:t>
      </w:r>
      <w:r w:rsidR="00DC078D">
        <w:t xml:space="preserve">reported as </w:t>
      </w:r>
      <w:r>
        <w:t>an annual rate of change (in years).</w:t>
      </w:r>
    </w:p>
    <w:p w14:paraId="53692E1F" w14:textId="77777777" w:rsidR="00DC078D" w:rsidRDefault="00DC078D" w:rsidP="00382AC9"/>
    <w:p w14:paraId="65266407" w14:textId="79FF3CBB" w:rsidR="00382AC9" w:rsidRDefault="00DC078D" w:rsidP="00382AC9">
      <w:r>
        <w:t xml:space="preserve">An example: </w:t>
      </w:r>
      <w:r w:rsidR="00E512DF">
        <w:t>i</w:t>
      </w:r>
      <w:r w:rsidR="00382AC9">
        <w:t>n 2009-2011 women aged 55 had a life expectancy of 29.34 years. The equivalent figure for 2006-2008 was 28.63 years. The difference between those two numbers is 0.71 years over a three-year period. Dividing that by three</w:t>
      </w:r>
      <w:r>
        <w:t xml:space="preserve">, to determine an </w:t>
      </w:r>
      <w:r w:rsidR="0036079B">
        <w:t xml:space="preserve">annual </w:t>
      </w:r>
      <w:r>
        <w:t>rate of change,</w:t>
      </w:r>
      <w:r w:rsidR="00382AC9">
        <w:t xml:space="preserve"> we see that life expectancy for women of these ages was rising at 0.24 years per year; an extra 86 days of life gained</w:t>
      </w:r>
      <w:r>
        <w:t>, each year,</w:t>
      </w:r>
      <w:r w:rsidR="00382AC9">
        <w:t xml:space="preserve"> in just three years (on average). The highest point in the graph below is</w:t>
      </w:r>
      <w:r>
        <w:t xml:space="preserve"> that example,</w:t>
      </w:r>
      <w:r w:rsidR="00382AC9">
        <w:t xml:space="preserve"> 0.24 years. After 2009-2011 the line for those aged 55 dec</w:t>
      </w:r>
      <w:r w:rsidR="002306E4">
        <w:t>r</w:t>
      </w:r>
      <w:r w:rsidR="00382AC9">
        <w:t>eases very substantially in a fall that</w:t>
      </w:r>
      <w:r>
        <w:t xml:space="preserve">, except for briefly in the depths of </w:t>
      </w:r>
      <w:r w:rsidR="009E3B80">
        <w:t>WWII</w:t>
      </w:r>
      <w:r>
        <w:t xml:space="preserve"> in 1942,</w:t>
      </w:r>
      <w:r w:rsidR="00382AC9">
        <w:t xml:space="preserve"> is without precedent.</w:t>
      </w:r>
      <w:r>
        <w:t xml:space="preserve"> </w:t>
      </w:r>
      <w:r w:rsidR="009E3B80">
        <w:fldChar w:fldCharType="begin"/>
      </w:r>
      <w:r w:rsidR="009E3B80">
        <w:instrText xml:space="preserve"> REF _Ref133077749 </w:instrText>
      </w:r>
      <w:r w:rsidR="009E3B80">
        <w:fldChar w:fldCharType="separate"/>
      </w:r>
      <w:r w:rsidR="00BE338B">
        <w:t xml:space="preserve">Figure </w:t>
      </w:r>
      <w:r w:rsidR="00BE338B">
        <w:rPr>
          <w:noProof/>
        </w:rPr>
        <w:t>19</w:t>
      </w:r>
      <w:r w:rsidR="009E3B80">
        <w:fldChar w:fldCharType="end"/>
      </w:r>
      <w:r w:rsidR="009E3B80">
        <w:t xml:space="preserve"> </w:t>
      </w:r>
      <w:r>
        <w:t xml:space="preserve">does not include 1942, </w:t>
      </w:r>
      <w:r w:rsidR="00E512DF">
        <w:t>but that fall is visible in</w:t>
      </w:r>
      <w:r>
        <w:t xml:space="preserve"> the lexis diagram for women </w:t>
      </w:r>
      <w:r w:rsidR="00E512DF">
        <w:t>(</w:t>
      </w:r>
      <w:r w:rsidR="009E3B80">
        <w:fldChar w:fldCharType="begin"/>
      </w:r>
      <w:r w:rsidR="009E3B80">
        <w:instrText xml:space="preserve"> REF _Ref133076233 </w:instrText>
      </w:r>
      <w:r w:rsidR="009E3B80">
        <w:fldChar w:fldCharType="separate"/>
      </w:r>
      <w:r w:rsidR="00BE338B">
        <w:t xml:space="preserve">Figure </w:t>
      </w:r>
      <w:r w:rsidR="00BE338B">
        <w:rPr>
          <w:noProof/>
        </w:rPr>
        <w:t>17</w:t>
      </w:r>
      <w:r w:rsidR="009E3B80">
        <w:fldChar w:fldCharType="end"/>
      </w:r>
      <w:r w:rsidR="00E512DF">
        <w:t>)</w:t>
      </w:r>
      <w:r>
        <w:t>.</w:t>
      </w:r>
    </w:p>
    <w:p w14:paraId="0CD859A1" w14:textId="77777777" w:rsidR="00382AC9" w:rsidRDefault="00382AC9" w:rsidP="00382AC9"/>
    <w:p w14:paraId="62F33D58" w14:textId="0A3CCC94" w:rsidR="00382AC9" w:rsidRDefault="002F532D" w:rsidP="00382AC9">
      <w:pPr>
        <w:keepNext/>
      </w:pPr>
      <w:r>
        <w:rPr>
          <w:noProof/>
          <w14:ligatures w14:val="standardContextual"/>
        </w:rPr>
        <w:lastRenderedPageBreak/>
        <w:drawing>
          <wp:inline distT="0" distB="0" distL="0" distR="0" wp14:anchorId="5C3F4749" wp14:editId="2C160C43">
            <wp:extent cx="5731510" cy="3536950"/>
            <wp:effectExtent l="0" t="0" r="0" b="6350"/>
            <wp:docPr id="333190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90927" name=""/>
                    <pic:cNvPicPr/>
                  </pic:nvPicPr>
                  <pic:blipFill>
                    <a:blip r:embed="rId29"/>
                    <a:stretch>
                      <a:fillRect/>
                    </a:stretch>
                  </pic:blipFill>
                  <pic:spPr>
                    <a:xfrm>
                      <a:off x="0" y="0"/>
                      <a:ext cx="5731510" cy="3536950"/>
                    </a:xfrm>
                    <a:prstGeom prst="rect">
                      <a:avLst/>
                    </a:prstGeom>
                  </pic:spPr>
                </pic:pic>
              </a:graphicData>
            </a:graphic>
          </wp:inline>
        </w:drawing>
      </w:r>
    </w:p>
    <w:p w14:paraId="28853A3A" w14:textId="57A0502F" w:rsidR="00382AC9" w:rsidRDefault="00382AC9" w:rsidP="00382AC9">
      <w:pPr>
        <w:pStyle w:val="Caption"/>
      </w:pPr>
      <w:bookmarkStart w:id="73" w:name="_Ref133077749"/>
      <w:bookmarkStart w:id="74" w:name="_Toc133496272"/>
      <w:r>
        <w:t xml:space="preserve">Figure </w:t>
      </w:r>
      <w:r w:rsidR="00537CEF">
        <w:fldChar w:fldCharType="begin"/>
      </w:r>
      <w:r w:rsidR="00537CEF">
        <w:instrText xml:space="preserve"> SEQ Figure \* ARABIC </w:instrText>
      </w:r>
      <w:r w:rsidR="00537CEF">
        <w:fldChar w:fldCharType="separate"/>
      </w:r>
      <w:r w:rsidR="00537CEF">
        <w:rPr>
          <w:noProof/>
        </w:rPr>
        <w:t>19</w:t>
      </w:r>
      <w:r w:rsidR="00537CEF">
        <w:fldChar w:fldCharType="end"/>
      </w:r>
      <w:bookmarkEnd w:id="73"/>
      <w:r>
        <w:t>: Changes in period female life expectancy in years by age in England and Wales 1978-2020</w:t>
      </w:r>
      <w:bookmarkEnd w:id="74"/>
    </w:p>
    <w:p w14:paraId="15983794" w14:textId="77777777" w:rsidR="00382AC9" w:rsidRDefault="00382AC9" w:rsidP="00382AC9">
      <w:pPr>
        <w:keepNext/>
      </w:pPr>
    </w:p>
    <w:p w14:paraId="2BF53C5E" w14:textId="296A8B68" w:rsidR="00C67D38" w:rsidRDefault="00382AC9" w:rsidP="00382AC9">
      <w:pPr>
        <w:keepNext/>
      </w:pPr>
      <w:r>
        <w:t>The next graph (</w:t>
      </w:r>
      <w:r w:rsidR="004C7648">
        <w:fldChar w:fldCharType="begin"/>
      </w:r>
      <w:r w:rsidR="004C7648">
        <w:instrText xml:space="preserve"> REF _Ref133336816 </w:instrText>
      </w:r>
      <w:r w:rsidR="004C7648">
        <w:fldChar w:fldCharType="separate"/>
      </w:r>
      <w:r w:rsidR="00BE338B">
        <w:t xml:space="preserve">Figure </w:t>
      </w:r>
      <w:r w:rsidR="00BE338B">
        <w:rPr>
          <w:noProof/>
        </w:rPr>
        <w:t>20</w:t>
      </w:r>
      <w:r w:rsidR="004C7648">
        <w:fldChar w:fldCharType="end"/>
      </w:r>
      <w:r>
        <w:t xml:space="preserve">) shows the change between age groups. </w:t>
      </w:r>
      <w:r w:rsidR="00C67D38">
        <w:t>It can be thought of as showing a ‘difference in difference’ or the difference between two measures which are themselves calculated as differences between two points in time</w:t>
      </w:r>
      <w:r w:rsidR="00ED29AA" w:rsidRPr="000D046A">
        <w:rPr>
          <w:rStyle w:val="FootnoteReference"/>
        </w:rPr>
        <w:footnoteReference w:id="5"/>
      </w:r>
      <w:r w:rsidR="00C67D38">
        <w:t xml:space="preserve">. </w:t>
      </w:r>
    </w:p>
    <w:p w14:paraId="76FD3227" w14:textId="77777777" w:rsidR="00C67D38" w:rsidRDefault="00C67D38" w:rsidP="00382AC9">
      <w:pPr>
        <w:keepNext/>
      </w:pPr>
    </w:p>
    <w:p w14:paraId="0B98F5B8" w14:textId="785DFD96" w:rsidR="00382AC9" w:rsidRDefault="00382AC9" w:rsidP="00382AC9">
      <w:pPr>
        <w:keepNext/>
      </w:pPr>
      <w:r>
        <w:t xml:space="preserve">Taking the same example as before, we are now comparing that figure of 0.24, </w:t>
      </w:r>
      <w:r w:rsidR="00C67D38">
        <w:t xml:space="preserve">which is </w:t>
      </w:r>
      <w:r>
        <w:t>almost a quarter of a year gain for women aged 55 in 2009-2011</w:t>
      </w:r>
      <w:r w:rsidR="00C67D38">
        <w:t>,</w:t>
      </w:r>
      <w:r>
        <w:t xml:space="preserve"> with the figure for the average annual improvement for women aged ten years older, 65. For women aged 65 years, their life expectancy improved by 0.22 years in those three years. The difference between 0.24 and 0.22 </w:t>
      </w:r>
      <w:r w:rsidR="00A42D84">
        <w:t>without rounding is a little less than</w:t>
      </w:r>
      <w:r>
        <w:t xml:space="preserve"> 0.02 years. Thus, the gap in the size of the improvements between these two age groups was positive. The younger women were gaining fractionally more years of life than the older women </w:t>
      </w:r>
      <w:r w:rsidR="00C67D38">
        <w:t>over</w:t>
      </w:r>
      <w:r>
        <w:t xml:space="preserve"> this time. The trend for this difference in the rates of improvement between these two age groups (55 and 65) is shown by the orange line in </w:t>
      </w:r>
      <w:r w:rsidR="004C7648">
        <w:fldChar w:fldCharType="begin"/>
      </w:r>
      <w:r w:rsidR="004C7648">
        <w:instrText xml:space="preserve"> REF _Ref133336816 </w:instrText>
      </w:r>
      <w:r w:rsidR="004C7648">
        <w:fldChar w:fldCharType="separate"/>
      </w:r>
      <w:r w:rsidR="00BE338B">
        <w:t xml:space="preserve">Figure </w:t>
      </w:r>
      <w:r w:rsidR="00BE338B">
        <w:rPr>
          <w:noProof/>
        </w:rPr>
        <w:t>20</w:t>
      </w:r>
      <w:r w:rsidR="004C7648">
        <w:fldChar w:fldCharType="end"/>
      </w:r>
      <w:r>
        <w:t>. We can see</w:t>
      </w:r>
      <w:r w:rsidR="00813B12">
        <w:t xml:space="preserve"> </w:t>
      </w:r>
      <w:r>
        <w:t xml:space="preserve">that </w:t>
      </w:r>
      <w:r w:rsidR="004C7648">
        <w:t>the 55-64</w:t>
      </w:r>
      <w:r>
        <w:t xml:space="preserve"> line had been falling since 199</w:t>
      </w:r>
      <w:r w:rsidR="00736C2E">
        <w:t>2</w:t>
      </w:r>
      <w:r>
        <w:t>-199</w:t>
      </w:r>
      <w:r w:rsidR="00736C2E">
        <w:t>4</w:t>
      </w:r>
      <w:r>
        <w:t>.</w:t>
      </w:r>
      <w:r w:rsidR="004C7648">
        <w:t xml:space="preserve"> The Figure</w:t>
      </w:r>
      <w:r>
        <w:t xml:space="preserve"> also show</w:t>
      </w:r>
      <w:r w:rsidR="004C7648">
        <w:t>s</w:t>
      </w:r>
      <w:r>
        <w:t xml:space="preserve"> the trends for the other three </w:t>
      </w:r>
      <w:r w:rsidR="00E610F4">
        <w:t>ten-year</w:t>
      </w:r>
      <w:r>
        <w:t xml:space="preserve"> age gap differences. I</w:t>
      </w:r>
      <w:r w:rsidR="00C67D38">
        <w:t>f, as a reader, you are new to this way of thi</w:t>
      </w:r>
      <w:r w:rsidR="006920CB">
        <w:t>n</w:t>
      </w:r>
      <w:r w:rsidR="00C67D38">
        <w:t>king then it can be at first</w:t>
      </w:r>
      <w:r>
        <w:t xml:space="preserve"> complex </w:t>
      </w:r>
      <w:r>
        <w:lastRenderedPageBreak/>
        <w:t>to understand, but understanding th</w:t>
      </w:r>
      <w:r w:rsidR="00C67D38">
        <w:t>ese differences in difference graphs</w:t>
      </w:r>
      <w:r>
        <w:t xml:space="preserve"> is key to knowing what happened</w:t>
      </w:r>
      <w:r w:rsidR="00C67D38">
        <w:t xml:space="preserve"> and precisely when it </w:t>
      </w:r>
      <w:r w:rsidR="00813B12">
        <w:t>happened</w:t>
      </w:r>
      <w:r w:rsidR="00C67D38">
        <w:t xml:space="preserve"> and to who</w:t>
      </w:r>
      <w:r>
        <w:t>.</w:t>
      </w:r>
    </w:p>
    <w:p w14:paraId="7C344FE8" w14:textId="77777777" w:rsidR="000726A9" w:rsidRDefault="000726A9" w:rsidP="00382AC9">
      <w:pPr>
        <w:keepNext/>
      </w:pPr>
    </w:p>
    <w:p w14:paraId="22B6CCE2" w14:textId="52BA0443" w:rsidR="008C4377" w:rsidRDefault="002F532D" w:rsidP="008C4377">
      <w:pPr>
        <w:keepNext/>
      </w:pPr>
      <w:r>
        <w:rPr>
          <w:noProof/>
          <w14:ligatures w14:val="standardContextual"/>
        </w:rPr>
        <w:drawing>
          <wp:inline distT="0" distB="0" distL="0" distR="0" wp14:anchorId="426DE568" wp14:editId="0D068DAB">
            <wp:extent cx="5731510" cy="3536950"/>
            <wp:effectExtent l="0" t="0" r="0" b="6350"/>
            <wp:docPr id="595017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17580" name=""/>
                    <pic:cNvPicPr/>
                  </pic:nvPicPr>
                  <pic:blipFill>
                    <a:blip r:embed="rId30"/>
                    <a:stretch>
                      <a:fillRect/>
                    </a:stretch>
                  </pic:blipFill>
                  <pic:spPr>
                    <a:xfrm>
                      <a:off x="0" y="0"/>
                      <a:ext cx="5731510" cy="3536950"/>
                    </a:xfrm>
                    <a:prstGeom prst="rect">
                      <a:avLst/>
                    </a:prstGeom>
                  </pic:spPr>
                </pic:pic>
              </a:graphicData>
            </a:graphic>
          </wp:inline>
        </w:drawing>
      </w:r>
      <w:r w:rsidDel="002F532D">
        <w:rPr>
          <w:noProof/>
        </w:rPr>
        <w:t xml:space="preserve"> </w:t>
      </w:r>
    </w:p>
    <w:p w14:paraId="4939E261" w14:textId="2ACB7CD8" w:rsidR="00382AC9" w:rsidRPr="00A435B0" w:rsidRDefault="008C4377" w:rsidP="008C4377">
      <w:pPr>
        <w:pStyle w:val="Caption"/>
      </w:pPr>
      <w:bookmarkStart w:id="75" w:name="_Ref133336816"/>
      <w:bookmarkStart w:id="76" w:name="_Toc133496273"/>
      <w:r>
        <w:t xml:space="preserve">Figure </w:t>
      </w:r>
      <w:r w:rsidR="00537CEF">
        <w:fldChar w:fldCharType="begin"/>
      </w:r>
      <w:r w:rsidR="00537CEF">
        <w:instrText xml:space="preserve"> SEQ Figure \* ARABIC </w:instrText>
      </w:r>
      <w:r w:rsidR="00537CEF">
        <w:fldChar w:fldCharType="separate"/>
      </w:r>
      <w:r w:rsidR="00537CEF">
        <w:rPr>
          <w:noProof/>
        </w:rPr>
        <w:t>20</w:t>
      </w:r>
      <w:r w:rsidR="00537CEF">
        <w:fldChar w:fldCharType="end"/>
      </w:r>
      <w:bookmarkEnd w:id="75"/>
      <w:r>
        <w:t xml:space="preserve">: </w:t>
      </w:r>
      <w:r w:rsidRPr="003364C3">
        <w:t xml:space="preserve"> Change in period life expectancy for women</w:t>
      </w:r>
      <w:r w:rsidR="009B0127">
        <w:t xml:space="preserve"> between 10-year age group, in years,</w:t>
      </w:r>
      <w:r w:rsidRPr="003364C3">
        <w:t xml:space="preserve"> England and Wales, 1978-2020</w:t>
      </w:r>
      <w:bookmarkEnd w:id="76"/>
    </w:p>
    <w:p w14:paraId="3FDBDD54" w14:textId="77777777" w:rsidR="00813B12" w:rsidRDefault="00813B12" w:rsidP="00382AC9"/>
    <w:p w14:paraId="00908EDC" w14:textId="5E0AB770" w:rsidR="00C67D38" w:rsidRDefault="00382AC9" w:rsidP="00382AC9">
      <w:r>
        <w:t>When we look at the change in life expectancy between the 10-year age groups for women, some clear distinctions stand out. Life expectancy at ages 55-64 improved most quickly in 1991-1995 (when the Golden Cohort were aged 57-66). It rose by around 0.04 years and then fell</w:t>
      </w:r>
      <w:r w:rsidR="004C7648">
        <w:t xml:space="preserve">—it </w:t>
      </w:r>
      <w:r>
        <w:t>has not reached the same level since. At ages 65-74 years, life expectancy improved most quickly in</w:t>
      </w:r>
      <w:r w:rsidR="00C67D38">
        <w:t xml:space="preserve"> the years</w:t>
      </w:r>
      <w:r>
        <w:t xml:space="preserve"> 200</w:t>
      </w:r>
      <w:r w:rsidR="00736C2E">
        <w:t>0</w:t>
      </w:r>
      <w:r>
        <w:t>-200</w:t>
      </w:r>
      <w:r w:rsidR="00736C2E">
        <w:t>2</w:t>
      </w:r>
      <w:r>
        <w:t xml:space="preserve"> (</w:t>
      </w:r>
      <w:r w:rsidR="00F4068A">
        <w:t>the Golden Cohort</w:t>
      </w:r>
      <w:r>
        <w:t xml:space="preserve"> </w:t>
      </w:r>
      <w:r w:rsidR="00C67D38">
        <w:t xml:space="preserve">were aged </w:t>
      </w:r>
      <w:r>
        <w:t>6</w:t>
      </w:r>
      <w:r w:rsidR="00736C2E">
        <w:t>5</w:t>
      </w:r>
      <w:r>
        <w:t>-7</w:t>
      </w:r>
      <w:r w:rsidR="00736C2E">
        <w:t>4</w:t>
      </w:r>
      <w:r>
        <w:t>) at 0.08 years</w:t>
      </w:r>
      <w:r w:rsidR="00C67D38">
        <w:t xml:space="preserve"> a year</w:t>
      </w:r>
      <w:r>
        <w:t>, and since then has fallen until a recent uptick</w:t>
      </w:r>
      <w:r w:rsidR="00736C2E">
        <w:t xml:space="preserve"> (just before the pandemic began)</w:t>
      </w:r>
      <w:r>
        <w:t>. At ages 75 to 84 years, improvements peaked</w:t>
      </w:r>
      <w:r w:rsidR="004C7648">
        <w:t xml:space="preserve"> in 20</w:t>
      </w:r>
      <w:r w:rsidR="00736C2E">
        <w:t>09</w:t>
      </w:r>
      <w:r w:rsidR="004C7648">
        <w:t>-201</w:t>
      </w:r>
      <w:r w:rsidR="00736C2E">
        <w:t>1</w:t>
      </w:r>
      <w:r>
        <w:t xml:space="preserve"> at 0.08 years before falling every year since, quite sharply. </w:t>
      </w:r>
      <w:r w:rsidR="00C67D38">
        <w:t xml:space="preserve">That is when the </w:t>
      </w:r>
      <w:r w:rsidR="002C2EC3">
        <w:t>blue</w:t>
      </w:r>
      <w:r w:rsidR="00C67D38">
        <w:t xml:space="preserve"> line in </w:t>
      </w:r>
      <w:r w:rsidR="00F765CB">
        <w:fldChar w:fldCharType="begin"/>
      </w:r>
      <w:r w:rsidR="00F765CB">
        <w:instrText xml:space="preserve"> REF _Ref133336816 </w:instrText>
      </w:r>
      <w:r w:rsidR="00F765CB">
        <w:fldChar w:fldCharType="separate"/>
      </w:r>
      <w:r w:rsidR="00BE338B">
        <w:t xml:space="preserve">Figure </w:t>
      </w:r>
      <w:r w:rsidR="00BE338B">
        <w:rPr>
          <w:noProof/>
        </w:rPr>
        <w:t>20</w:t>
      </w:r>
      <w:r w:rsidR="00F765CB">
        <w:fldChar w:fldCharType="end"/>
      </w:r>
      <w:r w:rsidR="002C2EC3">
        <w:t xml:space="preserve"> also</w:t>
      </w:r>
      <w:r w:rsidR="00F765CB">
        <w:t xml:space="preserve"> </w:t>
      </w:r>
      <w:r w:rsidR="00C67D38">
        <w:t>falls</w:t>
      </w:r>
      <w:r w:rsidR="002C2EC3">
        <w:t xml:space="preserve"> as those aged 85+ also see their fortunes change quickly then</w:t>
      </w:r>
      <w:r w:rsidR="00C67D38">
        <w:t>.</w:t>
      </w:r>
    </w:p>
    <w:p w14:paraId="5F7BCB71" w14:textId="77777777" w:rsidR="00C67D38" w:rsidRDefault="00C67D38" w:rsidP="00382AC9"/>
    <w:p w14:paraId="4CAE7DC0" w14:textId="7A9D7DA3" w:rsidR="00382AC9" w:rsidRDefault="00382AC9" w:rsidP="00382AC9">
      <w:r>
        <w:t>Th</w:t>
      </w:r>
      <w:r w:rsidR="00C67D38">
        <w:t>e fal</w:t>
      </w:r>
      <w:r w:rsidR="00ED29AA">
        <w:t>l</w:t>
      </w:r>
      <w:r w:rsidR="00C67D38">
        <w:t xml:space="preserve"> in the grey line</w:t>
      </w:r>
      <w:r>
        <w:t xml:space="preserve"> </w:t>
      </w:r>
      <w:r w:rsidR="00F4068A">
        <w:t xml:space="preserve">(65 to 74 years) </w:t>
      </w:r>
      <w:r>
        <w:t>could represent</w:t>
      </w:r>
      <w:r w:rsidR="00F765CB">
        <w:t xml:space="preserve"> the unusual ageing effect of</w:t>
      </w:r>
      <w:r>
        <w:t xml:space="preserve"> a “golden cohort”</w:t>
      </w:r>
      <w:r w:rsidR="00F765CB">
        <w:t xml:space="preserve">, </w:t>
      </w:r>
      <w:r>
        <w:t>and the fall that follows</w:t>
      </w:r>
      <w:r w:rsidR="00C67D38">
        <w:t xml:space="preserve"> the peak in that line</w:t>
      </w:r>
      <w:r>
        <w:t xml:space="preserve"> </w:t>
      </w:r>
      <w:r w:rsidR="00C67D38">
        <w:t>could be suggested to be</w:t>
      </w:r>
      <w:r>
        <w:t xml:space="preserve"> due to their passing through the ages, rather than austerity</w:t>
      </w:r>
      <w:r w:rsidR="007604A9">
        <w:t>, and perhaps</w:t>
      </w:r>
      <w:r w:rsidR="00B32261">
        <w:t xml:space="preserve"> an</w:t>
      </w:r>
      <w:r w:rsidR="007604A9">
        <w:t xml:space="preserve"> unusual number of them having lived to reach old age and </w:t>
      </w:r>
      <w:r w:rsidR="00C9228A">
        <w:t xml:space="preserve">there </w:t>
      </w:r>
      <w:r w:rsidR="007604A9">
        <w:t>being more ‘weaklings’ amongst the survivors</w:t>
      </w:r>
      <w:r>
        <w:t>. However, life expectancy at ages 85-94 years does not continue the trend seen every decade before it. Instead, it improved most quickly first in 1988-199</w:t>
      </w:r>
      <w:r w:rsidR="002C2EC3">
        <w:t>0</w:t>
      </w:r>
      <w:r>
        <w:t xml:space="preserve">, possibly suggesting an </w:t>
      </w:r>
      <w:r>
        <w:lastRenderedPageBreak/>
        <w:t>earlier golden cohort, but then the next peak rise was 2005-2007</w:t>
      </w:r>
      <w:r w:rsidR="002C2EC3">
        <w:t xml:space="preserve"> </w:t>
      </w:r>
      <w:r>
        <w:t>at 0.06 years. It peaks again in 20</w:t>
      </w:r>
      <w:r w:rsidR="002C2EC3">
        <w:t>09</w:t>
      </w:r>
      <w:r>
        <w:t>-201</w:t>
      </w:r>
      <w:r w:rsidR="002C2EC3">
        <w:t>1</w:t>
      </w:r>
      <w:r>
        <w:t xml:space="preserve"> and then falls sharply, at a similar rate to 75-84 years group</w:t>
      </w:r>
      <w:r w:rsidR="00683248">
        <w:t>, before</w:t>
      </w:r>
      <w:r w:rsidR="002C2EC3">
        <w:t xml:space="preserve"> briefly</w:t>
      </w:r>
      <w:r w:rsidR="00683248">
        <w:t xml:space="preserve"> increasing from 2016 onwards.</w:t>
      </w:r>
      <w:r w:rsidR="007604A9">
        <w:t xml:space="preserve"> So, there are several things going on earlier that are complex</w:t>
      </w:r>
      <w:r w:rsidR="00F765CB">
        <w:t>,</w:t>
      </w:r>
      <w:r w:rsidR="007604A9">
        <w:t xml:space="preserve"> </w:t>
      </w:r>
      <w:r w:rsidR="00F765CB">
        <w:t>a</w:t>
      </w:r>
      <w:r w:rsidR="007604A9">
        <w:t xml:space="preserve">nd very probably no “weaklings”. </w:t>
      </w:r>
      <w:r w:rsidR="00F765CB">
        <w:t>However, after 201</w:t>
      </w:r>
      <w:r w:rsidR="002C2EC3">
        <w:t>1</w:t>
      </w:r>
      <w:r w:rsidR="00F765CB">
        <w:t>,</w:t>
      </w:r>
      <w:r w:rsidR="007604A9">
        <w:t xml:space="preserve"> all four lines in</w:t>
      </w:r>
      <w:r w:rsidR="002C2EC3">
        <w:t xml:space="preserve"> Figure 20</w:t>
      </w:r>
      <w:r w:rsidR="007604A9">
        <w:t xml:space="preserve"> crash down together– in sync in a way and forming a pattern that is not at all complicated.</w:t>
      </w:r>
      <w:r w:rsidR="002C2EC3">
        <w:t xml:space="preserve"> For men, as we show next, the pattern is even clearer.</w:t>
      </w:r>
    </w:p>
    <w:p w14:paraId="73923E97" w14:textId="77777777" w:rsidR="00382AC9" w:rsidRDefault="00382AC9" w:rsidP="00382AC9">
      <w:pPr>
        <w:rPr>
          <w:b/>
          <w:bCs/>
        </w:rPr>
      </w:pPr>
    </w:p>
    <w:p w14:paraId="4BB940DA" w14:textId="7FBEFE12" w:rsidR="00087BE8" w:rsidRDefault="00512C6F" w:rsidP="00087BE8">
      <w:pPr>
        <w:keepNext/>
      </w:pPr>
      <w:r>
        <w:rPr>
          <w:noProof/>
          <w14:ligatures w14:val="standardContextual"/>
        </w:rPr>
        <w:drawing>
          <wp:inline distT="0" distB="0" distL="0" distR="0" wp14:anchorId="30F6CF5C" wp14:editId="077DD07F">
            <wp:extent cx="5731510" cy="3536950"/>
            <wp:effectExtent l="0" t="0" r="0" b="6350"/>
            <wp:docPr id="571909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09398" name=""/>
                    <pic:cNvPicPr/>
                  </pic:nvPicPr>
                  <pic:blipFill>
                    <a:blip r:embed="rId31"/>
                    <a:stretch>
                      <a:fillRect/>
                    </a:stretch>
                  </pic:blipFill>
                  <pic:spPr>
                    <a:xfrm>
                      <a:off x="0" y="0"/>
                      <a:ext cx="5731510" cy="3536950"/>
                    </a:xfrm>
                    <a:prstGeom prst="rect">
                      <a:avLst/>
                    </a:prstGeom>
                  </pic:spPr>
                </pic:pic>
              </a:graphicData>
            </a:graphic>
          </wp:inline>
        </w:drawing>
      </w:r>
      <w:r w:rsidDel="00512C6F">
        <w:rPr>
          <w:noProof/>
        </w:rPr>
        <w:t xml:space="preserve"> </w:t>
      </w:r>
    </w:p>
    <w:p w14:paraId="75214E8A" w14:textId="6D0C24EE" w:rsidR="00E610F4" w:rsidRDefault="00087BE8" w:rsidP="00087BE8">
      <w:pPr>
        <w:pStyle w:val="Caption"/>
      </w:pPr>
      <w:bookmarkStart w:id="77" w:name="_Ref133399647"/>
      <w:bookmarkStart w:id="78" w:name="_Toc133496274"/>
      <w:r>
        <w:t xml:space="preserve">Figure </w:t>
      </w:r>
      <w:r w:rsidR="00537CEF">
        <w:fldChar w:fldCharType="begin"/>
      </w:r>
      <w:r w:rsidR="00537CEF">
        <w:instrText xml:space="preserve"> SEQ Figure \* ARABIC </w:instrText>
      </w:r>
      <w:r w:rsidR="00537CEF">
        <w:fldChar w:fldCharType="separate"/>
      </w:r>
      <w:r w:rsidR="00537CEF">
        <w:rPr>
          <w:noProof/>
        </w:rPr>
        <w:t>21</w:t>
      </w:r>
      <w:r w:rsidR="00537CEF">
        <w:fldChar w:fldCharType="end"/>
      </w:r>
      <w:bookmarkEnd w:id="77"/>
      <w:r>
        <w:t>: Change in period life expectancy for males by age, in years, England and Wales 1978 to 2020</w:t>
      </w:r>
      <w:bookmarkEnd w:id="78"/>
    </w:p>
    <w:p w14:paraId="6CDD1E43" w14:textId="77777777" w:rsidR="00087BE8" w:rsidRDefault="00087BE8" w:rsidP="00087BE8">
      <w:pPr>
        <w:rPr>
          <w:lang w:eastAsia="en-US"/>
        </w:rPr>
      </w:pPr>
    </w:p>
    <w:p w14:paraId="2BA5A2AF" w14:textId="72248D22" w:rsidR="007604A9" w:rsidRDefault="007604A9" w:rsidP="00087BE8">
      <w:pPr>
        <w:rPr>
          <w:lang w:eastAsia="en-US"/>
        </w:rPr>
      </w:pPr>
      <w:r>
        <w:rPr>
          <w:lang w:eastAsia="en-US"/>
        </w:rPr>
        <w:t xml:space="preserve">We will not be going into as much detail in our description of </w:t>
      </w:r>
      <w:r w:rsidR="00B4171C">
        <w:rPr>
          <w:lang w:eastAsia="en-US"/>
        </w:rPr>
        <w:fldChar w:fldCharType="begin"/>
      </w:r>
      <w:r w:rsidR="00B4171C">
        <w:rPr>
          <w:lang w:eastAsia="en-US"/>
        </w:rPr>
        <w:instrText xml:space="preserve"> REF _Ref133399647 </w:instrText>
      </w:r>
      <w:r w:rsidR="00B4171C">
        <w:rPr>
          <w:lang w:eastAsia="en-US"/>
        </w:rPr>
        <w:fldChar w:fldCharType="separate"/>
      </w:r>
      <w:r w:rsidR="00BE338B">
        <w:t xml:space="preserve">Figure </w:t>
      </w:r>
      <w:r w:rsidR="00BE338B">
        <w:rPr>
          <w:noProof/>
        </w:rPr>
        <w:t>21</w:t>
      </w:r>
      <w:r w:rsidR="00B4171C">
        <w:rPr>
          <w:lang w:eastAsia="en-US"/>
        </w:rPr>
        <w:fldChar w:fldCharType="end"/>
      </w:r>
      <w:r w:rsidR="00F765CB">
        <w:rPr>
          <w:lang w:eastAsia="en-US"/>
        </w:rPr>
        <w:t xml:space="preserve"> </w:t>
      </w:r>
      <w:r>
        <w:rPr>
          <w:lang w:eastAsia="en-US"/>
        </w:rPr>
        <w:t xml:space="preserve">as we did for its equivalent </w:t>
      </w:r>
      <w:r w:rsidR="00B4171C">
        <w:rPr>
          <w:lang w:eastAsia="en-US"/>
        </w:rPr>
        <w:fldChar w:fldCharType="begin"/>
      </w:r>
      <w:r w:rsidR="00B4171C">
        <w:rPr>
          <w:lang w:eastAsia="en-US"/>
        </w:rPr>
        <w:instrText xml:space="preserve"> REF _Ref133077749 </w:instrText>
      </w:r>
      <w:r w:rsidR="00B4171C">
        <w:rPr>
          <w:lang w:eastAsia="en-US"/>
        </w:rPr>
        <w:fldChar w:fldCharType="separate"/>
      </w:r>
      <w:r w:rsidR="00BE338B">
        <w:t xml:space="preserve">Figure </w:t>
      </w:r>
      <w:r w:rsidR="00BE338B">
        <w:rPr>
          <w:noProof/>
        </w:rPr>
        <w:t>19</w:t>
      </w:r>
      <w:r w:rsidR="00B4171C">
        <w:rPr>
          <w:lang w:eastAsia="en-US"/>
        </w:rPr>
        <w:fldChar w:fldCharType="end"/>
      </w:r>
      <w:r w:rsidR="00B4171C">
        <w:rPr>
          <w:lang w:eastAsia="en-US"/>
        </w:rPr>
        <w:t xml:space="preserve"> </w:t>
      </w:r>
      <w:r>
        <w:rPr>
          <w:lang w:eastAsia="en-US"/>
        </w:rPr>
        <w:t xml:space="preserve">for women. Instead, we </w:t>
      </w:r>
      <w:r w:rsidR="00B4171C">
        <w:rPr>
          <w:lang w:eastAsia="en-US"/>
        </w:rPr>
        <w:t>simply</w:t>
      </w:r>
      <w:r>
        <w:rPr>
          <w:lang w:eastAsia="en-US"/>
        </w:rPr>
        <w:t xml:space="preserve"> point out that they show very similar patterns. One day someone might be interested in studying the small differences between them, but for now it is not those small differences that matter most.  What matters most </w:t>
      </w:r>
      <w:r w:rsidR="00B4171C">
        <w:rPr>
          <w:lang w:eastAsia="en-US"/>
        </w:rPr>
        <w:t>is</w:t>
      </w:r>
      <w:r>
        <w:rPr>
          <w:lang w:eastAsia="en-US"/>
        </w:rPr>
        <w:t xml:space="preserve"> that for men after the worse years of the 1980s</w:t>
      </w:r>
      <w:r w:rsidR="00B4171C">
        <w:rPr>
          <w:lang w:eastAsia="en-US"/>
        </w:rPr>
        <w:t>,</w:t>
      </w:r>
      <w:r>
        <w:rPr>
          <w:lang w:eastAsia="en-US"/>
        </w:rPr>
        <w:t xml:space="preserve"> the lines in </w:t>
      </w:r>
      <w:r w:rsidR="00B4171C">
        <w:rPr>
          <w:lang w:eastAsia="en-US"/>
        </w:rPr>
        <w:fldChar w:fldCharType="begin"/>
      </w:r>
      <w:r w:rsidR="00B4171C">
        <w:rPr>
          <w:lang w:eastAsia="en-US"/>
        </w:rPr>
        <w:instrText xml:space="preserve"> REF _Ref133399647 </w:instrText>
      </w:r>
      <w:r w:rsidR="00B4171C">
        <w:rPr>
          <w:lang w:eastAsia="en-US"/>
        </w:rPr>
        <w:fldChar w:fldCharType="separate"/>
      </w:r>
      <w:r w:rsidR="00BE338B">
        <w:t xml:space="preserve">Figure </w:t>
      </w:r>
      <w:r w:rsidR="00BE338B">
        <w:rPr>
          <w:noProof/>
        </w:rPr>
        <w:t>21</w:t>
      </w:r>
      <w:r w:rsidR="00B4171C">
        <w:rPr>
          <w:lang w:eastAsia="en-US"/>
        </w:rPr>
        <w:fldChar w:fldCharType="end"/>
      </w:r>
      <w:r w:rsidR="00B4171C">
        <w:rPr>
          <w:lang w:eastAsia="en-US"/>
        </w:rPr>
        <w:t xml:space="preserve"> </w:t>
      </w:r>
      <w:r>
        <w:rPr>
          <w:lang w:eastAsia="en-US"/>
        </w:rPr>
        <w:t>are all generally rising</w:t>
      </w:r>
      <w:r w:rsidR="00B4171C">
        <w:rPr>
          <w:lang w:eastAsia="en-US"/>
        </w:rPr>
        <w:t xml:space="preserve"> (</w:t>
      </w:r>
      <w:r w:rsidR="008866C1">
        <w:rPr>
          <w:lang w:eastAsia="en-US"/>
        </w:rPr>
        <w:t>i.e.,</w:t>
      </w:r>
      <w:r w:rsidR="00B4171C">
        <w:rPr>
          <w:lang w:eastAsia="en-US"/>
        </w:rPr>
        <w:t xml:space="preserve"> life expectancy is improving)</w:t>
      </w:r>
      <w:r>
        <w:rPr>
          <w:lang w:eastAsia="en-US"/>
        </w:rPr>
        <w:t xml:space="preserve">, least quickly for those of older ages, but still rising. Those improvements </w:t>
      </w:r>
      <w:r w:rsidR="00B4171C">
        <w:rPr>
          <w:lang w:eastAsia="en-US"/>
        </w:rPr>
        <w:t>peak</w:t>
      </w:r>
      <w:r>
        <w:rPr>
          <w:lang w:eastAsia="en-US"/>
        </w:rPr>
        <w:t xml:space="preserve"> </w:t>
      </w:r>
      <w:r w:rsidR="002C2EC3">
        <w:rPr>
          <w:lang w:eastAsia="en-US"/>
        </w:rPr>
        <w:t>just before</w:t>
      </w:r>
      <w:r>
        <w:rPr>
          <w:lang w:eastAsia="en-US"/>
        </w:rPr>
        <w:t xml:space="preserve"> the year of the banking crisis of 2008, but do not end then. All five lines </w:t>
      </w:r>
      <w:r w:rsidR="00B4171C">
        <w:rPr>
          <w:lang w:eastAsia="en-US"/>
        </w:rPr>
        <w:t>begin to fall</w:t>
      </w:r>
      <w:r>
        <w:rPr>
          <w:lang w:eastAsia="en-US"/>
        </w:rPr>
        <w:t xml:space="preserve"> immediately after 201</w:t>
      </w:r>
      <w:r w:rsidR="002C2EC3">
        <w:rPr>
          <w:lang w:eastAsia="en-US"/>
        </w:rPr>
        <w:t>1</w:t>
      </w:r>
      <w:r w:rsidR="00B4171C">
        <w:rPr>
          <w:lang w:eastAsia="en-US"/>
        </w:rPr>
        <w:t>.</w:t>
      </w:r>
    </w:p>
    <w:p w14:paraId="64AFBF98" w14:textId="77777777" w:rsidR="007604A9" w:rsidRDefault="007604A9" w:rsidP="00087BE8">
      <w:pPr>
        <w:rPr>
          <w:lang w:eastAsia="en-US"/>
        </w:rPr>
      </w:pPr>
    </w:p>
    <w:p w14:paraId="1ECA608B" w14:textId="77777777" w:rsidR="00087BE8" w:rsidRDefault="00087BE8" w:rsidP="00087BE8">
      <w:pPr>
        <w:rPr>
          <w:lang w:eastAsia="en-US"/>
        </w:rPr>
      </w:pPr>
    </w:p>
    <w:p w14:paraId="782D6EFC" w14:textId="7DC561CC" w:rsidR="00087BE8" w:rsidRDefault="00512C6F" w:rsidP="00087BE8">
      <w:pPr>
        <w:keepNext/>
      </w:pPr>
      <w:r w:rsidRPr="00512C6F">
        <w:rPr>
          <w:noProof/>
          <w14:ligatures w14:val="standardContextual"/>
        </w:rPr>
        <w:lastRenderedPageBreak/>
        <w:t xml:space="preserve"> </w:t>
      </w:r>
      <w:r>
        <w:rPr>
          <w:noProof/>
          <w14:ligatures w14:val="standardContextual"/>
        </w:rPr>
        <w:drawing>
          <wp:inline distT="0" distB="0" distL="0" distR="0" wp14:anchorId="5BEA6D98" wp14:editId="546824D5">
            <wp:extent cx="5731510" cy="3536950"/>
            <wp:effectExtent l="0" t="0" r="0" b="6350"/>
            <wp:docPr id="813178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78724" name=""/>
                    <pic:cNvPicPr/>
                  </pic:nvPicPr>
                  <pic:blipFill>
                    <a:blip r:embed="rId32"/>
                    <a:stretch>
                      <a:fillRect/>
                    </a:stretch>
                  </pic:blipFill>
                  <pic:spPr>
                    <a:xfrm>
                      <a:off x="0" y="0"/>
                      <a:ext cx="5731510" cy="3536950"/>
                    </a:xfrm>
                    <a:prstGeom prst="rect">
                      <a:avLst/>
                    </a:prstGeom>
                  </pic:spPr>
                </pic:pic>
              </a:graphicData>
            </a:graphic>
          </wp:inline>
        </w:drawing>
      </w:r>
    </w:p>
    <w:p w14:paraId="789977FF" w14:textId="43B410AF" w:rsidR="00087BE8" w:rsidRPr="00087BE8" w:rsidRDefault="00087BE8" w:rsidP="00087BE8">
      <w:pPr>
        <w:pStyle w:val="Caption"/>
      </w:pPr>
      <w:bookmarkStart w:id="79" w:name="_Ref133399809"/>
      <w:bookmarkStart w:id="80" w:name="_Toc133496275"/>
      <w:r>
        <w:t xml:space="preserve">Figure </w:t>
      </w:r>
      <w:r w:rsidR="00537CEF">
        <w:fldChar w:fldCharType="begin"/>
      </w:r>
      <w:r w:rsidR="00537CEF">
        <w:instrText xml:space="preserve"> SEQ Figure \* ARABIC </w:instrText>
      </w:r>
      <w:r w:rsidR="00537CEF">
        <w:fldChar w:fldCharType="separate"/>
      </w:r>
      <w:r w:rsidR="00537CEF">
        <w:rPr>
          <w:noProof/>
        </w:rPr>
        <w:t>22</w:t>
      </w:r>
      <w:r w:rsidR="00537CEF">
        <w:fldChar w:fldCharType="end"/>
      </w:r>
      <w:bookmarkEnd w:id="79"/>
      <w:r>
        <w:t xml:space="preserve">: </w:t>
      </w:r>
      <w:r w:rsidRPr="00EC706A">
        <w:t xml:space="preserve">Change in period life expectancy for males </w:t>
      </w:r>
      <w:r>
        <w:t>between 10-year</w:t>
      </w:r>
      <w:r w:rsidRPr="00EC706A">
        <w:t xml:space="preserve"> age</w:t>
      </w:r>
      <w:r>
        <w:t xml:space="preserve"> group</w:t>
      </w:r>
      <w:r w:rsidRPr="00EC706A">
        <w:t>, in years, England and Wales 1978 to 2020</w:t>
      </w:r>
      <w:bookmarkEnd w:id="80"/>
    </w:p>
    <w:p w14:paraId="6CAEC98E" w14:textId="77777777" w:rsidR="00E610F4" w:rsidRDefault="00E610F4" w:rsidP="00382AC9">
      <w:pPr>
        <w:rPr>
          <w:b/>
          <w:bCs/>
        </w:rPr>
      </w:pPr>
    </w:p>
    <w:p w14:paraId="3D11D091" w14:textId="302752E0" w:rsidR="005318DE" w:rsidRDefault="007604A9" w:rsidP="00382AC9">
      <w:r w:rsidRPr="00414E96">
        <w:t xml:space="preserve">What </w:t>
      </w:r>
      <w:r>
        <w:t>do we see wh</w:t>
      </w:r>
      <w:r w:rsidR="005318DE">
        <w:t>e</w:t>
      </w:r>
      <w:r>
        <w:t xml:space="preserve">n we consider the </w:t>
      </w:r>
      <w:r w:rsidR="00EC6A47">
        <w:t>“</w:t>
      </w:r>
      <w:r>
        <w:t>difference in difference</w:t>
      </w:r>
      <w:r w:rsidR="00EC6A47">
        <w:t>”</w:t>
      </w:r>
      <w:r>
        <w:t xml:space="preserve"> graph for men </w:t>
      </w:r>
      <w:r w:rsidR="00414E96">
        <w:t>(</w:t>
      </w:r>
      <w:r w:rsidR="00414E96">
        <w:fldChar w:fldCharType="begin"/>
      </w:r>
      <w:r w:rsidR="00414E96">
        <w:instrText xml:space="preserve"> REF _Ref133399809 </w:instrText>
      </w:r>
      <w:r w:rsidR="00414E96">
        <w:fldChar w:fldCharType="separate"/>
      </w:r>
      <w:r w:rsidR="00BE338B">
        <w:t xml:space="preserve">Figure </w:t>
      </w:r>
      <w:r w:rsidR="00BE338B">
        <w:rPr>
          <w:noProof/>
        </w:rPr>
        <w:t>22</w:t>
      </w:r>
      <w:r w:rsidR="00414E96">
        <w:fldChar w:fldCharType="end"/>
      </w:r>
      <w:r w:rsidR="00414E96">
        <w:t>)</w:t>
      </w:r>
      <w:r>
        <w:t>? Again</w:t>
      </w:r>
      <w:r w:rsidR="00EC6A47">
        <w:t>,</w:t>
      </w:r>
      <w:r>
        <w:t xml:space="preserve"> it is very similar to that for women (</w:t>
      </w:r>
      <w:r w:rsidR="00414E96">
        <w:fldChar w:fldCharType="begin"/>
      </w:r>
      <w:r w:rsidR="00414E96">
        <w:instrText xml:space="preserve"> REF _Ref133336816 </w:instrText>
      </w:r>
      <w:r w:rsidR="00414E96">
        <w:fldChar w:fldCharType="separate"/>
      </w:r>
      <w:r w:rsidR="00BE338B">
        <w:t xml:space="preserve">Figure </w:t>
      </w:r>
      <w:r w:rsidR="00BE338B">
        <w:rPr>
          <w:noProof/>
        </w:rPr>
        <w:t>20</w:t>
      </w:r>
      <w:r w:rsidR="00414E96">
        <w:fldChar w:fldCharType="end"/>
      </w:r>
      <w:r>
        <w:t xml:space="preserve">). </w:t>
      </w:r>
      <w:r w:rsidR="0003278B">
        <w:t>I</w:t>
      </w:r>
      <w:r w:rsidR="00414E96">
        <w:t xml:space="preserve">n general, </w:t>
      </w:r>
      <w:r w:rsidR="00EC6A47">
        <w:t>the four lines</w:t>
      </w:r>
      <w:r w:rsidR="00414E96">
        <w:t xml:space="preserve"> representing the </w:t>
      </w:r>
      <w:r w:rsidR="00F765CB">
        <w:t>four</w:t>
      </w:r>
      <w:r w:rsidR="00414E96">
        <w:t xml:space="preserve"> 10-year age groups</w:t>
      </w:r>
      <w:r w:rsidR="00EC6A47">
        <w:t xml:space="preserve"> were rising from the lat</w:t>
      </w:r>
      <w:r w:rsidR="00414E96">
        <w:t>e</w:t>
      </w:r>
      <w:r w:rsidR="00EC6A47">
        <w:t xml:space="preserve"> 1970s onwards with a couple of dips in the economic recessions of the 198</w:t>
      </w:r>
      <w:r w:rsidR="00414E96">
        <w:t>0</w:t>
      </w:r>
      <w:r w:rsidR="00EC6A47">
        <w:t>s and early 1990s,</w:t>
      </w:r>
      <w:r w:rsidR="00F765CB">
        <w:t xml:space="preserve"> and</w:t>
      </w:r>
      <w:r w:rsidR="00EC6A47">
        <w:t xml:space="preserve"> the grey line </w:t>
      </w:r>
      <w:r w:rsidR="00414E96">
        <w:t xml:space="preserve">(65-74 years) </w:t>
      </w:r>
      <w:r w:rsidR="00EC6A47">
        <w:t xml:space="preserve">begins to fall earlier. This is the improvement for the generation who are a little younger than the </w:t>
      </w:r>
      <w:r w:rsidR="0003278B">
        <w:t>G</w:t>
      </w:r>
      <w:r w:rsidR="00EC6A47">
        <w:t xml:space="preserve">olden </w:t>
      </w:r>
      <w:r w:rsidR="0003278B">
        <w:t>C</w:t>
      </w:r>
      <w:r w:rsidR="00EC6A47">
        <w:t>ohort. It did not continue to improve as quickly – an interesting but</w:t>
      </w:r>
      <w:r w:rsidR="00414E96">
        <w:t>,</w:t>
      </w:r>
      <w:r w:rsidR="00EC6A47">
        <w:t xml:space="preserve"> in the grand scheme of things</w:t>
      </w:r>
      <w:r w:rsidR="00414E96">
        <w:t>,</w:t>
      </w:r>
      <w:r w:rsidR="00EC6A47">
        <w:t xml:space="preserve"> minor detail. </w:t>
      </w:r>
      <w:r w:rsidR="00414E96">
        <w:t>Again,</w:t>
      </w:r>
      <w:r w:rsidR="00EC6A47">
        <w:t xml:space="preserve"> all four lines </w:t>
      </w:r>
      <w:r w:rsidR="00414E96">
        <w:t>begin to fall</w:t>
      </w:r>
      <w:r w:rsidR="005318DE">
        <w:t xml:space="preserve"> after 201</w:t>
      </w:r>
      <w:r w:rsidR="002C2EC3">
        <w:t>1</w:t>
      </w:r>
      <w:r w:rsidR="005318DE">
        <w:t xml:space="preserve">: exactly when the adult social service visits were being cut, the meals on </w:t>
      </w:r>
      <w:r w:rsidR="00414E96">
        <w:t>wheels</w:t>
      </w:r>
      <w:r w:rsidR="005318DE">
        <w:t xml:space="preserve"> were ending, the health budget was being squeezed – exactly when you would </w:t>
      </w:r>
      <w:r w:rsidR="008866C1">
        <w:t>expect if</w:t>
      </w:r>
      <w:r w:rsidR="005318DE">
        <w:t xml:space="preserve"> austerity were as deadly as </w:t>
      </w:r>
      <w:r w:rsidR="00A34BD6">
        <w:t>COVID</w:t>
      </w:r>
      <w:r w:rsidR="005318DE">
        <w:t xml:space="preserve">-19 to the very elderly. In fact, it is </w:t>
      </w:r>
      <w:r w:rsidR="002C2EC3">
        <w:t>only just possible</w:t>
      </w:r>
      <w:r w:rsidR="005318DE">
        <w:t xml:space="preserve"> to see the </w:t>
      </w:r>
      <w:r w:rsidR="00414E96">
        <w:t>influence</w:t>
      </w:r>
      <w:r w:rsidR="005318DE">
        <w:t xml:space="preserve"> of the pandemic in the last data point on Figure 2</w:t>
      </w:r>
      <w:r w:rsidR="002C2EC3">
        <w:t>2</w:t>
      </w:r>
      <w:r w:rsidR="0003278B">
        <w:t>. One could speculate that this may be</w:t>
      </w:r>
      <w:r w:rsidR="005318DE">
        <w:t xml:space="preserve"> because compared to austerity it was a less important event </w:t>
      </w:r>
      <w:r w:rsidR="0003278B">
        <w:t xml:space="preserve">as </w:t>
      </w:r>
      <w:r w:rsidR="005318DE">
        <w:t xml:space="preserve">here </w:t>
      </w:r>
      <w:r w:rsidR="0003278B">
        <w:t xml:space="preserve">it </w:t>
      </w:r>
      <w:r w:rsidR="005318DE">
        <w:t xml:space="preserve">is just contributing to part of the 2018-2020 </w:t>
      </w:r>
      <w:r w:rsidR="000726A9">
        <w:t>three-year</w:t>
      </w:r>
      <w:r w:rsidR="005318DE">
        <w:t xml:space="preserve"> average that forms the basis of the </w:t>
      </w:r>
      <w:r w:rsidR="00414E96">
        <w:t>calculations</w:t>
      </w:r>
      <w:r w:rsidR="005318DE">
        <w:t xml:space="preserve"> that produce Figure 2</w:t>
      </w:r>
      <w:r w:rsidR="002C2EC3">
        <w:t>2</w:t>
      </w:r>
      <w:r w:rsidR="005318DE">
        <w:t>.</w:t>
      </w:r>
    </w:p>
    <w:p w14:paraId="5E9FB6E1" w14:textId="77777777" w:rsidR="005318DE" w:rsidRDefault="005318DE" w:rsidP="00382AC9"/>
    <w:p w14:paraId="7AD51356" w14:textId="24CCF1DF" w:rsidR="00414E96" w:rsidRDefault="00414E96" w:rsidP="00414E96">
      <w:pPr>
        <w:pStyle w:val="Heading3"/>
      </w:pPr>
      <w:bookmarkStart w:id="81" w:name="_Toc133496276"/>
      <w:r>
        <w:t>Raising the alarm</w:t>
      </w:r>
      <w:bookmarkEnd w:id="81"/>
      <w:r>
        <w:t xml:space="preserve"> </w:t>
      </w:r>
    </w:p>
    <w:p w14:paraId="7CC3D7B9" w14:textId="201877D5" w:rsidR="00E62B21" w:rsidRDefault="0063334E" w:rsidP="00382AC9">
      <w:r w:rsidRPr="0063334E">
        <w:t>Looking at these figures, and many before them, it is difficult to understand why no action was taken</w:t>
      </w:r>
      <w:r w:rsidR="00C84A1D">
        <w:t>, why no concern was raised, and why no outrage was seen</w:t>
      </w:r>
      <w:r w:rsidRPr="0063334E">
        <w:t xml:space="preserve">. </w:t>
      </w:r>
      <w:r w:rsidR="005318DE" w:rsidRPr="0063334E">
        <w:t xml:space="preserve">We now turn to what </w:t>
      </w:r>
      <w:r w:rsidR="005318DE" w:rsidRPr="0063334E">
        <w:lastRenderedPageBreak/>
        <w:t xml:space="preserve">was happening in those </w:t>
      </w:r>
      <w:r w:rsidR="00C84A1D">
        <w:t xml:space="preserve">early </w:t>
      </w:r>
      <w:r w:rsidR="005318DE" w:rsidRPr="0063334E">
        <w:t>years</w:t>
      </w:r>
      <w:r w:rsidR="00C84A1D">
        <w:t xml:space="preserve"> of the changes, 2012-2015, </w:t>
      </w:r>
      <w:r w:rsidR="005318DE" w:rsidRPr="0063334E">
        <w:t xml:space="preserve">that meant that these trends were not noticed by enough people at the time, when the lines were </w:t>
      </w:r>
      <w:r w:rsidRPr="0063334E">
        <w:t>going in the wrong direction</w:t>
      </w:r>
      <w:r w:rsidR="00C84A1D">
        <w:t>,</w:t>
      </w:r>
      <w:r w:rsidR="005318DE" w:rsidRPr="0063334E">
        <w:t xml:space="preserve"> and when the evidence existed to show that they were</w:t>
      </w:r>
      <w:r w:rsidR="006B7318">
        <w:t xml:space="preserve"> – as early as in February 2014</w:t>
      </w:r>
      <w:r w:rsidR="00BC498B">
        <w:t xml:space="preserve"> </w:t>
      </w:r>
      <w:r>
        <w:fldChar w:fldCharType="begin"/>
      </w:r>
      <w:r w:rsidR="003E394A">
        <w:instrText xml:space="preserve"> ADDIN ZOTERO_ITEM CSL_CITATION {"citationID":"tgPmGuuh","properties":{"formattedCitation":"(Dorling, 2014)","plainCitation":"(Dorling, 2014)","noteIndex":0},"citationItems":[{"id":"P59J3jrC/Xz9TtSWU","uris":["http://zotero.org/users/7125982/items/GUQYQKTJ"],"itemData":{"id":1451,"type":"webpage","title":"Why are old people in Britain dying before their time?","URL":"https://www.newstatesman.com/politics/2014/02/why-are-old-people-britain-dying-their-time","author":[{"family":"Dorling","given":"Danny"}],"accessed":{"date-parts":[["2023",1,30]]},"issued":{"date-parts":[["2014"]]}}}],"schema":"https://github.com/citation-style-language/schema/raw/master/csl-citation.json"} </w:instrText>
      </w:r>
      <w:r>
        <w:fldChar w:fldCharType="separate"/>
      </w:r>
      <w:r w:rsidR="00C4130B">
        <w:rPr>
          <w:rFonts w:cs="Arial"/>
        </w:rPr>
        <w:t>(Dorling, 2014)</w:t>
      </w:r>
      <w:r>
        <w:fldChar w:fldCharType="end"/>
      </w:r>
      <w:r w:rsidR="00BC498B">
        <w:t>.</w:t>
      </w:r>
      <w:r>
        <w:t xml:space="preserve"> Many, as outlined in Section 4.3, were comfortable to follow alternative explanations for what was happening. The general view was that a combination of flu, a bad winter, and an ageing population had meant more people were dying. This referred, in particular, to the 2014/15 mortality spike, which was eas</w:t>
      </w:r>
      <w:r w:rsidR="006B7318">
        <w:t>y for some politicians</w:t>
      </w:r>
      <w:r>
        <w:t xml:space="preserve"> to brush away as a blip. For those working in health care, it was clear it was not. Our first research published on that spike suggesting austerity could be playing a major role was dismissed by the Department of Health and Social Care as “a triumph of personal bias over research”</w:t>
      </w:r>
      <w:r w:rsidR="00BC498B">
        <w:t xml:space="preserve"> </w:t>
      </w:r>
      <w:r>
        <w:fldChar w:fldCharType="begin"/>
      </w:r>
      <w:r w:rsidR="00C4130B">
        <w:instrText xml:space="preserve"> ADDIN ZOTERO_ITEM CSL_CITATION {"citationID":"epZBchmG","properties":{"formattedCitation":"(Forster, 2017)","plainCitation":"(Forster, 2017)","noteIndex":0},"citationItems":[{"id":2055,"uris":["http://zotero.org/users/7125982/items/9XXBHR8E"],"itemData":{"id":2055,"type":"webpage","title":"NHS cuts blamed for 30,000 deaths in new study | The Independent | The Independent","URL":"https://www.independent.co.uk/news/world/americas/us-politics/nhs-cuts-excess-deaths-30000-study-research-royal-society-medicine-london-school-hygiene-martin-mckee-jeremy-hunt-a7585001.html","author":[{"family":"Forster","given":"Katie"}],"accessed":{"date-parts":[["2023",4,27]]},"issued":{"date-parts":[["2017"]]}}}],"schema":"https://github.com/citation-style-language/schema/raw/master/csl-citation.json"} </w:instrText>
      </w:r>
      <w:r>
        <w:fldChar w:fldCharType="separate"/>
      </w:r>
      <w:r w:rsidR="00C4130B">
        <w:rPr>
          <w:rFonts w:cs="Arial"/>
        </w:rPr>
        <w:t>(Forster, 2017)</w:t>
      </w:r>
      <w:r>
        <w:fldChar w:fldCharType="end"/>
      </w:r>
      <w:r w:rsidR="00BC498B">
        <w:t>.</w:t>
      </w:r>
      <w:r>
        <w:t xml:space="preserve"> A similar response has persisted from the government to multiple studies (highlighted above) s</w:t>
      </w:r>
      <w:r w:rsidR="00BD27F5">
        <w:t xml:space="preserve">howing the link between austerity and poor health with increasing veracity. </w:t>
      </w:r>
    </w:p>
    <w:p w14:paraId="75A2CB30" w14:textId="28ECB572" w:rsidR="007604A9" w:rsidRPr="00414E96" w:rsidRDefault="0003278B" w:rsidP="00382AC9">
      <w:r>
        <w:t>During</w:t>
      </w:r>
      <w:r w:rsidR="00BD27F5">
        <w:t xml:space="preserve"> those</w:t>
      </w:r>
      <w:r w:rsidR="00E62B21">
        <w:t xml:space="preserve"> early austerity years</w:t>
      </w:r>
      <w:r w:rsidR="00BD27F5">
        <w:t xml:space="preserve">, </w:t>
      </w:r>
      <w:r>
        <w:t xml:space="preserve">political </w:t>
      </w:r>
      <w:r w:rsidR="00BD27F5">
        <w:t xml:space="preserve">attention was elsewhere. Europe and migration slowly </w:t>
      </w:r>
      <w:r w:rsidR="00E62B21">
        <w:t>climbed to the top of</w:t>
      </w:r>
      <w:r w:rsidR="00BD27F5">
        <w:t xml:space="preserve"> the agenda, and UKIP performed well at the 2014 elections. David Cameron promised an EU referendum in the 2015 manifesto, and won a majority which saw that promise enacted.</w:t>
      </w:r>
      <w:r w:rsidR="009E2203">
        <w:t xml:space="preserve"> </w:t>
      </w:r>
    </w:p>
    <w:p w14:paraId="46D409CD" w14:textId="77777777" w:rsidR="007604A9" w:rsidRDefault="007604A9" w:rsidP="00382AC9">
      <w:pPr>
        <w:rPr>
          <w:b/>
          <w:bCs/>
        </w:rPr>
      </w:pPr>
    </w:p>
    <w:p w14:paraId="4C781ED1" w14:textId="77777777" w:rsidR="00382AC9" w:rsidRDefault="00382AC9" w:rsidP="00382AC9">
      <w:pPr>
        <w:pStyle w:val="Heading2"/>
      </w:pPr>
      <w:bookmarkStart w:id="82" w:name="_Toc133496277"/>
      <w:r>
        <w:t>Brexit, 2016 (aged 82 to 91 years)</w:t>
      </w:r>
      <w:bookmarkEnd w:id="82"/>
    </w:p>
    <w:p w14:paraId="37430A6C" w14:textId="1BF98D6A" w:rsidR="00382AC9" w:rsidRDefault="00382AC9" w:rsidP="00382AC9">
      <w:r>
        <w:t xml:space="preserve">Six years into austerity came the referendum for the UK to leave the European Union (EU), known ubiquitously as Brexit. This was the second time the Golden Cohort had voted on Britain’s relationship with Europe. In 1975, 65% of registered voters turned out to vote in the </w:t>
      </w:r>
      <w:r w:rsidRPr="00B46D0B">
        <w:t>United Kingdom European Communities membership referendum (or EEC membership referendum).</w:t>
      </w:r>
      <w:r>
        <w:t xml:space="preserve"> More than two thirds of them voted to “stay joined” including over 70% of the Golden Cohort</w:t>
      </w:r>
      <w:r w:rsidRPr="000D046A">
        <w:rPr>
          <w:rStyle w:val="FootnoteReference"/>
        </w:rPr>
        <w:footnoteReference w:id="6"/>
      </w:r>
      <w:r w:rsidR="00BC498B">
        <w:t xml:space="preserve"> </w:t>
      </w:r>
      <w:r>
        <w:fldChar w:fldCharType="begin"/>
      </w:r>
      <w:r w:rsidR="0099441B">
        <w:instrText xml:space="preserve"> ADDIN ZOTERO_ITEM CSL_CITATION {"citationID":"a14ms8r6r3a","properties":{"formattedCitation":"(Andrew, 2017)","plainCitation":"(Andrew, 2017)","noteIndex":0},"citationItems":[{"id":1987,"uris":["http://zotero.org/users/7125982/items/9WJSD7YI"],"itemData":{"id":1987,"type":"post-weblog","abstract":"The British public has voted on membership of the EU on two occasions. In 1975, based on a turnout of 64 per cent, two-thirds voted to stay in the EEC, cementing Britain’s place for the next four d…","container-title":"LSE BREXIT","language":"en-US","title":"The referendums of 1975 and 2016 illustrate the continuity and change in British Euroscepticism","URL":"https://blogs.lse.ac.uk/brexit/2017/07/31/the-referendums-of-1975-and-2016-illustrate-the-continuity-and-change-in-british-euroscepticism/","author":[{"literal":"Andrew"}],"accessed":{"date-parts":[["2023",4,24]]},"issued":{"date-parts":[["2017",7,31]]}}}],"schema":"https://github.com/citation-style-language/schema/raw/master/csl-citation.json"} </w:instrText>
      </w:r>
      <w:r>
        <w:fldChar w:fldCharType="separate"/>
      </w:r>
      <w:r w:rsidR="0099441B">
        <w:rPr>
          <w:rFonts w:cs="Arial"/>
        </w:rPr>
        <w:t>(Andrew, 2017)</w:t>
      </w:r>
      <w:r>
        <w:fldChar w:fldCharType="end"/>
      </w:r>
      <w:r w:rsidR="00BC498B">
        <w:t>.</w:t>
      </w:r>
      <w:r>
        <w:t xml:space="preserve"> By 2016, the Golden Cohort switched and voted for Brexit, with 64% of those aged 65 years voting to leave the EU</w:t>
      </w:r>
      <w:r w:rsidR="00BC498B">
        <w:t xml:space="preserve"> </w:t>
      </w:r>
      <w:r>
        <w:fldChar w:fldCharType="begin"/>
      </w:r>
      <w:r w:rsidR="00C4130B">
        <w:instrText xml:space="preserve"> ADDIN ZOTERO_ITEM CSL_CITATION {"citationID":"a12encc6n95","properties":{"formattedCitation":"(Moore, 2016)","plainCitation":"(Moore, 2016)","noteIndex":0},"citationItems":[{"id":1989,"uris":["http://zotero.org/users/7125982/items/YIMCP2I2"],"itemData":{"id":1989,"type":"webpage","abstract":"Over-65s were more than twice as likely as under-25s to have voted to Leave the European Union","language":"en-gb","title":"How Britain voted at the EU referendum | YouGov","URL":"https://yougov.co.uk/topics/politics/articles-reports/2016/06/27/how-britain-voted","author":[{"family":"Moore","given":"Peter"}],"accessed":{"date-parts":[["2023",4,24]]},"issued":{"date-parts":[["2016"]]}}}],"schema":"https://github.com/citation-style-language/schema/raw/master/csl-citation.json"} </w:instrText>
      </w:r>
      <w:r>
        <w:fldChar w:fldCharType="separate"/>
      </w:r>
      <w:r w:rsidR="00C4130B">
        <w:rPr>
          <w:rFonts w:cs="Arial"/>
        </w:rPr>
        <w:t>(Moore, 2016)</w:t>
      </w:r>
      <w:r>
        <w:fldChar w:fldCharType="end"/>
      </w:r>
      <w:r w:rsidR="00BC498B">
        <w:t>.</w:t>
      </w:r>
      <w:r>
        <w:t xml:space="preserve"> </w:t>
      </w:r>
      <w:r w:rsidR="00EA5A50">
        <w:t xml:space="preserve">The impact of Brexit on health is beyond the scope of this paper, but those who voted for it were more likely to be older, more impacted by austerity, and, according to research, be from areas with worsening mortality </w:t>
      </w:r>
      <w:r w:rsidR="00EA5A50">
        <w:fldChar w:fldCharType="begin"/>
      </w:r>
      <w:r w:rsidR="00EA5A50">
        <w:instrText xml:space="preserve"> ADDIN ZOTERO_ITEM CSL_CITATION {"citationID":"n9bFP8Yh","properties":{"formattedCitation":"(Koltai et al., 2020)","plainCitation":"(Koltai et al., 2020)","noteIndex":0},"citationItems":[{"id":867,"uris":["http://zotero.org/groups/4746166/items/8CFIBLN7"],"itemData":{"id":867,"type":"article-journal","abstract":"Objectives. To test the hypothesis that deaths of despair, a marker of social suffering, were associated with greater support for Brexit in the United Kingdom's 2016 European Union referendum.Methods. We used cross-local authority regression models of Brexit vote shares on changes in suicide and drug-related death rates before (2005-2007) and after the recession (2014-2016), adjusting for sociodemographic factors. The population comprised 345 local authorities in England and Wales.Results. Mortality rates were associated with voting patterns. An increase of 10 drug-related deaths per 100 000 was associated with a 15.25-percentage-point increase in Brexit votes (95% confidence interval [CI] = 10.27, 20.24), while an increase of 10 suicides per 100 000 was associated with a 9.97-percentage-point increase in vote shares for Brexit (95% CI = 6.25, 13.70). These results were substantially attenuated after we adjusted for education, and reduced to nonsignificance for drug mortality (b = 2.18; 95% CI = -0.21, 4.57) and suicide (b = 0.94; 95% CI = -0.32, 2.21) upon inclusion of other sociodemographic factors.Conclusions. Worsening mortality correlated with Brexit votes. These phenomena appear to share similar antecedents. A rise in such deaths may point to deeper social problems that could have political consequences.","container-title":"American Journal of Public Health","DOI":"10.2105/AJPH.2019.305488","ISSN":"1541-0048","issue":"3","journalAbbreviation":"Am J Public Health","language":"eng","note":"PMID: 31855481\nPMCID: PMC7002930","page":"401-406","source":"PubMed","title":"Deaths of Despair and Brexit Votes: Cross-Local Authority Statistical Analysis in England and Wales","title-short":"Deaths of Despair and Brexit Votes","volume":"110","author":[{"family":"Koltai","given":"Jonathan"},{"family":"Varchetta","given":"Francesco Maria"},{"family":"McKee","given":"Martin"},{"family":"Stuckler","given":"David"}],"issued":{"date-parts":[["2020",3]]}}}],"schema":"https://github.com/citation-style-language/schema/raw/master/csl-citation.json"} </w:instrText>
      </w:r>
      <w:r w:rsidR="00EA5A50">
        <w:fldChar w:fldCharType="separate"/>
      </w:r>
      <w:r w:rsidR="00EA5A50">
        <w:rPr>
          <w:noProof/>
        </w:rPr>
        <w:t>(Koltai et al., 2020)</w:t>
      </w:r>
      <w:r w:rsidR="00EA5A50">
        <w:fldChar w:fldCharType="end"/>
      </w:r>
      <w:r w:rsidR="00B92676">
        <w:t>,</w:t>
      </w:r>
      <w:r w:rsidR="00EA5A50">
        <w:t xml:space="preserve"> echoing what had been seen in the USA with voting for Donald Trump </w:t>
      </w:r>
      <w:r w:rsidR="00EA5A50">
        <w:fldChar w:fldCharType="begin"/>
      </w:r>
      <w:r w:rsidR="00626CB8">
        <w:instrText xml:space="preserve"> ADDIN ZOTERO_ITEM CSL_CITATION {"citationID":"a24o048stq2","properties":{"formattedCitation":"(Bor, 2017)","plainCitation":"(Bor, 2017)","noteIndex":0},"citationItems":[{"id":1002,"uris":["http://zotero.org/users/7125982/items/7P8QL8J2","http://zotero.org/users/7125982/items/MKTXD42S"],"itemData":{"id":1002,"type":"article-journal","container-title":"Am J Public Health","DOI":"10.2105/ajph.2017.303945","ISSN":"0090-0036","issue":"10","journalAbbreviation":"American journal of public health","language":"eng","note":"PMCID: PMC5607673","page":"1560-1562","title":"Diverging Life Expectancies and Voting Patterns in the 2016 US Presidential Election","volume":"107","author":[{"family":"Bor","given":"J."}],"issued":{"date-parts":[["2017",10]]}}}],"schema":"https://github.com/citation-style-language/schema/raw/master/csl-citation.json"} </w:instrText>
      </w:r>
      <w:r w:rsidR="00EA5A50">
        <w:fldChar w:fldCharType="separate"/>
      </w:r>
      <w:r w:rsidR="00EA5A50">
        <w:rPr>
          <w:rFonts w:cs="Arial"/>
        </w:rPr>
        <w:t>(Bor, 2017)</w:t>
      </w:r>
      <w:r w:rsidR="00EA5A50">
        <w:fldChar w:fldCharType="end"/>
      </w:r>
      <w:r w:rsidR="00EA5A50">
        <w:t xml:space="preserve">. Poor health may have been a factor in the vote for Brexit, and it is clear Brexit is bad for health </w:t>
      </w:r>
      <w:r w:rsidR="00EA5A50">
        <w:fldChar w:fldCharType="begin"/>
      </w:r>
      <w:r w:rsidR="00EA5A50">
        <w:instrText xml:space="preserve"> ADDIN ZOTERO_ITEM CSL_CITATION {"citationID":"xfIe8GEe","properties":{"formattedCitation":"(Fahy et al., 2019)","plainCitation":"(Fahy et al., 2019)","noteIndex":0},"citationItems":[{"id":2057,"uris":["http://zotero.org/users/7125982/items/R3Z6NE3D"],"itemData":{"id":2057,"type":"article-journal","abstract":"All forms of Brexit are bad for health, but some are worse than others. This paper builds on our 2017 analysis using the WHO health system building blocks framework to assess the likely effects of Brexit on the National Health Service (NHS) in the UK. We consider four possible scenarios as follows: a No-Deal Brexit under which the UK leaves the EU on March 29, 2019, without any formal agreement on the terms of withdrawal; a Withdrawal Agreement, as negotiated between the UK and EU and awaiting (possible) formal agreement, which provides a transition period until the end of December, 2020; the Northern Ireland Protocol's backstop coming into effect after the end of that period; or the Political Declaration on the Future Relationship between the UK and EU. Our analysis shows that a No-Deal Brexit is substantially worse for the NHS than a future involving the Withdrawal Agreement, which provides certainty and continuity in legal relations while the Political Declaration on the Future Relationship is negotiated and put into legal form. The Northern Ireland backstop has varying effects, with continuity in some areas, such as health products, but no continuity in others. The Political Declaration on the Future Relationship envisages a relationship that is centred around a free-trade agreement, in which wider health-related issues are largely absent. All forms of Brexit, however, involve negative consequences for the UK's leadership and governance of health, in both Europe and globally, with questions about the ability of parliament and other stakeholders to scrutinise and oversee government actions.","container-title":"Lancet (London, England)","DOI":"10.1016/S0140-6736(19)30425-8","ISSN":"1474-547X","issue":"10174","journalAbbreviation":"Lancet","language":"eng","note":"PMID: 30819519","page":"949-958","source":"PubMed","title":"How will Brexit affect health services in the UK? An updated evaluation","title-short":"How will Brexit affect health services in the UK?","volume":"393","author":[{"family":"Fahy","given":"Nick"},{"family":"Hervey","given":"Tamara"},{"family":"Greer","given":"Scott"},{"family":"Jarman","given":"Holly"},{"family":"Stuckler","given":"David"},{"family":"Galsworthy","given":"Mike"},{"family":"McKee","given":"Martin"}],"issued":{"date-parts":[["2019",3,2]]}}}],"schema":"https://github.com/citation-style-language/schema/raw/master/csl-citation.json"} </w:instrText>
      </w:r>
      <w:r w:rsidR="00EA5A50">
        <w:fldChar w:fldCharType="separate"/>
      </w:r>
      <w:r w:rsidR="00EA5A50">
        <w:rPr>
          <w:rFonts w:cs="Arial"/>
        </w:rPr>
        <w:t>(Fahy et al., 2019)</w:t>
      </w:r>
      <w:r w:rsidR="00EA5A50">
        <w:fldChar w:fldCharType="end"/>
      </w:r>
      <w:r w:rsidR="00EA5A50">
        <w:t xml:space="preserve">. </w:t>
      </w:r>
    </w:p>
    <w:p w14:paraId="1BE2AA7B" w14:textId="77777777" w:rsidR="00382AC9" w:rsidRDefault="00382AC9" w:rsidP="00382AC9">
      <w:pPr>
        <w:rPr>
          <w:b/>
        </w:rPr>
      </w:pPr>
    </w:p>
    <w:p w14:paraId="2E6C9D1E" w14:textId="16311FD5" w:rsidR="00382AC9" w:rsidRDefault="00EA5A50" w:rsidP="00EA5A50">
      <w:pPr>
        <w:pStyle w:val="Heading2"/>
      </w:pPr>
      <w:r>
        <w:lastRenderedPageBreak/>
        <w:t>“Things Fall Apart”: 2020 onwards (Aged 86-95 years to present)</w:t>
      </w:r>
    </w:p>
    <w:p w14:paraId="296A098D" w14:textId="4FB2DB6C" w:rsidR="00EA5A50" w:rsidRPr="004866D2" w:rsidRDefault="00EA5A50" w:rsidP="00EA5A50">
      <w:pPr>
        <w:rPr>
          <w:lang w:eastAsia="en-US"/>
        </w:rPr>
      </w:pPr>
      <w:r>
        <w:rPr>
          <w:lang w:eastAsia="en-US"/>
        </w:rPr>
        <w:t>Life for the Golden Cohort has not improved in the years since austerity began in 2010. The enactment of Brexit in January 2020 was followed swiftly by the first lockdown due to COVID-19, which began on 23</w:t>
      </w:r>
      <w:r w:rsidRPr="004866D2">
        <w:rPr>
          <w:vertAlign w:val="superscript"/>
          <w:lang w:eastAsia="en-US"/>
        </w:rPr>
        <w:t>rd</w:t>
      </w:r>
      <w:r>
        <w:rPr>
          <w:lang w:eastAsia="en-US"/>
        </w:rPr>
        <w:t xml:space="preserve"> March 2020. The COVID-19 virus, like the subsequent cost of living crisis, and NHS crises which have occurred, and continue to this day, disproportionately impact older people. For those member of the Golden Cohort who remain, these years have</w:t>
      </w:r>
      <w:r w:rsidR="00360939">
        <w:rPr>
          <w:lang w:eastAsia="en-US"/>
        </w:rPr>
        <w:t xml:space="preserve"> failed to meet the expectations of demographers, who predicted their Golden luck would continue (see </w:t>
      </w:r>
      <w:r w:rsidR="00BF2F29">
        <w:rPr>
          <w:lang w:eastAsia="en-US"/>
        </w:rPr>
        <w:fldChar w:fldCharType="begin"/>
      </w:r>
      <w:r w:rsidR="00BF2F29">
        <w:rPr>
          <w:lang w:eastAsia="en-US"/>
        </w:rPr>
        <w:instrText xml:space="preserve"> REF _Ref133309009 </w:instrText>
      </w:r>
      <w:r w:rsidR="00BF2F29">
        <w:rPr>
          <w:lang w:eastAsia="en-US"/>
        </w:rPr>
        <w:fldChar w:fldCharType="separate"/>
      </w:r>
      <w:r w:rsidR="00BE338B">
        <w:t xml:space="preserve">Figure </w:t>
      </w:r>
      <w:r w:rsidR="00BE338B">
        <w:rPr>
          <w:noProof/>
        </w:rPr>
        <w:t>14</w:t>
      </w:r>
      <w:r w:rsidR="00BF2F29">
        <w:rPr>
          <w:lang w:eastAsia="en-US"/>
        </w:rPr>
        <w:fldChar w:fldCharType="end"/>
      </w:r>
      <w:r w:rsidR="00BF2F29">
        <w:rPr>
          <w:lang w:eastAsia="en-US"/>
        </w:rPr>
        <w:t xml:space="preserve"> in</w:t>
      </w:r>
      <w:r w:rsidR="006B7318">
        <w:rPr>
          <w:lang w:eastAsia="en-US"/>
        </w:rPr>
        <w:t xml:space="preserve"> this paper</w:t>
      </w:r>
      <w:r w:rsidR="00BF2F29">
        <w:rPr>
          <w:lang w:eastAsia="en-US"/>
        </w:rPr>
        <w:t xml:space="preserve">, and Figure 1 in the Appendix) </w:t>
      </w:r>
      <w:r w:rsidR="00360939">
        <w:rPr>
          <w:lang w:eastAsia="en-US"/>
        </w:rPr>
        <w:fldChar w:fldCharType="begin"/>
      </w:r>
      <w:r w:rsidR="00BF2F29">
        <w:rPr>
          <w:lang w:eastAsia="en-US"/>
        </w:rPr>
        <w:instrText xml:space="preserve"> ADDIN ZOTERO_ITEM CSL_CITATION {"citationID":"ty1WH1wT","properties":{"formattedCitation":"(Hiam &amp; Dorling, 2022; Nash, 2016)","plainCitation":"(Hiam &amp; Dorling, 2022; Nash, 2016)","noteIndex":0},"citationItems":[{"id":1049,"uris":["http://zotero.org/users/7125982/items/JUDAEEUJ"],"itemData":{"id":1049,"type":"article-journal","container-title":"Bmj","DOI":"10.1136/bmj-2022-071329","journalAbbreviation":"BMJ (Clinical research ed.)","page":"e071329","title":"The end of great expectations?","volume":"377","author":[{"family":"Hiam","given":"Lucinda"},{"family":"Dorling","given":"Danny"}],"issued":{"date-parts":[["2022"]]}}},{"id":2083,"uris":["http://zotero.org/users/7125982/items/JTMPPYDB"],"itemData":{"id":2083,"type":"report","publisher":"Office for National Statistics","title":"Mortality, 2014-based national population projections reference volume","author":[{"family":"Nash","given":"Andrew"}],"issued":{"date-parts":[["2016"]]}}}],"schema":"https://github.com/citation-style-language/schema/raw/master/csl-citation.json"} </w:instrText>
      </w:r>
      <w:r w:rsidR="00360939">
        <w:rPr>
          <w:lang w:eastAsia="en-US"/>
        </w:rPr>
        <w:fldChar w:fldCharType="separate"/>
      </w:r>
      <w:r w:rsidR="00BF2F29">
        <w:rPr>
          <w:noProof/>
          <w:lang w:eastAsia="en-US"/>
        </w:rPr>
        <w:t>(Hiam &amp; Dorling, 2022; Nash, 2016)</w:t>
      </w:r>
      <w:r w:rsidR="00360939">
        <w:rPr>
          <w:lang w:eastAsia="en-US"/>
        </w:rPr>
        <w:fldChar w:fldCharType="end"/>
      </w:r>
      <w:r w:rsidR="00360939">
        <w:rPr>
          <w:lang w:eastAsia="en-US"/>
        </w:rPr>
        <w:t>, and the state has failed to meet the expectations of those individuals and their families, as it had in the past. Detailed information about these years can be found in the Appendix.</w:t>
      </w:r>
    </w:p>
    <w:p w14:paraId="17D4469E" w14:textId="77777777" w:rsidR="00382AC9" w:rsidRDefault="00382AC9" w:rsidP="00382AC9"/>
    <w:p w14:paraId="76BA996B" w14:textId="46F9D6D8" w:rsidR="00382AC9" w:rsidRPr="00A01400" w:rsidRDefault="00382AC9" w:rsidP="00A01400">
      <w:pPr>
        <w:spacing w:line="240" w:lineRule="auto"/>
        <w:rPr>
          <w:rFonts w:eastAsiaTheme="majorEastAsia" w:cs="Times New Roman (Headings CS)"/>
          <w:b/>
          <w:smallCaps/>
          <w:kern w:val="2"/>
          <w:szCs w:val="32"/>
          <w:lang w:eastAsia="en-US"/>
          <w14:ligatures w14:val="standardContextual"/>
        </w:rPr>
      </w:pPr>
      <w:r w:rsidRPr="00424EA3">
        <w:br w:type="page"/>
      </w:r>
    </w:p>
    <w:p w14:paraId="3C55F282" w14:textId="77777777" w:rsidR="00382AC9" w:rsidRPr="00834837" w:rsidRDefault="00382AC9" w:rsidP="00382AC9">
      <w:pPr>
        <w:pStyle w:val="Heading1"/>
        <w:rPr>
          <w:rFonts w:eastAsia="Times New Roman"/>
          <w:lang w:eastAsia="en-GB"/>
        </w:rPr>
      </w:pPr>
      <w:bookmarkStart w:id="83" w:name="_Toc133496286"/>
      <w:r>
        <w:rPr>
          <w:rFonts w:eastAsia="Times New Roman"/>
          <w:lang w:eastAsia="en-GB"/>
        </w:rPr>
        <w:lastRenderedPageBreak/>
        <w:t>Conclusion</w:t>
      </w:r>
      <w:bookmarkEnd w:id="83"/>
    </w:p>
    <w:p w14:paraId="7EFFAC10" w14:textId="06E9DD64" w:rsidR="008F1E70" w:rsidRDefault="00382AC9" w:rsidP="00943FA7">
      <w:r>
        <w:t>The Golden Cohort saw remarkable improvements in their mortality over many decades</w:t>
      </w:r>
      <w:r w:rsidR="004866D2">
        <w:t xml:space="preserve"> – </w:t>
      </w:r>
      <w:r w:rsidR="0003278B">
        <w:t xml:space="preserve">probably </w:t>
      </w:r>
      <w:r w:rsidR="004866D2">
        <w:t xml:space="preserve">greater than ever </w:t>
      </w:r>
      <w:r w:rsidR="006B7318">
        <w:t xml:space="preserve">experienced by any </w:t>
      </w:r>
      <w:r w:rsidR="0003278B">
        <w:t>cohort</w:t>
      </w:r>
      <w:r w:rsidR="006B7318">
        <w:t xml:space="preserve"> born in the UK </w:t>
      </w:r>
      <w:r w:rsidR="004866D2">
        <w:t>before</w:t>
      </w:r>
      <w:r>
        <w:t xml:space="preserve">. </w:t>
      </w:r>
      <w:r w:rsidR="007D56B9">
        <w:t>It is unlikely this was due to something special about the time they were born</w:t>
      </w:r>
      <w:r w:rsidR="0003278B">
        <w:t xml:space="preserve">, </w:t>
      </w:r>
      <w:r w:rsidR="007D56B9">
        <w:t>1925 to 1934</w:t>
      </w:r>
      <w:r w:rsidR="0003278B">
        <w:t xml:space="preserve">, </w:t>
      </w:r>
      <w:r w:rsidR="00943FA7">
        <w:t xml:space="preserve">which </w:t>
      </w:r>
      <w:r w:rsidR="007D56B9">
        <w:t>were not prosperous years in Britain</w:t>
      </w:r>
      <w:r w:rsidR="00943FA7">
        <w:t xml:space="preserve"> and when economic inequality was very high</w:t>
      </w:r>
      <w:r w:rsidR="007D56B9">
        <w:t xml:space="preserve">. They were born in the </w:t>
      </w:r>
      <w:r w:rsidR="0003278B">
        <w:t xml:space="preserve">aftermath </w:t>
      </w:r>
      <w:r w:rsidR="007D56B9">
        <w:t xml:space="preserve">of the devastation of WWI, during the time of the Great Depression, and with a second world war </w:t>
      </w:r>
      <w:r w:rsidR="004866D2">
        <w:t>on the horizon</w:t>
      </w:r>
      <w:r w:rsidR="007D56B9">
        <w:t>. They were born at a time of no routine immunisations, no antibiotics</w:t>
      </w:r>
      <w:r w:rsidR="00DB29C7">
        <w:t xml:space="preserve">, and </w:t>
      </w:r>
      <w:r w:rsidR="007D56B9">
        <w:t xml:space="preserve">no National Health Service. They were born at a time of </w:t>
      </w:r>
      <w:r w:rsidR="006B7318">
        <w:t xml:space="preserve">the dole, of </w:t>
      </w:r>
      <w:r w:rsidR="007D56B9">
        <w:t xml:space="preserve">poverty, and </w:t>
      </w:r>
      <w:r w:rsidR="006B7318">
        <w:t xml:space="preserve">great </w:t>
      </w:r>
      <w:r w:rsidR="007D56B9">
        <w:t xml:space="preserve">hunger. Yet, their early years saw remarkable </w:t>
      </w:r>
      <w:r w:rsidR="00943FA7">
        <w:t xml:space="preserve">social and political </w:t>
      </w:r>
      <w:r w:rsidR="007D56B9">
        <w:t>change.</w:t>
      </w:r>
      <w:r w:rsidR="00943FA7">
        <w:t xml:space="preserve"> The introduction of wartime</w:t>
      </w:r>
      <w:r w:rsidR="007D56B9">
        <w:t xml:space="preserve"> </w:t>
      </w:r>
      <w:r w:rsidR="00943FA7">
        <w:t>r</w:t>
      </w:r>
      <w:r w:rsidR="007D56B9">
        <w:t>ationing, focused on equality, meant they ate well—regardless of their background—</w:t>
      </w:r>
      <w:r w:rsidR="004866D2">
        <w:t xml:space="preserve">for more of them </w:t>
      </w:r>
      <w:r w:rsidR="007D56B9">
        <w:t>through</w:t>
      </w:r>
      <w:r w:rsidR="004866D2">
        <w:t>out</w:t>
      </w:r>
      <w:r w:rsidR="007D56B9">
        <w:t xml:space="preserve"> a formative part of their childhood</w:t>
      </w:r>
      <w:r w:rsidR="006B7318">
        <w:t xml:space="preserve"> than children ever had before</w:t>
      </w:r>
      <w:r w:rsidR="007D56B9">
        <w:t>.</w:t>
      </w:r>
      <w:r w:rsidR="008F1E70">
        <w:t xml:space="preserve"> The </w:t>
      </w:r>
      <w:r w:rsidR="0003278B">
        <w:t>‘</w:t>
      </w:r>
      <w:r w:rsidR="008F1E70">
        <w:t>Great Leveller</w:t>
      </w:r>
      <w:r w:rsidR="0003278B">
        <w:t>’</w:t>
      </w:r>
      <w:r w:rsidR="008F1E70">
        <w:t xml:space="preserve"> of wa</w:t>
      </w:r>
      <w:r w:rsidR="00DB29C7">
        <w:t>r</w:t>
      </w:r>
      <w:r w:rsidR="008F1E70">
        <w:t xml:space="preserve"> </w:t>
      </w:r>
      <w:r w:rsidR="00B32261">
        <w:t>is</w:t>
      </w:r>
      <w:r w:rsidR="00943FA7">
        <w:t xml:space="preserve"> sometimes said to have led</w:t>
      </w:r>
      <w:r w:rsidR="008F1E70">
        <w:t xml:space="preserve"> to a time of income equality, affordable housing, of social cohesion, and </w:t>
      </w:r>
      <w:r w:rsidR="00DB29C7">
        <w:t>to</w:t>
      </w:r>
      <w:r w:rsidR="008F1E70">
        <w:t xml:space="preserve"> the </w:t>
      </w:r>
      <w:r w:rsidR="00DB29C7">
        <w:t>creation</w:t>
      </w:r>
      <w:r w:rsidR="008F1E70">
        <w:t xml:space="preserve"> of the NHS.</w:t>
      </w:r>
      <w:r w:rsidR="00943FA7">
        <w:t xml:space="preserve"> However, most of the equality secured between 1918 and 1974, had already been achieved by 1939. It was just not realised at the time</w:t>
      </w:r>
      <w:r w:rsidR="00ED2504">
        <w:t xml:space="preserve"> </w:t>
      </w:r>
      <w:r w:rsidR="00C84AB3">
        <w:fldChar w:fldCharType="begin"/>
      </w:r>
      <w:r w:rsidR="000564EA">
        <w:instrText xml:space="preserve"> ADDIN ZOTERO_ITEM CSL_CITATION {"citationID":"SWJHXJ3m","properties":{"formattedCitation":"(Dorling, 2023a)","plainCitation":"(Dorling, 2023a)","noteIndex":0},"citationItems":[{"id":2066,"uris":["http://zotero.org/users/7125982/items/A37IKWQK"],"itemData":{"id":2066,"type":"webpage","abstract":"A king is crowned. The gap between rich and poor is wider than it has been for a century. We think that change is impossible, but it may have already begun","title":"Are things about to get better?","URL":"https://pocketmags.com/prospect-magazine/may-2023/articles/1297839/are-things-about-to-get-better","author":[{"family":"Dorling","given":"Danny"}],"accessed":{"date-parts":[["2023",5,10]]},"issued":{"date-parts":[["2023"]]}}}],"schema":"https://github.com/citation-style-language/schema/raw/master/csl-citation.json"} </w:instrText>
      </w:r>
      <w:r w:rsidR="00C84AB3">
        <w:fldChar w:fldCharType="separate"/>
      </w:r>
      <w:r w:rsidR="000564EA">
        <w:rPr>
          <w:rFonts w:cs="Arial"/>
        </w:rPr>
        <w:t>(Dorling, 2023a)</w:t>
      </w:r>
      <w:r w:rsidR="00C84AB3">
        <w:fldChar w:fldCharType="end"/>
      </w:r>
      <w:r w:rsidR="00ED2504">
        <w:t>.</w:t>
      </w:r>
      <w:r w:rsidR="00C84AB3">
        <w:t xml:space="preserve"> </w:t>
      </w:r>
      <w:r w:rsidR="008F1E70">
        <w:t xml:space="preserve">Medical discoveries in immunisations and antibiotics saw </w:t>
      </w:r>
      <w:r w:rsidR="00DB29C7">
        <w:t>dramatic falls in</w:t>
      </w:r>
      <w:r w:rsidR="008F1E70">
        <w:t xml:space="preserve"> causes of death </w:t>
      </w:r>
      <w:r w:rsidR="00DB29C7">
        <w:t xml:space="preserve">such as </w:t>
      </w:r>
      <w:r w:rsidR="008F1E70">
        <w:t>tuberculosis</w:t>
      </w:r>
      <w:r w:rsidR="004866D2">
        <w:t xml:space="preserve">, and these discoveries could not have efficiently been implemented without public sector </w:t>
      </w:r>
      <w:r w:rsidR="0003278B">
        <w:t>support</w:t>
      </w:r>
      <w:r w:rsidR="004866D2">
        <w:t>.</w:t>
      </w:r>
      <w:r w:rsidR="00DB29C7">
        <w:t xml:space="preserve"> In short,</w:t>
      </w:r>
      <w:r w:rsidR="008F1E70">
        <w:t xml:space="preserve"> Government</w:t>
      </w:r>
      <w:r w:rsidR="00DB29C7">
        <w:t xml:space="preserve">s of different </w:t>
      </w:r>
      <w:r w:rsidR="00751FF8">
        <w:t>political parties in the 1920s and 1930s intervened with policies that</w:t>
      </w:r>
      <w:r w:rsidR="00DB29C7">
        <w:t xml:space="preserve"> impacted</w:t>
      </w:r>
      <w:r w:rsidR="00751FF8">
        <w:t xml:space="preserve"> positively</w:t>
      </w:r>
      <w:r w:rsidR="008F1E70">
        <w:t xml:space="preserve"> on health, housing,</w:t>
      </w:r>
      <w:r w:rsidR="00414024">
        <w:t xml:space="preserve"> and</w:t>
      </w:r>
      <w:r w:rsidR="008F1E70">
        <w:t xml:space="preserve"> education, </w:t>
      </w:r>
      <w:r w:rsidR="00751FF8">
        <w:t xml:space="preserve">in ways which </w:t>
      </w:r>
      <w:r w:rsidR="008F1E70">
        <w:t>transformed the early years</w:t>
      </w:r>
      <w:r w:rsidR="006B7318">
        <w:t xml:space="preserve"> of this cohort, and later meant that they entered adulthood, for most of them, in a time when full employment was being secured largely through post-war government determination</w:t>
      </w:r>
      <w:r w:rsidR="008F1E70">
        <w:t>.</w:t>
      </w:r>
    </w:p>
    <w:p w14:paraId="57E508FA" w14:textId="77777777" w:rsidR="00751FF8" w:rsidRDefault="00751FF8" w:rsidP="00943FA7"/>
    <w:p w14:paraId="61C59239" w14:textId="54DEFA27" w:rsidR="008F1E70" w:rsidRDefault="006B7318" w:rsidP="008F1E70">
      <w:r>
        <w:t>When the good times of the 1950s, 1960s and early 1970s ended</w:t>
      </w:r>
      <w:r w:rsidR="0003278B">
        <w:t>,</w:t>
      </w:r>
      <w:r>
        <w:t xml:space="preserve"> this cohort were initially sheltered, and isolated </w:t>
      </w:r>
      <w:r w:rsidR="00C9228A">
        <w:t xml:space="preserve">from </w:t>
      </w:r>
      <w:r>
        <w:t xml:space="preserve">initial harm. </w:t>
      </w:r>
      <w:r w:rsidR="008F1E70">
        <w:t>Through the turbulence of the 1970s and 1980s</w:t>
      </w:r>
      <w:r w:rsidR="0003278B">
        <w:t>,</w:t>
      </w:r>
      <w:r w:rsidR="008F1E70">
        <w:t xml:space="preserve"> the</w:t>
      </w:r>
      <w:r w:rsidR="00751FF8">
        <w:t xml:space="preserve"> Golden Cohort</w:t>
      </w:r>
      <w:r w:rsidR="008F1E70">
        <w:t xml:space="preserve"> were largely protected—</w:t>
      </w:r>
      <w:r w:rsidR="00751FF8">
        <w:t xml:space="preserve">the very large majority being </w:t>
      </w:r>
      <w:r w:rsidR="008F1E70">
        <w:t xml:space="preserve">homeowners in </w:t>
      </w:r>
      <w:r w:rsidR="004866D2">
        <w:t xml:space="preserve">more secure forms of </w:t>
      </w:r>
      <w:r w:rsidR="008F1E70">
        <w:t xml:space="preserve">employment, with little </w:t>
      </w:r>
      <w:r w:rsidR="00751FF8">
        <w:t>exposure</w:t>
      </w:r>
      <w:r w:rsidR="008F1E70">
        <w:t xml:space="preserve"> </w:t>
      </w:r>
      <w:r w:rsidR="00751FF8">
        <w:t>to</w:t>
      </w:r>
      <w:r w:rsidR="008F1E70">
        <w:t xml:space="preserve"> the</w:t>
      </w:r>
      <w:r>
        <w:t xml:space="preserve"> severe</w:t>
      </w:r>
      <w:r w:rsidR="00751FF8">
        <w:t xml:space="preserve"> economic</w:t>
      </w:r>
      <w:r w:rsidR="008F1E70">
        <w:t xml:space="preserve"> chaos</w:t>
      </w:r>
      <w:r w:rsidR="00751FF8">
        <w:t xml:space="preserve"> that a </w:t>
      </w:r>
      <w:r>
        <w:t xml:space="preserve">large </w:t>
      </w:r>
      <w:r w:rsidR="00751FF8">
        <w:t>minority</w:t>
      </w:r>
      <w:r>
        <w:t xml:space="preserve"> of adults</w:t>
      </w:r>
      <w:r w:rsidR="00751FF8">
        <w:t xml:space="preserve"> suffered</w:t>
      </w:r>
      <w:r w:rsidR="008F1E70">
        <w:t>. By the time of their retirement, health and social care spending increase</w:t>
      </w:r>
      <w:r w:rsidR="00B32261">
        <w:t>d</w:t>
      </w:r>
      <w:r w:rsidR="008F1E70">
        <w:t xml:space="preserve"> to keep pace with demand, and as a result inequalities narrowed, and health improved.</w:t>
      </w:r>
    </w:p>
    <w:p w14:paraId="4717B2AD" w14:textId="77777777" w:rsidR="00751FF8" w:rsidRDefault="00751FF8" w:rsidP="008F1E70"/>
    <w:p w14:paraId="3D869182" w14:textId="7F3B6EA5" w:rsidR="00832FCB" w:rsidRDefault="00751FF8" w:rsidP="008F1E70">
      <w:r>
        <w:t xml:space="preserve">In this paper we have demonstrated how sharply the situation </w:t>
      </w:r>
      <w:r w:rsidR="008F1E70">
        <w:t xml:space="preserve">changed in 2010. The Golden Cohort </w:t>
      </w:r>
      <w:r w:rsidR="00DB104C">
        <w:t>we</w:t>
      </w:r>
      <w:r w:rsidR="008F1E70">
        <w:t>re trailblazers of mortality improvements</w:t>
      </w:r>
      <w:r w:rsidR="00DB104C">
        <w:t xml:space="preserve">. </w:t>
      </w:r>
      <w:r w:rsidR="008F1E70">
        <w:t xml:space="preserve">The </w:t>
      </w:r>
      <w:r w:rsidR="00414024">
        <w:t xml:space="preserve">fall </w:t>
      </w:r>
      <w:r w:rsidR="008F1E70">
        <w:t>in improvement in life expectancy among and between age groups is dramatic</w:t>
      </w:r>
      <w:r w:rsidR="00DB104C">
        <w:t xml:space="preserve"> and seen first in 2012</w:t>
      </w:r>
      <w:r w:rsidR="008F1E70">
        <w:t xml:space="preserve">. </w:t>
      </w:r>
      <w:r w:rsidR="00832FCB">
        <w:t>For the Golden Cohort, the state</w:t>
      </w:r>
      <w:r w:rsidR="00DB104C">
        <w:t>,</w:t>
      </w:r>
      <w:r w:rsidR="00832FCB">
        <w:t xml:space="preserve"> which had supported them in their childhood</w:t>
      </w:r>
      <w:r w:rsidR="00DB29C7">
        <w:t xml:space="preserve"> and other eras of their lives</w:t>
      </w:r>
      <w:r w:rsidR="00832FCB">
        <w:t xml:space="preserve"> to remarkable effect, abandoned them in their final years.</w:t>
      </w:r>
    </w:p>
    <w:p w14:paraId="4D2E7D3A" w14:textId="77777777" w:rsidR="00DB104C" w:rsidRDefault="00DB104C" w:rsidP="008F1E70"/>
    <w:p w14:paraId="7ABD8D2E" w14:textId="2610AB46" w:rsidR="00403B8B" w:rsidRDefault="008F1E70" w:rsidP="00145A77">
      <w:r>
        <w:lastRenderedPageBreak/>
        <w:t>One</w:t>
      </w:r>
      <w:r w:rsidR="00D53014">
        <w:t xml:space="preserve"> </w:t>
      </w:r>
      <w:r>
        <w:t>key</w:t>
      </w:r>
      <w:r w:rsidR="00D53014">
        <w:t xml:space="preserve"> difference</w:t>
      </w:r>
      <w:r>
        <w:t xml:space="preserve"> between their early years and the years </w:t>
      </w:r>
      <w:r w:rsidR="00C9228A">
        <w:t xml:space="preserve">of </w:t>
      </w:r>
      <w:r>
        <w:t>austerity from 2010 onwards is</w:t>
      </w:r>
      <w:r w:rsidR="00D53014">
        <w:t xml:space="preserve"> that they had played no part in influencing the state as children. In </w:t>
      </w:r>
      <w:r w:rsidR="00145A77">
        <w:t>fact,</w:t>
      </w:r>
      <w:r w:rsidR="00D53014">
        <w:t xml:space="preserve"> the youngest of the </w:t>
      </w:r>
      <w:r w:rsidR="00145A77">
        <w:t>Golden</w:t>
      </w:r>
      <w:r w:rsidR="00D53014">
        <w:t xml:space="preserve"> </w:t>
      </w:r>
      <w:r w:rsidR="00145A77">
        <w:t>C</w:t>
      </w:r>
      <w:r w:rsidR="00D53014">
        <w:t>ohort turn</w:t>
      </w:r>
      <w:r w:rsidR="00DB29C7">
        <w:t>ed</w:t>
      </w:r>
      <w:r w:rsidR="00D53014">
        <w:t xml:space="preserve"> 18 in </w:t>
      </w:r>
      <w:r w:rsidR="00145A77">
        <w:t>1952—the year Queen Elizabeth II came to the throne</w:t>
      </w:r>
      <w:r w:rsidR="00DB104C">
        <w:t xml:space="preserve">; and </w:t>
      </w:r>
      <w:r w:rsidR="008866C1">
        <w:t>so,</w:t>
      </w:r>
      <w:r w:rsidR="00DB104C">
        <w:t xml:space="preserve"> had </w:t>
      </w:r>
      <w:r w:rsidR="00360939">
        <w:t xml:space="preserve">approximately </w:t>
      </w:r>
      <w:r w:rsidR="00DB104C">
        <w:t>21 opportunities in their lifetimes to vote on national issues.</w:t>
      </w:r>
      <w:r w:rsidR="00D53014">
        <w:t xml:space="preserve"> They were able, and most of them did</w:t>
      </w:r>
      <w:r w:rsidR="00145A77">
        <w:t>,</w:t>
      </w:r>
      <w:r w:rsidR="00D53014">
        <w:t xml:space="preserve"> vote in </w:t>
      </w:r>
      <w:r w:rsidR="00145A77">
        <w:t xml:space="preserve">18 General Elections </w:t>
      </w:r>
      <w:r w:rsidR="00DB104C">
        <w:t>between</w:t>
      </w:r>
      <w:r w:rsidR="00145A77">
        <w:t xml:space="preserve"> 1955 to 2019,</w:t>
      </w:r>
      <w:r w:rsidR="00DB104C">
        <w:t xml:space="preserve"> in</w:t>
      </w:r>
      <w:r w:rsidR="00145A77">
        <w:t xml:space="preserve"> </w:t>
      </w:r>
      <w:r w:rsidR="0003278B">
        <w:t xml:space="preserve">two </w:t>
      </w:r>
      <w:r w:rsidR="00145A77">
        <w:t xml:space="preserve">referendums on Britain’s place in Europe, and </w:t>
      </w:r>
      <w:r w:rsidR="00DB104C">
        <w:t xml:space="preserve">in </w:t>
      </w:r>
      <w:r w:rsidR="00145A77">
        <w:t>one referendum on potentially chang</w:t>
      </w:r>
      <w:r w:rsidR="00DB104C">
        <w:t>ing</w:t>
      </w:r>
      <w:r w:rsidR="00145A77">
        <w:t xml:space="preserve"> the voting system to a more democratic one.</w:t>
      </w:r>
      <w:r w:rsidR="00DB29C7">
        <w:t xml:space="preserve"> </w:t>
      </w:r>
    </w:p>
    <w:p w14:paraId="1A929636" w14:textId="77777777" w:rsidR="00D53014" w:rsidRDefault="00D53014" w:rsidP="00D53014"/>
    <w:p w14:paraId="41A11051" w14:textId="4E8EDEF8" w:rsidR="00ED2504" w:rsidRDefault="00360939" w:rsidP="00D53014">
      <w:r>
        <w:t>In 2023, the surviving members of the Golden Cohort have lived through</w:t>
      </w:r>
      <w:r w:rsidR="004866D2">
        <w:t xml:space="preserve"> (and continue to live in)</w:t>
      </w:r>
      <w:r>
        <w:t xml:space="preserve"> a global pandemic,</w:t>
      </w:r>
      <w:r w:rsidR="00002D0D">
        <w:t xml:space="preserve"> since 2021 a cost-of-living crisis so stark that people in modern day Britain are forced to choose between “heating and eating”, and a health and social crisis so entrenched that public satisfaction with the health service has fallen to the lowest levels since records began </w:t>
      </w:r>
      <w:r w:rsidR="00002D0D">
        <w:fldChar w:fldCharType="begin"/>
      </w:r>
      <w:r w:rsidR="00002D0D">
        <w:instrText xml:space="preserve"> ADDIN ZOTERO_ITEM CSL_CITATION {"citationID":"TCsfgHSI","properties":{"formattedCitation":"(Morris et al., 2023)","plainCitation":"(Morris et al., 2023)","noteIndex":0},"citationItems":[{"id":2049,"uris":["http://zotero.org/users/7125982/items/GLMX829U"],"itemData":{"id":2049,"type":"webpage","title":"Public satisfaction with the NHS and social care in 2022 | The King's Fund","URL":"https://www.kingsfund.org.uk/publications/public-satisfaction-nhs-and-social-care-2022","author":[{"family":"Morris","given":"Jessica"},{"family":"Schlepper","given":"Laura"},{"family":"Dayan","given":"Mark"},{"family":"Jefferies","given":"Danielle"},{"family":"Maguire","given":"David"},{"family":"Merry","given":"Leona"},{"family":"Wellings","given":"Dan"}],"accessed":{"date-parts":[["2023",4,25]]},"issued":{"date-parts":[["2023"]]}}}],"schema":"https://github.com/citation-style-language/schema/raw/master/csl-citation.json"} </w:instrText>
      </w:r>
      <w:r w:rsidR="00002D0D">
        <w:fldChar w:fldCharType="separate"/>
      </w:r>
      <w:r w:rsidR="00002D0D">
        <w:rPr>
          <w:noProof/>
        </w:rPr>
        <w:t>(Morris et al., 2023)</w:t>
      </w:r>
      <w:r w:rsidR="00002D0D">
        <w:fldChar w:fldCharType="end"/>
      </w:r>
      <w:r w:rsidR="00002D0D">
        <w:t xml:space="preserve">. </w:t>
      </w:r>
      <w:r w:rsidR="00221A08">
        <w:t>The Golden Cohort identified as Conservative supporters for much of their lifetimes (</w:t>
      </w:r>
      <w:r w:rsidR="00221A08">
        <w:fldChar w:fldCharType="begin"/>
      </w:r>
      <w:r w:rsidR="00221A08">
        <w:instrText xml:space="preserve"> REF _Ref134691644 </w:instrText>
      </w:r>
      <w:r w:rsidR="00221A08">
        <w:fldChar w:fldCharType="separate"/>
      </w:r>
      <w:r w:rsidR="00BE338B">
        <w:t xml:space="preserve">Figure </w:t>
      </w:r>
      <w:r w:rsidR="00BE338B">
        <w:rPr>
          <w:noProof/>
        </w:rPr>
        <w:t>23</w:t>
      </w:r>
      <w:r w:rsidR="00221A08">
        <w:fldChar w:fldCharType="end"/>
      </w:r>
      <w:r w:rsidR="00221A08">
        <w:t xml:space="preserve">) </w:t>
      </w:r>
      <w:r w:rsidR="00221A08">
        <w:fldChar w:fldCharType="begin"/>
      </w:r>
      <w:r w:rsidR="00221A08">
        <w:instrText xml:space="preserve"> ADDIN ZOTERO_ITEM CSL_CITATION {"citationID":"oLXexBfj","properties":{"formattedCitation":"(Stoneman &amp; Duffy, 2023)","plainCitation":"(Stoneman &amp; Duffy, 2023)","noteIndex":0},"citationItems":[{"id":2018,"uris":["http://zotero.org/users/7125982/items/QRD7RAC5"],"itemData":{"id":2018,"type":"webpage","title":"Are Millennials really killing the Tory party?","URL":"https://www.kcl.ac.uk/news/are-millennials-really-killing-the-tory-party","author":[{"family":"Stoneman","given":"Paul"},{"family":"Duffy","given":"Bobby"}],"accessed":{"date-parts":[["2023",4,24]]},"issued":{"date-parts":[["2023"]]}}}],"schema":"https://github.com/citation-style-language/schema/raw/master/csl-citation.json"} </w:instrText>
      </w:r>
      <w:r w:rsidR="00221A08">
        <w:fldChar w:fldCharType="separate"/>
      </w:r>
      <w:r w:rsidR="00221A08">
        <w:rPr>
          <w:noProof/>
        </w:rPr>
        <w:t>(Stoneman &amp; Duffy, 2023)</w:t>
      </w:r>
      <w:r w:rsidR="00221A08">
        <w:fldChar w:fldCharType="end"/>
      </w:r>
      <w:r w:rsidR="00221A08">
        <w:t xml:space="preserve">, and, perhaps surprisingly, this </w:t>
      </w:r>
      <w:r w:rsidR="004866D2">
        <w:t xml:space="preserve">support by most of them for the party of austerity </w:t>
      </w:r>
      <w:r w:rsidR="00221A08">
        <w:t xml:space="preserve">rose substantially during the austerity years including the last election of 2019, where they voted overwhelmingly for a continuation of the then Government, and, by proxy, for Brexit </w:t>
      </w:r>
      <w:r w:rsidR="00221A08">
        <w:fldChar w:fldCharType="begin"/>
      </w:r>
      <w:r w:rsidR="00221A08">
        <w:instrText xml:space="preserve"> ADDIN ZOTERO_ITEM CSL_CITATION {"citationID":"6ToCBDnx","properties":{"formattedCitation":"(Dorling, 2020)","plainCitation":"(Dorling, 2020)","noteIndex":0},"citationItems":[{"id":2031,"uris":["http://zotero.org/users/7125982/items/KM3A9WW6"],"itemData":{"id":2031,"type":"article-journal","container-title":"Public Sector Focus","issue":"26","journalAbbreviation":"Public Sector Focus","note":"publisher: Public Sector Focus","title":"So, how did we end up with this government?","author":[{"family":"Dorling","given":"Danny"}],"issued":{"date-parts":[["2020"]]}}}],"schema":"https://github.com/citation-style-language/schema/raw/master/csl-citation.json"} </w:instrText>
      </w:r>
      <w:r w:rsidR="00221A08">
        <w:fldChar w:fldCharType="separate"/>
      </w:r>
      <w:r w:rsidR="00221A08">
        <w:rPr>
          <w:noProof/>
        </w:rPr>
        <w:t>(Dorling, 2020)</w:t>
      </w:r>
      <w:r w:rsidR="00221A08">
        <w:fldChar w:fldCharType="end"/>
      </w:r>
      <w:r w:rsidR="00221A08">
        <w:t>. It would not be hard to argue that this cohort did not vote for options that, in the long run, ensured the best possible final years of their own lives, let alone the future of the next generation.</w:t>
      </w:r>
    </w:p>
    <w:p w14:paraId="4251346B" w14:textId="77777777" w:rsidR="00221A08" w:rsidRDefault="00221A08" w:rsidP="00D53014"/>
    <w:p w14:paraId="684E9E47" w14:textId="77777777" w:rsidR="00221A08" w:rsidRDefault="00221A08" w:rsidP="00221A08">
      <w:pPr>
        <w:keepNext/>
      </w:pPr>
      <w:r>
        <w:rPr>
          <w:noProof/>
          <w14:ligatures w14:val="standardContextual"/>
        </w:rPr>
        <w:lastRenderedPageBreak/>
        <w:drawing>
          <wp:inline distT="0" distB="0" distL="0" distR="0" wp14:anchorId="447B6E6B" wp14:editId="4E47C514">
            <wp:extent cx="5731510" cy="3513455"/>
            <wp:effectExtent l="0" t="0" r="0" b="4445"/>
            <wp:docPr id="11985737" name="Picture 119857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47456" name="Picture 1" descr="Chart, line chart&#10;&#10;Description automatically generated"/>
                    <pic:cNvPicPr/>
                  </pic:nvPicPr>
                  <pic:blipFill>
                    <a:blip r:embed="rId33"/>
                    <a:stretch>
                      <a:fillRect/>
                    </a:stretch>
                  </pic:blipFill>
                  <pic:spPr>
                    <a:xfrm>
                      <a:off x="0" y="0"/>
                      <a:ext cx="5731510" cy="3513455"/>
                    </a:xfrm>
                    <a:prstGeom prst="rect">
                      <a:avLst/>
                    </a:prstGeom>
                  </pic:spPr>
                </pic:pic>
              </a:graphicData>
            </a:graphic>
          </wp:inline>
        </w:drawing>
      </w:r>
    </w:p>
    <w:p w14:paraId="2B1AF6D1" w14:textId="37264CE9" w:rsidR="00221A08" w:rsidRDefault="00221A08" w:rsidP="00221A08">
      <w:pPr>
        <w:pStyle w:val="Caption"/>
        <w:rPr>
          <w:rFonts w:ascii="Calibri" w:hAnsi="Calibri" w:cs="Calibri"/>
          <w:color w:val="212121"/>
        </w:rPr>
      </w:pPr>
      <w:bookmarkStart w:id="84" w:name="_Ref134691644"/>
      <w:r>
        <w:t xml:space="preserve">Figure </w:t>
      </w:r>
      <w:r w:rsidR="00537CEF">
        <w:fldChar w:fldCharType="begin"/>
      </w:r>
      <w:r w:rsidR="00537CEF">
        <w:instrText xml:space="preserve"> SEQ Figure \* ARABIC </w:instrText>
      </w:r>
      <w:r w:rsidR="00537CEF">
        <w:fldChar w:fldCharType="separate"/>
      </w:r>
      <w:r w:rsidR="00537CEF">
        <w:rPr>
          <w:noProof/>
        </w:rPr>
        <w:t>23</w:t>
      </w:r>
      <w:r w:rsidR="00537CEF">
        <w:fldChar w:fldCharType="end"/>
      </w:r>
      <w:bookmarkEnd w:id="84"/>
      <w:r>
        <w:t xml:space="preserve">: Percentage of people who identify as a Conservative party supporter, 1983 to 2020. Reproduced with kind permission of Duffy and Stoneman. Source: Are millennials really killing the Tory Party? </w:t>
      </w:r>
      <w:r>
        <w:fldChar w:fldCharType="begin"/>
      </w:r>
      <w:r>
        <w:instrText xml:space="preserve"> ADDIN ZOTERO_ITEM CSL_CITATION {"citationID":"oXWuK3hT","properties":{"formattedCitation":"(Stoneman &amp; Duffy, 2023)","plainCitation":"(Stoneman &amp; Duffy, 2023)","noteIndex":0},"citationItems":[{"id":2018,"uris":["http://zotero.org/users/7125982/items/QRD7RAC5"],"itemData":{"id":2018,"type":"webpage","title":"Are Millennials really killing the Tory party?","URL":"https://www.kcl.ac.uk/news/are-millennials-really-killing-the-tory-party","author":[{"family":"Stoneman","given":"Paul"},{"family":"Duffy","given":"Bobby"}],"accessed":{"date-parts":[["2023",4,24]]},"issued":{"date-parts":[["2023"]]}}}],"schema":"https://github.com/citation-style-language/schema/raw/master/csl-citation.json"} </w:instrText>
      </w:r>
      <w:r>
        <w:fldChar w:fldCharType="separate"/>
      </w:r>
      <w:r>
        <w:rPr>
          <w:noProof/>
        </w:rPr>
        <w:t>(Stoneman &amp; Duffy, 2023)</w:t>
      </w:r>
      <w:r>
        <w:fldChar w:fldCharType="end"/>
      </w:r>
      <w:r>
        <w:t>. using British Social Attitudes Survey data.</w:t>
      </w:r>
    </w:p>
    <w:p w14:paraId="3FCADB05" w14:textId="77777777" w:rsidR="005C2594" w:rsidRDefault="005C2594" w:rsidP="00D53014"/>
    <w:p w14:paraId="77925211" w14:textId="467DD73C" w:rsidR="00D53014" w:rsidRDefault="00D53014" w:rsidP="00BE5721">
      <w:r>
        <w:t>Writing in 2019, we quoted Yates’ famous poem “The Second Coming” when assessing the state of health in the UK—</w:t>
      </w:r>
      <w:r w:rsidR="00BE5721">
        <w:t xml:space="preserve"> when he wrote on how '</w:t>
      </w:r>
      <w:r>
        <w:t>Things Fall Apart</w:t>
      </w:r>
      <w:r w:rsidR="00BE5721">
        <w:t>’</w:t>
      </w:r>
      <w:r w:rsidR="00F7054A">
        <w:t xml:space="preserve"> </w:t>
      </w:r>
      <w:r>
        <w:fldChar w:fldCharType="begin"/>
      </w:r>
      <w:r w:rsidR="0099441B">
        <w:instrText xml:space="preserve"> ADDIN ZOTERO_ITEM CSL_CITATION {"citationID":"ArFggGid","properties":{"formattedCitation":"(Hiam et al., 2020)","plainCitation":"(Hiam et al., 2020)","noteIndex":0},"citationItems":[{"id":1054,"uris":["http://zotero.org/users/7125982/items/269P9K9G"],"itemData":{"id":1054,"type":"article-journal","abstract":"BACKGROUND: A very large number of studies have reported a stalling of health improvements in the UK since 2010. SOURCES OF DATA: Almost all relevant data are produced by the Office for National Statistics and other national statistical agencies. AREAS OF AGREEMENT: There has been a dramatic slowdown in life expectancy and diverging trends in infant mortality in the UK as a whole and England and Wales, respectively. AREAS OF CONTROVERSY: Many commentators are loath to describe the falls in life expectancy as actual falls or to ascribe blame to the political situation in the UK. GROWING POINTS: Health trends in the UK are worrying and raise important questions about government policies. AREAS TIMELY FOR DEVELOPING RESEARCH: These findings point to a need for greater investment in research on the political determinants of health, on the timely detection and interpretation of evidence of worsening health, and on how political and policy processes respond to such findings.","container-title":"Br Med Bull","DOI":"10.1093/bmb/ldz041","ISSN":"0007-1420","issue":"1","language":"eng","page":"4-15","title":"Things Fall Apart: the British Health Crisis 2010-2020","volume":"133","author":[{"family":"Hiam","given":"L."},{"family":"Dorling","given":"D."},{"family":"McKee","given":"M."}],"issued":{"date-parts":[["2020",5,15]]}}}],"schema":"https://github.com/citation-style-language/schema/raw/master/csl-citation.json"} </w:instrText>
      </w:r>
      <w:r>
        <w:fldChar w:fldCharType="separate"/>
      </w:r>
      <w:r w:rsidR="0099441B">
        <w:rPr>
          <w:rFonts w:cs="Arial"/>
        </w:rPr>
        <w:t>(Hiam et al., 2020)</w:t>
      </w:r>
      <w:r>
        <w:fldChar w:fldCharType="end"/>
      </w:r>
      <w:r w:rsidR="00F7054A">
        <w:t>.</w:t>
      </w:r>
      <w:r>
        <w:t xml:space="preserve"> We </w:t>
      </w:r>
      <w:r w:rsidR="00BE5721">
        <w:t>documented</w:t>
      </w:r>
      <w:r>
        <w:t xml:space="preserve"> rising infant mortality rates, poverty, falling life expectancy, and widening health inequalities, concluding th</w:t>
      </w:r>
      <w:r w:rsidR="006B7318">
        <w:t>at the</w:t>
      </w:r>
      <w:r>
        <w:t xml:space="preserve"> countr</w:t>
      </w:r>
      <w:r w:rsidR="006B7318">
        <w:t>ies of the UK</w:t>
      </w:r>
      <w:r>
        <w:t xml:space="preserve"> could be on</w:t>
      </w:r>
      <w:r w:rsidR="006B7318">
        <w:t xml:space="preserve"> their</w:t>
      </w:r>
      <w:r>
        <w:t xml:space="preserve"> way to becoming a failed state. We could not have imagined the years that have followed, but certainly the markers we examined have, sadly, </w:t>
      </w:r>
      <w:r w:rsidR="00BE5721">
        <w:t xml:space="preserve">all </w:t>
      </w:r>
      <w:r>
        <w:t>worsened</w:t>
      </w:r>
      <w:r w:rsidR="00BE5721">
        <w:t xml:space="preserve"> greatly</w:t>
      </w:r>
      <w:r w:rsidR="0035369D">
        <w:t xml:space="preserve"> with </w:t>
      </w:r>
      <w:r w:rsidR="00CD4374">
        <w:t>other</w:t>
      </w:r>
      <w:r w:rsidR="0035369D">
        <w:t xml:space="preserve"> impacts now seen</w:t>
      </w:r>
      <w:r w:rsidR="00CD4374">
        <w:t>, such as</w:t>
      </w:r>
      <w:r w:rsidR="0035369D" w:rsidRPr="0035369D">
        <w:t xml:space="preserve"> </w:t>
      </w:r>
      <w:r w:rsidR="0035369D">
        <w:t xml:space="preserve">reports in 2023 </w:t>
      </w:r>
      <w:r w:rsidR="00CD4374">
        <w:t xml:space="preserve">describing </w:t>
      </w:r>
      <w:r w:rsidR="0035369D">
        <w:t>that children in the UK “raised under austerity” are</w:t>
      </w:r>
      <w:r w:rsidR="0003278B">
        <w:t>,</w:t>
      </w:r>
      <w:r w:rsidR="0035369D">
        <w:t xml:space="preserve"> </w:t>
      </w:r>
      <w:r w:rsidR="001845A9">
        <w:t xml:space="preserve">in terms of height attained, </w:t>
      </w:r>
      <w:r w:rsidR="0035369D">
        <w:t xml:space="preserve">shorter than their European counterparts </w:t>
      </w:r>
      <w:r w:rsidR="0035369D">
        <w:fldChar w:fldCharType="begin"/>
      </w:r>
      <w:r w:rsidR="0035369D">
        <w:instrText xml:space="preserve"> ADDIN ZOTERO_ITEM CSL_CITATION {"citationID":"B1EkoLzO","properties":{"formattedCitation":"(Hill, 2023)","plainCitation":"(Hill, 2023)","noteIndex":0},"citationItems":[{"id":3289,"uris":["http://zotero.org/users/7125982/items/E6IMUS5R"],"itemData":{"id":3289,"type":"article-newspaper","abstract":"Average height of boys and girls aged five has slipped due to poor diet and NHS cuts, experts say","container-title":"The Guardian","ISSN":"0261-3077","language":"en-GB","section":"Business","source":"The Guardian","title":"Children raised under UK austerity shorter than European peers, study finds","URL":"https://www.theguardian.com/business/2023/jun/21/children-raised-under-uk-austerity-shorter-than-european-peers-study","author":[{"family":"Hill","given":"Amelia"}],"accessed":{"date-parts":[["2023",8,18]]},"issued":{"date-parts":[["2023",6,21]]}}}],"schema":"https://github.com/citation-style-language/schema/raw/master/csl-citation.json"} </w:instrText>
      </w:r>
      <w:r w:rsidR="0035369D">
        <w:fldChar w:fldCharType="separate"/>
      </w:r>
      <w:r w:rsidR="0035369D">
        <w:rPr>
          <w:noProof/>
        </w:rPr>
        <w:t>(Hill, 2023)</w:t>
      </w:r>
      <w:r w:rsidR="0035369D">
        <w:fldChar w:fldCharType="end"/>
      </w:r>
      <w:r w:rsidR="0035369D">
        <w:t>. Thus, while the impact of austerity has not only affected those towards the end of their lives,</w:t>
      </w:r>
      <w:r>
        <w:t xml:space="preserve"> </w:t>
      </w:r>
      <w:r w:rsidR="0035369D">
        <w:t>f</w:t>
      </w:r>
      <w:r>
        <w:t>or the Golden Cohort, these years further exacerbated a significant change in outlook</w:t>
      </w:r>
      <w:r w:rsidR="00BE5721">
        <w:t>.</w:t>
      </w:r>
      <w:r w:rsidR="00CD4374">
        <w:t xml:space="preserve"> </w:t>
      </w:r>
      <w:r w:rsidR="00BE5721">
        <w:t>W</w:t>
      </w:r>
      <w:r>
        <w:t xml:space="preserve">ith the Conservatives still in power at the start of 2023, and </w:t>
      </w:r>
      <w:r w:rsidR="0031745F">
        <w:t>the Labour Party now appearing to</w:t>
      </w:r>
      <w:r>
        <w:t xml:space="preserve"> support austerity, there is little to suggest that outlook will </w:t>
      </w:r>
      <w:r w:rsidR="0031745F">
        <w:t xml:space="preserve">suddenly </w:t>
      </w:r>
      <w:r>
        <w:t>change.</w:t>
      </w:r>
      <w:r w:rsidR="00BE5721">
        <w:t xml:space="preserve"> Certainly not in time </w:t>
      </w:r>
      <w:r w:rsidR="0031745F">
        <w:t>to aid</w:t>
      </w:r>
      <w:r w:rsidR="00BE5721">
        <w:t xml:space="preserve"> the final few survivors of the Golden Cohort</w:t>
      </w:r>
      <w:r w:rsidR="0031745F">
        <w:t xml:space="preserve">. </w:t>
      </w:r>
      <w:r w:rsidR="00A004FB">
        <w:t>Now,</w:t>
      </w:r>
      <w:r w:rsidR="004866D2">
        <w:t xml:space="preserve"> writing four years later in 2023, we end with </w:t>
      </w:r>
      <w:r w:rsidR="000C1FB9">
        <w:t xml:space="preserve">a few of the lines of </w:t>
      </w:r>
      <w:r w:rsidR="00A004FB">
        <w:t>an</w:t>
      </w:r>
      <w:r w:rsidR="000C1FB9">
        <w:t xml:space="preserve">other </w:t>
      </w:r>
      <w:r w:rsidR="00A004FB">
        <w:t xml:space="preserve">famous </w:t>
      </w:r>
      <w:r w:rsidR="000C1FB9">
        <w:t>poet</w:t>
      </w:r>
      <w:r w:rsidR="00DB60D9">
        <w:t xml:space="preserve">, </w:t>
      </w:r>
      <w:r w:rsidR="000C1FB9">
        <w:t xml:space="preserve">W.H. Auden, concerning history repeating. </w:t>
      </w:r>
      <w:r w:rsidR="00DB60D9">
        <w:t>The Golden Cohort</w:t>
      </w:r>
      <w:r w:rsidR="000C1FB9">
        <w:t xml:space="preserve"> were born into poverty</w:t>
      </w:r>
      <w:r w:rsidR="00DB60D9">
        <w:t xml:space="preserve">, relieved by intervention, yet, </w:t>
      </w:r>
      <w:r w:rsidR="000C1FB9">
        <w:t>ended their days mostly in austerity</w:t>
      </w:r>
      <w:r w:rsidR="00DB60D9">
        <w:t>.</w:t>
      </w:r>
      <w:r w:rsidR="001845A9">
        <w:t xml:space="preserve"> Auden was 20 years senior to this cohort. In 1939 in “September 1</w:t>
      </w:r>
      <w:r w:rsidR="001845A9" w:rsidRPr="00614A54">
        <w:rPr>
          <w:vertAlign w:val="superscript"/>
        </w:rPr>
        <w:t>st</w:t>
      </w:r>
      <w:r w:rsidR="001845A9">
        <w:t>” he wrote:</w:t>
      </w:r>
    </w:p>
    <w:p w14:paraId="3EE477F5" w14:textId="77777777" w:rsidR="000C1FB9" w:rsidRDefault="000C1FB9" w:rsidP="00BE5721"/>
    <w:p w14:paraId="32B84F87" w14:textId="4FE813A2" w:rsidR="000C1FB9" w:rsidRPr="00A004FB" w:rsidRDefault="000C1FB9" w:rsidP="00BE5721">
      <w:pPr>
        <w:rPr>
          <w:i/>
          <w:iCs/>
        </w:rPr>
      </w:pPr>
      <w:r w:rsidRPr="00A004FB">
        <w:rPr>
          <w:i/>
          <w:iCs/>
        </w:rPr>
        <w:lastRenderedPageBreak/>
        <w:t>The enlightenment driven away,</w:t>
      </w:r>
      <w:r w:rsidRPr="00A004FB">
        <w:rPr>
          <w:i/>
          <w:iCs/>
        </w:rPr>
        <w:br/>
        <w:t>The habit-forming pain,</w:t>
      </w:r>
      <w:r w:rsidRPr="00A004FB">
        <w:rPr>
          <w:i/>
          <w:iCs/>
        </w:rPr>
        <w:br/>
        <w:t>Mismanagement and grief:</w:t>
      </w:r>
      <w:r w:rsidRPr="00A004FB">
        <w:rPr>
          <w:i/>
          <w:iCs/>
        </w:rPr>
        <w:br/>
        <w:t>We must suffer them all again.</w:t>
      </w:r>
    </w:p>
    <w:p w14:paraId="4558F120" w14:textId="77777777" w:rsidR="00D53014" w:rsidRDefault="00D53014">
      <w:pPr>
        <w:spacing w:line="240" w:lineRule="auto"/>
        <w:rPr>
          <w:rFonts w:eastAsiaTheme="majorEastAsia" w:cs="Times New Roman (Headings CS)"/>
          <w:b/>
          <w:smallCaps/>
          <w:kern w:val="2"/>
          <w:szCs w:val="32"/>
          <w:lang w:eastAsia="en-US"/>
          <w14:ligatures w14:val="standardContextual"/>
        </w:rPr>
      </w:pPr>
    </w:p>
    <w:p w14:paraId="72858760" w14:textId="77777777" w:rsidR="006A0BA1" w:rsidRDefault="006A0BA1">
      <w:pPr>
        <w:spacing w:line="240" w:lineRule="auto"/>
        <w:rPr>
          <w:rFonts w:eastAsiaTheme="majorEastAsia" w:cs="Times New Roman (Headings CS)"/>
          <w:b/>
          <w:smallCaps/>
          <w:kern w:val="2"/>
          <w:szCs w:val="32"/>
          <w:lang w:eastAsia="en-US"/>
          <w14:ligatures w14:val="standardContextual"/>
        </w:rPr>
      </w:pPr>
      <w:r>
        <w:br w:type="page"/>
      </w:r>
    </w:p>
    <w:p w14:paraId="57D90EF7" w14:textId="1C6C8F8D" w:rsidR="003B1D18" w:rsidRDefault="003B1D18" w:rsidP="00382AC9">
      <w:pPr>
        <w:pStyle w:val="Heading1"/>
      </w:pPr>
      <w:bookmarkStart w:id="85" w:name="_Toc133496287"/>
      <w:r>
        <w:lastRenderedPageBreak/>
        <w:t>Data availability statement</w:t>
      </w:r>
    </w:p>
    <w:p w14:paraId="24096C15" w14:textId="09D2FBBB" w:rsidR="003B1D18" w:rsidRPr="003B1D18" w:rsidRDefault="003B1D18" w:rsidP="003B1D18">
      <w:pPr>
        <w:rPr>
          <w:lang w:eastAsia="en-US"/>
        </w:rPr>
      </w:pPr>
      <w:r>
        <w:t>The authors confirm that the data supporting the findings of this study are available within the article’s supplementary materials.</w:t>
      </w:r>
    </w:p>
    <w:p w14:paraId="2171F94B" w14:textId="5B97565D" w:rsidR="00382AC9" w:rsidRDefault="00382AC9" w:rsidP="00382AC9">
      <w:pPr>
        <w:pStyle w:val="Heading1"/>
      </w:pPr>
      <w:r>
        <w:t>References</w:t>
      </w:r>
      <w:bookmarkEnd w:id="85"/>
    </w:p>
    <w:p w14:paraId="097D74BB" w14:textId="77777777" w:rsidR="000564EA" w:rsidRPr="000564EA" w:rsidRDefault="00382AC9" w:rsidP="000564EA">
      <w:pPr>
        <w:pStyle w:val="Bibliography"/>
      </w:pPr>
      <w:r>
        <w:fldChar w:fldCharType="begin"/>
      </w:r>
      <w:r w:rsidR="001076C5">
        <w:instrText xml:space="preserve"> ADDIN ZOTERO_BIBL {"uncited":[],"omitted":[],"custom":[]} CSL_BIBLIOGRAPHY </w:instrText>
      </w:r>
      <w:r>
        <w:fldChar w:fldCharType="separate"/>
      </w:r>
      <w:r w:rsidR="000564EA" w:rsidRPr="000564EA">
        <w:t xml:space="preserve">Alexiou, A., Fahy, K., Mason, K., Bennett, D., Brown, H., Bambra, C., Taylor-Robinson, D., &amp; Barr, B. (2021). Local government funding and life expectancy in England: A longitudinal ecological study. </w:t>
      </w:r>
      <w:r w:rsidR="000564EA" w:rsidRPr="000564EA">
        <w:rPr>
          <w:i/>
          <w:iCs/>
        </w:rPr>
        <w:t>The Lancet. Public Health</w:t>
      </w:r>
      <w:r w:rsidR="000564EA" w:rsidRPr="000564EA">
        <w:t xml:space="preserve">, </w:t>
      </w:r>
      <w:r w:rsidR="000564EA" w:rsidRPr="000564EA">
        <w:rPr>
          <w:i/>
          <w:iCs/>
        </w:rPr>
        <w:t>6</w:t>
      </w:r>
      <w:r w:rsidR="000564EA" w:rsidRPr="000564EA">
        <w:t>(9), e641–e647. https://doi.org/10.1016/S2468-2667(21)00110-9</w:t>
      </w:r>
    </w:p>
    <w:p w14:paraId="2CF3DF5C" w14:textId="77777777" w:rsidR="000564EA" w:rsidRPr="000564EA" w:rsidRDefault="000564EA" w:rsidP="000564EA">
      <w:pPr>
        <w:pStyle w:val="Bibliography"/>
      </w:pPr>
      <w:r w:rsidRPr="000564EA">
        <w:t xml:space="preserve">Anderson, B., &amp; Minneman, E. (2014). The abuse and misuse of the term “Austerity” Implications for OECD countries. </w:t>
      </w:r>
      <w:r w:rsidRPr="000564EA">
        <w:rPr>
          <w:i/>
          <w:iCs/>
        </w:rPr>
        <w:t>OECD Journal on Budgeting</w:t>
      </w:r>
      <w:r w:rsidRPr="000564EA">
        <w:t xml:space="preserve">, </w:t>
      </w:r>
      <w:r w:rsidRPr="000564EA">
        <w:rPr>
          <w:i/>
          <w:iCs/>
        </w:rPr>
        <w:t>14</w:t>
      </w:r>
      <w:r w:rsidRPr="000564EA">
        <w:t>(1), 109–122. https://doi.org/10.1787/budget-14-5jxrmdxc6sq1</w:t>
      </w:r>
    </w:p>
    <w:p w14:paraId="22CC9375" w14:textId="77777777" w:rsidR="000564EA" w:rsidRPr="000564EA" w:rsidRDefault="000564EA" w:rsidP="000564EA">
      <w:pPr>
        <w:pStyle w:val="Bibliography"/>
      </w:pPr>
      <w:r w:rsidRPr="000564EA">
        <w:t xml:space="preserve">Andrew. (2017, July 31). The referendums of 1975 and 2016 illustrate the continuity and change in British Euroscepticism. </w:t>
      </w:r>
      <w:r w:rsidRPr="000564EA">
        <w:rPr>
          <w:i/>
          <w:iCs/>
        </w:rPr>
        <w:t>LSE BREXIT</w:t>
      </w:r>
      <w:r w:rsidRPr="000564EA">
        <w:t>. https://blogs.lse.ac.uk/brexit/2017/07/31/the-referendums-of-1975-and-2016-illustrate-the-continuity-and-change-in-british-euroscepticism/</w:t>
      </w:r>
    </w:p>
    <w:p w14:paraId="1D41AA7A" w14:textId="77777777" w:rsidR="000564EA" w:rsidRPr="000564EA" w:rsidRDefault="000564EA" w:rsidP="000564EA">
      <w:pPr>
        <w:pStyle w:val="Bibliography"/>
      </w:pPr>
      <w:r w:rsidRPr="000564EA">
        <w:t xml:space="preserve">Ashton, J. R., Middleton, J., &amp; Lang, T. (2014). Open letter to Prime Minister David Cameron on food poverty in the UK. </w:t>
      </w:r>
      <w:r w:rsidRPr="000564EA">
        <w:rPr>
          <w:i/>
          <w:iCs/>
        </w:rPr>
        <w:t>The Lancet</w:t>
      </w:r>
      <w:r w:rsidRPr="000564EA">
        <w:t xml:space="preserve">, </w:t>
      </w:r>
      <w:r w:rsidRPr="000564EA">
        <w:rPr>
          <w:i/>
          <w:iCs/>
        </w:rPr>
        <w:t>383</w:t>
      </w:r>
      <w:r w:rsidRPr="000564EA">
        <w:t>(9929), 1631. https://doi.org/10.1016/S0140-6736(14)60536-5</w:t>
      </w:r>
    </w:p>
    <w:p w14:paraId="7B35BBEB" w14:textId="77777777" w:rsidR="000564EA" w:rsidRPr="000564EA" w:rsidRDefault="000564EA" w:rsidP="000564EA">
      <w:pPr>
        <w:pStyle w:val="Bibliography"/>
      </w:pPr>
      <w:r w:rsidRPr="000564EA">
        <w:t xml:space="preserve">Atkinson, T., Hasell, J., Morelli, S., &amp; Roser, M. (2017). </w:t>
      </w:r>
      <w:r w:rsidRPr="000564EA">
        <w:rPr>
          <w:i/>
          <w:iCs/>
        </w:rPr>
        <w:t>The Chartbook of Economic Inequality</w:t>
      </w:r>
      <w:r w:rsidRPr="000564EA">
        <w:t>. Institute for New Economic Thinking. https://www.inet.ox.ac.uk/files/Chartbook_Of_Economic_Inequality_complete.pdf</w:t>
      </w:r>
    </w:p>
    <w:p w14:paraId="57773003" w14:textId="77777777" w:rsidR="000564EA" w:rsidRPr="000564EA" w:rsidRDefault="000564EA" w:rsidP="000564EA">
      <w:pPr>
        <w:pStyle w:val="Bibliography"/>
      </w:pPr>
      <w:r w:rsidRPr="000564EA">
        <w:t xml:space="preserve">Baker, A., Ege, F., Fitzpatrick, J., &amp; Newton, J. (2018). Response to articles on mortality in England and Wales. </w:t>
      </w:r>
      <w:r w:rsidRPr="000564EA">
        <w:rPr>
          <w:i/>
          <w:iCs/>
        </w:rPr>
        <w:t>Journal of the Royal Society of Medicine</w:t>
      </w:r>
      <w:r w:rsidRPr="000564EA">
        <w:t xml:space="preserve">, </w:t>
      </w:r>
      <w:r w:rsidRPr="000564EA">
        <w:rPr>
          <w:i/>
          <w:iCs/>
        </w:rPr>
        <w:t>111</w:t>
      </w:r>
      <w:r w:rsidRPr="000564EA">
        <w:t>(2), 40–41. https://doi.org/10.1177/0141076817743075</w:t>
      </w:r>
    </w:p>
    <w:p w14:paraId="1279D6DB" w14:textId="77777777" w:rsidR="000564EA" w:rsidRPr="000564EA" w:rsidRDefault="000564EA" w:rsidP="000564EA">
      <w:pPr>
        <w:pStyle w:val="Bibliography"/>
      </w:pPr>
      <w:r w:rsidRPr="000564EA">
        <w:t xml:space="preserve">Barr, B., Bambra, C., &amp; Whitehead, M. (2014). The impact of NHS resource allocation policy on health inequalities in England 2001-11: Longitudinal ecological study. </w:t>
      </w:r>
      <w:r w:rsidRPr="000564EA">
        <w:rPr>
          <w:i/>
          <w:iCs/>
        </w:rPr>
        <w:t>BMJ (Clinical Research Ed.)</w:t>
      </w:r>
      <w:r w:rsidRPr="000564EA">
        <w:t xml:space="preserve">, </w:t>
      </w:r>
      <w:r w:rsidRPr="000564EA">
        <w:rPr>
          <w:i/>
          <w:iCs/>
        </w:rPr>
        <w:t>348</w:t>
      </w:r>
      <w:r w:rsidRPr="000564EA">
        <w:t>. https://doi.org/10.1136/bmj.g3231</w:t>
      </w:r>
    </w:p>
    <w:p w14:paraId="67345B62" w14:textId="77777777" w:rsidR="000564EA" w:rsidRPr="000564EA" w:rsidRDefault="000564EA" w:rsidP="000564EA">
      <w:pPr>
        <w:pStyle w:val="Bibliography"/>
      </w:pPr>
      <w:r w:rsidRPr="000564EA">
        <w:lastRenderedPageBreak/>
        <w:t xml:space="preserve">Barr, B., Higgerson, J., &amp; Whitehead, M. (2017). Investigating the impact of the English health inequalities strategy: Time trend analysis. </w:t>
      </w:r>
      <w:r w:rsidRPr="000564EA">
        <w:rPr>
          <w:i/>
          <w:iCs/>
        </w:rPr>
        <w:t>BMJ (Clinical Research Ed.)</w:t>
      </w:r>
      <w:r w:rsidRPr="000564EA">
        <w:t xml:space="preserve">, </w:t>
      </w:r>
      <w:r w:rsidRPr="000564EA">
        <w:rPr>
          <w:i/>
          <w:iCs/>
        </w:rPr>
        <w:t>358</w:t>
      </w:r>
      <w:r w:rsidRPr="000564EA">
        <w:t>, j3310. https://doi.org/10.1136/bmj.j3310</w:t>
      </w:r>
    </w:p>
    <w:p w14:paraId="5EA2B7E9" w14:textId="77777777" w:rsidR="000564EA" w:rsidRPr="000564EA" w:rsidRDefault="000564EA" w:rsidP="000564EA">
      <w:pPr>
        <w:pStyle w:val="Bibliography"/>
      </w:pPr>
      <w:r w:rsidRPr="000564EA">
        <w:t xml:space="preserve">Bennett, J. E., Pearson-Stuttard, J., Kontis, V., Capewell, S., Wolfe, I., &amp; Ezzati, M. (2018). Contributions of diseases and injuries to widening life expectancy inequalities in England from 2001 to 2016: A population-based analysis of vital registration data. </w:t>
      </w:r>
      <w:r w:rsidRPr="000564EA">
        <w:rPr>
          <w:i/>
          <w:iCs/>
        </w:rPr>
        <w:t>The Lancet Public Health</w:t>
      </w:r>
      <w:r w:rsidRPr="000564EA">
        <w:t xml:space="preserve">, </w:t>
      </w:r>
      <w:r w:rsidRPr="000564EA">
        <w:rPr>
          <w:i/>
          <w:iCs/>
        </w:rPr>
        <w:t>3</w:t>
      </w:r>
      <w:r w:rsidRPr="000564EA">
        <w:t>(12), e586–e597. https://doi.org/10.1016/S2468-2667(18)30214-7</w:t>
      </w:r>
    </w:p>
    <w:p w14:paraId="23764268" w14:textId="77777777" w:rsidR="000564EA" w:rsidRPr="000564EA" w:rsidRDefault="000564EA" w:rsidP="000564EA">
      <w:pPr>
        <w:pStyle w:val="Bibliography"/>
      </w:pPr>
      <w:r w:rsidRPr="000564EA">
        <w:t xml:space="preserve">Bevan, A. (1952). </w:t>
      </w:r>
      <w:r w:rsidRPr="000564EA">
        <w:rPr>
          <w:i/>
          <w:iCs/>
        </w:rPr>
        <w:t>In Place of Fear</w:t>
      </w:r>
      <w:r w:rsidRPr="000564EA">
        <w:t>.</w:t>
      </w:r>
    </w:p>
    <w:p w14:paraId="0ADE64AE" w14:textId="77777777" w:rsidR="000564EA" w:rsidRPr="000564EA" w:rsidRDefault="000564EA" w:rsidP="000564EA">
      <w:pPr>
        <w:pStyle w:val="Bibliography"/>
      </w:pPr>
      <w:r w:rsidRPr="000564EA">
        <w:t xml:space="preserve">Bhatnagar, P., Wickramasinghe, K., Wilkins, E., &amp; Townsend, N. (2016). Trends in the epidemiology of cardiovascular disease in the UK. </w:t>
      </w:r>
      <w:r w:rsidRPr="000564EA">
        <w:rPr>
          <w:i/>
          <w:iCs/>
        </w:rPr>
        <w:t>Heart</w:t>
      </w:r>
      <w:r w:rsidRPr="000564EA">
        <w:t xml:space="preserve">, </w:t>
      </w:r>
      <w:r w:rsidRPr="000564EA">
        <w:rPr>
          <w:i/>
          <w:iCs/>
        </w:rPr>
        <w:t>102</w:t>
      </w:r>
      <w:r w:rsidRPr="000564EA">
        <w:t>(24), 1945–1952. https://doi.org/10.1136/heartjnl-2016-309573</w:t>
      </w:r>
    </w:p>
    <w:p w14:paraId="10C912F9" w14:textId="77777777" w:rsidR="000564EA" w:rsidRPr="000564EA" w:rsidRDefault="000564EA" w:rsidP="000564EA">
      <w:pPr>
        <w:pStyle w:val="Bibliography"/>
      </w:pPr>
      <w:r w:rsidRPr="000564EA">
        <w:t xml:space="preserve">Blanchard, S., Bradshaw, B. S., Herbold, J. R., &amp; Smith, D. W. (2020). The pandemic of 1918 and the heart disease epidemic in middle-aged men and women in the United States. </w:t>
      </w:r>
      <w:r w:rsidRPr="000564EA">
        <w:rPr>
          <w:i/>
          <w:iCs/>
        </w:rPr>
        <w:t>Biodemography and Social Biology</w:t>
      </w:r>
      <w:r w:rsidRPr="000564EA">
        <w:t xml:space="preserve">, </w:t>
      </w:r>
      <w:r w:rsidRPr="000564EA">
        <w:rPr>
          <w:i/>
          <w:iCs/>
        </w:rPr>
        <w:t>65</w:t>
      </w:r>
      <w:r w:rsidRPr="000564EA">
        <w:t>(2), 137–155. https://doi.org/10.1080/19485565.2019.1689352</w:t>
      </w:r>
    </w:p>
    <w:p w14:paraId="0CE990EF" w14:textId="77777777" w:rsidR="000564EA" w:rsidRPr="000564EA" w:rsidRDefault="000564EA" w:rsidP="000564EA">
      <w:pPr>
        <w:pStyle w:val="Bibliography"/>
      </w:pPr>
      <w:r w:rsidRPr="000564EA">
        <w:t xml:space="preserve">Bor, J. (2017). Diverging Life Expectancies and Voting Patterns in the 2016 US Presidential Election. </w:t>
      </w:r>
      <w:r w:rsidRPr="000564EA">
        <w:rPr>
          <w:i/>
          <w:iCs/>
        </w:rPr>
        <w:t>Am J Public Health</w:t>
      </w:r>
      <w:r w:rsidRPr="000564EA">
        <w:t xml:space="preserve">, </w:t>
      </w:r>
      <w:r w:rsidRPr="000564EA">
        <w:rPr>
          <w:i/>
          <w:iCs/>
        </w:rPr>
        <w:t>107</w:t>
      </w:r>
      <w:r w:rsidRPr="000564EA">
        <w:t>(10), 1560–1562. https://doi.org/10.2105/ajph.2017.303945</w:t>
      </w:r>
    </w:p>
    <w:p w14:paraId="7769D652" w14:textId="77777777" w:rsidR="000564EA" w:rsidRPr="000564EA" w:rsidRDefault="000564EA" w:rsidP="000564EA">
      <w:pPr>
        <w:pStyle w:val="Bibliography"/>
      </w:pPr>
      <w:r w:rsidRPr="000564EA">
        <w:t xml:space="preserve">Brewer, M. (2019). </w:t>
      </w:r>
      <w:r w:rsidRPr="000564EA">
        <w:rPr>
          <w:i/>
          <w:iCs/>
        </w:rPr>
        <w:t>What do we know and what should we do about inequality?</w:t>
      </w:r>
      <w:r w:rsidRPr="000564EA">
        <w:t xml:space="preserve"> (1st edition). SAGE.</w:t>
      </w:r>
    </w:p>
    <w:p w14:paraId="324FFC27" w14:textId="77777777" w:rsidR="000564EA" w:rsidRPr="000564EA" w:rsidRDefault="000564EA" w:rsidP="000564EA">
      <w:pPr>
        <w:pStyle w:val="Bibliography"/>
      </w:pPr>
      <w:r w:rsidRPr="000564EA">
        <w:t xml:space="preserve">Bullard, T. B. (2022, January 10). </w:t>
      </w:r>
      <w:r w:rsidRPr="000564EA">
        <w:rPr>
          <w:i/>
          <w:iCs/>
        </w:rPr>
        <w:t>Forced to choose between heating or eating</w:t>
      </w:r>
      <w:r w:rsidRPr="000564EA">
        <w:t>. Medium. https://wearecitizensadvice.org.uk/forced-to-choose-between-heating-or-eating-8c6bdcd0565f</w:t>
      </w:r>
    </w:p>
    <w:p w14:paraId="41894174" w14:textId="77777777" w:rsidR="000564EA" w:rsidRPr="000564EA" w:rsidRDefault="000564EA" w:rsidP="000564EA">
      <w:pPr>
        <w:pStyle w:val="Bibliography"/>
      </w:pPr>
      <w:r w:rsidRPr="000564EA">
        <w:t xml:space="preserve">Butler, P. (2023). </w:t>
      </w:r>
      <w:r w:rsidRPr="000564EA">
        <w:rPr>
          <w:i/>
          <w:iCs/>
        </w:rPr>
        <w:t>Number of UK children in food poverty nearly doubles in a year to 4m | Food poverty | The Guardian</w:t>
      </w:r>
      <w:r w:rsidRPr="000564EA">
        <w:t>. https://www.theguardian.com/society/2023/mar/01/number-of-uk-children-in-food-poverty-nearly-doubles-in-a-year-to-4m</w:t>
      </w:r>
    </w:p>
    <w:p w14:paraId="49A0DE73" w14:textId="77777777" w:rsidR="000564EA" w:rsidRPr="000564EA" w:rsidRDefault="000564EA" w:rsidP="000564EA">
      <w:pPr>
        <w:pStyle w:val="Bibliography"/>
      </w:pPr>
      <w:r w:rsidRPr="000564EA">
        <w:lastRenderedPageBreak/>
        <w:t xml:space="preserve">Camden Unison. (2011). </w:t>
      </w:r>
      <w:r w:rsidRPr="000564EA">
        <w:rPr>
          <w:i/>
          <w:iCs/>
        </w:rPr>
        <w:t>Meals on Wheels ended</w:t>
      </w:r>
      <w:r w:rsidRPr="000564EA">
        <w:t>. https://camdenunison.org.uk/2011/07/22/meals-on-wheels-ended/</w:t>
      </w:r>
    </w:p>
    <w:p w14:paraId="3B82BD6A" w14:textId="77777777" w:rsidR="000564EA" w:rsidRPr="000564EA" w:rsidRDefault="000564EA" w:rsidP="000564EA">
      <w:pPr>
        <w:pStyle w:val="Bibliography"/>
      </w:pPr>
      <w:r w:rsidRPr="000564EA">
        <w:t xml:space="preserve">Darlington-Pollock, F., Green, M. A., &amp; Simpson, L. (2022). Why were there 231 707 more deaths than expected in England between 2010 and 2018? An ecological analysis of mortality records. </w:t>
      </w:r>
      <w:r w:rsidRPr="000564EA">
        <w:rPr>
          <w:i/>
          <w:iCs/>
        </w:rPr>
        <w:t>Journal of Public Health (Oxford, England)</w:t>
      </w:r>
      <w:r w:rsidRPr="000564EA">
        <w:t xml:space="preserve">, </w:t>
      </w:r>
      <w:r w:rsidRPr="000564EA">
        <w:rPr>
          <w:i/>
          <w:iCs/>
        </w:rPr>
        <w:t>44</w:t>
      </w:r>
      <w:r w:rsidRPr="000564EA">
        <w:t>(2), 310–318. https://doi.org/10.1093/pubmed/fdab023</w:t>
      </w:r>
    </w:p>
    <w:p w14:paraId="21A96AF8" w14:textId="77777777" w:rsidR="000564EA" w:rsidRPr="000564EA" w:rsidRDefault="000564EA" w:rsidP="000564EA">
      <w:pPr>
        <w:pStyle w:val="Bibliography"/>
      </w:pPr>
      <w:r w:rsidRPr="000564EA">
        <w:t xml:space="preserve">Darvos, Z., Gotti, G., &amp; Sekut, K. (2023, July 26). </w:t>
      </w:r>
      <w:r w:rsidRPr="000564EA">
        <w:rPr>
          <w:i/>
          <w:iCs/>
        </w:rPr>
        <w:t>Collective bargaining is associated with lower income inequality</w:t>
      </w:r>
      <w:r w:rsidRPr="000564EA">
        <w:t>. Bruegel | The Brussels-Based Economic Think Tank. https://www.bruegel.org/analysis/collective-bargaining-associated-lower-income-inequality</w:t>
      </w:r>
    </w:p>
    <w:p w14:paraId="7B796F4D" w14:textId="77777777" w:rsidR="000564EA" w:rsidRPr="000564EA" w:rsidRDefault="000564EA" w:rsidP="000564EA">
      <w:pPr>
        <w:pStyle w:val="Bibliography"/>
      </w:pPr>
      <w:r w:rsidRPr="000564EA">
        <w:t xml:space="preserve">Davey Smith, G., &amp; Dorling, D. (2023). </w:t>
      </w:r>
      <w:r w:rsidRPr="000564EA">
        <w:rPr>
          <w:i/>
          <w:iCs/>
        </w:rPr>
        <w:t>Revisiting the point-source hypothesis of the coronary heart disease epidemic in light of the COVID-19 pandemic</w:t>
      </w:r>
      <w:r w:rsidRPr="000564EA">
        <w:t>. https://ora.ox.ac.uk/objects/uuid:12849f9e-ffdd-40af-8b69-1250285dc2a6</w:t>
      </w:r>
    </w:p>
    <w:p w14:paraId="7CAFDA8D" w14:textId="77777777" w:rsidR="000564EA" w:rsidRPr="000564EA" w:rsidRDefault="000564EA" w:rsidP="000564EA">
      <w:pPr>
        <w:pStyle w:val="Bibliography"/>
      </w:pPr>
      <w:r w:rsidRPr="000564EA">
        <w:t xml:space="preserve">Department for Levelling Up, Housing and Communities. (2023). </w:t>
      </w:r>
      <w:r w:rsidRPr="000564EA">
        <w:rPr>
          <w:i/>
          <w:iCs/>
        </w:rPr>
        <w:t>Rough sleeping snapshot in England: Autumn 2022</w:t>
      </w:r>
      <w:r w:rsidRPr="000564EA">
        <w:t>. GOV.UK. https://www.gov.uk/government/statistics/rough-sleeping-snapshot-in-england-autumn-2022</w:t>
      </w:r>
    </w:p>
    <w:p w14:paraId="01603D8D" w14:textId="77777777" w:rsidR="000564EA" w:rsidRPr="000564EA" w:rsidRDefault="000564EA" w:rsidP="000564EA">
      <w:pPr>
        <w:pStyle w:val="Bibliography"/>
      </w:pPr>
      <w:r w:rsidRPr="000564EA">
        <w:t xml:space="preserve">Department of Health and Social Care, Cabinet Office, &amp; Prime Minister’s Office. (2015). </w:t>
      </w:r>
      <w:r w:rsidRPr="000564EA">
        <w:rPr>
          <w:i/>
          <w:iCs/>
        </w:rPr>
        <w:t>Prime Minister’s challenge on dementia 2020</w:t>
      </w:r>
      <w:r w:rsidRPr="000564EA">
        <w:t>. GOV.UK. https://www.gov.uk/government/publications/prime-ministers-challenge-on-dementia-2020</w:t>
      </w:r>
    </w:p>
    <w:p w14:paraId="6425F41B" w14:textId="77777777" w:rsidR="000564EA" w:rsidRPr="000564EA" w:rsidRDefault="000564EA" w:rsidP="000564EA">
      <w:pPr>
        <w:pStyle w:val="Bibliography"/>
      </w:pPr>
      <w:r w:rsidRPr="000564EA">
        <w:t xml:space="preserve">Dickinson, A., &amp; Wills, W. (2022). Meals on wheels services and the food security of older people. </w:t>
      </w:r>
      <w:r w:rsidRPr="000564EA">
        <w:rPr>
          <w:i/>
          <w:iCs/>
        </w:rPr>
        <w:t>Health &amp; Social Care in the Community</w:t>
      </w:r>
      <w:r w:rsidRPr="000564EA">
        <w:t xml:space="preserve">, </w:t>
      </w:r>
      <w:r w:rsidRPr="000564EA">
        <w:rPr>
          <w:i/>
          <w:iCs/>
        </w:rPr>
        <w:t>30</w:t>
      </w:r>
      <w:r w:rsidRPr="000564EA">
        <w:t>(6), e6699–e6707. https://doi.org/10.1111/hsc.14092</w:t>
      </w:r>
    </w:p>
    <w:p w14:paraId="1F129E42" w14:textId="77777777" w:rsidR="000564EA" w:rsidRPr="000564EA" w:rsidRDefault="000564EA" w:rsidP="000564EA">
      <w:pPr>
        <w:pStyle w:val="Bibliography"/>
      </w:pPr>
      <w:r w:rsidRPr="000564EA">
        <w:t xml:space="preserve">Dorling, D. (1995). A new social atlas of Britain. </w:t>
      </w:r>
      <w:r w:rsidRPr="000564EA">
        <w:rPr>
          <w:i/>
          <w:iCs/>
        </w:rPr>
        <w:t>A New Social Atlas of Britain</w:t>
      </w:r>
      <w:r w:rsidRPr="000564EA">
        <w:t>. https://ora.ox.ac.uk/objects/uuid:df0f93aa-d387-4269-9b08-6d4a8f99f458</w:t>
      </w:r>
    </w:p>
    <w:p w14:paraId="284DFEE1" w14:textId="77777777" w:rsidR="000564EA" w:rsidRPr="000564EA" w:rsidRDefault="000564EA" w:rsidP="000564EA">
      <w:pPr>
        <w:pStyle w:val="Bibliography"/>
      </w:pPr>
      <w:r w:rsidRPr="000564EA">
        <w:t xml:space="preserve">Dorling, D. (2013). Fairness and the changing fortunes of people in Britain. </w:t>
      </w:r>
      <w:r w:rsidRPr="000564EA">
        <w:rPr>
          <w:i/>
          <w:iCs/>
        </w:rPr>
        <w:t>Journal of the Royal Statistical Society. Series A (Statistics in Society)</w:t>
      </w:r>
      <w:r w:rsidRPr="000564EA">
        <w:t xml:space="preserve">, </w:t>
      </w:r>
      <w:r w:rsidRPr="000564EA">
        <w:rPr>
          <w:i/>
          <w:iCs/>
        </w:rPr>
        <w:t>176</w:t>
      </w:r>
      <w:r w:rsidRPr="000564EA">
        <w:t>(1), 97–128. JSTOR.</w:t>
      </w:r>
    </w:p>
    <w:p w14:paraId="5337BA5B" w14:textId="77777777" w:rsidR="000564EA" w:rsidRPr="000564EA" w:rsidRDefault="000564EA" w:rsidP="000564EA">
      <w:pPr>
        <w:pStyle w:val="Bibliography"/>
      </w:pPr>
      <w:r w:rsidRPr="000564EA">
        <w:t xml:space="preserve">Dorling, D. (2020). So, how did we end up with this government? </w:t>
      </w:r>
      <w:r w:rsidRPr="000564EA">
        <w:rPr>
          <w:i/>
          <w:iCs/>
        </w:rPr>
        <w:t>Public Sector Focus</w:t>
      </w:r>
      <w:r w:rsidRPr="000564EA">
        <w:t xml:space="preserve">, </w:t>
      </w:r>
      <w:r w:rsidRPr="000564EA">
        <w:rPr>
          <w:i/>
          <w:iCs/>
        </w:rPr>
        <w:t>26</w:t>
      </w:r>
      <w:r w:rsidRPr="000564EA">
        <w:t>.</w:t>
      </w:r>
    </w:p>
    <w:p w14:paraId="1BF50CE1" w14:textId="77777777" w:rsidR="000564EA" w:rsidRPr="000564EA" w:rsidRDefault="000564EA" w:rsidP="000564EA">
      <w:pPr>
        <w:pStyle w:val="Bibliography"/>
      </w:pPr>
      <w:r w:rsidRPr="000564EA">
        <w:lastRenderedPageBreak/>
        <w:t xml:space="preserve">Dorling, D. (2014). </w:t>
      </w:r>
      <w:r w:rsidRPr="000564EA">
        <w:rPr>
          <w:i/>
          <w:iCs/>
        </w:rPr>
        <w:t>Why are old people in Britain dying before their time?</w:t>
      </w:r>
      <w:r w:rsidRPr="000564EA">
        <w:t xml:space="preserve"> https://www.newstatesman.com/politics/2014/02/why-are-old-people-britain-dying-their-time</w:t>
      </w:r>
    </w:p>
    <w:p w14:paraId="22FBC2B8" w14:textId="77777777" w:rsidR="000564EA" w:rsidRPr="000564EA" w:rsidRDefault="000564EA" w:rsidP="000564EA">
      <w:pPr>
        <w:pStyle w:val="Bibliography"/>
      </w:pPr>
      <w:r w:rsidRPr="000564EA">
        <w:t xml:space="preserve">Dorling, D. (2015). </w:t>
      </w:r>
      <w:r w:rsidRPr="000564EA">
        <w:rPr>
          <w:i/>
          <w:iCs/>
        </w:rPr>
        <w:t>Only one lucky generation ever struck housing gold – Danny Dorling</w:t>
      </w:r>
      <w:r w:rsidRPr="000564EA">
        <w:t>. https://www.dannydorling.org/?page_id=4635</w:t>
      </w:r>
    </w:p>
    <w:p w14:paraId="2F69E26A" w14:textId="77777777" w:rsidR="000564EA" w:rsidRPr="000564EA" w:rsidRDefault="000564EA" w:rsidP="000564EA">
      <w:pPr>
        <w:pStyle w:val="Bibliography"/>
      </w:pPr>
      <w:r w:rsidRPr="000564EA">
        <w:t xml:space="preserve">Dorling, D. (2023a). </w:t>
      </w:r>
      <w:r w:rsidRPr="000564EA">
        <w:rPr>
          <w:i/>
          <w:iCs/>
        </w:rPr>
        <w:t>Are things about to get better?</w:t>
      </w:r>
      <w:r w:rsidRPr="000564EA">
        <w:t xml:space="preserve"> https://pocketmags.com/prospect-magazine/may-2023/articles/1297839/are-things-about-to-get-better</w:t>
      </w:r>
    </w:p>
    <w:p w14:paraId="0C1FC09F" w14:textId="77777777" w:rsidR="000564EA" w:rsidRPr="000564EA" w:rsidRDefault="000564EA" w:rsidP="000564EA">
      <w:pPr>
        <w:pStyle w:val="Bibliography"/>
      </w:pPr>
      <w:r w:rsidRPr="000564EA">
        <w:t xml:space="preserve">Dorling, D. (2023b). </w:t>
      </w:r>
      <w:r w:rsidRPr="000564EA">
        <w:rPr>
          <w:i/>
          <w:iCs/>
        </w:rPr>
        <w:t>Have we reached peak inequality?</w:t>
      </w:r>
      <w:r w:rsidRPr="000564EA">
        <w:t xml:space="preserve"> https://dlv.prospect.gcpp.io/politics/policy/inequality/60924/have-we-reached-peak-inequality</w:t>
      </w:r>
    </w:p>
    <w:p w14:paraId="392D4B82" w14:textId="77777777" w:rsidR="000564EA" w:rsidRPr="000564EA" w:rsidRDefault="000564EA" w:rsidP="000564EA">
      <w:pPr>
        <w:pStyle w:val="Bibliography"/>
      </w:pPr>
      <w:r w:rsidRPr="000564EA">
        <w:t xml:space="preserve">Easton, M. (2011). The mystery of the ‘golden cohort’. </w:t>
      </w:r>
      <w:r w:rsidRPr="000564EA">
        <w:rPr>
          <w:i/>
          <w:iCs/>
        </w:rPr>
        <w:t>BBC News</w:t>
      </w:r>
      <w:r w:rsidRPr="000564EA">
        <w:t>. https://www.bbc.com/news/uk-15024436</w:t>
      </w:r>
    </w:p>
    <w:p w14:paraId="19B69977" w14:textId="77777777" w:rsidR="000564EA" w:rsidRPr="000564EA" w:rsidRDefault="000564EA" w:rsidP="000564EA">
      <w:pPr>
        <w:pStyle w:val="Bibliography"/>
      </w:pPr>
      <w:r w:rsidRPr="000564EA">
        <w:t xml:space="preserve">Evans, M., &amp; Walker, B. (2019). The Beginning of ‘the Age of Austerity’: A Critical Stylistic Analysis of David Cameron’s 2009 Spring Conference Speech. </w:t>
      </w:r>
      <w:r w:rsidRPr="000564EA">
        <w:rPr>
          <w:i/>
          <w:iCs/>
        </w:rPr>
        <w:t>Critical Approaches to Discourse Analysis across Disciplines</w:t>
      </w:r>
      <w:r w:rsidRPr="000564EA">
        <w:t xml:space="preserve">, </w:t>
      </w:r>
      <w:r w:rsidRPr="000564EA">
        <w:rPr>
          <w:i/>
          <w:iCs/>
        </w:rPr>
        <w:t>11</w:t>
      </w:r>
      <w:r w:rsidRPr="000564EA">
        <w:t>(2), 169–186.</w:t>
      </w:r>
    </w:p>
    <w:p w14:paraId="0D2A188A" w14:textId="77777777" w:rsidR="000564EA" w:rsidRPr="000564EA" w:rsidRDefault="000564EA" w:rsidP="000564EA">
      <w:pPr>
        <w:pStyle w:val="Bibliography"/>
      </w:pPr>
      <w:r w:rsidRPr="000564EA">
        <w:t xml:space="preserve">Fahy, N., Hervey, T., Greer, S., Jarman, H., Stuckler, D., Galsworthy, M., &amp; McKee, M. (2019). How will Brexit affect health services in the UK? An updated evaluation. </w:t>
      </w:r>
      <w:r w:rsidRPr="000564EA">
        <w:rPr>
          <w:i/>
          <w:iCs/>
        </w:rPr>
        <w:t>Lancet (London, England)</w:t>
      </w:r>
      <w:r w:rsidRPr="000564EA">
        <w:t xml:space="preserve">, </w:t>
      </w:r>
      <w:r w:rsidRPr="000564EA">
        <w:rPr>
          <w:i/>
          <w:iCs/>
        </w:rPr>
        <w:t>393</w:t>
      </w:r>
      <w:r w:rsidRPr="000564EA">
        <w:t>(10174), 949–958. https://doi.org/10.1016/S0140-6736(19)30425-8</w:t>
      </w:r>
    </w:p>
    <w:p w14:paraId="22FC235A" w14:textId="77777777" w:rsidR="000564EA" w:rsidRPr="000564EA" w:rsidRDefault="000564EA" w:rsidP="000564EA">
      <w:pPr>
        <w:pStyle w:val="Bibliography"/>
      </w:pPr>
      <w:r w:rsidRPr="000564EA">
        <w:t xml:space="preserve">Fenton, L., Minton, J., Ramsay, J., Kaye-Bardgett, M., Fischbacher, C., Wyper, G. M. A., &amp; McCartney, G. (2019). Recent adverse mortality trends in Scotland: Comparison with other high-income countries. </w:t>
      </w:r>
      <w:r w:rsidRPr="000564EA">
        <w:rPr>
          <w:i/>
          <w:iCs/>
        </w:rPr>
        <w:t>BMJ Open</w:t>
      </w:r>
      <w:r w:rsidRPr="000564EA">
        <w:t xml:space="preserve">, </w:t>
      </w:r>
      <w:r w:rsidRPr="000564EA">
        <w:rPr>
          <w:i/>
          <w:iCs/>
        </w:rPr>
        <w:t>9</w:t>
      </w:r>
      <w:r w:rsidRPr="000564EA">
        <w:t>(10), e029936. https://doi.org/10.1136/bmjopen-2019-029936</w:t>
      </w:r>
    </w:p>
    <w:p w14:paraId="3DE4F688" w14:textId="77777777" w:rsidR="000564EA" w:rsidRPr="000564EA" w:rsidRDefault="000564EA" w:rsidP="000564EA">
      <w:pPr>
        <w:pStyle w:val="Bibliography"/>
      </w:pPr>
      <w:r w:rsidRPr="000564EA">
        <w:t xml:space="preserve">Forster, K. (2017). </w:t>
      </w:r>
      <w:r w:rsidRPr="000564EA">
        <w:rPr>
          <w:i/>
          <w:iCs/>
        </w:rPr>
        <w:t>NHS cuts blamed for 30,000 deaths in new study | The Independent | The Independent</w:t>
      </w:r>
      <w:r w:rsidRPr="000564EA">
        <w:t>. https://www.independent.co.uk/news/world/americas/us-politics/nhs-cuts-excess-deaths-30000-study-research-royal-society-medicine-london-school-hygiene-martin-mckee-jeremy-hunt-a7585001.html</w:t>
      </w:r>
    </w:p>
    <w:p w14:paraId="13D29A26" w14:textId="77777777" w:rsidR="000564EA" w:rsidRPr="000564EA" w:rsidRDefault="000564EA" w:rsidP="000564EA">
      <w:pPr>
        <w:pStyle w:val="Bibliography"/>
      </w:pPr>
      <w:r w:rsidRPr="000564EA">
        <w:lastRenderedPageBreak/>
        <w:t xml:space="preserve">Franklin B, H. D. (2017). </w:t>
      </w:r>
      <w:r w:rsidRPr="000564EA">
        <w:rPr>
          <w:i/>
          <w:iCs/>
        </w:rPr>
        <w:t>Public health in Europe during the austerity years: A Research Report from ILC-UK</w:t>
      </w:r>
      <w:r w:rsidRPr="000564EA">
        <w:t>. ILC-UK.</w:t>
      </w:r>
    </w:p>
    <w:p w14:paraId="11705603" w14:textId="77777777" w:rsidR="000564EA" w:rsidRPr="000564EA" w:rsidRDefault="000564EA" w:rsidP="000564EA">
      <w:pPr>
        <w:pStyle w:val="Bibliography"/>
      </w:pPr>
      <w:r w:rsidRPr="000564EA">
        <w:t xml:space="preserve">Glaziou, P., Floyd, K., &amp; Raviglione, M. (2018). Trends in tuberculosis in the UK. </w:t>
      </w:r>
      <w:r w:rsidRPr="000564EA">
        <w:rPr>
          <w:i/>
          <w:iCs/>
        </w:rPr>
        <w:t>Thorax</w:t>
      </w:r>
      <w:r w:rsidRPr="000564EA">
        <w:t xml:space="preserve">, </w:t>
      </w:r>
      <w:r w:rsidRPr="000564EA">
        <w:rPr>
          <w:i/>
          <w:iCs/>
        </w:rPr>
        <w:t>73</w:t>
      </w:r>
      <w:r w:rsidRPr="000564EA">
        <w:t>(8), 702–703. https://doi.org/10.1136/thoraxjnl-2018-211537</w:t>
      </w:r>
    </w:p>
    <w:p w14:paraId="1DA05907" w14:textId="77777777" w:rsidR="000564EA" w:rsidRPr="000564EA" w:rsidRDefault="000564EA" w:rsidP="000564EA">
      <w:pPr>
        <w:pStyle w:val="Bibliography"/>
      </w:pPr>
      <w:r w:rsidRPr="000564EA">
        <w:t xml:space="preserve">Godie, S. (2022, October). </w:t>
      </w:r>
      <w:r w:rsidRPr="000564EA">
        <w:rPr>
          <w:i/>
          <w:iCs/>
        </w:rPr>
        <w:t>New data show 4 million children in households affected by food insecurity | Food Foundation</w:t>
      </w:r>
      <w:r w:rsidRPr="000564EA">
        <w:t>. The Food Foundation. https://foodfoundation.org.uk/publication/new-data-show-4-million-children-households-affected-food-insecurity</w:t>
      </w:r>
    </w:p>
    <w:p w14:paraId="2B843444" w14:textId="77777777" w:rsidR="000564EA" w:rsidRPr="000564EA" w:rsidRDefault="000564EA" w:rsidP="000564EA">
      <w:pPr>
        <w:pStyle w:val="Bibliography"/>
      </w:pPr>
      <w:r w:rsidRPr="000564EA">
        <w:t xml:space="preserve">Goldring, S., Henretty, N., Mills, J., Johnson, K., &amp; Smallwood, S. (2011). Mortality of the ‘Golden Generation’: What can the ONS Longitudinal Study tell us? </w:t>
      </w:r>
      <w:r w:rsidRPr="000564EA">
        <w:rPr>
          <w:i/>
          <w:iCs/>
        </w:rPr>
        <w:t>Population Trends</w:t>
      </w:r>
      <w:r w:rsidRPr="000564EA">
        <w:t xml:space="preserve">, </w:t>
      </w:r>
      <w:r w:rsidRPr="000564EA">
        <w:rPr>
          <w:i/>
          <w:iCs/>
        </w:rPr>
        <w:t>145</w:t>
      </w:r>
      <w:r w:rsidRPr="000564EA">
        <w:t>(1), 203–232. https://doi.org/10.1057/pt.2011.24</w:t>
      </w:r>
    </w:p>
    <w:p w14:paraId="09D5DC90" w14:textId="77777777" w:rsidR="000564EA" w:rsidRPr="000564EA" w:rsidRDefault="000564EA" w:rsidP="000564EA">
      <w:pPr>
        <w:pStyle w:val="Bibliography"/>
      </w:pPr>
      <w:r w:rsidRPr="000564EA">
        <w:t xml:space="preserve">Gorb, A., Francis-Devine, B., Danechi, S., Malik, X., &amp; Zayed, Y. (2023). </w:t>
      </w:r>
      <w:r w:rsidRPr="000564EA">
        <w:rPr>
          <w:i/>
          <w:iCs/>
        </w:rPr>
        <w:t>Food poverty: Households, food banks and free school meals</w:t>
      </w:r>
      <w:r w:rsidRPr="000564EA">
        <w:t>. https://commonslibrary.parliament.uk/research-briefings/cbp-9209/</w:t>
      </w:r>
    </w:p>
    <w:p w14:paraId="6C7B3B34" w14:textId="77777777" w:rsidR="000564EA" w:rsidRPr="000564EA" w:rsidRDefault="000564EA" w:rsidP="000564EA">
      <w:pPr>
        <w:pStyle w:val="Bibliography"/>
      </w:pPr>
      <w:r w:rsidRPr="000564EA">
        <w:t xml:space="preserve">Hall, R., &amp; Campbell, D. (2023). </w:t>
      </w:r>
      <w:r w:rsidRPr="000564EA">
        <w:rPr>
          <w:i/>
          <w:iCs/>
        </w:rPr>
        <w:t>Department of Health wasted £15bn on unused Covid supplies, watchdog finds | NHS | The Guardian</w:t>
      </w:r>
      <w:r w:rsidRPr="000564EA">
        <w:t>. https://www.theguardian.com/society/2023/jan/26/department-of-health-wasted-15bn-on-unused-covid-supplies-watchdog-finds</w:t>
      </w:r>
    </w:p>
    <w:p w14:paraId="4E9B3140" w14:textId="77777777" w:rsidR="000564EA" w:rsidRPr="000564EA" w:rsidRDefault="000564EA" w:rsidP="000564EA">
      <w:pPr>
        <w:pStyle w:val="Bibliography"/>
      </w:pPr>
      <w:r w:rsidRPr="000564EA">
        <w:t xml:space="preserve">Healy, J. D. (2003). Excess winter mortality in Europe: A cross country analysis identifying key risk factors. </w:t>
      </w:r>
      <w:r w:rsidRPr="000564EA">
        <w:rPr>
          <w:i/>
          <w:iCs/>
        </w:rPr>
        <w:t>Journal of Epidemiology &amp; Community Health</w:t>
      </w:r>
      <w:r w:rsidRPr="000564EA">
        <w:t xml:space="preserve">, </w:t>
      </w:r>
      <w:r w:rsidRPr="000564EA">
        <w:rPr>
          <w:i/>
          <w:iCs/>
        </w:rPr>
        <w:t>57</w:t>
      </w:r>
      <w:r w:rsidRPr="000564EA">
        <w:t>(10), 784–789. https://doi.org/10.1136/jech.57.10.784</w:t>
      </w:r>
    </w:p>
    <w:p w14:paraId="32BD4BBA" w14:textId="77777777" w:rsidR="000564EA" w:rsidRPr="000564EA" w:rsidRDefault="000564EA" w:rsidP="000564EA">
      <w:pPr>
        <w:pStyle w:val="Bibliography"/>
      </w:pPr>
      <w:r w:rsidRPr="000564EA">
        <w:t xml:space="preserve">Hennessy, P. (2007). </w:t>
      </w:r>
      <w:r w:rsidRPr="000564EA">
        <w:rPr>
          <w:i/>
          <w:iCs/>
        </w:rPr>
        <w:t>Having it so good: Britain in the fifties</w:t>
      </w:r>
      <w:r w:rsidRPr="000564EA">
        <w:t>. Penguin UK.</w:t>
      </w:r>
    </w:p>
    <w:p w14:paraId="230EF27E" w14:textId="77777777" w:rsidR="000564EA" w:rsidRPr="000564EA" w:rsidRDefault="000564EA" w:rsidP="000564EA">
      <w:pPr>
        <w:pStyle w:val="Bibliography"/>
      </w:pPr>
      <w:r w:rsidRPr="000564EA">
        <w:t xml:space="preserve">Hiam, L., &amp; Dorling, D. (2022). The end of great expectations? </w:t>
      </w:r>
      <w:r w:rsidRPr="000564EA">
        <w:rPr>
          <w:i/>
          <w:iCs/>
        </w:rPr>
        <w:t>Bmj</w:t>
      </w:r>
      <w:r w:rsidRPr="000564EA">
        <w:t xml:space="preserve">, </w:t>
      </w:r>
      <w:r w:rsidRPr="000564EA">
        <w:rPr>
          <w:i/>
          <w:iCs/>
        </w:rPr>
        <w:t>377</w:t>
      </w:r>
      <w:r w:rsidRPr="000564EA">
        <w:t>, e071329. https://doi.org/10.1136/bmj-2022-071329</w:t>
      </w:r>
    </w:p>
    <w:p w14:paraId="0F799009" w14:textId="77777777" w:rsidR="000564EA" w:rsidRPr="000564EA" w:rsidRDefault="000564EA" w:rsidP="000564EA">
      <w:pPr>
        <w:pStyle w:val="Bibliography"/>
      </w:pPr>
      <w:r w:rsidRPr="000564EA">
        <w:t xml:space="preserve">Hiam, L., Dorling, D., Harrison, D., &amp; McKee, M. (2017). Why has mortality in England and Wales been increasing? An iterative demographic analysis. </w:t>
      </w:r>
      <w:r w:rsidRPr="000564EA">
        <w:rPr>
          <w:i/>
          <w:iCs/>
        </w:rPr>
        <w:t>Journal of the Royal Society of Medicine</w:t>
      </w:r>
      <w:r w:rsidRPr="000564EA">
        <w:t xml:space="preserve">, </w:t>
      </w:r>
      <w:r w:rsidRPr="000564EA">
        <w:rPr>
          <w:i/>
          <w:iCs/>
        </w:rPr>
        <w:t>110</w:t>
      </w:r>
      <w:r w:rsidRPr="000564EA">
        <w:t>(4), 153–162. https://doi.org/10.1177/0141076817693599</w:t>
      </w:r>
    </w:p>
    <w:p w14:paraId="45976EF4" w14:textId="77777777" w:rsidR="000564EA" w:rsidRPr="000564EA" w:rsidRDefault="000564EA" w:rsidP="000564EA">
      <w:pPr>
        <w:pStyle w:val="Bibliography"/>
      </w:pPr>
      <w:r w:rsidRPr="000564EA">
        <w:lastRenderedPageBreak/>
        <w:t xml:space="preserve">Hiam, L., Dorling, D., &amp; McKee, M. (2018). The cuts and poor health: When and how can we say that one thing causes another? </w:t>
      </w:r>
      <w:r w:rsidRPr="000564EA">
        <w:rPr>
          <w:i/>
          <w:iCs/>
        </w:rPr>
        <w:t>J R Soc Med</w:t>
      </w:r>
      <w:r w:rsidRPr="000564EA">
        <w:t xml:space="preserve">, </w:t>
      </w:r>
      <w:r w:rsidRPr="000564EA">
        <w:rPr>
          <w:i/>
          <w:iCs/>
        </w:rPr>
        <w:t>111</w:t>
      </w:r>
      <w:r w:rsidRPr="000564EA">
        <w:t>(6), 199–202. https://doi.org/10.1177/0141076818779237</w:t>
      </w:r>
    </w:p>
    <w:p w14:paraId="5D885DA2" w14:textId="77777777" w:rsidR="000564EA" w:rsidRPr="000564EA" w:rsidRDefault="000564EA" w:rsidP="000564EA">
      <w:pPr>
        <w:pStyle w:val="Bibliography"/>
      </w:pPr>
      <w:r w:rsidRPr="000564EA">
        <w:t xml:space="preserve">Hiam, L., Dorling, D., &amp; McKee, M. (2020). Things Fall Apart: The British Health Crisis 2010-2020. </w:t>
      </w:r>
      <w:r w:rsidRPr="000564EA">
        <w:rPr>
          <w:i/>
          <w:iCs/>
        </w:rPr>
        <w:t>Br Med Bull</w:t>
      </w:r>
      <w:r w:rsidRPr="000564EA">
        <w:t xml:space="preserve">, </w:t>
      </w:r>
      <w:r w:rsidRPr="000564EA">
        <w:rPr>
          <w:i/>
          <w:iCs/>
        </w:rPr>
        <w:t>133</w:t>
      </w:r>
      <w:r w:rsidRPr="000564EA">
        <w:t>(1), 4–15. https://doi.org/10.1093/bmb/ldz041</w:t>
      </w:r>
    </w:p>
    <w:p w14:paraId="537CE545" w14:textId="77777777" w:rsidR="000564EA" w:rsidRPr="000564EA" w:rsidRDefault="000564EA" w:rsidP="000564EA">
      <w:pPr>
        <w:pStyle w:val="Bibliography"/>
      </w:pPr>
      <w:r w:rsidRPr="000564EA">
        <w:t xml:space="preserve">Hiam, L., Dorling, D., &amp; McKee, M. (2023a). Falling down the global ranks: Life expectancy in the UK, 1952–2021. </w:t>
      </w:r>
      <w:r w:rsidRPr="000564EA">
        <w:rPr>
          <w:i/>
          <w:iCs/>
        </w:rPr>
        <w:t>Journal of the Royal Society of Medicine</w:t>
      </w:r>
      <w:r w:rsidRPr="000564EA">
        <w:t>, 01410768231155637.</w:t>
      </w:r>
    </w:p>
    <w:p w14:paraId="7974649A" w14:textId="77777777" w:rsidR="000564EA" w:rsidRPr="000564EA" w:rsidRDefault="000564EA" w:rsidP="000564EA">
      <w:pPr>
        <w:pStyle w:val="Bibliography"/>
      </w:pPr>
      <w:r w:rsidRPr="000564EA">
        <w:t xml:space="preserve">Hiam, L., Dorling, D., &amp; McKee, M. (2023b). When experts disagree: Interviews with public health experts on health outcomes in the UK 2010–2020. </w:t>
      </w:r>
      <w:r w:rsidRPr="000564EA">
        <w:rPr>
          <w:i/>
          <w:iCs/>
        </w:rPr>
        <w:t>Public Health</w:t>
      </w:r>
      <w:r w:rsidRPr="000564EA">
        <w:t xml:space="preserve">, </w:t>
      </w:r>
      <w:r w:rsidRPr="000564EA">
        <w:rPr>
          <w:i/>
          <w:iCs/>
        </w:rPr>
        <w:t>214</w:t>
      </w:r>
      <w:r w:rsidRPr="000564EA">
        <w:t>, 96–105. https://doi.org/10.1016/j.puhe.2022.10.019</w:t>
      </w:r>
    </w:p>
    <w:p w14:paraId="01444E4D" w14:textId="77777777" w:rsidR="000564EA" w:rsidRPr="000564EA" w:rsidRDefault="000564EA" w:rsidP="000564EA">
      <w:pPr>
        <w:pStyle w:val="Bibliography"/>
      </w:pPr>
      <w:r w:rsidRPr="000564EA">
        <w:t xml:space="preserve">Hiam, L., Harrison, D., McKee, M., &amp; Dorling, D. (2018). Why is life expectancy in England and Wales ‘stalling’? </w:t>
      </w:r>
      <w:r w:rsidRPr="000564EA">
        <w:rPr>
          <w:i/>
          <w:iCs/>
        </w:rPr>
        <w:t>J Epidemiol Community Health</w:t>
      </w:r>
      <w:r w:rsidRPr="000564EA">
        <w:t xml:space="preserve">, </w:t>
      </w:r>
      <w:r w:rsidRPr="000564EA">
        <w:rPr>
          <w:i/>
          <w:iCs/>
        </w:rPr>
        <w:t>72</w:t>
      </w:r>
      <w:r w:rsidRPr="000564EA">
        <w:t>(5), 404–408. https://doi.org/10.1136/jech-2017-210401</w:t>
      </w:r>
    </w:p>
    <w:p w14:paraId="347C9818" w14:textId="77777777" w:rsidR="000564EA" w:rsidRPr="000564EA" w:rsidRDefault="000564EA" w:rsidP="000564EA">
      <w:pPr>
        <w:pStyle w:val="Bibliography"/>
      </w:pPr>
      <w:r w:rsidRPr="000564EA">
        <w:t xml:space="preserve">Hiam, L., &amp; Yates, R. (2021). Will the COVID-19 crisis catalyse universal health reforms? </w:t>
      </w:r>
      <w:r w:rsidRPr="000564EA">
        <w:rPr>
          <w:i/>
          <w:iCs/>
        </w:rPr>
        <w:t>Lancet (London, England)</w:t>
      </w:r>
      <w:r w:rsidRPr="000564EA">
        <w:t xml:space="preserve">, </w:t>
      </w:r>
      <w:r w:rsidRPr="000564EA">
        <w:rPr>
          <w:i/>
          <w:iCs/>
        </w:rPr>
        <w:t>398</w:t>
      </w:r>
      <w:r w:rsidRPr="000564EA">
        <w:t>(10301), 646–648. https://doi.org/10.1016/S0140-6736(21)01650-0</w:t>
      </w:r>
    </w:p>
    <w:p w14:paraId="2AE3AC6F" w14:textId="77777777" w:rsidR="000564EA" w:rsidRPr="000564EA" w:rsidRDefault="000564EA" w:rsidP="000564EA">
      <w:pPr>
        <w:pStyle w:val="Bibliography"/>
      </w:pPr>
      <w:r w:rsidRPr="000564EA">
        <w:t xml:space="preserve">Hiam, L., &amp; Yates, R. (2022). Britain can afford the NHS—and it must to reduce fear during a period of crisis. </w:t>
      </w:r>
      <w:r w:rsidRPr="000564EA">
        <w:rPr>
          <w:i/>
          <w:iCs/>
        </w:rPr>
        <w:t>BMJ</w:t>
      </w:r>
      <w:r w:rsidRPr="000564EA">
        <w:t xml:space="preserve">, </w:t>
      </w:r>
      <w:r w:rsidRPr="000564EA">
        <w:rPr>
          <w:i/>
          <w:iCs/>
        </w:rPr>
        <w:t>379</w:t>
      </w:r>
      <w:r w:rsidRPr="000564EA">
        <w:t>, o2987. https://doi.org/10.1136/bmj.o2987</w:t>
      </w:r>
    </w:p>
    <w:p w14:paraId="7B5AE9E3" w14:textId="77777777" w:rsidR="000564EA" w:rsidRPr="000564EA" w:rsidRDefault="000564EA" w:rsidP="000564EA">
      <w:pPr>
        <w:pStyle w:val="Bibliography"/>
      </w:pPr>
      <w:r w:rsidRPr="000564EA">
        <w:t xml:space="preserve">Hill, A. (2023, June 21). Children raised under UK austerity shorter than European peers, study finds. </w:t>
      </w:r>
      <w:r w:rsidRPr="000564EA">
        <w:rPr>
          <w:i/>
          <w:iCs/>
        </w:rPr>
        <w:t>The Guardian</w:t>
      </w:r>
      <w:r w:rsidRPr="000564EA">
        <w:t>. https://www.theguardian.com/business/2023/jun/21/children-raised-under-uk-austerity-shorter-than-european-peers-study</w:t>
      </w:r>
    </w:p>
    <w:p w14:paraId="69CB9D90" w14:textId="77777777" w:rsidR="000564EA" w:rsidRPr="000564EA" w:rsidRDefault="000564EA" w:rsidP="000564EA">
      <w:pPr>
        <w:pStyle w:val="Bibliography"/>
      </w:pPr>
      <w:r w:rsidRPr="000564EA">
        <w:t xml:space="preserve">Ho, J. Y., &amp; Hendi, A. S. (2018). Recent trends in life expectancy across high income countries: Retrospective observational study. </w:t>
      </w:r>
      <w:r w:rsidRPr="000564EA">
        <w:rPr>
          <w:i/>
          <w:iCs/>
        </w:rPr>
        <w:t>BMJ</w:t>
      </w:r>
      <w:r w:rsidRPr="000564EA">
        <w:t xml:space="preserve">, </w:t>
      </w:r>
      <w:r w:rsidRPr="000564EA">
        <w:rPr>
          <w:i/>
          <w:iCs/>
        </w:rPr>
        <w:t>362</w:t>
      </w:r>
      <w:r w:rsidRPr="000564EA">
        <w:t>, k2562. https://doi.org/10.1136/bmj.k2562</w:t>
      </w:r>
    </w:p>
    <w:p w14:paraId="43689BB7" w14:textId="77777777" w:rsidR="000564EA" w:rsidRPr="000564EA" w:rsidRDefault="000564EA" w:rsidP="000564EA">
      <w:pPr>
        <w:pStyle w:val="Bibliography"/>
      </w:pPr>
      <w:r w:rsidRPr="000564EA">
        <w:lastRenderedPageBreak/>
        <w:t xml:space="preserve">Institute for Fiscal Studies. (2022). </w:t>
      </w:r>
      <w:r w:rsidRPr="000564EA">
        <w:rPr>
          <w:i/>
          <w:iCs/>
        </w:rPr>
        <w:t>Living standards, poverty and inequality in the UK | Institute for Fiscal Studies</w:t>
      </w:r>
      <w:r w:rsidRPr="000564EA">
        <w:t>. https://ifs.org.uk/living-standards-poverty-and-inequality-uk</w:t>
      </w:r>
    </w:p>
    <w:p w14:paraId="1F2AA5BB" w14:textId="77777777" w:rsidR="000564EA" w:rsidRPr="000564EA" w:rsidRDefault="000564EA" w:rsidP="000564EA">
      <w:pPr>
        <w:pStyle w:val="Bibliography"/>
      </w:pPr>
      <w:r w:rsidRPr="000564EA">
        <w:t xml:space="preserve">Institute for Fiscal Studies. (2023). </w:t>
      </w:r>
      <w:r w:rsidRPr="000564EA">
        <w:rPr>
          <w:i/>
          <w:iCs/>
        </w:rPr>
        <w:t>IFS spending composition sheet | IFS Taxlab</w:t>
      </w:r>
      <w:r w:rsidRPr="000564EA">
        <w:t>. Institute for Fiscal Studies. https://ifs.org.uk/taxlab/taxlab-data-item/ifs-spending-composition-sheet</w:t>
      </w:r>
    </w:p>
    <w:p w14:paraId="4224C024" w14:textId="77777777" w:rsidR="000564EA" w:rsidRPr="000564EA" w:rsidRDefault="000564EA" w:rsidP="000564EA">
      <w:pPr>
        <w:pStyle w:val="Bibliography"/>
      </w:pPr>
      <w:r w:rsidRPr="000564EA">
        <w:t xml:space="preserve">Jacob, M. E., &amp; Ganguli, M. (2016). Chapter 1—Epidemiology for the clinical neurologist. In M. J. Aminoff, F. Boller, &amp; D. F. Swaab (Eds.), </w:t>
      </w:r>
      <w:r w:rsidRPr="000564EA">
        <w:rPr>
          <w:i/>
          <w:iCs/>
        </w:rPr>
        <w:t>Handbook of Clinical Neurology</w:t>
      </w:r>
      <w:r w:rsidRPr="000564EA">
        <w:t xml:space="preserve"> (Vol. 138, pp. 3–16). Elsevier. https://doi.org/10.1016/B978-0-12-802973-2.00001-X</w:t>
      </w:r>
    </w:p>
    <w:p w14:paraId="16EBEA51" w14:textId="77777777" w:rsidR="000564EA" w:rsidRPr="000564EA" w:rsidRDefault="000564EA" w:rsidP="000564EA">
      <w:pPr>
        <w:pStyle w:val="Bibliography"/>
      </w:pPr>
      <w:r w:rsidRPr="000564EA">
        <w:t xml:space="preserve">Jenkins, R. H., Aliabadi, S., Vamos, E. P., Taylor-Robinson, D., Wickham, S., Millett, C., &amp; Laverty, A. A. (2021). The relationship between austerity and food insecurity in the UK: A systematic review. </w:t>
      </w:r>
      <w:r w:rsidRPr="000564EA">
        <w:rPr>
          <w:i/>
          <w:iCs/>
        </w:rPr>
        <w:t>EClinicalMedicine</w:t>
      </w:r>
      <w:r w:rsidRPr="000564EA">
        <w:t xml:space="preserve">, </w:t>
      </w:r>
      <w:r w:rsidRPr="000564EA">
        <w:rPr>
          <w:i/>
          <w:iCs/>
        </w:rPr>
        <w:t>33</w:t>
      </w:r>
      <w:r w:rsidRPr="000564EA">
        <w:t>, 100781. https://doi.org/10.1016/j.eclinm.2021.100781</w:t>
      </w:r>
    </w:p>
    <w:p w14:paraId="7388D29B" w14:textId="77777777" w:rsidR="000564EA" w:rsidRPr="000564EA" w:rsidRDefault="000564EA" w:rsidP="000564EA">
      <w:pPr>
        <w:pStyle w:val="Bibliography"/>
      </w:pPr>
      <w:r w:rsidRPr="000564EA">
        <w:t xml:space="preserve">Jones, P. M., Minton, J., &amp; Bell, A. (2022). Methods for disentangling period and cohort changes in mortality risk over the twentieth century: Comparing graphical and modelling approaches. </w:t>
      </w:r>
      <w:r w:rsidRPr="000564EA">
        <w:rPr>
          <w:i/>
          <w:iCs/>
        </w:rPr>
        <w:t>Quality &amp; Quantity</w:t>
      </w:r>
      <w:r w:rsidRPr="000564EA">
        <w:t>, 1–21.</w:t>
      </w:r>
    </w:p>
    <w:p w14:paraId="63047274" w14:textId="77777777" w:rsidR="000564EA" w:rsidRPr="000564EA" w:rsidRDefault="000564EA" w:rsidP="000564EA">
      <w:pPr>
        <w:pStyle w:val="Bibliography"/>
      </w:pPr>
      <w:r w:rsidRPr="000564EA">
        <w:t xml:space="preserve">Koltai, J., Varchetta, F. M., McKee, M., &amp; Stuckler, D. (2020). Deaths of Despair and Brexit Votes: Cross-Local Authority Statistical Analysis in England and Wales. </w:t>
      </w:r>
      <w:r w:rsidRPr="000564EA">
        <w:rPr>
          <w:i/>
          <w:iCs/>
        </w:rPr>
        <w:t>American Journal of Public Health</w:t>
      </w:r>
      <w:r w:rsidRPr="000564EA">
        <w:t xml:space="preserve">, </w:t>
      </w:r>
      <w:r w:rsidRPr="000564EA">
        <w:rPr>
          <w:i/>
          <w:iCs/>
        </w:rPr>
        <w:t>110</w:t>
      </w:r>
      <w:r w:rsidRPr="000564EA">
        <w:t>(3), 401–406. https://doi.org/10.2105/AJPH.2019.305488</w:t>
      </w:r>
    </w:p>
    <w:p w14:paraId="3CA7A66E" w14:textId="77777777" w:rsidR="000564EA" w:rsidRPr="000564EA" w:rsidRDefault="000564EA" w:rsidP="000564EA">
      <w:pPr>
        <w:pStyle w:val="Bibliography"/>
      </w:pPr>
      <w:r w:rsidRPr="000564EA">
        <w:t xml:space="preserve">Leeming-Latham, C. (2015). Unravelling the ‘Tangled Web’: Chemotherapy for Tuberculosis in Britain, 1940–70 The William Bynum Prize Essay. </w:t>
      </w:r>
      <w:r w:rsidRPr="000564EA">
        <w:rPr>
          <w:i/>
          <w:iCs/>
        </w:rPr>
        <w:t>Medical History</w:t>
      </w:r>
      <w:r w:rsidRPr="000564EA">
        <w:t xml:space="preserve">, </w:t>
      </w:r>
      <w:r w:rsidRPr="000564EA">
        <w:rPr>
          <w:i/>
          <w:iCs/>
        </w:rPr>
        <w:t>59</w:t>
      </w:r>
      <w:r w:rsidRPr="000564EA">
        <w:t>(2), 156. https://doi.org/10.1017/mdh.2015.19</w:t>
      </w:r>
    </w:p>
    <w:p w14:paraId="06A89F15" w14:textId="77777777" w:rsidR="000564EA" w:rsidRPr="000564EA" w:rsidRDefault="000564EA" w:rsidP="000564EA">
      <w:pPr>
        <w:pStyle w:val="Bibliography"/>
      </w:pPr>
      <w:r w:rsidRPr="000564EA">
        <w:t xml:space="preserve">Leon, D. A., Jdanov, D. A., &amp; Shkolnikov, V. M. (2019). Trends in life expectancy and age-specific mortality in England and Wales, 1970&amp;#x2013;2016, in comparison with a set of 22 high-income countries: An analysis of vital statistics data. </w:t>
      </w:r>
      <w:r w:rsidRPr="000564EA">
        <w:rPr>
          <w:i/>
          <w:iCs/>
        </w:rPr>
        <w:t>The Lancet Public Health</w:t>
      </w:r>
      <w:r w:rsidRPr="000564EA">
        <w:t xml:space="preserve">, </w:t>
      </w:r>
      <w:r w:rsidRPr="000564EA">
        <w:rPr>
          <w:i/>
          <w:iCs/>
        </w:rPr>
        <w:t>4</w:t>
      </w:r>
      <w:r w:rsidRPr="000564EA">
        <w:t>(11), e575–e582. https://doi.org/10.1016/S2468-2667(19)30177-X</w:t>
      </w:r>
    </w:p>
    <w:p w14:paraId="0DEBA94C" w14:textId="77777777" w:rsidR="000564EA" w:rsidRPr="000564EA" w:rsidRDefault="000564EA" w:rsidP="000564EA">
      <w:pPr>
        <w:pStyle w:val="Bibliography"/>
      </w:pPr>
      <w:r w:rsidRPr="000564EA">
        <w:lastRenderedPageBreak/>
        <w:t xml:space="preserve">Matthay, E. C., Hagan, E., Joshi, S., Tan, M. L., Vlahov, D., Adler, N., &amp; Glymour, M. M. (2022). The Revolution Will Be Hard to Evaluate: How Co-Occurring Policy Changes Affect Research on the Health Effects of Social Policies. </w:t>
      </w:r>
      <w:r w:rsidRPr="000564EA">
        <w:rPr>
          <w:i/>
          <w:iCs/>
        </w:rPr>
        <w:t>Epidemiol Rev</w:t>
      </w:r>
      <w:r w:rsidRPr="000564EA">
        <w:t xml:space="preserve">, </w:t>
      </w:r>
      <w:r w:rsidRPr="000564EA">
        <w:rPr>
          <w:i/>
          <w:iCs/>
        </w:rPr>
        <w:t>43</w:t>
      </w:r>
      <w:r w:rsidRPr="000564EA">
        <w:t>(1), 19–32. https://doi.org/10.1093/epirev/mxab009</w:t>
      </w:r>
    </w:p>
    <w:p w14:paraId="24CA72B9" w14:textId="77777777" w:rsidR="000564EA" w:rsidRPr="000564EA" w:rsidRDefault="000564EA" w:rsidP="000564EA">
      <w:pPr>
        <w:pStyle w:val="Bibliography"/>
      </w:pPr>
      <w:r w:rsidRPr="000564EA">
        <w:t xml:space="preserve">Matthes, K. L. (2023). Long-term mortality effects of century crises: A warning from the past for the decades after COVID-19? </w:t>
      </w:r>
      <w:r w:rsidRPr="000564EA">
        <w:rPr>
          <w:i/>
          <w:iCs/>
        </w:rPr>
        <w:t>Swiss Medical Weekly</w:t>
      </w:r>
      <w:r w:rsidRPr="000564EA">
        <w:t xml:space="preserve">, </w:t>
      </w:r>
      <w:r w:rsidRPr="000564EA">
        <w:rPr>
          <w:i/>
          <w:iCs/>
        </w:rPr>
        <w:t>153</w:t>
      </w:r>
      <w:r w:rsidRPr="000564EA">
        <w:t>(3), 40057–40057.</w:t>
      </w:r>
    </w:p>
    <w:p w14:paraId="059FD9D5" w14:textId="77777777" w:rsidR="000564EA" w:rsidRPr="000564EA" w:rsidRDefault="000564EA" w:rsidP="000564EA">
      <w:pPr>
        <w:pStyle w:val="Bibliography"/>
      </w:pPr>
      <w:r w:rsidRPr="000564EA">
        <w:t xml:space="preserve">McCartney, G., Fenton, L., Minton, J., Fischbacher, C., Taulbut, M., Little, K., Humphreys, C., Cumbers, A., Popham, F., &amp; McMaster, R. (2020). Is austerity responsible for the recent change in mortality trends across high-income nations? A protocol for an observational study. </w:t>
      </w:r>
      <w:r w:rsidRPr="000564EA">
        <w:rPr>
          <w:i/>
          <w:iCs/>
        </w:rPr>
        <w:t>BMJ Open</w:t>
      </w:r>
      <w:r w:rsidRPr="000564EA">
        <w:t xml:space="preserve">, </w:t>
      </w:r>
      <w:r w:rsidRPr="000564EA">
        <w:rPr>
          <w:i/>
          <w:iCs/>
        </w:rPr>
        <w:t>10</w:t>
      </w:r>
      <w:r w:rsidRPr="000564EA">
        <w:t>(1), e034832. https://doi.org/10.1136/bmjopen-2019-034832</w:t>
      </w:r>
    </w:p>
    <w:p w14:paraId="607483D0" w14:textId="77777777" w:rsidR="000564EA" w:rsidRPr="000564EA" w:rsidRDefault="000564EA" w:rsidP="000564EA">
      <w:pPr>
        <w:pStyle w:val="Bibliography"/>
      </w:pPr>
      <w:r w:rsidRPr="000564EA">
        <w:t xml:space="preserve">McKee, M., Karanikolos, M., Belcher, P., &amp; Stuckler, D. (2012). Austerity: A failed experiment on the people of Europe. </w:t>
      </w:r>
      <w:r w:rsidRPr="000564EA">
        <w:rPr>
          <w:i/>
          <w:iCs/>
        </w:rPr>
        <w:t>Clin Med (Lond)</w:t>
      </w:r>
      <w:r w:rsidRPr="000564EA">
        <w:t xml:space="preserve">, </w:t>
      </w:r>
      <w:r w:rsidRPr="000564EA">
        <w:rPr>
          <w:i/>
          <w:iCs/>
        </w:rPr>
        <w:t>12</w:t>
      </w:r>
      <w:r w:rsidRPr="000564EA">
        <w:t>(4), 346–350. https://doi.org/10.7861/clinmedicine.12-4-346</w:t>
      </w:r>
    </w:p>
    <w:p w14:paraId="70F1AEAE" w14:textId="77777777" w:rsidR="000564EA" w:rsidRPr="000564EA" w:rsidRDefault="000564EA" w:rsidP="000564EA">
      <w:pPr>
        <w:pStyle w:val="Bibliography"/>
      </w:pPr>
      <w:r w:rsidRPr="000564EA">
        <w:t xml:space="preserve">Milne, J. (2022). </w:t>
      </w:r>
      <w:r w:rsidRPr="000564EA">
        <w:rPr>
          <w:i/>
          <w:iCs/>
        </w:rPr>
        <w:t>A vision to feed the world</w:t>
      </w:r>
      <w:r w:rsidRPr="000564EA">
        <w:t>. https://www.abdn.ac.uk/stories/a-vision-to-feed-the-world/index.html</w:t>
      </w:r>
    </w:p>
    <w:p w14:paraId="02C74D8A" w14:textId="77777777" w:rsidR="000564EA" w:rsidRPr="000564EA" w:rsidRDefault="000564EA" w:rsidP="000564EA">
      <w:pPr>
        <w:pStyle w:val="Bibliography"/>
      </w:pPr>
      <w:r w:rsidRPr="000564EA">
        <w:t xml:space="preserve">Minton, J., Hiam, L., McKee, M., &amp; Dorling, D. (2022). Slowing down or returning to normal? Life expectancy improvements in Britain compared to five large European countries before the COVID-19 pandemic. </w:t>
      </w:r>
      <w:r w:rsidRPr="000564EA">
        <w:rPr>
          <w:i/>
          <w:iCs/>
        </w:rPr>
        <w:t>British Medical Bulletin</w:t>
      </w:r>
      <w:r w:rsidRPr="000564EA">
        <w:t>, ldac036. https://doi.org/10.1093/bmb/ldac036</w:t>
      </w:r>
    </w:p>
    <w:p w14:paraId="32F65211" w14:textId="77777777" w:rsidR="000564EA" w:rsidRPr="000564EA" w:rsidRDefault="000564EA" w:rsidP="000564EA">
      <w:pPr>
        <w:pStyle w:val="Bibliography"/>
      </w:pPr>
      <w:r w:rsidRPr="000564EA">
        <w:t xml:space="preserve">Molbak, K., Espenhain, L., Nielsen, J., Tersago, K., Bossuyt, N., Denissov, G., Baburin, A., Virtanen, M., Fouillet, A., Sideroglou, T., Gkolfinopoulou, K., Paldy, A., Bobvos, J., van Asten, L., de Lange, M., Nunes, B., da Silva, S., Larrauri, A., Gomez, I. L., … Mazick, A. (2015). Excess mortality among the elderly in European countries, December 2014 to February 2015. </w:t>
      </w:r>
      <w:r w:rsidRPr="000564EA">
        <w:rPr>
          <w:i/>
          <w:iCs/>
        </w:rPr>
        <w:t>Euro Surveillance: Bulletin Europeen Sur Les Maladies Transmissibles = European Communicable Disease Bulletin</w:t>
      </w:r>
      <w:r w:rsidRPr="000564EA">
        <w:t xml:space="preserve">, </w:t>
      </w:r>
      <w:r w:rsidRPr="000564EA">
        <w:rPr>
          <w:i/>
          <w:iCs/>
        </w:rPr>
        <w:t>20</w:t>
      </w:r>
      <w:r w:rsidRPr="000564EA">
        <w:t>(11), 21065. https://doi.org/10.2807/1560-7917.es2015.20.11.21065</w:t>
      </w:r>
    </w:p>
    <w:p w14:paraId="2EB73317" w14:textId="77777777" w:rsidR="000564EA" w:rsidRPr="000564EA" w:rsidRDefault="000564EA" w:rsidP="000564EA">
      <w:pPr>
        <w:pStyle w:val="Bibliography"/>
      </w:pPr>
      <w:r w:rsidRPr="000564EA">
        <w:lastRenderedPageBreak/>
        <w:t xml:space="preserve">Moore, P. (2016). </w:t>
      </w:r>
      <w:r w:rsidRPr="000564EA">
        <w:rPr>
          <w:i/>
          <w:iCs/>
        </w:rPr>
        <w:t>How Britain voted at the EU referendum | YouGov</w:t>
      </w:r>
      <w:r w:rsidRPr="000564EA">
        <w:t>. https://yougov.co.uk/topics/politics/articles-reports/2016/06/27/how-britain-voted</w:t>
      </w:r>
    </w:p>
    <w:p w14:paraId="452FCCD3" w14:textId="77777777" w:rsidR="000564EA" w:rsidRPr="000564EA" w:rsidRDefault="000564EA" w:rsidP="000564EA">
      <w:pPr>
        <w:pStyle w:val="Bibliography"/>
      </w:pPr>
      <w:r w:rsidRPr="000564EA">
        <w:t xml:space="preserve">Morris, J., Schlepper, L., Dayan, M., Jefferies, D., Maguire, D., Merry, L., &amp; Wellings, D. (2023). </w:t>
      </w:r>
      <w:r w:rsidRPr="000564EA">
        <w:rPr>
          <w:i/>
          <w:iCs/>
        </w:rPr>
        <w:t>Public satisfaction with the NHS and social care in 2022 | The King’s Fund</w:t>
      </w:r>
      <w:r w:rsidRPr="000564EA">
        <w:t>. https://www.kingsfund.org.uk/publications/public-satisfaction-nhs-and-social-care-2022</w:t>
      </w:r>
    </w:p>
    <w:p w14:paraId="55D1A1D4" w14:textId="77777777" w:rsidR="000564EA" w:rsidRPr="000564EA" w:rsidRDefault="000564EA" w:rsidP="000564EA">
      <w:pPr>
        <w:pStyle w:val="Bibliography"/>
      </w:pPr>
      <w:r w:rsidRPr="000564EA">
        <w:t xml:space="preserve">Murphy, M. (2009). The ‘Golden Generations’ in Historical Context. </w:t>
      </w:r>
      <w:r w:rsidRPr="000564EA">
        <w:rPr>
          <w:i/>
          <w:iCs/>
        </w:rPr>
        <w:t>British Actuarial Journal</w:t>
      </w:r>
      <w:r w:rsidRPr="000564EA">
        <w:t xml:space="preserve">, </w:t>
      </w:r>
      <w:r w:rsidRPr="000564EA">
        <w:rPr>
          <w:i/>
          <w:iCs/>
        </w:rPr>
        <w:t>15</w:t>
      </w:r>
      <w:r w:rsidRPr="000564EA">
        <w:t>(S1), 151–184. https://doi.org/10.1017/S1357321700005559</w:t>
      </w:r>
    </w:p>
    <w:p w14:paraId="663A206C" w14:textId="77777777" w:rsidR="000564EA" w:rsidRPr="000564EA" w:rsidRDefault="000564EA" w:rsidP="000564EA">
      <w:pPr>
        <w:pStyle w:val="Bibliography"/>
      </w:pPr>
      <w:r w:rsidRPr="000564EA">
        <w:t xml:space="preserve">Murphy, M., &amp; Richards, S. (2010). Detecting year-of-birth mortality patterns with limited data. </w:t>
      </w:r>
      <w:r w:rsidRPr="000564EA">
        <w:rPr>
          <w:i/>
          <w:iCs/>
        </w:rPr>
        <w:t>Journal of the Royal Statistical Society. Series A (Statistics in Society)</w:t>
      </w:r>
      <w:r w:rsidRPr="000564EA">
        <w:t xml:space="preserve">, </w:t>
      </w:r>
      <w:r w:rsidRPr="000564EA">
        <w:rPr>
          <w:i/>
          <w:iCs/>
        </w:rPr>
        <w:t>173</w:t>
      </w:r>
      <w:r w:rsidRPr="000564EA">
        <w:t>(4), 915–924.</w:t>
      </w:r>
    </w:p>
    <w:p w14:paraId="5EFACA57" w14:textId="77777777" w:rsidR="000564EA" w:rsidRPr="000564EA" w:rsidRDefault="000564EA" w:rsidP="000564EA">
      <w:pPr>
        <w:pStyle w:val="Bibliography"/>
      </w:pPr>
      <w:r w:rsidRPr="000564EA">
        <w:t xml:space="preserve">Nash, A. (2016). </w:t>
      </w:r>
      <w:r w:rsidRPr="000564EA">
        <w:rPr>
          <w:i/>
          <w:iCs/>
        </w:rPr>
        <w:t>Mortality, 2014-based national population projections reference volume</w:t>
      </w:r>
      <w:r w:rsidRPr="000564EA">
        <w:t>. Office for National Statistics.</w:t>
      </w:r>
    </w:p>
    <w:p w14:paraId="56315627" w14:textId="77777777" w:rsidR="000564EA" w:rsidRPr="000564EA" w:rsidRDefault="000564EA" w:rsidP="000564EA">
      <w:pPr>
        <w:pStyle w:val="Bibliography"/>
      </w:pPr>
      <w:r w:rsidRPr="000564EA">
        <w:t xml:space="preserve">NHS. (2019). </w:t>
      </w:r>
      <w:r w:rsidRPr="000564EA">
        <w:rPr>
          <w:i/>
          <w:iCs/>
        </w:rPr>
        <w:t>BCG vaccine for tuberculosis (TB) overview</w:t>
      </w:r>
      <w:r w:rsidRPr="000564EA">
        <w:t>. Nhs.Uk. https://www.nhs.uk/conditions/vaccinations/bcg-tuberculosis-tb-vaccine/</w:t>
      </w:r>
    </w:p>
    <w:p w14:paraId="3DC2FB3F" w14:textId="77777777" w:rsidR="000564EA" w:rsidRPr="000564EA" w:rsidRDefault="000564EA" w:rsidP="000564EA">
      <w:pPr>
        <w:pStyle w:val="Bibliography"/>
      </w:pPr>
      <w:r w:rsidRPr="000564EA">
        <w:t xml:space="preserve">NHS Digital. (2022). </w:t>
      </w:r>
      <w:r w:rsidRPr="000564EA">
        <w:rPr>
          <w:i/>
          <w:iCs/>
        </w:rPr>
        <w:t>Recorded Dementia Diagnoses, January 2022</w:t>
      </w:r>
      <w:r w:rsidRPr="000564EA">
        <w:t>. NDRS. https://digital.nhs.uk/data-and-information/publications/statistical/recorded-dementia-diagnoses/january-2022</w:t>
      </w:r>
    </w:p>
    <w:p w14:paraId="7C2D7AFF" w14:textId="77777777" w:rsidR="000564EA" w:rsidRPr="000564EA" w:rsidRDefault="000564EA" w:rsidP="000564EA">
      <w:pPr>
        <w:pStyle w:val="Bibliography"/>
      </w:pPr>
      <w:r w:rsidRPr="000564EA">
        <w:t xml:space="preserve">OECD, &amp; The King’s Fund. (2020). </w:t>
      </w:r>
      <w:r w:rsidRPr="000564EA">
        <w:rPr>
          <w:i/>
          <w:iCs/>
        </w:rPr>
        <w:t>Is Cardiovascular Disease Slowing Improvements in Life Expectancy?</w:t>
      </w:r>
    </w:p>
    <w:p w14:paraId="77D4840A" w14:textId="77777777" w:rsidR="000564EA" w:rsidRPr="000564EA" w:rsidRDefault="000564EA" w:rsidP="000564EA">
      <w:pPr>
        <w:pStyle w:val="Bibliography"/>
      </w:pPr>
      <w:r w:rsidRPr="000564EA">
        <w:t xml:space="preserve">Office for National Statistics. (2015). </w:t>
      </w:r>
      <w:r w:rsidRPr="000564EA">
        <w:rPr>
          <w:i/>
          <w:iCs/>
        </w:rPr>
        <w:t>The history of strikes in the UK</w:t>
      </w:r>
      <w:r w:rsidRPr="000564EA">
        <w:t>. https://www.ons.gov.uk/employmentandlabourmarket/peopleinwork/employmentandemployeetypes/articles/thehistoryofstrikesintheuk/2015-09-21</w:t>
      </w:r>
    </w:p>
    <w:p w14:paraId="2EDA7A21" w14:textId="77777777" w:rsidR="000564EA" w:rsidRPr="000564EA" w:rsidRDefault="000564EA" w:rsidP="000564EA">
      <w:pPr>
        <w:pStyle w:val="Bibliography"/>
      </w:pPr>
      <w:r w:rsidRPr="000564EA">
        <w:t xml:space="preserve">Office for National Statistics. (2016). </w:t>
      </w:r>
      <w:r w:rsidRPr="000564EA">
        <w:rPr>
          <w:i/>
          <w:iCs/>
        </w:rPr>
        <w:t>Dementia/alzheimer’s and respiratory disesase behind biggest annual increase in deaths since the 1960s—Office for National Statistics</w:t>
      </w:r>
      <w:r w:rsidRPr="000564EA">
        <w:t>. https://www.ons.gov.uk/peoplepopulationandcommunity/birthsdeathsandmarriages/deaths/articles/dementiaandrespiratorydiseasebehindbiggestannualdeathsincreasesincethe1960s/2016-04-07</w:t>
      </w:r>
    </w:p>
    <w:p w14:paraId="0E8C1FA1" w14:textId="77777777" w:rsidR="000564EA" w:rsidRPr="000564EA" w:rsidRDefault="000564EA" w:rsidP="000564EA">
      <w:pPr>
        <w:pStyle w:val="Bibliography"/>
      </w:pPr>
      <w:r w:rsidRPr="000564EA">
        <w:lastRenderedPageBreak/>
        <w:t xml:space="preserve">Office for National Statistics. (2017). </w:t>
      </w:r>
      <w:r w:rsidRPr="000564EA">
        <w:rPr>
          <w:i/>
          <w:iCs/>
        </w:rPr>
        <w:t>Causes of death over 100 years</w:t>
      </w:r>
      <w:r w:rsidRPr="000564EA">
        <w:t>. https://www.ons.gov.uk/peoplepopulationandcommunity/birthsdeathsandmarriages/deaths/articles/causesofdeathover100years/2017-09-18</w:t>
      </w:r>
    </w:p>
    <w:p w14:paraId="30A61C96" w14:textId="77777777" w:rsidR="000564EA" w:rsidRPr="000564EA" w:rsidRDefault="000564EA" w:rsidP="000564EA">
      <w:pPr>
        <w:pStyle w:val="Bibliography"/>
      </w:pPr>
      <w:r w:rsidRPr="000564EA">
        <w:t xml:space="preserve">Office for National Statistics. (2020). </w:t>
      </w:r>
      <w:r w:rsidRPr="000564EA">
        <w:rPr>
          <w:i/>
          <w:iCs/>
        </w:rPr>
        <w:t>Dementia and Alzheimer’s disease deaths including comorbidities, England and Wales—Office for National Statistics</w:t>
      </w:r>
      <w:r w:rsidRPr="000564EA">
        <w:t>. https://www.ons.gov.uk/peoplepopulationandcommunity/birthsdeathsandmarriages/deaths/bulletins/dementiaandalzheimersdiseasedeathsincludingcomorbiditiesenglandandwales/2019registrations</w:t>
      </w:r>
    </w:p>
    <w:p w14:paraId="6FA369B3" w14:textId="77777777" w:rsidR="000564EA" w:rsidRPr="000564EA" w:rsidRDefault="000564EA" w:rsidP="000564EA">
      <w:pPr>
        <w:pStyle w:val="Bibliography"/>
      </w:pPr>
      <w:r w:rsidRPr="000564EA">
        <w:t xml:space="preserve">Office for National Statistics. (2021). </w:t>
      </w:r>
      <w:r w:rsidRPr="000564EA">
        <w:rPr>
          <w:i/>
          <w:iCs/>
        </w:rPr>
        <w:t>Estimates of the population for the UK, England and Wales, Scotland and Northern Ireland</w:t>
      </w:r>
      <w:r w:rsidRPr="000564EA">
        <w:t>. https://www.ons.gov.uk/peoplepopulationandcommunity/populationandmigration/populationestimates/datasets/populationestimatesforukenglandandwalesscotlandandnorthernireland</w:t>
      </w:r>
    </w:p>
    <w:p w14:paraId="6B1AF59B" w14:textId="77777777" w:rsidR="000564EA" w:rsidRPr="000564EA" w:rsidRDefault="000564EA" w:rsidP="000564EA">
      <w:pPr>
        <w:pStyle w:val="Bibliography"/>
      </w:pPr>
      <w:r w:rsidRPr="000564EA">
        <w:t xml:space="preserve">Office for National Statistics. (2022). </w:t>
      </w:r>
      <w:r w:rsidRPr="000564EA">
        <w:rPr>
          <w:i/>
          <w:iCs/>
        </w:rPr>
        <w:t>Climate-related mortality and hospital admissions, England and Wales—Office for National Statistics</w:t>
      </w:r>
      <w:r w:rsidRPr="000564EA">
        <w:t>. https://www.ons.gov.uk/peoplepopulationandcommunity/birthsdeathsandmarriages/deaths/datasets/climaterelatedmortalityandhospitaladmissionsenglandandwales</w:t>
      </w:r>
    </w:p>
    <w:p w14:paraId="044D25A3" w14:textId="77777777" w:rsidR="000564EA" w:rsidRPr="000564EA" w:rsidRDefault="000564EA" w:rsidP="000564EA">
      <w:pPr>
        <w:pStyle w:val="Bibliography"/>
      </w:pPr>
      <w:r w:rsidRPr="000564EA">
        <w:t xml:space="preserve">Office for National Statistics. (2023). </w:t>
      </w:r>
      <w:r w:rsidRPr="000564EA">
        <w:rPr>
          <w:i/>
          <w:iCs/>
        </w:rPr>
        <w:t>Labour disputes;UK;Sic 07;total working days lost;all inds. &amp; services (000’s)</w:t>
      </w:r>
      <w:r w:rsidRPr="000564EA">
        <w:t>. https://www.ons.gov.uk/employmentandlabourmarket/peopleinwork/employmentandemployeetypes/timeseries/bbfw/lms</w:t>
      </w:r>
    </w:p>
    <w:p w14:paraId="1EA9881A" w14:textId="77777777" w:rsidR="000564EA" w:rsidRPr="000564EA" w:rsidRDefault="000564EA" w:rsidP="000564EA">
      <w:pPr>
        <w:pStyle w:val="Bibliography"/>
      </w:pPr>
      <w:r w:rsidRPr="000564EA">
        <w:t xml:space="preserve">Ogden, K., Phillips, D., &amp; Siôn, C. (2021). </w:t>
      </w:r>
      <w:r w:rsidRPr="000564EA">
        <w:rPr>
          <w:i/>
          <w:iCs/>
        </w:rPr>
        <w:t>What’s happened and what’s next for councils?</w:t>
      </w:r>
      <w:r w:rsidRPr="000564EA">
        <w:t xml:space="preserve"> Institute for Fiscal Studies. https://ifs.org.uk/books/whats-happened-and-whats-next-councils</w:t>
      </w:r>
    </w:p>
    <w:p w14:paraId="68D71586" w14:textId="77777777" w:rsidR="000564EA" w:rsidRPr="000564EA" w:rsidRDefault="000564EA" w:rsidP="000564EA">
      <w:pPr>
        <w:pStyle w:val="Bibliography"/>
      </w:pPr>
      <w:r w:rsidRPr="000564EA">
        <w:t xml:space="preserve">Pearson, H. (2016). </w:t>
      </w:r>
      <w:r w:rsidRPr="000564EA">
        <w:rPr>
          <w:i/>
          <w:iCs/>
        </w:rPr>
        <w:t>The life project: The extraordinary story of our ordinary lives</w:t>
      </w:r>
      <w:r w:rsidRPr="000564EA">
        <w:t>. Allen Lane, an imprint of Penguin Books.</w:t>
      </w:r>
    </w:p>
    <w:p w14:paraId="1E61ABD8" w14:textId="77777777" w:rsidR="000564EA" w:rsidRPr="000564EA" w:rsidRDefault="000564EA" w:rsidP="000564EA">
      <w:pPr>
        <w:pStyle w:val="Bibliography"/>
      </w:pPr>
      <w:r w:rsidRPr="000564EA">
        <w:t xml:space="preserve">Public Health England. (2018). </w:t>
      </w:r>
      <w:r w:rsidRPr="000564EA">
        <w:rPr>
          <w:i/>
          <w:iCs/>
        </w:rPr>
        <w:t>A review of recent trends in mortality in England</w:t>
      </w:r>
      <w:r w:rsidRPr="000564EA">
        <w:t>.</w:t>
      </w:r>
    </w:p>
    <w:p w14:paraId="240A421B" w14:textId="77777777" w:rsidR="000564EA" w:rsidRPr="000564EA" w:rsidRDefault="000564EA" w:rsidP="000564EA">
      <w:pPr>
        <w:pStyle w:val="Bibliography"/>
      </w:pPr>
      <w:r w:rsidRPr="000564EA">
        <w:lastRenderedPageBreak/>
        <w:t xml:space="preserve">Public Health England. (2013). </w:t>
      </w:r>
      <w:r w:rsidRPr="000564EA">
        <w:rPr>
          <w:i/>
          <w:iCs/>
        </w:rPr>
        <w:t>Tuberculosis (TB): Annual notification data 1913 onwards</w:t>
      </w:r>
      <w:r w:rsidRPr="000564EA">
        <w:t>. GOV.UK. https://www.gov.uk/government/publications/tuberculosis-tb-annual-notifications-1913-onwards</w:t>
      </w:r>
    </w:p>
    <w:p w14:paraId="3896C7F9" w14:textId="77777777" w:rsidR="000564EA" w:rsidRPr="000564EA" w:rsidRDefault="000564EA" w:rsidP="000564EA">
      <w:pPr>
        <w:pStyle w:val="Bibliography"/>
      </w:pPr>
      <w:r w:rsidRPr="000564EA">
        <w:t xml:space="preserve">Rajmil, L., &amp; Fernández de Sanmamed, M. J. (2019). Austerity Policies and Mortality Rates in European Countries, 2011-2015. </w:t>
      </w:r>
      <w:r w:rsidRPr="000564EA">
        <w:rPr>
          <w:i/>
          <w:iCs/>
        </w:rPr>
        <w:t>Am J Public Health</w:t>
      </w:r>
      <w:r w:rsidRPr="000564EA">
        <w:t xml:space="preserve">, </w:t>
      </w:r>
      <w:r w:rsidRPr="000564EA">
        <w:rPr>
          <w:i/>
          <w:iCs/>
        </w:rPr>
        <w:t>109</w:t>
      </w:r>
      <w:r w:rsidRPr="000564EA">
        <w:t>(5), 768–770. https://doi.org/10.2105/ajph.2019.304997</w:t>
      </w:r>
    </w:p>
    <w:p w14:paraId="0B825DD9" w14:textId="77777777" w:rsidR="000564EA" w:rsidRPr="000564EA" w:rsidRDefault="000564EA" w:rsidP="000564EA">
      <w:pPr>
        <w:pStyle w:val="Bibliography"/>
      </w:pPr>
      <w:r w:rsidRPr="000564EA">
        <w:t xml:space="preserve">Rashid, T., Bennett, J. E., Paciorek, C. J., Doyle, Y., Pearson-Stuttard, J., Flaxman, S., Fecht, D., Toledano, M. B., Li, G., Daby, H. I., Johnson, E., Davies, B., &amp; Ezzati, M. (2021). Life expectancy and risk of death in 6791 communities in England from 2002 to 2019: High-resolution spatiotemporal analysis of civil registration data. </w:t>
      </w:r>
      <w:r w:rsidRPr="000564EA">
        <w:rPr>
          <w:i/>
          <w:iCs/>
        </w:rPr>
        <w:t>Lancet Public Health</w:t>
      </w:r>
      <w:r w:rsidRPr="000564EA">
        <w:t xml:space="preserve">, </w:t>
      </w:r>
      <w:r w:rsidRPr="000564EA">
        <w:rPr>
          <w:i/>
          <w:iCs/>
        </w:rPr>
        <w:t>6</w:t>
      </w:r>
      <w:r w:rsidRPr="000564EA">
        <w:t>(11). https://ora.ox.ac.uk/objects/uuid:a2ab5c72-a957-4fd8-a0b5-4e4dbbc4358a</w:t>
      </w:r>
    </w:p>
    <w:p w14:paraId="2356FEC3" w14:textId="77777777" w:rsidR="000564EA" w:rsidRPr="000564EA" w:rsidRDefault="000564EA" w:rsidP="000564EA">
      <w:pPr>
        <w:pStyle w:val="Bibliography"/>
      </w:pPr>
      <w:r w:rsidRPr="000564EA">
        <w:t xml:space="preserve">Rau, R., Bohk-Ewald, C., Muszyńska, M. M., &amp; Vaupel, J. W. (2018). The Lexis Diagram. In R. Rau, C. Bohk-Ewald, M. M. Muszyńska, &amp; J. W. Vaupel (Eds.), </w:t>
      </w:r>
      <w:r w:rsidRPr="000564EA">
        <w:rPr>
          <w:i/>
          <w:iCs/>
        </w:rPr>
        <w:t>Visualizing Mortality Dynamics in the Lexis Diagram</w:t>
      </w:r>
      <w:r w:rsidRPr="000564EA">
        <w:t xml:space="preserve"> (pp. 5–10). Springer International Publishing. https://doi.org/10.1007/978-3-319-64820-0_2</w:t>
      </w:r>
    </w:p>
    <w:p w14:paraId="5B7849C4" w14:textId="77777777" w:rsidR="000564EA" w:rsidRPr="000564EA" w:rsidRDefault="000564EA" w:rsidP="000564EA">
      <w:pPr>
        <w:pStyle w:val="Bibliography"/>
      </w:pPr>
      <w:r w:rsidRPr="000564EA">
        <w:t xml:space="preserve">Robinson, T., Brown, H., Norman, P. D., Fraser, L. K., Barr, B., &amp; Bambra, C. (2019). The impact of New Labour’s English health inequalities strategy on geographical inequalities in infant mortality: A time-trend analysis. </w:t>
      </w:r>
      <w:r w:rsidRPr="000564EA">
        <w:rPr>
          <w:i/>
          <w:iCs/>
        </w:rPr>
        <w:t>Journal of Epidemiology and Community Health</w:t>
      </w:r>
      <w:r w:rsidRPr="000564EA">
        <w:t xml:space="preserve">, </w:t>
      </w:r>
      <w:r w:rsidRPr="000564EA">
        <w:rPr>
          <w:i/>
          <w:iCs/>
        </w:rPr>
        <w:t>73</w:t>
      </w:r>
      <w:r w:rsidRPr="000564EA">
        <w:t>(6), 564–568. https://doi.org/10.1136/jech-2018-211679</w:t>
      </w:r>
    </w:p>
    <w:p w14:paraId="30B2D69F" w14:textId="77777777" w:rsidR="000564EA" w:rsidRPr="000564EA" w:rsidRDefault="000564EA" w:rsidP="000564EA">
      <w:pPr>
        <w:pStyle w:val="Bibliography"/>
      </w:pPr>
      <w:r w:rsidRPr="000564EA">
        <w:t xml:space="preserve">Scheidel, W. (2018). </w:t>
      </w:r>
      <w:r w:rsidRPr="000564EA">
        <w:rPr>
          <w:i/>
          <w:iCs/>
        </w:rPr>
        <w:t>The great leveler: Violence and the history of inequality from the Stone Age to the twenty-first century</w:t>
      </w:r>
      <w:r w:rsidRPr="000564EA">
        <w:t xml:space="preserve"> (First paperback printing). Princeton University Press.</w:t>
      </w:r>
    </w:p>
    <w:p w14:paraId="57E0533F" w14:textId="77777777" w:rsidR="000564EA" w:rsidRPr="000564EA" w:rsidRDefault="000564EA" w:rsidP="000564EA">
      <w:pPr>
        <w:pStyle w:val="Bibliography"/>
      </w:pPr>
      <w:r w:rsidRPr="000564EA">
        <w:t xml:space="preserve">Seebohm Rowntree, B. (1941). </w:t>
      </w:r>
      <w:r w:rsidRPr="000564EA">
        <w:rPr>
          <w:i/>
          <w:iCs/>
        </w:rPr>
        <w:t>Poverty and progress: A second social survey of York</w:t>
      </w:r>
      <w:r w:rsidRPr="000564EA">
        <w:t>.</w:t>
      </w:r>
    </w:p>
    <w:p w14:paraId="53E68EA6" w14:textId="77777777" w:rsidR="000564EA" w:rsidRPr="000564EA" w:rsidRDefault="000564EA" w:rsidP="000564EA">
      <w:pPr>
        <w:pStyle w:val="Bibliography"/>
      </w:pPr>
      <w:r w:rsidRPr="000564EA">
        <w:t xml:space="preserve">Shelter. (2023). </w:t>
      </w:r>
      <w:r w:rsidRPr="000564EA">
        <w:rPr>
          <w:i/>
          <w:iCs/>
        </w:rPr>
        <w:t>At least 271,000 people are homeless in England today</w:t>
      </w:r>
      <w:r w:rsidRPr="000564EA">
        <w:t>. Shelter England. https://england.shelter.org.uk/media/press_release/at_least_271000_people_are_homeless_in_england_today</w:t>
      </w:r>
    </w:p>
    <w:p w14:paraId="4EFB4C52" w14:textId="77777777" w:rsidR="000564EA" w:rsidRPr="000564EA" w:rsidRDefault="000564EA" w:rsidP="000564EA">
      <w:pPr>
        <w:pStyle w:val="Bibliography"/>
      </w:pPr>
      <w:r w:rsidRPr="000564EA">
        <w:t xml:space="preserve">Shine, M., &amp; Webber, D. (2019). </w:t>
      </w:r>
      <w:r w:rsidRPr="000564EA">
        <w:rPr>
          <w:i/>
          <w:iCs/>
        </w:rPr>
        <w:t>Using tax data to better capture top earners in household income inequality statistics</w:t>
      </w:r>
      <w:r w:rsidRPr="000564EA">
        <w:t xml:space="preserve">. Office for National Statistics. </w:t>
      </w:r>
      <w:r w:rsidRPr="000564EA">
        <w:lastRenderedPageBreak/>
        <w:t>https://www.ons.gov.uk/peoplepopulationandcommunity/personalandhouseholdfinances/incomeandwealth/articles/usingtaxdatatobettercapturetopearnersinhouseholdincomeinequalitystatistics/2019-02-26</w:t>
      </w:r>
    </w:p>
    <w:p w14:paraId="19ABD3B6" w14:textId="77777777" w:rsidR="000564EA" w:rsidRPr="000564EA" w:rsidRDefault="000564EA" w:rsidP="000564EA">
      <w:pPr>
        <w:pStyle w:val="Bibliography"/>
      </w:pPr>
      <w:r w:rsidRPr="000564EA">
        <w:t xml:space="preserve">Stoneman, P., &amp; Duffy, B. (2023). </w:t>
      </w:r>
      <w:r w:rsidRPr="000564EA">
        <w:rPr>
          <w:i/>
          <w:iCs/>
        </w:rPr>
        <w:t>Are Millennials really killing the Tory party?</w:t>
      </w:r>
      <w:r w:rsidRPr="000564EA">
        <w:t xml:space="preserve"> https://www.kcl.ac.uk/news/are-millennials-really-killing-the-tory-party</w:t>
      </w:r>
    </w:p>
    <w:p w14:paraId="6FE5B280" w14:textId="77777777" w:rsidR="000564EA" w:rsidRPr="000564EA" w:rsidRDefault="000564EA" w:rsidP="000564EA">
      <w:pPr>
        <w:pStyle w:val="Bibliography"/>
      </w:pPr>
      <w:r w:rsidRPr="000564EA">
        <w:t xml:space="preserve">Stuckler, D., Reeves, A., Loopstra, R., Karanikolos, M., &amp; McKee, M. (2017). Austerity and health: The impact in the UK and Europe. </w:t>
      </w:r>
      <w:r w:rsidRPr="000564EA">
        <w:rPr>
          <w:i/>
          <w:iCs/>
        </w:rPr>
        <w:t>European Journal of Public Health</w:t>
      </w:r>
      <w:r w:rsidRPr="000564EA">
        <w:t xml:space="preserve">, </w:t>
      </w:r>
      <w:r w:rsidRPr="000564EA">
        <w:rPr>
          <w:i/>
          <w:iCs/>
        </w:rPr>
        <w:t>27</w:t>
      </w:r>
      <w:r w:rsidRPr="000564EA">
        <w:t>(suppl_4), 18–21. https://doi.org/10.1093/eurpub/ckx167</w:t>
      </w:r>
    </w:p>
    <w:p w14:paraId="59FDB9FB" w14:textId="77777777" w:rsidR="000564EA" w:rsidRPr="000564EA" w:rsidRDefault="000564EA" w:rsidP="000564EA">
      <w:pPr>
        <w:pStyle w:val="Bibliography"/>
      </w:pPr>
      <w:r w:rsidRPr="000564EA">
        <w:t xml:space="preserve">Summers, D. (2009). David Cameron warns of ‘new age of austerity’. </w:t>
      </w:r>
      <w:r w:rsidRPr="000564EA">
        <w:rPr>
          <w:i/>
          <w:iCs/>
        </w:rPr>
        <w:t>The Guardian</w:t>
      </w:r>
      <w:r w:rsidRPr="000564EA">
        <w:t>. https://www.theguardian.com/politics/2009/apr/26/david-cameron-conservative-economic-policy1</w:t>
      </w:r>
    </w:p>
    <w:p w14:paraId="75D4B828" w14:textId="77777777" w:rsidR="000564EA" w:rsidRPr="000564EA" w:rsidRDefault="000564EA" w:rsidP="000564EA">
      <w:pPr>
        <w:pStyle w:val="Bibliography"/>
      </w:pPr>
      <w:r w:rsidRPr="000564EA">
        <w:t xml:space="preserve">The Economist. (2023). Why did 250,000 Britons die sooner than expected? </w:t>
      </w:r>
      <w:r w:rsidRPr="000564EA">
        <w:rPr>
          <w:i/>
          <w:iCs/>
        </w:rPr>
        <w:t>The Economist</w:t>
      </w:r>
      <w:r w:rsidRPr="000564EA">
        <w:t>. https://www.economist.com/interactive/britain/2023/03/09/why-did-250000-britons-die-sooner-than-expected</w:t>
      </w:r>
    </w:p>
    <w:p w14:paraId="7CA9DEE6" w14:textId="77777777" w:rsidR="000564EA" w:rsidRPr="000564EA" w:rsidRDefault="000564EA" w:rsidP="000564EA">
      <w:pPr>
        <w:pStyle w:val="Bibliography"/>
      </w:pPr>
      <w:r w:rsidRPr="000564EA">
        <w:t xml:space="preserve">The Lancet. (2014). Economic austerity, food poverty, and health. </w:t>
      </w:r>
      <w:r w:rsidRPr="000564EA">
        <w:rPr>
          <w:i/>
          <w:iCs/>
        </w:rPr>
        <w:t>The Lancet</w:t>
      </w:r>
      <w:r w:rsidRPr="000564EA">
        <w:t xml:space="preserve">, </w:t>
      </w:r>
      <w:r w:rsidRPr="000564EA">
        <w:rPr>
          <w:i/>
          <w:iCs/>
        </w:rPr>
        <w:t>383</w:t>
      </w:r>
      <w:r w:rsidRPr="000564EA">
        <w:t>(9929), 1609. https://doi.org/10.1016/S0140-6736(14)60771-6</w:t>
      </w:r>
    </w:p>
    <w:p w14:paraId="1BD90DE0" w14:textId="77777777" w:rsidR="000564EA" w:rsidRPr="000564EA" w:rsidRDefault="000564EA" w:rsidP="000564EA">
      <w:pPr>
        <w:pStyle w:val="Bibliography"/>
      </w:pPr>
      <w:r w:rsidRPr="000564EA">
        <w:t xml:space="preserve">Thomas, B., Dorling, D., &amp; Smith, G. D. (2010). Inequalities in premature mortality in Britain: Observational study from 1921 to 2007. </w:t>
      </w:r>
      <w:r w:rsidRPr="000564EA">
        <w:rPr>
          <w:i/>
          <w:iCs/>
        </w:rPr>
        <w:t>BMJ</w:t>
      </w:r>
      <w:r w:rsidRPr="000564EA">
        <w:t xml:space="preserve">, </w:t>
      </w:r>
      <w:r w:rsidRPr="000564EA">
        <w:rPr>
          <w:i/>
          <w:iCs/>
        </w:rPr>
        <w:t>341</w:t>
      </w:r>
      <w:r w:rsidRPr="000564EA">
        <w:t>, c3639. https://doi.org/10.1136/bmj.c3639</w:t>
      </w:r>
    </w:p>
    <w:p w14:paraId="70F608A3" w14:textId="77777777" w:rsidR="000564EA" w:rsidRPr="000564EA" w:rsidRDefault="000564EA" w:rsidP="000564EA">
      <w:pPr>
        <w:pStyle w:val="Bibliography"/>
      </w:pPr>
      <w:r w:rsidRPr="000564EA">
        <w:t xml:space="preserve">Toffolutti, V., &amp; Suhrcke, M. (2019). Does austerity really kill? </w:t>
      </w:r>
      <w:r w:rsidRPr="000564EA">
        <w:rPr>
          <w:i/>
          <w:iCs/>
        </w:rPr>
        <w:t>Econ Hum Biol</w:t>
      </w:r>
      <w:r w:rsidRPr="000564EA">
        <w:t xml:space="preserve">, </w:t>
      </w:r>
      <w:r w:rsidRPr="000564EA">
        <w:rPr>
          <w:i/>
          <w:iCs/>
        </w:rPr>
        <w:t>33</w:t>
      </w:r>
      <w:r w:rsidRPr="000564EA">
        <w:t>, 211–223. https://doi.org/10.1016/j.ehb.2019.03.002</w:t>
      </w:r>
    </w:p>
    <w:p w14:paraId="29B6533F" w14:textId="77777777" w:rsidR="000564EA" w:rsidRPr="000564EA" w:rsidRDefault="000564EA" w:rsidP="000564EA">
      <w:pPr>
        <w:pStyle w:val="Bibliography"/>
      </w:pPr>
      <w:r w:rsidRPr="000564EA">
        <w:t xml:space="preserve">Townsend, P. (1963). The family life of old people: An inquiry in East London. </w:t>
      </w:r>
      <w:r w:rsidRPr="000564EA">
        <w:rPr>
          <w:i/>
          <w:iCs/>
        </w:rPr>
        <w:t>Harrmondsworth</w:t>
      </w:r>
      <w:r w:rsidRPr="000564EA">
        <w:t>, 188–205.</w:t>
      </w:r>
    </w:p>
    <w:p w14:paraId="52A45F4B" w14:textId="77777777" w:rsidR="000564EA" w:rsidRPr="000564EA" w:rsidRDefault="000564EA" w:rsidP="000564EA">
      <w:pPr>
        <w:pStyle w:val="Bibliography"/>
      </w:pPr>
      <w:r w:rsidRPr="000564EA">
        <w:t xml:space="preserve">Triggle, N., &amp; Butcher, B. (2020, January 9). </w:t>
      </w:r>
      <w:r w:rsidRPr="000564EA">
        <w:rPr>
          <w:i/>
          <w:iCs/>
        </w:rPr>
        <w:t>11 charts on the problems facing the NHS - BBC News</w:t>
      </w:r>
      <w:r w:rsidRPr="000564EA">
        <w:t>. https://www.bbc.com/news/health-50290033</w:t>
      </w:r>
    </w:p>
    <w:p w14:paraId="06E89E0F" w14:textId="77777777" w:rsidR="000564EA" w:rsidRPr="000564EA" w:rsidRDefault="000564EA" w:rsidP="000564EA">
      <w:pPr>
        <w:pStyle w:val="Bibliography"/>
      </w:pPr>
      <w:r w:rsidRPr="000564EA">
        <w:t xml:space="preserve">UK Parliament Public Accounts Committee. (2021). </w:t>
      </w:r>
      <w:r w:rsidRPr="000564EA">
        <w:rPr>
          <w:i/>
          <w:iCs/>
        </w:rPr>
        <w:t>“Unimaginable” cost of Test &amp; Trace failed to deliver central promise of averting another lockdown—Committees—UK Parliament</w:t>
      </w:r>
      <w:r w:rsidRPr="000564EA">
        <w:t>. https://committees.parliament.uk/committee/127/public-accounts-</w:t>
      </w:r>
      <w:r w:rsidRPr="000564EA">
        <w:lastRenderedPageBreak/>
        <w:t>committee/news/150988/unimaginable-cost-of-test-trace-failed-to-deliver-central-promise-of-averting-another-lockdown/</w:t>
      </w:r>
    </w:p>
    <w:p w14:paraId="250468D0" w14:textId="77777777" w:rsidR="000564EA" w:rsidRPr="000564EA" w:rsidRDefault="000564EA" w:rsidP="000564EA">
      <w:pPr>
        <w:pStyle w:val="Bibliography"/>
      </w:pPr>
      <w:r w:rsidRPr="000564EA">
        <w:t xml:space="preserve">van der Wel, K. A., Saltkjel, T., Chen, W. H., Dahl, E., &amp; Halvorsen, K. (2018). European health inequality through the ‘Great Recession’: Social policy matters. </w:t>
      </w:r>
      <w:r w:rsidRPr="000564EA">
        <w:rPr>
          <w:i/>
          <w:iCs/>
        </w:rPr>
        <w:t>Sociol Health Illn</w:t>
      </w:r>
      <w:r w:rsidRPr="000564EA">
        <w:t xml:space="preserve">, </w:t>
      </w:r>
      <w:r w:rsidRPr="000564EA">
        <w:rPr>
          <w:i/>
          <w:iCs/>
        </w:rPr>
        <w:t>40</w:t>
      </w:r>
      <w:r w:rsidRPr="000564EA">
        <w:t>(4), 750–768. https://doi.org/10.1111/1467-9566.12723</w:t>
      </w:r>
    </w:p>
    <w:p w14:paraId="3535B25A" w14:textId="77777777" w:rsidR="000564EA" w:rsidRPr="000564EA" w:rsidRDefault="000564EA" w:rsidP="000564EA">
      <w:pPr>
        <w:pStyle w:val="Bibliography"/>
      </w:pPr>
      <w:r w:rsidRPr="000564EA">
        <w:t xml:space="preserve">Walsh, D., Dundas, R., McCartney, G., Gibson, M., &amp; Seaman, R. (2022). Bearing the burden of austerity: How do changing mortality rates in the UK compare between men and women? </w:t>
      </w:r>
      <w:r w:rsidRPr="000564EA">
        <w:rPr>
          <w:i/>
          <w:iCs/>
        </w:rPr>
        <w:t>J Epidemiol Community Health</w:t>
      </w:r>
      <w:r w:rsidRPr="000564EA">
        <w:t>. https://doi.org/10.1136/jech-2022-219645</w:t>
      </w:r>
    </w:p>
    <w:p w14:paraId="680808C6" w14:textId="77777777" w:rsidR="000564EA" w:rsidRPr="000564EA" w:rsidRDefault="000564EA" w:rsidP="000564EA">
      <w:pPr>
        <w:pStyle w:val="Bibliography"/>
      </w:pPr>
      <w:r w:rsidRPr="000564EA">
        <w:t xml:space="preserve">Walsh, D., Tod, E., McCartney, G., &amp; Levin, K. A. (2022). How much of the stalled mortality trends in Scotland and England can be attributed to obesity? </w:t>
      </w:r>
      <w:r w:rsidRPr="000564EA">
        <w:rPr>
          <w:i/>
          <w:iCs/>
        </w:rPr>
        <w:t>BMJ Open</w:t>
      </w:r>
      <w:r w:rsidRPr="000564EA">
        <w:t xml:space="preserve">, </w:t>
      </w:r>
      <w:r w:rsidRPr="000564EA">
        <w:rPr>
          <w:i/>
          <w:iCs/>
        </w:rPr>
        <w:t>12</w:t>
      </w:r>
      <w:r w:rsidRPr="000564EA">
        <w:t>(12), e067310.</w:t>
      </w:r>
    </w:p>
    <w:p w14:paraId="17458B38" w14:textId="77777777" w:rsidR="000564EA" w:rsidRPr="000564EA" w:rsidRDefault="000564EA" w:rsidP="000564EA">
      <w:pPr>
        <w:pStyle w:val="Bibliography"/>
      </w:pPr>
      <w:r w:rsidRPr="000564EA">
        <w:t xml:space="preserve">Willets, R. (1999). Mortality in the next Millennium, SIAS Willets, RC 2004 The cohort effect—Insights and explanations. </w:t>
      </w:r>
      <w:r w:rsidRPr="000564EA">
        <w:rPr>
          <w:i/>
          <w:iCs/>
        </w:rPr>
        <w:t>British Actuarial Journal</w:t>
      </w:r>
      <w:r w:rsidRPr="000564EA">
        <w:t xml:space="preserve">, </w:t>
      </w:r>
      <w:r w:rsidRPr="000564EA">
        <w:rPr>
          <w:i/>
          <w:iCs/>
        </w:rPr>
        <w:t>10</w:t>
      </w:r>
      <w:r w:rsidRPr="000564EA">
        <w:t>(48 Part IV).</w:t>
      </w:r>
    </w:p>
    <w:p w14:paraId="61FA9D69" w14:textId="77777777" w:rsidR="000564EA" w:rsidRPr="000564EA" w:rsidRDefault="000564EA" w:rsidP="000564EA">
      <w:pPr>
        <w:pStyle w:val="Bibliography"/>
      </w:pPr>
      <w:r w:rsidRPr="000564EA">
        <w:t xml:space="preserve">Willets, R. C. (2004). The Cohort Effect: Insights and Explanations. </w:t>
      </w:r>
      <w:r w:rsidRPr="000564EA">
        <w:rPr>
          <w:i/>
          <w:iCs/>
        </w:rPr>
        <w:t>British Actuarial Journal</w:t>
      </w:r>
      <w:r w:rsidRPr="000564EA">
        <w:t xml:space="preserve">, </w:t>
      </w:r>
      <w:r w:rsidRPr="000564EA">
        <w:rPr>
          <w:i/>
          <w:iCs/>
        </w:rPr>
        <w:t>10</w:t>
      </w:r>
      <w:r w:rsidRPr="000564EA">
        <w:t>(4), 833–877. https://doi.org/10.1017/S1357321700002762</w:t>
      </w:r>
    </w:p>
    <w:p w14:paraId="6675BC94" w14:textId="77777777" w:rsidR="000564EA" w:rsidRPr="000564EA" w:rsidRDefault="000564EA" w:rsidP="000564EA">
      <w:pPr>
        <w:pStyle w:val="Bibliography"/>
      </w:pPr>
      <w:r w:rsidRPr="000564EA">
        <w:t xml:space="preserve">Wilson, C., &amp; Coghlan, A. (2018). </w:t>
      </w:r>
      <w:r w:rsidRPr="000564EA">
        <w:rPr>
          <w:i/>
          <w:iCs/>
        </w:rPr>
        <w:t>The big slowdown</w:t>
      </w:r>
      <w:r w:rsidRPr="000564EA">
        <w:t>.</w:t>
      </w:r>
    </w:p>
    <w:p w14:paraId="4DD06822" w14:textId="77777777" w:rsidR="000564EA" w:rsidRPr="000564EA" w:rsidRDefault="000564EA" w:rsidP="000564EA">
      <w:pPr>
        <w:pStyle w:val="Bibliography"/>
      </w:pPr>
      <w:r w:rsidRPr="000564EA">
        <w:t xml:space="preserve">World Health Organisation. (2023). </w:t>
      </w:r>
      <w:r w:rsidRPr="000564EA">
        <w:rPr>
          <w:i/>
          <w:iCs/>
        </w:rPr>
        <w:t>Cardiovascular diseases</w:t>
      </w:r>
      <w:r w:rsidRPr="000564EA">
        <w:t>. https://platform.who.int/mortality/themes/theme-details/topics/topic-details/MDB/cardiovascular-diseases</w:t>
      </w:r>
    </w:p>
    <w:p w14:paraId="348C408C" w14:textId="5A127058" w:rsidR="003D6E75" w:rsidRDefault="00382AC9" w:rsidP="00382AC9">
      <w:r>
        <w:fldChar w:fldCharType="end"/>
      </w:r>
    </w:p>
    <w:sectPr w:rsidR="003D6E75">
      <w:footnotePr>
        <w:numFmt w:val="lowerRoman"/>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EAF1A" w14:textId="77777777" w:rsidR="008E729F" w:rsidRDefault="008E729F" w:rsidP="00382AC9">
      <w:pPr>
        <w:spacing w:line="240" w:lineRule="auto"/>
      </w:pPr>
      <w:r>
        <w:separator/>
      </w:r>
    </w:p>
  </w:endnote>
  <w:endnote w:type="continuationSeparator" w:id="0">
    <w:p w14:paraId="2E7E3618" w14:textId="77777777" w:rsidR="008E729F" w:rsidRDefault="008E729F" w:rsidP="00382A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20206030504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E1A1" w14:textId="77777777" w:rsidR="00382AC9" w:rsidRDefault="00382AC9" w:rsidP="004C28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0861A127" w14:textId="77777777" w:rsidR="00382AC9" w:rsidRDefault="00382AC9" w:rsidP="00C52B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1225961"/>
      <w:docPartObj>
        <w:docPartGallery w:val="Page Numbers (Bottom of Page)"/>
        <w:docPartUnique/>
      </w:docPartObj>
    </w:sdtPr>
    <w:sdtEndPr>
      <w:rPr>
        <w:rStyle w:val="PageNumber"/>
      </w:rPr>
    </w:sdtEndPr>
    <w:sdtContent>
      <w:p w14:paraId="79281230" w14:textId="77777777" w:rsidR="00382AC9" w:rsidRDefault="00382AC9" w:rsidP="004C28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4EB43A" w14:textId="77777777" w:rsidR="00382AC9" w:rsidRDefault="00382AC9" w:rsidP="00C52B3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BA42D" w14:textId="77777777" w:rsidR="008E729F" w:rsidRDefault="008E729F" w:rsidP="00382AC9">
      <w:pPr>
        <w:spacing w:line="240" w:lineRule="auto"/>
      </w:pPr>
      <w:r>
        <w:separator/>
      </w:r>
    </w:p>
  </w:footnote>
  <w:footnote w:type="continuationSeparator" w:id="0">
    <w:p w14:paraId="0F13425D" w14:textId="77777777" w:rsidR="008E729F" w:rsidRDefault="008E729F" w:rsidP="00382AC9">
      <w:pPr>
        <w:spacing w:line="240" w:lineRule="auto"/>
      </w:pPr>
      <w:r>
        <w:continuationSeparator/>
      </w:r>
    </w:p>
  </w:footnote>
  <w:footnote w:id="1">
    <w:p w14:paraId="2B38B203" w14:textId="285B3303" w:rsidR="00382AC9" w:rsidRDefault="00382AC9" w:rsidP="00382AC9">
      <w:pPr>
        <w:pStyle w:val="FootnoteText"/>
      </w:pPr>
      <w:r w:rsidRPr="000D046A">
        <w:rPr>
          <w:rStyle w:val="FootnoteReference"/>
        </w:rPr>
        <w:footnoteRef/>
      </w:r>
      <w:r>
        <w:t xml:space="preserve"> At the time of writing in 2023, substantial strike action which begun in 2022 is continuing across the public sector. The impact remains to be seen</w:t>
      </w:r>
      <w:r w:rsidR="00D47E0A">
        <w:t>, and the level is much lower than that seen in the 1970s</w:t>
      </w:r>
      <w:r>
        <w:t>.</w:t>
      </w:r>
    </w:p>
  </w:footnote>
  <w:footnote w:id="2">
    <w:p w14:paraId="3911E818" w14:textId="77777777" w:rsidR="00382AC9" w:rsidRDefault="00382AC9" w:rsidP="00382AC9">
      <w:pPr>
        <w:pStyle w:val="FootnoteText"/>
      </w:pPr>
      <w:r w:rsidRPr="000D046A">
        <w:rPr>
          <w:rStyle w:val="FootnoteReference"/>
        </w:rPr>
        <w:footnoteRef/>
      </w:r>
      <w:r>
        <w:t xml:space="preserve"> New Labour kept its promise to not increase spending for the first 2 years of government following the election.</w:t>
      </w:r>
    </w:p>
  </w:footnote>
  <w:footnote w:id="3">
    <w:p w14:paraId="7F01B3BC" w14:textId="77777777" w:rsidR="00382AC9" w:rsidRDefault="00382AC9" w:rsidP="00382AC9">
      <w:pPr>
        <w:pStyle w:val="FootnoteText"/>
      </w:pPr>
      <w:r w:rsidRPr="000D046A">
        <w:rPr>
          <w:rStyle w:val="FootnoteReference"/>
        </w:rPr>
        <w:footnoteRef/>
      </w:r>
      <w:r>
        <w:t xml:space="preserve"> David Cameron delivered his age of austerity speech on 26 April 2009. Excerpts available at: </w:t>
      </w:r>
      <w:hyperlink r:id="rId1" w:history="1">
        <w:r w:rsidRPr="005A655F">
          <w:rPr>
            <w:rStyle w:val="Hyperlink"/>
          </w:rPr>
          <w:t>https://www.theguardian.com/politics/2009/apr/26/david-cameron-conservative-economic-policy1</w:t>
        </w:r>
      </w:hyperlink>
      <w:r>
        <w:t xml:space="preserve"> </w:t>
      </w:r>
      <w:r w:rsidRPr="00A32244">
        <w:t xml:space="preserve"> </w:t>
      </w:r>
      <w:r>
        <w:t>(accessed 18th April 2023). In it, he asserts the answer is “delivering more for less”.</w:t>
      </w:r>
    </w:p>
  </w:footnote>
  <w:footnote w:id="4">
    <w:p w14:paraId="7F593D63" w14:textId="77777777" w:rsidR="00382AC9" w:rsidRDefault="00382AC9" w:rsidP="00382AC9">
      <w:pPr>
        <w:pStyle w:val="FootnoteText"/>
      </w:pPr>
      <w:r w:rsidRPr="000D046A">
        <w:rPr>
          <w:rStyle w:val="FootnoteReference"/>
        </w:rPr>
        <w:footnoteRef/>
      </w:r>
      <w:r>
        <w:t xml:space="preserve"> We do not use statistical analysis as the possible identification of cohort effects is “not a statistical issue” – it cannot be done through statistical methods (See Murphy 2009).</w:t>
      </w:r>
    </w:p>
  </w:footnote>
  <w:footnote w:id="5">
    <w:p w14:paraId="26A5706D" w14:textId="1D152D23" w:rsidR="00ED29AA" w:rsidRDefault="00ED29AA">
      <w:pPr>
        <w:pStyle w:val="FootnoteText"/>
      </w:pPr>
      <w:r w:rsidRPr="000D046A">
        <w:rPr>
          <w:rStyle w:val="FootnoteReference"/>
        </w:rPr>
        <w:footnoteRef/>
      </w:r>
      <w:r>
        <w:t xml:space="preserve"> This can be difficult to understand. It only becomes easy to understand with practice, but it is not complex. It is the simplest </w:t>
      </w:r>
      <w:r w:rsidR="00DA6950">
        <w:t xml:space="preserve">way </w:t>
      </w:r>
      <w:r>
        <w:t xml:space="preserve">to understand how underlying trends </w:t>
      </w:r>
      <w:r w:rsidR="008866C1">
        <w:t>themselves are</w:t>
      </w:r>
      <w:r>
        <w:t xml:space="preserve"> changing. So please bear with us!</w:t>
      </w:r>
    </w:p>
  </w:footnote>
  <w:footnote w:id="6">
    <w:p w14:paraId="1D94F62E" w14:textId="7B7271F5" w:rsidR="00382AC9" w:rsidRDefault="00382AC9" w:rsidP="00382AC9">
      <w:pPr>
        <w:pStyle w:val="FootnoteText"/>
      </w:pPr>
      <w:r w:rsidRPr="000D046A">
        <w:rPr>
          <w:rStyle w:val="FootnoteReference"/>
        </w:rPr>
        <w:footnoteRef/>
      </w:r>
      <w:r>
        <w:t xml:space="preserve"> For the 1975 referendum, they were aged 41 to 50 years, and 73% of those aged between 46 and 64 years voted in support of </w:t>
      </w:r>
      <w:r w:rsidRPr="00715B4F">
        <w:rPr>
          <w:i/>
          <w:iCs/>
        </w:rPr>
        <w:t>staying</w:t>
      </w:r>
      <w:r>
        <w:t xml:space="preserve"> in the EEC</w:t>
      </w:r>
      <w:r>
        <w:fldChar w:fldCharType="begin"/>
      </w:r>
      <w:r w:rsidR="0099441B">
        <w:instrText xml:space="preserve"> ADDIN ZOTERO_ITEM CSL_CITATION {"citationID":"a2inmtunlcp","properties":{"formattedCitation":"(Andrew, 2017)","plainCitation":"(Andrew, 2017)","noteIndex":6},"citationItems":[{"id":1987,"uris":["http://zotero.org/users/7125982/items/9WJSD7YI"],"itemData":{"id":1987,"type":"post-weblog","abstract":"The British public has voted on membership of the EU on two occasions. In 1975, based on a turnout of 64 per cent, two-thirds voted to stay in the EEC, cementing Britain’s place for the next four d…","container-title":"LSE BREXIT","language":"en-US","title":"The referendums of 1975 and 2016 illustrate the continuity and change in British Euroscepticism","URL":"https://blogs.lse.ac.uk/brexit/2017/07/31/the-referendums-of-1975-and-2016-illustrate-the-continuity-and-change-in-british-euroscepticism/","author":[{"literal":"Andrew"}],"accessed":{"date-parts":[["2023",4,24]]},"issued":{"date-parts":[["2017",7,31]]}}}],"schema":"https://github.com/citation-style-language/schema/raw/master/csl-citation.json"} </w:instrText>
      </w:r>
      <w:r>
        <w:fldChar w:fldCharType="separate"/>
      </w:r>
      <w:r w:rsidR="0099441B">
        <w:rPr>
          <w:rFonts w:cs="Arial"/>
        </w:rPr>
        <w:t>(Andrew, 2017)</w:t>
      </w:r>
      <w: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152"/>
    <w:multiLevelType w:val="hybridMultilevel"/>
    <w:tmpl w:val="216A66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92279"/>
    <w:multiLevelType w:val="hybridMultilevel"/>
    <w:tmpl w:val="4CB2D690"/>
    <w:lvl w:ilvl="0" w:tplc="516AA00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A70578"/>
    <w:multiLevelType w:val="multilevel"/>
    <w:tmpl w:val="E30AB954"/>
    <w:lvl w:ilvl="0">
      <w:start w:val="1"/>
      <w:numFmt w:val="decimal"/>
      <w:pStyle w:val="Heading1"/>
      <w:lvlText w:val="%1"/>
      <w:lvlJc w:val="left"/>
      <w:pPr>
        <w:ind w:left="1872" w:hanging="432"/>
      </w:pPr>
      <w:rPr>
        <w:rFonts w:hint="default"/>
      </w:rPr>
    </w:lvl>
    <w:lvl w:ilvl="1">
      <w:start w:val="1"/>
      <w:numFmt w:val="decimal"/>
      <w:pStyle w:val="Heading2"/>
      <w:lvlText w:val="%1.%2"/>
      <w:lvlJc w:val="left"/>
      <w:pPr>
        <w:ind w:left="2016" w:hanging="576"/>
      </w:pPr>
      <w:rPr>
        <w:rFonts w:hint="default"/>
      </w:rPr>
    </w:lvl>
    <w:lvl w:ilvl="2">
      <w:start w:val="1"/>
      <w:numFmt w:val="decimal"/>
      <w:lvlText w:val="%1.%2.%3"/>
      <w:lvlJc w:val="left"/>
      <w:pPr>
        <w:ind w:left="2160" w:hanging="720"/>
      </w:pPr>
      <w:rPr>
        <w:rFonts w:hint="default"/>
      </w:rPr>
    </w:lvl>
    <w:lvl w:ilvl="3">
      <w:start w:val="1"/>
      <w:numFmt w:val="decimal"/>
      <w:pStyle w:val="Heading4"/>
      <w:lvlText w:val="%1.%2.%3.%4"/>
      <w:lvlJc w:val="left"/>
      <w:pPr>
        <w:ind w:left="2304" w:hanging="864"/>
      </w:pPr>
      <w:rPr>
        <w:rFonts w:hint="default"/>
      </w:rPr>
    </w:lvl>
    <w:lvl w:ilvl="4">
      <w:start w:val="1"/>
      <w:numFmt w:val="decimal"/>
      <w:pStyle w:val="Heading5"/>
      <w:lvlText w:val="%1.%2.%3.%4.%5"/>
      <w:lvlJc w:val="left"/>
      <w:pPr>
        <w:ind w:left="2448" w:hanging="1008"/>
      </w:pPr>
      <w:rPr>
        <w:rFonts w:hint="default"/>
      </w:rPr>
    </w:lvl>
    <w:lvl w:ilvl="5">
      <w:start w:val="1"/>
      <w:numFmt w:val="decimal"/>
      <w:pStyle w:val="Heading6"/>
      <w:lvlText w:val="%1.%2.%3.%4.%5.%6"/>
      <w:lvlJc w:val="left"/>
      <w:pPr>
        <w:ind w:left="2592" w:hanging="1152"/>
      </w:pPr>
      <w:rPr>
        <w:rFonts w:hint="default"/>
      </w:rPr>
    </w:lvl>
    <w:lvl w:ilvl="6">
      <w:start w:val="1"/>
      <w:numFmt w:val="decimal"/>
      <w:pStyle w:val="Heading7"/>
      <w:lvlText w:val="%1.%2.%3.%4.%5.%6.%7"/>
      <w:lvlJc w:val="left"/>
      <w:pPr>
        <w:ind w:left="2736" w:hanging="1296"/>
      </w:pPr>
      <w:rPr>
        <w:rFonts w:hint="default"/>
      </w:rPr>
    </w:lvl>
    <w:lvl w:ilvl="7">
      <w:start w:val="1"/>
      <w:numFmt w:val="decimal"/>
      <w:pStyle w:val="Heading8"/>
      <w:lvlText w:val="%1.%2.%3.%4.%5.%6.%7.%8"/>
      <w:lvlJc w:val="left"/>
      <w:pPr>
        <w:ind w:left="2880" w:hanging="1440"/>
      </w:pPr>
      <w:rPr>
        <w:rFonts w:hint="default"/>
      </w:rPr>
    </w:lvl>
    <w:lvl w:ilvl="8">
      <w:start w:val="1"/>
      <w:numFmt w:val="decimal"/>
      <w:pStyle w:val="Heading9"/>
      <w:lvlText w:val="%1.%2.%3.%4.%5.%6.%7.%8.%9"/>
      <w:lvlJc w:val="left"/>
      <w:pPr>
        <w:ind w:left="3024" w:hanging="1584"/>
      </w:pPr>
      <w:rPr>
        <w:rFonts w:hint="default"/>
      </w:rPr>
    </w:lvl>
  </w:abstractNum>
  <w:abstractNum w:abstractNumId="3" w15:restartNumberingAfterBreak="0">
    <w:nsid w:val="1911569F"/>
    <w:multiLevelType w:val="hybridMultilevel"/>
    <w:tmpl w:val="2968D706"/>
    <w:lvl w:ilvl="0" w:tplc="ECAC33E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44671"/>
    <w:multiLevelType w:val="hybridMultilevel"/>
    <w:tmpl w:val="52586E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E45741"/>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350433C"/>
    <w:multiLevelType w:val="multilevel"/>
    <w:tmpl w:val="F6AEF89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33882644"/>
    <w:multiLevelType w:val="multilevel"/>
    <w:tmpl w:val="AD54F1FE"/>
    <w:styleLink w:val="CurrentList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15:restartNumberingAfterBreak="0">
    <w:nsid w:val="35542349"/>
    <w:multiLevelType w:val="multilevel"/>
    <w:tmpl w:val="E30AB954"/>
    <w:styleLink w:val="CurrentList7"/>
    <w:lvl w:ilvl="0">
      <w:start w:val="1"/>
      <w:numFmt w:val="decimal"/>
      <w:lvlText w:val="%1"/>
      <w:lvlJc w:val="left"/>
      <w:pPr>
        <w:ind w:left="1872" w:hanging="432"/>
      </w:pPr>
      <w:rPr>
        <w:rFonts w:hint="default"/>
      </w:rPr>
    </w:lvl>
    <w:lvl w:ilvl="1">
      <w:start w:val="1"/>
      <w:numFmt w:val="decimal"/>
      <w:lvlText w:val="%1.%2"/>
      <w:lvlJc w:val="left"/>
      <w:pPr>
        <w:ind w:left="2016" w:hanging="57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9" w15:restartNumberingAfterBreak="0">
    <w:nsid w:val="3BFE3D4B"/>
    <w:multiLevelType w:val="hybridMultilevel"/>
    <w:tmpl w:val="2B0A9EFC"/>
    <w:lvl w:ilvl="0" w:tplc="516AA00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7F4C41"/>
    <w:multiLevelType w:val="hybridMultilevel"/>
    <w:tmpl w:val="87DEE7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D26B2F"/>
    <w:multiLevelType w:val="multilevel"/>
    <w:tmpl w:val="22765F48"/>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F27752"/>
    <w:multiLevelType w:val="hybridMultilevel"/>
    <w:tmpl w:val="E34C8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B50624"/>
    <w:multiLevelType w:val="hybridMultilevel"/>
    <w:tmpl w:val="87DEE7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B765B1"/>
    <w:multiLevelType w:val="multilevel"/>
    <w:tmpl w:val="2C96F7BA"/>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3D566AC"/>
    <w:multiLevelType w:val="multilevel"/>
    <w:tmpl w:val="8D346CD6"/>
    <w:styleLink w:val="CurrentList5"/>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6" w15:restartNumberingAfterBreak="0">
    <w:nsid w:val="61A9661D"/>
    <w:multiLevelType w:val="multilevel"/>
    <w:tmpl w:val="7E18E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9D094F"/>
    <w:multiLevelType w:val="hybridMultilevel"/>
    <w:tmpl w:val="7408FA48"/>
    <w:lvl w:ilvl="0" w:tplc="0FF0D762">
      <w:start w:val="7"/>
      <w:numFmt w:val="decimal"/>
      <w:lvlText w:val="%1"/>
      <w:lvlJc w:val="left"/>
      <w:pPr>
        <w:ind w:left="720" w:hanging="360"/>
      </w:pPr>
      <w:rPr>
        <w:rFonts w:asciiTheme="majorHAnsi" w:eastAsiaTheme="minorHAnsi" w:hAnsiTheme="majorHAnsi" w:cstheme="majorHAnsi" w:hint="default"/>
        <w:b/>
        <w:color w:val="0563C1" w:themeColor="hyperlink"/>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E2549BE"/>
    <w:multiLevelType w:val="multilevel"/>
    <w:tmpl w:val="C79C4C88"/>
    <w:styleLink w:val="CurrentList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15:restartNumberingAfterBreak="0">
    <w:nsid w:val="6F893669"/>
    <w:multiLevelType w:val="hybridMultilevel"/>
    <w:tmpl w:val="5426B9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39F67A7"/>
    <w:multiLevelType w:val="hybridMultilevel"/>
    <w:tmpl w:val="5E58F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9F5817"/>
    <w:multiLevelType w:val="hybridMultilevel"/>
    <w:tmpl w:val="D0D043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7"/>
  </w:num>
  <w:num w:numId="8">
    <w:abstractNumId w:val="14"/>
  </w:num>
  <w:num w:numId="9">
    <w:abstractNumId w:val="18"/>
  </w:num>
  <w:num w:numId="10">
    <w:abstractNumId w:val="15"/>
  </w:num>
  <w:num w:numId="11">
    <w:abstractNumId w:val="20"/>
  </w:num>
  <w:num w:numId="12">
    <w:abstractNumId w:val="5"/>
  </w:num>
  <w:num w:numId="13">
    <w:abstractNumId w:val="8"/>
  </w:num>
  <w:num w:numId="14">
    <w:abstractNumId w:val="17"/>
  </w:num>
  <w:num w:numId="15">
    <w:abstractNumId w:val="4"/>
  </w:num>
  <w:num w:numId="16">
    <w:abstractNumId w:val="1"/>
  </w:num>
  <w:num w:numId="17">
    <w:abstractNumId w:val="9"/>
  </w:num>
  <w:num w:numId="18">
    <w:abstractNumId w:val="13"/>
  </w:num>
  <w:num w:numId="19">
    <w:abstractNumId w:val="19"/>
  </w:num>
  <w:num w:numId="20">
    <w:abstractNumId w:val="21"/>
  </w:num>
  <w:num w:numId="21">
    <w:abstractNumId w:val="3"/>
  </w:num>
  <w:num w:numId="22">
    <w:abstractNumId w:val="1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AC9"/>
    <w:rsid w:val="00002D0D"/>
    <w:rsid w:val="00003200"/>
    <w:rsid w:val="00004FBB"/>
    <w:rsid w:val="000077BE"/>
    <w:rsid w:val="0001137E"/>
    <w:rsid w:val="0002048B"/>
    <w:rsid w:val="00023E23"/>
    <w:rsid w:val="0003278B"/>
    <w:rsid w:val="00047F51"/>
    <w:rsid w:val="0005032E"/>
    <w:rsid w:val="0005065A"/>
    <w:rsid w:val="00050760"/>
    <w:rsid w:val="00050C80"/>
    <w:rsid w:val="00054BDE"/>
    <w:rsid w:val="000564EA"/>
    <w:rsid w:val="00064BD2"/>
    <w:rsid w:val="00070E58"/>
    <w:rsid w:val="00071B1B"/>
    <w:rsid w:val="000726A9"/>
    <w:rsid w:val="00087BE8"/>
    <w:rsid w:val="00095567"/>
    <w:rsid w:val="000A5ABD"/>
    <w:rsid w:val="000A5EB7"/>
    <w:rsid w:val="000A5FDA"/>
    <w:rsid w:val="000A6250"/>
    <w:rsid w:val="000C1FB9"/>
    <w:rsid w:val="000D046A"/>
    <w:rsid w:val="000D0958"/>
    <w:rsid w:val="000E3D38"/>
    <w:rsid w:val="000E6BD3"/>
    <w:rsid w:val="000F0DA8"/>
    <w:rsid w:val="001024FF"/>
    <w:rsid w:val="001032C4"/>
    <w:rsid w:val="001035DA"/>
    <w:rsid w:val="001076C5"/>
    <w:rsid w:val="00107E35"/>
    <w:rsid w:val="0011618B"/>
    <w:rsid w:val="001216BC"/>
    <w:rsid w:val="00124589"/>
    <w:rsid w:val="00125124"/>
    <w:rsid w:val="00145A77"/>
    <w:rsid w:val="0015233F"/>
    <w:rsid w:val="00177F38"/>
    <w:rsid w:val="0018131E"/>
    <w:rsid w:val="001845A9"/>
    <w:rsid w:val="00185944"/>
    <w:rsid w:val="0019293B"/>
    <w:rsid w:val="001977D9"/>
    <w:rsid w:val="001A6999"/>
    <w:rsid w:val="001B7BC3"/>
    <w:rsid w:val="001F6B17"/>
    <w:rsid w:val="00211354"/>
    <w:rsid w:val="00221A08"/>
    <w:rsid w:val="002306E4"/>
    <w:rsid w:val="00231306"/>
    <w:rsid w:val="00247C0D"/>
    <w:rsid w:val="00251953"/>
    <w:rsid w:val="002745BC"/>
    <w:rsid w:val="00275440"/>
    <w:rsid w:val="00284E6D"/>
    <w:rsid w:val="0028633E"/>
    <w:rsid w:val="0028779F"/>
    <w:rsid w:val="00294A11"/>
    <w:rsid w:val="002B28E5"/>
    <w:rsid w:val="002B5BA7"/>
    <w:rsid w:val="002C2EC3"/>
    <w:rsid w:val="002C5BB3"/>
    <w:rsid w:val="002D2D36"/>
    <w:rsid w:val="002D78A6"/>
    <w:rsid w:val="002F532D"/>
    <w:rsid w:val="002F6435"/>
    <w:rsid w:val="00300595"/>
    <w:rsid w:val="00300906"/>
    <w:rsid w:val="003010F5"/>
    <w:rsid w:val="0031745F"/>
    <w:rsid w:val="00335957"/>
    <w:rsid w:val="003379E8"/>
    <w:rsid w:val="003516ED"/>
    <w:rsid w:val="00351FF8"/>
    <w:rsid w:val="0035369D"/>
    <w:rsid w:val="0036079B"/>
    <w:rsid w:val="00360939"/>
    <w:rsid w:val="00364B5A"/>
    <w:rsid w:val="00366536"/>
    <w:rsid w:val="00366966"/>
    <w:rsid w:val="003719E5"/>
    <w:rsid w:val="0037209C"/>
    <w:rsid w:val="00382AC9"/>
    <w:rsid w:val="0039383B"/>
    <w:rsid w:val="0039433E"/>
    <w:rsid w:val="003A206A"/>
    <w:rsid w:val="003A5820"/>
    <w:rsid w:val="003B1D18"/>
    <w:rsid w:val="003C3057"/>
    <w:rsid w:val="003D436A"/>
    <w:rsid w:val="003D6E75"/>
    <w:rsid w:val="003E0BC8"/>
    <w:rsid w:val="003E394A"/>
    <w:rsid w:val="003E4624"/>
    <w:rsid w:val="003F4463"/>
    <w:rsid w:val="003F4492"/>
    <w:rsid w:val="003F73BC"/>
    <w:rsid w:val="00403B8B"/>
    <w:rsid w:val="0040448E"/>
    <w:rsid w:val="00406BE1"/>
    <w:rsid w:val="00407E70"/>
    <w:rsid w:val="00414024"/>
    <w:rsid w:val="00414E96"/>
    <w:rsid w:val="0043347B"/>
    <w:rsid w:val="00442071"/>
    <w:rsid w:val="00446BE0"/>
    <w:rsid w:val="00447D24"/>
    <w:rsid w:val="004513DD"/>
    <w:rsid w:val="00456629"/>
    <w:rsid w:val="0047016C"/>
    <w:rsid w:val="00475341"/>
    <w:rsid w:val="004866D2"/>
    <w:rsid w:val="00486CAF"/>
    <w:rsid w:val="00487C61"/>
    <w:rsid w:val="004A0A4B"/>
    <w:rsid w:val="004A1AA0"/>
    <w:rsid w:val="004A59D1"/>
    <w:rsid w:val="004B4D24"/>
    <w:rsid w:val="004B6E14"/>
    <w:rsid w:val="004C7648"/>
    <w:rsid w:val="004D1954"/>
    <w:rsid w:val="004D31AC"/>
    <w:rsid w:val="004E1837"/>
    <w:rsid w:val="004F1511"/>
    <w:rsid w:val="005049C8"/>
    <w:rsid w:val="00504A09"/>
    <w:rsid w:val="00512C6F"/>
    <w:rsid w:val="00525D20"/>
    <w:rsid w:val="005318DE"/>
    <w:rsid w:val="00537CEF"/>
    <w:rsid w:val="0054445D"/>
    <w:rsid w:val="00546EBA"/>
    <w:rsid w:val="00555A8F"/>
    <w:rsid w:val="00561A8E"/>
    <w:rsid w:val="00562953"/>
    <w:rsid w:val="00566B66"/>
    <w:rsid w:val="0057567B"/>
    <w:rsid w:val="00592D54"/>
    <w:rsid w:val="0059469B"/>
    <w:rsid w:val="005958E0"/>
    <w:rsid w:val="005A2119"/>
    <w:rsid w:val="005B78F4"/>
    <w:rsid w:val="005C1059"/>
    <w:rsid w:val="005C2594"/>
    <w:rsid w:val="005C72F2"/>
    <w:rsid w:val="005C748A"/>
    <w:rsid w:val="005D64E1"/>
    <w:rsid w:val="005F1BFC"/>
    <w:rsid w:val="005F61BD"/>
    <w:rsid w:val="006028AF"/>
    <w:rsid w:val="00614A54"/>
    <w:rsid w:val="00622086"/>
    <w:rsid w:val="00625CB6"/>
    <w:rsid w:val="00626CB8"/>
    <w:rsid w:val="0063334E"/>
    <w:rsid w:val="0063659D"/>
    <w:rsid w:val="00640EFA"/>
    <w:rsid w:val="00644805"/>
    <w:rsid w:val="0064680C"/>
    <w:rsid w:val="0065596D"/>
    <w:rsid w:val="00660803"/>
    <w:rsid w:val="006630EB"/>
    <w:rsid w:val="0066354E"/>
    <w:rsid w:val="00682A97"/>
    <w:rsid w:val="0068313A"/>
    <w:rsid w:val="00683248"/>
    <w:rsid w:val="006920CB"/>
    <w:rsid w:val="006A09EC"/>
    <w:rsid w:val="006A0BA1"/>
    <w:rsid w:val="006A65FF"/>
    <w:rsid w:val="006B5832"/>
    <w:rsid w:val="006B7318"/>
    <w:rsid w:val="006C555E"/>
    <w:rsid w:val="006D2A96"/>
    <w:rsid w:val="006F01E3"/>
    <w:rsid w:val="006F3A37"/>
    <w:rsid w:val="00716B32"/>
    <w:rsid w:val="00732C2B"/>
    <w:rsid w:val="00736C2E"/>
    <w:rsid w:val="00741BE1"/>
    <w:rsid w:val="00743903"/>
    <w:rsid w:val="00751FF8"/>
    <w:rsid w:val="00753A86"/>
    <w:rsid w:val="007603CF"/>
    <w:rsid w:val="007604A9"/>
    <w:rsid w:val="00761755"/>
    <w:rsid w:val="007678DB"/>
    <w:rsid w:val="0077017F"/>
    <w:rsid w:val="00773F8C"/>
    <w:rsid w:val="00776752"/>
    <w:rsid w:val="0078655A"/>
    <w:rsid w:val="007A11A4"/>
    <w:rsid w:val="007A7BDC"/>
    <w:rsid w:val="007B7350"/>
    <w:rsid w:val="007C3981"/>
    <w:rsid w:val="007C3EDE"/>
    <w:rsid w:val="007D0919"/>
    <w:rsid w:val="007D42D1"/>
    <w:rsid w:val="007D56B9"/>
    <w:rsid w:val="007D7484"/>
    <w:rsid w:val="007E1161"/>
    <w:rsid w:val="007F0D2D"/>
    <w:rsid w:val="007F1883"/>
    <w:rsid w:val="007F4DC3"/>
    <w:rsid w:val="00807586"/>
    <w:rsid w:val="00811806"/>
    <w:rsid w:val="00813B12"/>
    <w:rsid w:val="00822215"/>
    <w:rsid w:val="00831F00"/>
    <w:rsid w:val="00832FCB"/>
    <w:rsid w:val="00837524"/>
    <w:rsid w:val="00841404"/>
    <w:rsid w:val="008624EB"/>
    <w:rsid w:val="008665E9"/>
    <w:rsid w:val="00877915"/>
    <w:rsid w:val="00877BCE"/>
    <w:rsid w:val="00880F1C"/>
    <w:rsid w:val="00881AC9"/>
    <w:rsid w:val="008866C1"/>
    <w:rsid w:val="00890A32"/>
    <w:rsid w:val="008A1534"/>
    <w:rsid w:val="008C17F1"/>
    <w:rsid w:val="008C4377"/>
    <w:rsid w:val="008D5586"/>
    <w:rsid w:val="008E577B"/>
    <w:rsid w:val="008E729F"/>
    <w:rsid w:val="008F1E70"/>
    <w:rsid w:val="008F684C"/>
    <w:rsid w:val="009010E4"/>
    <w:rsid w:val="00901D9C"/>
    <w:rsid w:val="00905DB9"/>
    <w:rsid w:val="0092455F"/>
    <w:rsid w:val="00924626"/>
    <w:rsid w:val="0092519C"/>
    <w:rsid w:val="00943FA7"/>
    <w:rsid w:val="00950B04"/>
    <w:rsid w:val="00957A71"/>
    <w:rsid w:val="009626FB"/>
    <w:rsid w:val="009655E0"/>
    <w:rsid w:val="00987F1B"/>
    <w:rsid w:val="00993065"/>
    <w:rsid w:val="00993245"/>
    <w:rsid w:val="0099441B"/>
    <w:rsid w:val="009A07F3"/>
    <w:rsid w:val="009A2396"/>
    <w:rsid w:val="009A2F80"/>
    <w:rsid w:val="009A6B7F"/>
    <w:rsid w:val="009B0127"/>
    <w:rsid w:val="009B103B"/>
    <w:rsid w:val="009C1D5D"/>
    <w:rsid w:val="009C40E0"/>
    <w:rsid w:val="009C5206"/>
    <w:rsid w:val="009D69AE"/>
    <w:rsid w:val="009E217C"/>
    <w:rsid w:val="009E2203"/>
    <w:rsid w:val="009E3B80"/>
    <w:rsid w:val="009F1590"/>
    <w:rsid w:val="009F51A7"/>
    <w:rsid w:val="00A004FB"/>
    <w:rsid w:val="00A00C71"/>
    <w:rsid w:val="00A01400"/>
    <w:rsid w:val="00A10693"/>
    <w:rsid w:val="00A106B1"/>
    <w:rsid w:val="00A14A5F"/>
    <w:rsid w:val="00A179B6"/>
    <w:rsid w:val="00A17B2B"/>
    <w:rsid w:val="00A304B9"/>
    <w:rsid w:val="00A34BD6"/>
    <w:rsid w:val="00A36EC2"/>
    <w:rsid w:val="00A37917"/>
    <w:rsid w:val="00A42D84"/>
    <w:rsid w:val="00A60702"/>
    <w:rsid w:val="00A666E3"/>
    <w:rsid w:val="00A83223"/>
    <w:rsid w:val="00AA676B"/>
    <w:rsid w:val="00AB4724"/>
    <w:rsid w:val="00AB5018"/>
    <w:rsid w:val="00AD1285"/>
    <w:rsid w:val="00AD359D"/>
    <w:rsid w:val="00AD3B5E"/>
    <w:rsid w:val="00AF1034"/>
    <w:rsid w:val="00AF2931"/>
    <w:rsid w:val="00AF44B0"/>
    <w:rsid w:val="00B00500"/>
    <w:rsid w:val="00B03448"/>
    <w:rsid w:val="00B07854"/>
    <w:rsid w:val="00B07ABB"/>
    <w:rsid w:val="00B14C3E"/>
    <w:rsid w:val="00B23D72"/>
    <w:rsid w:val="00B3036D"/>
    <w:rsid w:val="00B32261"/>
    <w:rsid w:val="00B33643"/>
    <w:rsid w:val="00B3483F"/>
    <w:rsid w:val="00B362AE"/>
    <w:rsid w:val="00B36C18"/>
    <w:rsid w:val="00B4171C"/>
    <w:rsid w:val="00B41AA5"/>
    <w:rsid w:val="00B53842"/>
    <w:rsid w:val="00B557F9"/>
    <w:rsid w:val="00B5780F"/>
    <w:rsid w:val="00B61765"/>
    <w:rsid w:val="00B75CB3"/>
    <w:rsid w:val="00B82106"/>
    <w:rsid w:val="00B8353E"/>
    <w:rsid w:val="00B91BA2"/>
    <w:rsid w:val="00B92676"/>
    <w:rsid w:val="00B94528"/>
    <w:rsid w:val="00B9580F"/>
    <w:rsid w:val="00BA12A4"/>
    <w:rsid w:val="00BA789E"/>
    <w:rsid w:val="00BB3AA8"/>
    <w:rsid w:val="00BC15AE"/>
    <w:rsid w:val="00BC498B"/>
    <w:rsid w:val="00BD12B8"/>
    <w:rsid w:val="00BD27F5"/>
    <w:rsid w:val="00BE0651"/>
    <w:rsid w:val="00BE338B"/>
    <w:rsid w:val="00BE33EC"/>
    <w:rsid w:val="00BE5721"/>
    <w:rsid w:val="00BF29A7"/>
    <w:rsid w:val="00BF2F29"/>
    <w:rsid w:val="00BF59F4"/>
    <w:rsid w:val="00BF63C7"/>
    <w:rsid w:val="00BF6516"/>
    <w:rsid w:val="00BF6A87"/>
    <w:rsid w:val="00C00AF2"/>
    <w:rsid w:val="00C05981"/>
    <w:rsid w:val="00C12934"/>
    <w:rsid w:val="00C13465"/>
    <w:rsid w:val="00C24E7F"/>
    <w:rsid w:val="00C305DB"/>
    <w:rsid w:val="00C4130B"/>
    <w:rsid w:val="00C42E1B"/>
    <w:rsid w:val="00C51B2F"/>
    <w:rsid w:val="00C52A8C"/>
    <w:rsid w:val="00C54342"/>
    <w:rsid w:val="00C62BEF"/>
    <w:rsid w:val="00C65237"/>
    <w:rsid w:val="00C67D38"/>
    <w:rsid w:val="00C70F1A"/>
    <w:rsid w:val="00C84A1D"/>
    <w:rsid w:val="00C84AB3"/>
    <w:rsid w:val="00C9228A"/>
    <w:rsid w:val="00C959BD"/>
    <w:rsid w:val="00CA12C5"/>
    <w:rsid w:val="00CA7132"/>
    <w:rsid w:val="00CC4D31"/>
    <w:rsid w:val="00CC4E50"/>
    <w:rsid w:val="00CD04A8"/>
    <w:rsid w:val="00CD41EB"/>
    <w:rsid w:val="00CD4374"/>
    <w:rsid w:val="00CE08FE"/>
    <w:rsid w:val="00CE500A"/>
    <w:rsid w:val="00D226D7"/>
    <w:rsid w:val="00D47E0A"/>
    <w:rsid w:val="00D53014"/>
    <w:rsid w:val="00D54E4D"/>
    <w:rsid w:val="00D55FE8"/>
    <w:rsid w:val="00D73FE6"/>
    <w:rsid w:val="00D74740"/>
    <w:rsid w:val="00D8015A"/>
    <w:rsid w:val="00DA4193"/>
    <w:rsid w:val="00DA6950"/>
    <w:rsid w:val="00DB0075"/>
    <w:rsid w:val="00DB104C"/>
    <w:rsid w:val="00DB29C7"/>
    <w:rsid w:val="00DB3A49"/>
    <w:rsid w:val="00DB60D9"/>
    <w:rsid w:val="00DC078D"/>
    <w:rsid w:val="00DD5C75"/>
    <w:rsid w:val="00DF715A"/>
    <w:rsid w:val="00DF7E21"/>
    <w:rsid w:val="00E05B21"/>
    <w:rsid w:val="00E07699"/>
    <w:rsid w:val="00E20B6D"/>
    <w:rsid w:val="00E30C8F"/>
    <w:rsid w:val="00E31D1D"/>
    <w:rsid w:val="00E36B34"/>
    <w:rsid w:val="00E43F1F"/>
    <w:rsid w:val="00E4548D"/>
    <w:rsid w:val="00E512DF"/>
    <w:rsid w:val="00E5564E"/>
    <w:rsid w:val="00E610F4"/>
    <w:rsid w:val="00E62B21"/>
    <w:rsid w:val="00E71D65"/>
    <w:rsid w:val="00E72B97"/>
    <w:rsid w:val="00E75987"/>
    <w:rsid w:val="00E80D72"/>
    <w:rsid w:val="00EA5A50"/>
    <w:rsid w:val="00EC6A47"/>
    <w:rsid w:val="00ED2504"/>
    <w:rsid w:val="00ED26B5"/>
    <w:rsid w:val="00ED29AA"/>
    <w:rsid w:val="00ED710E"/>
    <w:rsid w:val="00EE5385"/>
    <w:rsid w:val="00EE603B"/>
    <w:rsid w:val="00EF4B24"/>
    <w:rsid w:val="00EF4D96"/>
    <w:rsid w:val="00F018DE"/>
    <w:rsid w:val="00F041A8"/>
    <w:rsid w:val="00F05463"/>
    <w:rsid w:val="00F15A04"/>
    <w:rsid w:val="00F233D7"/>
    <w:rsid w:val="00F254E3"/>
    <w:rsid w:val="00F3248A"/>
    <w:rsid w:val="00F35B98"/>
    <w:rsid w:val="00F37346"/>
    <w:rsid w:val="00F4068A"/>
    <w:rsid w:val="00F41EA2"/>
    <w:rsid w:val="00F423BA"/>
    <w:rsid w:val="00F42C48"/>
    <w:rsid w:val="00F465A3"/>
    <w:rsid w:val="00F613EB"/>
    <w:rsid w:val="00F63C17"/>
    <w:rsid w:val="00F65321"/>
    <w:rsid w:val="00F7054A"/>
    <w:rsid w:val="00F74D98"/>
    <w:rsid w:val="00F765CB"/>
    <w:rsid w:val="00F77572"/>
    <w:rsid w:val="00F8565F"/>
    <w:rsid w:val="00F903D3"/>
    <w:rsid w:val="00F95A15"/>
    <w:rsid w:val="00FA3A04"/>
    <w:rsid w:val="00FA72D6"/>
    <w:rsid w:val="00FB6074"/>
    <w:rsid w:val="00FB6649"/>
    <w:rsid w:val="00FC2BE6"/>
    <w:rsid w:val="00FC6114"/>
    <w:rsid w:val="00FD114D"/>
    <w:rsid w:val="00FD22C1"/>
    <w:rsid w:val="00FD40CB"/>
    <w:rsid w:val="00FE0FF1"/>
    <w:rsid w:val="00FF0A6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C0A345"/>
  <w15:chartTrackingRefBased/>
  <w15:docId w15:val="{45DBC2E0-4B97-8649-B616-3CDF3E2B7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AC9"/>
    <w:pPr>
      <w:spacing w:line="360" w:lineRule="auto"/>
    </w:pPr>
    <w:rPr>
      <w:rFonts w:ascii="Arial" w:eastAsia="Times New Roman" w:hAnsi="Arial" w:cs="Times New Roman"/>
      <w:kern w:val="0"/>
      <w:sz w:val="22"/>
      <w:lang w:val="en-GB" w:eastAsia="en-GB"/>
      <w14:ligatures w14:val="none"/>
    </w:rPr>
  </w:style>
  <w:style w:type="paragraph" w:styleId="Heading1">
    <w:name w:val="heading 1"/>
    <w:basedOn w:val="Normal"/>
    <w:next w:val="Normal"/>
    <w:link w:val="Heading1Char"/>
    <w:uiPriority w:val="9"/>
    <w:qFormat/>
    <w:rsid w:val="00382AC9"/>
    <w:pPr>
      <w:keepNext/>
      <w:keepLines/>
      <w:numPr>
        <w:numId w:val="2"/>
      </w:numPr>
      <w:spacing w:before="240"/>
      <w:ind w:left="432"/>
      <w:outlineLvl w:val="0"/>
    </w:pPr>
    <w:rPr>
      <w:rFonts w:eastAsiaTheme="majorEastAsia" w:cs="Times New Roman (Headings CS)"/>
      <w:b/>
      <w:smallCaps/>
      <w:kern w:val="2"/>
      <w:szCs w:val="32"/>
      <w:lang w:eastAsia="en-US"/>
      <w14:ligatures w14:val="standardContextual"/>
    </w:rPr>
  </w:style>
  <w:style w:type="paragraph" w:styleId="Heading2">
    <w:name w:val="heading 2"/>
    <w:basedOn w:val="Normal"/>
    <w:next w:val="Normal"/>
    <w:link w:val="Heading2Char"/>
    <w:uiPriority w:val="9"/>
    <w:unhideWhenUsed/>
    <w:qFormat/>
    <w:rsid w:val="00382AC9"/>
    <w:pPr>
      <w:keepNext/>
      <w:keepLines/>
      <w:numPr>
        <w:ilvl w:val="1"/>
        <w:numId w:val="2"/>
      </w:numPr>
      <w:spacing w:before="40"/>
      <w:ind w:left="576"/>
      <w:outlineLvl w:val="1"/>
    </w:pPr>
    <w:rPr>
      <w:rFonts w:eastAsiaTheme="majorEastAsia" w:cstheme="majorBidi"/>
      <w:b/>
      <w:kern w:val="2"/>
      <w:szCs w:val="26"/>
      <w:lang w:eastAsia="en-US"/>
      <w14:ligatures w14:val="standardContextual"/>
    </w:rPr>
  </w:style>
  <w:style w:type="paragraph" w:styleId="Heading3">
    <w:name w:val="heading 3"/>
    <w:basedOn w:val="Normal"/>
    <w:next w:val="Normal"/>
    <w:link w:val="Heading3Char"/>
    <w:uiPriority w:val="9"/>
    <w:unhideWhenUsed/>
    <w:qFormat/>
    <w:rsid w:val="00382AC9"/>
    <w:pPr>
      <w:keepNext/>
      <w:keepLines/>
      <w:spacing w:before="40"/>
      <w:outlineLvl w:val="2"/>
    </w:pPr>
    <w:rPr>
      <w:rFonts w:eastAsiaTheme="majorEastAsia" w:cstheme="majorBidi"/>
      <w:b/>
      <w:i/>
      <w:kern w:val="2"/>
      <w:lang w:eastAsia="en-US"/>
      <w14:ligatures w14:val="standardContextual"/>
    </w:rPr>
  </w:style>
  <w:style w:type="paragraph" w:styleId="Heading4">
    <w:name w:val="heading 4"/>
    <w:basedOn w:val="Normal"/>
    <w:next w:val="Normal"/>
    <w:link w:val="Heading4Char"/>
    <w:uiPriority w:val="9"/>
    <w:semiHidden/>
    <w:unhideWhenUsed/>
    <w:qFormat/>
    <w:rsid w:val="00382AC9"/>
    <w:pPr>
      <w:keepNext/>
      <w:keepLines/>
      <w:numPr>
        <w:ilvl w:val="3"/>
        <w:numId w:val="2"/>
      </w:numPr>
      <w:spacing w:before="40"/>
      <w:outlineLvl w:val="3"/>
    </w:pPr>
    <w:rPr>
      <w:rFonts w:asciiTheme="majorHAnsi" w:eastAsiaTheme="majorEastAsia" w:hAnsiTheme="majorHAnsi" w:cstheme="majorBidi"/>
      <w:i/>
      <w:iCs/>
      <w:color w:val="2F5496"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382AC9"/>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82AC9"/>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82AC9"/>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82AC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82AC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AC9"/>
    <w:rPr>
      <w:rFonts w:ascii="Arial" w:eastAsiaTheme="majorEastAsia" w:hAnsi="Arial" w:cs="Times New Roman (Headings CS)"/>
      <w:b/>
      <w:smallCaps/>
      <w:sz w:val="22"/>
      <w:szCs w:val="32"/>
      <w:lang w:val="en-GB"/>
    </w:rPr>
  </w:style>
  <w:style w:type="character" w:customStyle="1" w:styleId="Heading2Char">
    <w:name w:val="Heading 2 Char"/>
    <w:basedOn w:val="DefaultParagraphFont"/>
    <w:link w:val="Heading2"/>
    <w:uiPriority w:val="9"/>
    <w:rsid w:val="00382AC9"/>
    <w:rPr>
      <w:rFonts w:ascii="Arial" w:eastAsiaTheme="majorEastAsia" w:hAnsi="Arial" w:cstheme="majorBidi"/>
      <w:b/>
      <w:sz w:val="22"/>
      <w:szCs w:val="26"/>
      <w:lang w:val="en-GB"/>
    </w:rPr>
  </w:style>
  <w:style w:type="character" w:customStyle="1" w:styleId="Heading3Char">
    <w:name w:val="Heading 3 Char"/>
    <w:basedOn w:val="DefaultParagraphFont"/>
    <w:link w:val="Heading3"/>
    <w:uiPriority w:val="9"/>
    <w:rsid w:val="00382AC9"/>
    <w:rPr>
      <w:rFonts w:ascii="Arial" w:eastAsiaTheme="majorEastAsia" w:hAnsi="Arial" w:cstheme="majorBidi"/>
      <w:b/>
      <w:i/>
      <w:sz w:val="22"/>
      <w:lang w:val="en-GB"/>
    </w:rPr>
  </w:style>
  <w:style w:type="character" w:customStyle="1" w:styleId="Heading4Char">
    <w:name w:val="Heading 4 Char"/>
    <w:basedOn w:val="DefaultParagraphFont"/>
    <w:link w:val="Heading4"/>
    <w:uiPriority w:val="9"/>
    <w:semiHidden/>
    <w:rsid w:val="00382AC9"/>
    <w:rPr>
      <w:rFonts w:asciiTheme="majorHAnsi" w:eastAsiaTheme="majorEastAsia" w:hAnsiTheme="majorHAnsi" w:cstheme="majorBidi"/>
      <w:i/>
      <w:iCs/>
      <w:color w:val="2F5496" w:themeColor="accent1" w:themeShade="BF"/>
      <w:sz w:val="22"/>
      <w:lang w:val="en-GB"/>
    </w:rPr>
  </w:style>
  <w:style w:type="character" w:customStyle="1" w:styleId="Heading5Char">
    <w:name w:val="Heading 5 Char"/>
    <w:basedOn w:val="DefaultParagraphFont"/>
    <w:link w:val="Heading5"/>
    <w:uiPriority w:val="9"/>
    <w:semiHidden/>
    <w:rsid w:val="00382AC9"/>
    <w:rPr>
      <w:rFonts w:asciiTheme="majorHAnsi" w:eastAsiaTheme="majorEastAsia" w:hAnsiTheme="majorHAnsi" w:cstheme="majorBidi"/>
      <w:color w:val="2F5496" w:themeColor="accent1" w:themeShade="BF"/>
      <w:kern w:val="0"/>
      <w:sz w:val="22"/>
      <w:lang w:val="en-GB" w:eastAsia="en-GB"/>
      <w14:ligatures w14:val="none"/>
    </w:rPr>
  </w:style>
  <w:style w:type="character" w:customStyle="1" w:styleId="Heading6Char">
    <w:name w:val="Heading 6 Char"/>
    <w:basedOn w:val="DefaultParagraphFont"/>
    <w:link w:val="Heading6"/>
    <w:uiPriority w:val="9"/>
    <w:semiHidden/>
    <w:rsid w:val="00382AC9"/>
    <w:rPr>
      <w:rFonts w:asciiTheme="majorHAnsi" w:eastAsiaTheme="majorEastAsia" w:hAnsiTheme="majorHAnsi" w:cstheme="majorBidi"/>
      <w:color w:val="1F3763" w:themeColor="accent1" w:themeShade="7F"/>
      <w:kern w:val="0"/>
      <w:sz w:val="22"/>
      <w:lang w:val="en-GB" w:eastAsia="en-GB"/>
      <w14:ligatures w14:val="none"/>
    </w:rPr>
  </w:style>
  <w:style w:type="character" w:customStyle="1" w:styleId="Heading7Char">
    <w:name w:val="Heading 7 Char"/>
    <w:basedOn w:val="DefaultParagraphFont"/>
    <w:link w:val="Heading7"/>
    <w:uiPriority w:val="9"/>
    <w:semiHidden/>
    <w:rsid w:val="00382AC9"/>
    <w:rPr>
      <w:rFonts w:asciiTheme="majorHAnsi" w:eastAsiaTheme="majorEastAsia" w:hAnsiTheme="majorHAnsi" w:cstheme="majorBidi"/>
      <w:i/>
      <w:iCs/>
      <w:color w:val="1F3763" w:themeColor="accent1" w:themeShade="7F"/>
      <w:kern w:val="0"/>
      <w:sz w:val="22"/>
      <w:lang w:val="en-GB" w:eastAsia="en-GB"/>
      <w14:ligatures w14:val="none"/>
    </w:rPr>
  </w:style>
  <w:style w:type="character" w:customStyle="1" w:styleId="Heading8Char">
    <w:name w:val="Heading 8 Char"/>
    <w:basedOn w:val="DefaultParagraphFont"/>
    <w:link w:val="Heading8"/>
    <w:uiPriority w:val="9"/>
    <w:semiHidden/>
    <w:rsid w:val="00382AC9"/>
    <w:rPr>
      <w:rFonts w:asciiTheme="majorHAnsi" w:eastAsiaTheme="majorEastAsia" w:hAnsiTheme="majorHAnsi" w:cstheme="majorBidi"/>
      <w:color w:val="272727" w:themeColor="text1" w:themeTint="D8"/>
      <w:kern w:val="0"/>
      <w:sz w:val="21"/>
      <w:szCs w:val="21"/>
      <w:lang w:val="en-GB" w:eastAsia="en-GB"/>
      <w14:ligatures w14:val="none"/>
    </w:rPr>
  </w:style>
  <w:style w:type="character" w:customStyle="1" w:styleId="Heading9Char">
    <w:name w:val="Heading 9 Char"/>
    <w:basedOn w:val="DefaultParagraphFont"/>
    <w:link w:val="Heading9"/>
    <w:uiPriority w:val="9"/>
    <w:semiHidden/>
    <w:rsid w:val="00382AC9"/>
    <w:rPr>
      <w:rFonts w:asciiTheme="majorHAnsi" w:eastAsiaTheme="majorEastAsia" w:hAnsiTheme="majorHAnsi" w:cstheme="majorBidi"/>
      <w:i/>
      <w:iCs/>
      <w:color w:val="272727" w:themeColor="text1" w:themeTint="D8"/>
      <w:kern w:val="0"/>
      <w:sz w:val="21"/>
      <w:szCs w:val="21"/>
      <w:lang w:val="en-GB" w:eastAsia="en-GB"/>
      <w14:ligatures w14:val="none"/>
    </w:rPr>
  </w:style>
  <w:style w:type="paragraph" w:styleId="Title">
    <w:name w:val="Title"/>
    <w:basedOn w:val="Normal"/>
    <w:next w:val="Normal"/>
    <w:link w:val="TitleChar"/>
    <w:uiPriority w:val="10"/>
    <w:qFormat/>
    <w:rsid w:val="00382AC9"/>
    <w:pPr>
      <w:contextualSpacing/>
      <w:jc w:val="center"/>
    </w:pPr>
    <w:rPr>
      <w:rFonts w:eastAsiaTheme="majorEastAsia" w:cs="Times New Roman (Headings CS)"/>
      <w:b/>
      <w:caps/>
      <w:spacing w:val="-10"/>
      <w:kern w:val="28"/>
      <w:szCs w:val="56"/>
      <w:lang w:eastAsia="en-US"/>
      <w14:ligatures w14:val="standardContextual"/>
    </w:rPr>
  </w:style>
  <w:style w:type="character" w:customStyle="1" w:styleId="TitleChar">
    <w:name w:val="Title Char"/>
    <w:basedOn w:val="DefaultParagraphFont"/>
    <w:link w:val="Title"/>
    <w:uiPriority w:val="10"/>
    <w:rsid w:val="00382AC9"/>
    <w:rPr>
      <w:rFonts w:ascii="Arial" w:eastAsiaTheme="majorEastAsia" w:hAnsi="Arial" w:cs="Times New Roman (Headings CS)"/>
      <w:b/>
      <w:caps/>
      <w:spacing w:val="-10"/>
      <w:kern w:val="28"/>
      <w:sz w:val="22"/>
      <w:szCs w:val="56"/>
      <w:lang w:val="en-GB"/>
    </w:rPr>
  </w:style>
  <w:style w:type="paragraph" w:styleId="ListParagraph">
    <w:name w:val="List Paragraph"/>
    <w:basedOn w:val="Normal"/>
    <w:uiPriority w:val="34"/>
    <w:qFormat/>
    <w:rsid w:val="00382AC9"/>
    <w:pPr>
      <w:ind w:left="720"/>
      <w:contextualSpacing/>
    </w:pPr>
    <w:rPr>
      <w:rFonts w:eastAsiaTheme="minorHAnsi" w:cstheme="minorBidi"/>
      <w:kern w:val="2"/>
      <w:lang w:eastAsia="en-US"/>
      <w14:ligatures w14:val="standardContextual"/>
    </w:rPr>
  </w:style>
  <w:style w:type="paragraph" w:styleId="Header">
    <w:name w:val="header"/>
    <w:basedOn w:val="Normal"/>
    <w:link w:val="HeaderChar"/>
    <w:uiPriority w:val="99"/>
    <w:unhideWhenUsed/>
    <w:rsid w:val="00382AC9"/>
    <w:pPr>
      <w:tabs>
        <w:tab w:val="center" w:pos="4513"/>
        <w:tab w:val="right" w:pos="9026"/>
      </w:tabs>
    </w:pPr>
    <w:rPr>
      <w:rFonts w:eastAsiaTheme="minorHAnsi" w:cstheme="minorBidi"/>
      <w:kern w:val="2"/>
      <w:lang w:eastAsia="en-US"/>
      <w14:ligatures w14:val="standardContextual"/>
    </w:rPr>
  </w:style>
  <w:style w:type="character" w:customStyle="1" w:styleId="HeaderChar">
    <w:name w:val="Header Char"/>
    <w:basedOn w:val="DefaultParagraphFont"/>
    <w:link w:val="Header"/>
    <w:uiPriority w:val="99"/>
    <w:rsid w:val="00382AC9"/>
    <w:rPr>
      <w:rFonts w:ascii="Arial" w:hAnsi="Arial"/>
      <w:sz w:val="22"/>
      <w:lang w:val="en-GB"/>
    </w:rPr>
  </w:style>
  <w:style w:type="paragraph" w:styleId="Footer">
    <w:name w:val="footer"/>
    <w:basedOn w:val="Normal"/>
    <w:link w:val="FooterChar"/>
    <w:uiPriority w:val="99"/>
    <w:unhideWhenUsed/>
    <w:rsid w:val="00382AC9"/>
    <w:pPr>
      <w:tabs>
        <w:tab w:val="center" w:pos="4513"/>
        <w:tab w:val="right" w:pos="9026"/>
      </w:tabs>
    </w:pPr>
    <w:rPr>
      <w:rFonts w:eastAsiaTheme="minorHAnsi" w:cstheme="minorBidi"/>
      <w:kern w:val="2"/>
      <w:lang w:eastAsia="en-US"/>
      <w14:ligatures w14:val="standardContextual"/>
    </w:rPr>
  </w:style>
  <w:style w:type="character" w:customStyle="1" w:styleId="FooterChar">
    <w:name w:val="Footer Char"/>
    <w:basedOn w:val="DefaultParagraphFont"/>
    <w:link w:val="Footer"/>
    <w:uiPriority w:val="99"/>
    <w:rsid w:val="00382AC9"/>
    <w:rPr>
      <w:rFonts w:ascii="Arial" w:hAnsi="Arial"/>
      <w:sz w:val="22"/>
      <w:lang w:val="en-GB"/>
    </w:rPr>
  </w:style>
  <w:style w:type="character" w:styleId="PageNumber">
    <w:name w:val="page number"/>
    <w:basedOn w:val="DefaultParagraphFont"/>
    <w:uiPriority w:val="99"/>
    <w:semiHidden/>
    <w:unhideWhenUsed/>
    <w:rsid w:val="00382AC9"/>
  </w:style>
  <w:style w:type="paragraph" w:styleId="TOC1">
    <w:name w:val="toc 1"/>
    <w:basedOn w:val="Normal"/>
    <w:next w:val="Normal"/>
    <w:autoRedefine/>
    <w:uiPriority w:val="39"/>
    <w:unhideWhenUsed/>
    <w:rsid w:val="00382AC9"/>
    <w:pPr>
      <w:spacing w:before="360"/>
    </w:pPr>
    <w:rPr>
      <w:rFonts w:asciiTheme="majorHAnsi" w:eastAsiaTheme="minorHAnsi" w:hAnsiTheme="majorHAnsi" w:cstheme="majorHAnsi"/>
      <w:b/>
      <w:bCs/>
      <w:caps/>
      <w:kern w:val="2"/>
      <w:lang w:eastAsia="en-US"/>
      <w14:ligatures w14:val="standardContextual"/>
    </w:rPr>
  </w:style>
  <w:style w:type="paragraph" w:styleId="TOC2">
    <w:name w:val="toc 2"/>
    <w:basedOn w:val="Normal"/>
    <w:next w:val="Normal"/>
    <w:autoRedefine/>
    <w:uiPriority w:val="39"/>
    <w:unhideWhenUsed/>
    <w:rsid w:val="00382AC9"/>
    <w:pPr>
      <w:spacing w:before="240"/>
    </w:pPr>
    <w:rPr>
      <w:rFonts w:asciiTheme="minorHAnsi" w:eastAsiaTheme="minorHAnsi" w:hAnsiTheme="minorHAnsi" w:cstheme="minorHAnsi"/>
      <w:b/>
      <w:bCs/>
      <w:kern w:val="2"/>
      <w:sz w:val="20"/>
      <w:szCs w:val="20"/>
      <w:lang w:eastAsia="en-US"/>
      <w14:ligatures w14:val="standardContextual"/>
    </w:rPr>
  </w:style>
  <w:style w:type="paragraph" w:styleId="TOC3">
    <w:name w:val="toc 3"/>
    <w:basedOn w:val="Normal"/>
    <w:next w:val="Normal"/>
    <w:autoRedefine/>
    <w:uiPriority w:val="39"/>
    <w:unhideWhenUsed/>
    <w:rsid w:val="00382AC9"/>
    <w:pPr>
      <w:tabs>
        <w:tab w:val="right" w:pos="9016"/>
      </w:tabs>
      <w:ind w:left="220"/>
    </w:pPr>
    <w:rPr>
      <w:rFonts w:asciiTheme="minorHAnsi" w:eastAsiaTheme="minorHAnsi" w:hAnsiTheme="minorHAnsi" w:cstheme="minorHAnsi"/>
      <w:kern w:val="2"/>
      <w:sz w:val="20"/>
      <w:szCs w:val="20"/>
      <w:lang w:eastAsia="en-US"/>
      <w14:ligatures w14:val="standardContextual"/>
    </w:rPr>
  </w:style>
  <w:style w:type="paragraph" w:styleId="TOC4">
    <w:name w:val="toc 4"/>
    <w:basedOn w:val="Normal"/>
    <w:next w:val="Normal"/>
    <w:autoRedefine/>
    <w:uiPriority w:val="39"/>
    <w:unhideWhenUsed/>
    <w:rsid w:val="00382AC9"/>
    <w:pPr>
      <w:ind w:left="440"/>
    </w:pPr>
    <w:rPr>
      <w:rFonts w:asciiTheme="minorHAnsi" w:eastAsiaTheme="minorHAnsi" w:hAnsiTheme="minorHAnsi" w:cstheme="minorHAnsi"/>
      <w:kern w:val="2"/>
      <w:sz w:val="20"/>
      <w:szCs w:val="20"/>
      <w:lang w:eastAsia="en-US"/>
      <w14:ligatures w14:val="standardContextual"/>
    </w:rPr>
  </w:style>
  <w:style w:type="paragraph" w:styleId="TOC5">
    <w:name w:val="toc 5"/>
    <w:basedOn w:val="Normal"/>
    <w:next w:val="Normal"/>
    <w:autoRedefine/>
    <w:uiPriority w:val="39"/>
    <w:unhideWhenUsed/>
    <w:rsid w:val="00382AC9"/>
    <w:pPr>
      <w:ind w:left="660"/>
    </w:pPr>
    <w:rPr>
      <w:rFonts w:asciiTheme="minorHAnsi" w:eastAsiaTheme="minorHAnsi" w:hAnsiTheme="minorHAnsi" w:cstheme="minorHAnsi"/>
      <w:kern w:val="2"/>
      <w:sz w:val="20"/>
      <w:szCs w:val="20"/>
      <w:lang w:eastAsia="en-US"/>
      <w14:ligatures w14:val="standardContextual"/>
    </w:rPr>
  </w:style>
  <w:style w:type="paragraph" w:styleId="TOC6">
    <w:name w:val="toc 6"/>
    <w:basedOn w:val="Normal"/>
    <w:next w:val="Normal"/>
    <w:autoRedefine/>
    <w:uiPriority w:val="39"/>
    <w:unhideWhenUsed/>
    <w:rsid w:val="00382AC9"/>
    <w:pPr>
      <w:ind w:left="880"/>
    </w:pPr>
    <w:rPr>
      <w:rFonts w:asciiTheme="minorHAnsi" w:eastAsiaTheme="minorHAnsi" w:hAnsiTheme="minorHAnsi" w:cstheme="minorHAnsi"/>
      <w:kern w:val="2"/>
      <w:sz w:val="20"/>
      <w:szCs w:val="20"/>
      <w:lang w:eastAsia="en-US"/>
      <w14:ligatures w14:val="standardContextual"/>
    </w:rPr>
  </w:style>
  <w:style w:type="paragraph" w:styleId="TOC7">
    <w:name w:val="toc 7"/>
    <w:basedOn w:val="Normal"/>
    <w:next w:val="Normal"/>
    <w:autoRedefine/>
    <w:uiPriority w:val="39"/>
    <w:unhideWhenUsed/>
    <w:rsid w:val="00382AC9"/>
    <w:pPr>
      <w:ind w:left="1100"/>
    </w:pPr>
    <w:rPr>
      <w:rFonts w:asciiTheme="minorHAnsi" w:eastAsiaTheme="minorHAnsi" w:hAnsiTheme="minorHAnsi" w:cstheme="minorHAnsi"/>
      <w:kern w:val="2"/>
      <w:sz w:val="20"/>
      <w:szCs w:val="20"/>
      <w:lang w:eastAsia="en-US"/>
      <w14:ligatures w14:val="standardContextual"/>
    </w:rPr>
  </w:style>
  <w:style w:type="paragraph" w:styleId="TOC8">
    <w:name w:val="toc 8"/>
    <w:basedOn w:val="Normal"/>
    <w:next w:val="Normal"/>
    <w:autoRedefine/>
    <w:uiPriority w:val="39"/>
    <w:unhideWhenUsed/>
    <w:rsid w:val="00382AC9"/>
    <w:pPr>
      <w:ind w:left="1320"/>
    </w:pPr>
    <w:rPr>
      <w:rFonts w:asciiTheme="minorHAnsi" w:eastAsiaTheme="minorHAnsi" w:hAnsiTheme="minorHAnsi" w:cstheme="minorHAnsi"/>
      <w:kern w:val="2"/>
      <w:sz w:val="20"/>
      <w:szCs w:val="20"/>
      <w:lang w:eastAsia="en-US"/>
      <w14:ligatures w14:val="standardContextual"/>
    </w:rPr>
  </w:style>
  <w:style w:type="paragraph" w:styleId="TOC9">
    <w:name w:val="toc 9"/>
    <w:basedOn w:val="Normal"/>
    <w:next w:val="Normal"/>
    <w:autoRedefine/>
    <w:uiPriority w:val="39"/>
    <w:unhideWhenUsed/>
    <w:rsid w:val="00382AC9"/>
    <w:pPr>
      <w:ind w:left="1540"/>
    </w:pPr>
    <w:rPr>
      <w:rFonts w:asciiTheme="minorHAnsi" w:eastAsiaTheme="minorHAnsi" w:hAnsiTheme="minorHAnsi" w:cstheme="minorHAnsi"/>
      <w:kern w:val="2"/>
      <w:sz w:val="20"/>
      <w:szCs w:val="20"/>
      <w:lang w:eastAsia="en-US"/>
      <w14:ligatures w14:val="standardContextual"/>
    </w:rPr>
  </w:style>
  <w:style w:type="character" w:styleId="Hyperlink">
    <w:name w:val="Hyperlink"/>
    <w:basedOn w:val="DefaultParagraphFont"/>
    <w:uiPriority w:val="99"/>
    <w:unhideWhenUsed/>
    <w:rsid w:val="00382AC9"/>
    <w:rPr>
      <w:color w:val="0563C1" w:themeColor="hyperlink"/>
      <w:u w:val="single"/>
    </w:rPr>
  </w:style>
  <w:style w:type="paragraph" w:styleId="Caption">
    <w:name w:val="caption"/>
    <w:basedOn w:val="Normal"/>
    <w:next w:val="Normal"/>
    <w:uiPriority w:val="35"/>
    <w:unhideWhenUsed/>
    <w:qFormat/>
    <w:rsid w:val="00382AC9"/>
    <w:rPr>
      <w:rFonts w:eastAsiaTheme="minorHAnsi" w:cstheme="minorBidi"/>
      <w:i/>
      <w:iCs/>
      <w:color w:val="44546A" w:themeColor="text2"/>
      <w:kern w:val="2"/>
      <w:sz w:val="18"/>
      <w:szCs w:val="18"/>
      <w:lang w:eastAsia="en-US"/>
      <w14:ligatures w14:val="standardContextual"/>
    </w:rPr>
  </w:style>
  <w:style w:type="paragraph" w:styleId="Bibliography">
    <w:name w:val="Bibliography"/>
    <w:basedOn w:val="Normal"/>
    <w:next w:val="Normal"/>
    <w:uiPriority w:val="37"/>
    <w:unhideWhenUsed/>
    <w:rsid w:val="00382AC9"/>
    <w:pPr>
      <w:tabs>
        <w:tab w:val="left" w:pos="260"/>
        <w:tab w:val="left" w:pos="380"/>
      </w:tabs>
      <w:spacing w:line="480" w:lineRule="auto"/>
      <w:ind w:left="720" w:hanging="720"/>
    </w:pPr>
    <w:rPr>
      <w:rFonts w:eastAsiaTheme="minorHAnsi" w:cstheme="minorBidi"/>
      <w:kern w:val="2"/>
      <w:lang w:eastAsia="en-US"/>
      <w14:ligatures w14:val="standardContextual"/>
    </w:rPr>
  </w:style>
  <w:style w:type="numbering" w:customStyle="1" w:styleId="CurrentList1">
    <w:name w:val="Current List1"/>
    <w:uiPriority w:val="99"/>
    <w:rsid w:val="00382AC9"/>
    <w:pPr>
      <w:numPr>
        <w:numId w:val="6"/>
      </w:numPr>
    </w:pPr>
  </w:style>
  <w:style w:type="numbering" w:customStyle="1" w:styleId="CurrentList2">
    <w:name w:val="Current List2"/>
    <w:uiPriority w:val="99"/>
    <w:rsid w:val="00382AC9"/>
    <w:pPr>
      <w:numPr>
        <w:numId w:val="7"/>
      </w:numPr>
    </w:pPr>
  </w:style>
  <w:style w:type="numbering" w:customStyle="1" w:styleId="CurrentList3">
    <w:name w:val="Current List3"/>
    <w:uiPriority w:val="99"/>
    <w:rsid w:val="00382AC9"/>
    <w:pPr>
      <w:numPr>
        <w:numId w:val="8"/>
      </w:numPr>
    </w:pPr>
  </w:style>
  <w:style w:type="numbering" w:customStyle="1" w:styleId="CurrentList4">
    <w:name w:val="Current List4"/>
    <w:uiPriority w:val="99"/>
    <w:rsid w:val="00382AC9"/>
    <w:pPr>
      <w:numPr>
        <w:numId w:val="9"/>
      </w:numPr>
    </w:pPr>
  </w:style>
  <w:style w:type="numbering" w:customStyle="1" w:styleId="CurrentList5">
    <w:name w:val="Current List5"/>
    <w:uiPriority w:val="99"/>
    <w:rsid w:val="00382AC9"/>
    <w:pPr>
      <w:numPr>
        <w:numId w:val="10"/>
      </w:numPr>
    </w:pPr>
  </w:style>
  <w:style w:type="character" w:styleId="CommentReference">
    <w:name w:val="annotation reference"/>
    <w:basedOn w:val="DefaultParagraphFont"/>
    <w:uiPriority w:val="99"/>
    <w:semiHidden/>
    <w:unhideWhenUsed/>
    <w:rsid w:val="00382AC9"/>
    <w:rPr>
      <w:sz w:val="16"/>
      <w:szCs w:val="16"/>
    </w:rPr>
  </w:style>
  <w:style w:type="numbering" w:customStyle="1" w:styleId="CurrentList6">
    <w:name w:val="Current List6"/>
    <w:uiPriority w:val="99"/>
    <w:rsid w:val="00382AC9"/>
    <w:pPr>
      <w:numPr>
        <w:numId w:val="12"/>
      </w:numPr>
    </w:pPr>
  </w:style>
  <w:style w:type="numbering" w:customStyle="1" w:styleId="CurrentList7">
    <w:name w:val="Current List7"/>
    <w:uiPriority w:val="99"/>
    <w:rsid w:val="00382AC9"/>
    <w:pPr>
      <w:numPr>
        <w:numId w:val="13"/>
      </w:numPr>
    </w:pPr>
  </w:style>
  <w:style w:type="paragraph" w:styleId="CommentText">
    <w:name w:val="annotation text"/>
    <w:basedOn w:val="Normal"/>
    <w:link w:val="CommentTextChar"/>
    <w:uiPriority w:val="99"/>
    <w:semiHidden/>
    <w:unhideWhenUsed/>
    <w:rsid w:val="00382AC9"/>
    <w:rPr>
      <w:rFonts w:eastAsia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semiHidden/>
    <w:rsid w:val="00382AC9"/>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382AC9"/>
    <w:rPr>
      <w:b/>
      <w:bCs/>
    </w:rPr>
  </w:style>
  <w:style w:type="character" w:customStyle="1" w:styleId="CommentSubjectChar">
    <w:name w:val="Comment Subject Char"/>
    <w:basedOn w:val="CommentTextChar"/>
    <w:link w:val="CommentSubject"/>
    <w:uiPriority w:val="99"/>
    <w:semiHidden/>
    <w:rsid w:val="00382AC9"/>
    <w:rPr>
      <w:rFonts w:ascii="Arial" w:hAnsi="Arial"/>
      <w:b/>
      <w:bCs/>
      <w:sz w:val="20"/>
      <w:szCs w:val="20"/>
      <w:lang w:val="en-GB"/>
    </w:rPr>
  </w:style>
  <w:style w:type="paragraph" w:styleId="NormalWeb">
    <w:name w:val="Normal (Web)"/>
    <w:basedOn w:val="Normal"/>
    <w:uiPriority w:val="99"/>
    <w:semiHidden/>
    <w:unhideWhenUsed/>
    <w:rsid w:val="00382AC9"/>
    <w:pPr>
      <w:spacing w:before="100" w:beforeAutospacing="1" w:after="100" w:afterAutospacing="1"/>
    </w:pPr>
  </w:style>
  <w:style w:type="character" w:customStyle="1" w:styleId="topic-highlight">
    <w:name w:val="topic-highlight"/>
    <w:basedOn w:val="DefaultParagraphFont"/>
    <w:rsid w:val="00382AC9"/>
  </w:style>
  <w:style w:type="paragraph" w:styleId="FootnoteText">
    <w:name w:val="footnote text"/>
    <w:basedOn w:val="Normal"/>
    <w:link w:val="FootnoteTextChar"/>
    <w:uiPriority w:val="99"/>
    <w:semiHidden/>
    <w:unhideWhenUsed/>
    <w:rsid w:val="00382AC9"/>
    <w:rPr>
      <w:sz w:val="20"/>
      <w:szCs w:val="20"/>
    </w:rPr>
  </w:style>
  <w:style w:type="character" w:customStyle="1" w:styleId="FootnoteTextChar">
    <w:name w:val="Footnote Text Char"/>
    <w:basedOn w:val="DefaultParagraphFont"/>
    <w:link w:val="FootnoteText"/>
    <w:uiPriority w:val="99"/>
    <w:semiHidden/>
    <w:rsid w:val="00382AC9"/>
    <w:rPr>
      <w:rFonts w:ascii="Arial" w:eastAsia="Times New Roman" w:hAnsi="Arial" w:cs="Times New Roman"/>
      <w:kern w:val="0"/>
      <w:sz w:val="20"/>
      <w:szCs w:val="20"/>
      <w:lang w:val="en-GB" w:eastAsia="en-GB"/>
      <w14:ligatures w14:val="none"/>
    </w:rPr>
  </w:style>
  <w:style w:type="character" w:styleId="FootnoteReference">
    <w:name w:val="footnote reference"/>
    <w:basedOn w:val="DefaultParagraphFont"/>
    <w:uiPriority w:val="99"/>
    <w:semiHidden/>
    <w:unhideWhenUsed/>
    <w:rsid w:val="00382AC9"/>
    <w:rPr>
      <w:vertAlign w:val="superscript"/>
    </w:rPr>
  </w:style>
  <w:style w:type="character" w:styleId="FollowedHyperlink">
    <w:name w:val="FollowedHyperlink"/>
    <w:basedOn w:val="DefaultParagraphFont"/>
    <w:uiPriority w:val="99"/>
    <w:semiHidden/>
    <w:unhideWhenUsed/>
    <w:rsid w:val="00382AC9"/>
    <w:rPr>
      <w:color w:val="954F72" w:themeColor="followedHyperlink"/>
      <w:u w:val="single"/>
    </w:rPr>
  </w:style>
  <w:style w:type="character" w:styleId="UnresolvedMention">
    <w:name w:val="Unresolved Mention"/>
    <w:basedOn w:val="DefaultParagraphFont"/>
    <w:uiPriority w:val="99"/>
    <w:semiHidden/>
    <w:unhideWhenUsed/>
    <w:rsid w:val="00382AC9"/>
    <w:rPr>
      <w:color w:val="605E5C"/>
      <w:shd w:val="clear" w:color="auto" w:fill="E1DFDD"/>
    </w:rPr>
  </w:style>
  <w:style w:type="character" w:customStyle="1" w:styleId="apple-converted-space">
    <w:name w:val="apple-converted-space"/>
    <w:basedOn w:val="DefaultParagraphFont"/>
    <w:rsid w:val="00382AC9"/>
  </w:style>
  <w:style w:type="paragraph" w:styleId="Revision">
    <w:name w:val="Revision"/>
    <w:hidden/>
    <w:uiPriority w:val="99"/>
    <w:semiHidden/>
    <w:rsid w:val="00382AC9"/>
    <w:rPr>
      <w:rFonts w:ascii="Arial" w:hAnsi="Arial"/>
      <w:sz w:val="22"/>
    </w:rPr>
  </w:style>
  <w:style w:type="character" w:styleId="EndnoteReference">
    <w:name w:val="endnote reference"/>
    <w:basedOn w:val="DefaultParagraphFont"/>
    <w:uiPriority w:val="99"/>
    <w:semiHidden/>
    <w:unhideWhenUsed/>
    <w:rsid w:val="00382AC9"/>
    <w:rPr>
      <w:vertAlign w:val="superscript"/>
    </w:rPr>
  </w:style>
  <w:style w:type="character" w:customStyle="1" w:styleId="delimiter">
    <w:name w:val="delimiter"/>
    <w:basedOn w:val="DefaultParagraphFont"/>
    <w:rsid w:val="00382AC9"/>
  </w:style>
  <w:style w:type="paragraph" w:styleId="EndnoteText">
    <w:name w:val="endnote text"/>
    <w:basedOn w:val="Normal"/>
    <w:link w:val="EndnoteTextChar"/>
    <w:uiPriority w:val="99"/>
    <w:semiHidden/>
    <w:unhideWhenUsed/>
    <w:rsid w:val="00943FA7"/>
    <w:pPr>
      <w:spacing w:line="240" w:lineRule="auto"/>
    </w:pPr>
    <w:rPr>
      <w:sz w:val="20"/>
      <w:szCs w:val="20"/>
    </w:rPr>
  </w:style>
  <w:style w:type="character" w:customStyle="1" w:styleId="EndnoteTextChar">
    <w:name w:val="Endnote Text Char"/>
    <w:basedOn w:val="DefaultParagraphFont"/>
    <w:link w:val="EndnoteText"/>
    <w:uiPriority w:val="99"/>
    <w:semiHidden/>
    <w:rsid w:val="00943FA7"/>
    <w:rPr>
      <w:rFonts w:ascii="Arial" w:eastAsia="Times New Roman" w:hAnsi="Arial" w:cs="Times New Roman"/>
      <w:kern w:val="0"/>
      <w:sz w:val="20"/>
      <w:szCs w:val="20"/>
      <w:lang w:val="en-GB" w:eastAsia="en-GB"/>
      <w14:ligatures w14:val="none"/>
    </w:rPr>
  </w:style>
  <w:style w:type="paragraph" w:styleId="TableofFigures">
    <w:name w:val="table of figures"/>
    <w:basedOn w:val="Normal"/>
    <w:next w:val="Normal"/>
    <w:uiPriority w:val="99"/>
    <w:unhideWhenUsed/>
    <w:rsid w:val="00B3036D"/>
  </w:style>
  <w:style w:type="paragraph" w:customStyle="1" w:styleId="Body1">
    <w:name w:val="Body 1"/>
    <w:rsid w:val="00F018DE"/>
    <w:pPr>
      <w:outlineLvl w:val="0"/>
    </w:pPr>
    <w:rPr>
      <w:rFonts w:ascii="Times New Roman" w:eastAsia="Arial Unicode MS" w:hAnsi="Times New Roman" w:cs="Times New Roman"/>
      <w:color w:val="000000"/>
      <w:kern w:val="0"/>
      <w:szCs w:val="20"/>
      <w:u w:color="00000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469032">
      <w:bodyDiv w:val="1"/>
      <w:marLeft w:val="0"/>
      <w:marRight w:val="0"/>
      <w:marTop w:val="0"/>
      <w:marBottom w:val="0"/>
      <w:divBdr>
        <w:top w:val="none" w:sz="0" w:space="0" w:color="auto"/>
        <w:left w:val="none" w:sz="0" w:space="0" w:color="auto"/>
        <w:bottom w:val="none" w:sz="0" w:space="0" w:color="auto"/>
        <w:right w:val="none" w:sz="0" w:space="0" w:color="auto"/>
      </w:divBdr>
    </w:div>
    <w:div w:id="111479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theguardian.com/politics/2009/apr/26/david-cameron-conservative-economic-policy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7E430-8E40-3848-961D-62807A14E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50832</Words>
  <Characters>247048</Characters>
  <Application>Microsoft Office Word</Application>
  <DocSecurity>0</DocSecurity>
  <Lines>4574</Lines>
  <Paragraphs>913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Lucinda Hiam</dc:creator>
  <cp:keywords/>
  <dc:description/>
  <cp:lastModifiedBy>Danny Dorling</cp:lastModifiedBy>
  <cp:revision>2</cp:revision>
  <dcterms:created xsi:type="dcterms:W3CDTF">2023-12-13T22:23:00Z</dcterms:created>
  <dcterms:modified xsi:type="dcterms:W3CDTF">2023-12-13T22:23:00Z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id="P59J3jrC"/&gt;&lt;style id="http://www.zotero.org/styles/apa" locale="en-GB" hasBibliography="1" bibliographyStyleHasBeenSet="1"/&gt;&lt;prefs&gt;&lt;pref name="fieldType" value="Field"/&gt;&lt;pref name="dontAskDelayCi</vt:lpwstr>
  </property>
  <property fmtid="{D5CDD505-2E9C-101B-9397-08002B2CF9AE}" pid="3" name="ZOTERO_PREF_2">
    <vt:lpwstr>tationUpdates" value="true"/&gt;&lt;/prefs&gt;&lt;/data&gt;</vt:lpwstr>
  </property>
</Properties>
</file>