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3FEAC1" w14:textId="550A657D" w:rsidR="005C2467" w:rsidRDefault="007800BF" w:rsidP="00942DF3">
      <w:pPr>
        <w:jc w:val="center"/>
        <w:rPr>
          <w:rFonts w:eastAsiaTheme="minorEastAsia" w:cstheme="minorHAnsi"/>
          <w:color w:val="000000"/>
          <w:sz w:val="28"/>
          <w:szCs w:val="28"/>
          <w:u w:val="single"/>
          <w:lang w:eastAsia="ja-JP"/>
        </w:rPr>
      </w:pPr>
      <w:bookmarkStart w:id="0" w:name="_GoBack"/>
      <w:bookmarkEnd w:id="0"/>
      <w:r>
        <w:rPr>
          <w:rFonts w:eastAsiaTheme="minorEastAsia" w:cstheme="minorHAnsi"/>
          <w:color w:val="000000"/>
          <w:sz w:val="28"/>
          <w:szCs w:val="28"/>
          <w:u w:val="single"/>
          <w:lang w:eastAsia="ja-JP"/>
        </w:rPr>
        <w:t>Appendix</w:t>
      </w:r>
    </w:p>
    <w:p w14:paraId="64EEB37C" w14:textId="77777777" w:rsidR="00832178" w:rsidRDefault="00832178" w:rsidP="00942DF3">
      <w:pPr>
        <w:jc w:val="both"/>
      </w:pPr>
    </w:p>
    <w:p w14:paraId="40AE9FFF" w14:textId="68C46CE6" w:rsidR="00832178" w:rsidRDefault="005C2467">
      <w:pPr>
        <w:jc w:val="both"/>
      </w:pPr>
      <w:r>
        <w:t xml:space="preserve">This </w:t>
      </w:r>
      <w:r w:rsidR="007800BF">
        <w:t xml:space="preserve">Appendix serves three purposes. A first section </w:t>
      </w:r>
      <w:r>
        <w:t xml:space="preserve">describes </w:t>
      </w:r>
      <w:r w:rsidR="007800BF">
        <w:t xml:space="preserve">the choices we made to select the bonds used in the analysis and compute their yields. The next two sections then reveal the </w:t>
      </w:r>
      <w:r>
        <w:t>full results of the event studies mentioned in section 4.2 of the manuscript, as well as of the panel VARs of section 4.3.</w:t>
      </w:r>
    </w:p>
    <w:p w14:paraId="61AA470A" w14:textId="7F9CE01E" w:rsidR="007800BF" w:rsidRPr="007F79B9" w:rsidRDefault="007800BF" w:rsidP="007800BF">
      <w:pPr>
        <w:pStyle w:val="ListParagraph"/>
        <w:numPr>
          <w:ilvl w:val="0"/>
          <w:numId w:val="1"/>
        </w:numPr>
        <w:ind w:left="0" w:firstLine="0"/>
        <w:rPr>
          <w:b/>
          <w:sz w:val="24"/>
        </w:rPr>
      </w:pPr>
      <w:r>
        <w:rPr>
          <w:b/>
          <w:sz w:val="24"/>
        </w:rPr>
        <w:t>Yields</w:t>
      </w:r>
    </w:p>
    <w:p w14:paraId="79D1C3D1" w14:textId="77777777" w:rsidR="007800BF" w:rsidRDefault="007800BF" w:rsidP="000E7558">
      <w:pPr>
        <w:jc w:val="both"/>
      </w:pPr>
      <w:r>
        <w:t xml:space="preserve">This Appendix describes the choices we made to select the bonds used in the analysis and compute their yields. </w:t>
      </w:r>
      <w:r w:rsidRPr="008706FB">
        <w:t>The choice of comparator bonds was guided by two principles. First, for the non-guaranteed bonds, we identif</w:t>
      </w:r>
      <w:r>
        <w:t>ied</w:t>
      </w:r>
      <w:r w:rsidRPr="008706FB">
        <w:t xml:space="preserve"> the most liquid issues outstanding at the time of the introduction of the guaranteed bonds. In particular, we only considered external bonds regularly quoted in London or Paris. This should minimise any differences in liquidity premia between </w:t>
      </w:r>
      <w:r w:rsidRPr="008706FB">
        <w:rPr>
          <w:i/>
        </w:rPr>
        <w:t>r</w:t>
      </w:r>
      <w:r>
        <w:rPr>
          <w:i/>
          <w:vertAlign w:val="subscript"/>
        </w:rPr>
        <w:t>g</w:t>
      </w:r>
      <w:r w:rsidRPr="008706FB">
        <w:t xml:space="preserve"> and </w:t>
      </w:r>
      <w:r w:rsidRPr="008706FB">
        <w:rPr>
          <w:i/>
        </w:rPr>
        <w:t>r</w:t>
      </w:r>
      <w:r>
        <w:rPr>
          <w:i/>
          <w:vertAlign w:val="subscript"/>
        </w:rPr>
        <w:t>o</w:t>
      </w:r>
      <w:r w:rsidRPr="008706FB">
        <w:t xml:space="preserve"> but, more importantly, it should give as close a measure as possible of the marginal cost of funding for the sovereign before and after the new issue. Second, for the guaranteeing powers, we chose the benchmark issues, for similar reasons, but paying attention to avoid the effect of expected imminent conversions on the simple yields of bonds (as described in Flandreau and Zumer 2004).</w:t>
      </w:r>
    </w:p>
    <w:p w14:paraId="7F521B90" w14:textId="77777777" w:rsidR="007800BF" w:rsidRPr="007F79B9" w:rsidRDefault="007800BF" w:rsidP="000E7558">
      <w:pPr>
        <w:jc w:val="both"/>
      </w:pPr>
      <w:r>
        <w:t>We tried three definitions for yields.</w:t>
      </w:r>
      <w:r w:rsidRPr="008706FB">
        <w:t xml:space="preserve"> First we used the Investors Monthly Manual (IMM) own estimate of the simple yields</w:t>
      </w:r>
      <w:r>
        <w:t xml:space="preserve"> (</w:t>
      </w:r>
      <w:r w:rsidRPr="008706FB">
        <w:t>coupon/ price</w:t>
      </w:r>
      <w:r>
        <w:t>)</w:t>
      </w:r>
      <w:r w:rsidRPr="008706FB">
        <w:t xml:space="preserve">. The IMM was a likely port of call for contemporary investors, so that by using its yield data we will be approaching more closely the market’s appreciation of the return on each bond. As a second alternative we calculated the yield-to-maturity (YTM), from the prices reported in IMM and the redemption schedule </w:t>
      </w:r>
      <w:r>
        <w:t>of each bond</w:t>
      </w:r>
      <w:r w:rsidRPr="008706FB">
        <w:t>. As a final alternative we tried to price in the callable options implicit in the majority of the bonds by calculating their yields-to-call (YTC).</w:t>
      </w:r>
      <w:r w:rsidRPr="000E7558">
        <w:t xml:space="preserve"> </w:t>
      </w:r>
      <w:r w:rsidRPr="008706FB">
        <w:t>As an example of the impact of these different definitions, we reproduce in Figure A.1 the yields of the Egyptian guaranteed bond of 1885.</w:t>
      </w:r>
    </w:p>
    <w:p w14:paraId="0BF86012" w14:textId="77777777" w:rsidR="007800BF" w:rsidRPr="007800BF" w:rsidRDefault="007800BF" w:rsidP="000E7558">
      <w:pPr>
        <w:jc w:val="center"/>
        <w:rPr>
          <w:b/>
        </w:rPr>
      </w:pPr>
      <w:r w:rsidRPr="007800BF">
        <w:rPr>
          <w:b/>
        </w:rPr>
        <w:t>Figure A.1 here</w:t>
      </w:r>
    </w:p>
    <w:p w14:paraId="528A56A6" w14:textId="77777777" w:rsidR="007800BF" w:rsidRPr="007F79B9" w:rsidRDefault="007800BF" w:rsidP="000E7558">
      <w:pPr>
        <w:jc w:val="both"/>
      </w:pPr>
      <w:r w:rsidRPr="008706FB">
        <w:t>As the market price of this bond hovered above par for almost the whole period, the simple yield was below the coupon (3%).</w:t>
      </w:r>
      <w:r>
        <w:t xml:space="preserve"> </w:t>
      </w:r>
      <w:r w:rsidRPr="008706FB">
        <w:t xml:space="preserve">Although this bond had a long maturity (41 years), there will be a difference between the simple yields and the YTM. Because of the pricing above par, the YTM is usually smaller than the simple yield. Finally, for the same reason, the YTC is also below the two other yields, as prices above par </w:t>
      </w:r>
      <w:r>
        <w:t xml:space="preserve">would </w:t>
      </w:r>
      <w:r w:rsidRPr="008706FB">
        <w:t>lead investors to anticipate a conversion into a lower coupon</w:t>
      </w:r>
      <w:r>
        <w:t xml:space="preserve"> bond</w:t>
      </w:r>
      <w:r w:rsidRPr="008706FB">
        <w:t>. Conversely, the YTC rose above the simple yield whenever the bonds traded at a discount.</w:t>
      </w:r>
    </w:p>
    <w:p w14:paraId="202AFC6B" w14:textId="77777777" w:rsidR="007800BF" w:rsidRPr="007F79B9" w:rsidRDefault="007800BF" w:rsidP="000E7558">
      <w:pPr>
        <w:jc w:val="both"/>
      </w:pPr>
      <w:r w:rsidRPr="008706FB">
        <w:t xml:space="preserve">From the two problems with using simple yields –maturity differences and anticipation of calls–, we think that the first is the overriding consideration for two reasons. First, there is sufficient variation in the maturities of the bonds to warrant caution in using simple yields that assume all bonds to be close to perpetuities. Non-guaranteed bonds had shorter maturities than the guaranteed loans and were priced below par most of the time. For discount bonds, the YTM decreases with maturity, such that simple yields (implying an infinite maturity) are lower than the true YTM. And since non-guaranteed bonds had shorter maturity to run than the guaranteed loans, using simple yields would bias </w:t>
      </w:r>
      <w:r w:rsidRPr="000E7558">
        <w:t>down</w:t>
      </w:r>
      <w:r w:rsidRPr="008706FB">
        <w:t xml:space="preserve"> our estimates of the discount of guaranteed bonds </w:t>
      </w:r>
      <w:r w:rsidRPr="000E7558">
        <w:t>ro-rg</w:t>
      </w:r>
      <w:r w:rsidRPr="008706FB">
        <w:t xml:space="preserve">. </w:t>
      </w:r>
    </w:p>
    <w:p w14:paraId="2C224DBE" w14:textId="77777777" w:rsidR="007800BF" w:rsidRPr="007F79B9" w:rsidRDefault="007800BF" w:rsidP="000E7558">
      <w:pPr>
        <w:jc w:val="both"/>
      </w:pPr>
      <w:r w:rsidRPr="008706FB">
        <w:lastRenderedPageBreak/>
        <w:t xml:space="preserve">In second place, we </w:t>
      </w:r>
      <w:r>
        <w:t>believe that the YTC</w:t>
      </w:r>
      <w:r w:rsidRPr="008706FB">
        <w:t xml:space="preserve"> is less appropriate for the bonds we are considering. As mentioned, the non-guaranteed bonds usually traded at a discount, such that investors would not worry about their imminent conversion</w:t>
      </w:r>
      <w:r>
        <w:t xml:space="preserve"> (i</w:t>
      </w:r>
      <w:r w:rsidRPr="008706FB">
        <w:t>n fact, not one of these bonds was converted</w:t>
      </w:r>
      <w:r>
        <w:t>).</w:t>
      </w:r>
      <w:r w:rsidRPr="008706FB">
        <w:t xml:space="preserve"> Likewise, the guaranteed bonds were never converted into lower coupon bonds, despite the fact that they traded above par for long periods. Hence, YTC would be higher than YTM for non-guaranteed bonds and lower for guaranteed bonds. The result would be a bias </w:t>
      </w:r>
      <w:r w:rsidRPr="000E7558">
        <w:t>up</w:t>
      </w:r>
      <w:r w:rsidRPr="008706FB">
        <w:t xml:space="preserve"> of our estimates of </w:t>
      </w:r>
      <w:r w:rsidRPr="000E7558">
        <w:t>ro-rg</w:t>
      </w:r>
      <w:r w:rsidRPr="008706FB">
        <w:t>. Between the upward bias from using simple yields and the downward bias of YTC, we conservatively chose the middle option of using the YTM.</w:t>
      </w:r>
    </w:p>
    <w:p w14:paraId="4C07FE82" w14:textId="73AA41DD" w:rsidR="00892144" w:rsidRPr="00942DF3" w:rsidRDefault="00892144" w:rsidP="00942DF3">
      <w:pPr>
        <w:jc w:val="both"/>
      </w:pPr>
    </w:p>
    <w:p w14:paraId="69BBA853" w14:textId="65ADA1C9" w:rsidR="00504E9E" w:rsidRPr="007F79B9" w:rsidRDefault="003D70F0" w:rsidP="00504E9E">
      <w:pPr>
        <w:pStyle w:val="ListParagraph"/>
        <w:numPr>
          <w:ilvl w:val="0"/>
          <w:numId w:val="1"/>
        </w:numPr>
        <w:ind w:left="0" w:firstLine="0"/>
        <w:rPr>
          <w:b/>
          <w:sz w:val="24"/>
        </w:rPr>
      </w:pPr>
      <w:r>
        <w:rPr>
          <w:b/>
          <w:sz w:val="24"/>
        </w:rPr>
        <w:t>Event studies</w:t>
      </w:r>
    </w:p>
    <w:p w14:paraId="667B15A9" w14:textId="5F9CBB71" w:rsidR="00D43E67" w:rsidRDefault="008706FB" w:rsidP="00942DF3">
      <w:pPr>
        <w:jc w:val="both"/>
      </w:pPr>
      <w:r w:rsidRPr="008706FB">
        <w:t xml:space="preserve">As a final test of the dilution hypothesis, we conducted an event study. We follow the standard methodology in </w:t>
      </w:r>
      <w:r w:rsidR="00D43E67">
        <w:t>event study analysis, although hampered by the lack of a high frequency market benchmark. As we do not have a daily return index of the relevant market (sovereign bonds), we use a simpler model that assumes a bond-specific constant returns model.</w:t>
      </w:r>
      <w:r w:rsidR="002210AE">
        <w:t xml:space="preserve"> </w:t>
      </w:r>
      <w:r w:rsidR="00066095">
        <w:t>The cumulated abnormal returns around the event window are therefore defined relative to the bond-specific average return in the estimation window. This model has a weaker power than a properly specified market model, but we are forced to use it for lack of data.</w:t>
      </w:r>
      <w:r w:rsidR="00EE76F4">
        <w:t xml:space="preserve"> Also, to prevent clustering bias we need that the returns of the individual securities are uncorrelated in the cross section.</w:t>
      </w:r>
      <w:r w:rsidR="00876855">
        <w:t xml:space="preserve"> A simple solution is to make sure the event windows do not overlap across securities, which we accomplish by dropping two of the repeated comparator bonds. The final portfolio for the analysis includes 5 bonds – the 5% Greek 1825, the 6% Turkey 1854, the 4% Egypt unified 1880, the 6% Chinese Cassel and the 5% Greek 1881.</w:t>
      </w:r>
    </w:p>
    <w:p w14:paraId="26A378FC" w14:textId="1EA6546C" w:rsidR="00D43E67" w:rsidRDefault="00876855">
      <w:pPr>
        <w:ind w:firstLine="284"/>
        <w:jc w:val="both"/>
      </w:pPr>
      <w:r>
        <w:t>We experimented with four different test statistics</w:t>
      </w:r>
      <w:r w:rsidR="007B30CB">
        <w:t xml:space="preserve"> (Campbell, Lo and MacKinlay 1997)</w:t>
      </w:r>
      <w:r>
        <w:t xml:space="preserve">. The first two differ in the method for aggregating </w:t>
      </w:r>
      <w:r w:rsidR="00AA0D38">
        <w:t xml:space="preserve">cumulated </w:t>
      </w:r>
      <w:r>
        <w:t xml:space="preserve">abnormal returns </w:t>
      </w:r>
      <w:r w:rsidR="00AA0D38">
        <w:t xml:space="preserve">(CAR) </w:t>
      </w:r>
      <w:r>
        <w:t>across securities.</w:t>
      </w:r>
      <w:r w:rsidR="00870B74">
        <w:t xml:space="preserve"> The first statistic (J</w:t>
      </w:r>
      <w:r w:rsidR="00870B74" w:rsidRPr="00942DF3">
        <w:rPr>
          <w:vertAlign w:val="subscript"/>
        </w:rPr>
        <w:t>1</w:t>
      </w:r>
      <w:r w:rsidR="00870B74">
        <w:t xml:space="preserve">) </w:t>
      </w:r>
      <w:r w:rsidR="00AA0D38">
        <w:t>simply takes the average of CAR across securities</w:t>
      </w:r>
      <w:r w:rsidR="00C02565">
        <w:t>, i</w:t>
      </w:r>
      <w:r w:rsidR="00AA0D38">
        <w:t xml:space="preserve">.e., with </w:t>
      </w:r>
      <w:r w:rsidR="00AA0D38" w:rsidRPr="00942DF3">
        <w:rPr>
          <w:i/>
        </w:rPr>
        <w:t>N</w:t>
      </w:r>
      <w:r w:rsidR="00AA0D38">
        <w:t xml:space="preserve"> securities and an event window between dates </w:t>
      </w:r>
      <w:r w:rsidR="00AA0D38" w:rsidRPr="00942DF3">
        <w:rPr>
          <w:i/>
        </w:rPr>
        <w:t>t</w:t>
      </w:r>
      <w:r w:rsidR="00AA0D38" w:rsidRPr="00942DF3">
        <w:rPr>
          <w:vertAlign w:val="subscript"/>
        </w:rPr>
        <w:t>1</w:t>
      </w:r>
      <w:r w:rsidR="00AA0D38">
        <w:t xml:space="preserve"> and </w:t>
      </w:r>
      <w:r w:rsidR="00AA0D38" w:rsidRPr="00942DF3">
        <w:rPr>
          <w:i/>
        </w:rPr>
        <w:t>t</w:t>
      </w:r>
      <w:r w:rsidR="00AA0D38" w:rsidRPr="00942DF3">
        <w:rPr>
          <w:vertAlign w:val="subscript"/>
        </w:rPr>
        <w:t>2</w:t>
      </w:r>
      <w:r w:rsidR="00AA0D38">
        <w:t>, the test statistic is:</w:t>
      </w:r>
    </w:p>
    <w:p w14:paraId="60BB5FC6" w14:textId="3C725F49" w:rsidR="00AA0D38" w:rsidRDefault="00D870ED" w:rsidP="00942DF3">
      <w:pPr>
        <w:jc w:val="both"/>
      </w:pPr>
      <m:oMathPara>
        <m:oMath>
          <m:sSub>
            <m:sSubPr>
              <m:ctrlPr>
                <w:rPr>
                  <w:rFonts w:ascii="Cambria Math" w:hAnsi="Cambria Math"/>
                  <w:i/>
                </w:rPr>
              </m:ctrlPr>
            </m:sSubPr>
            <m:e>
              <m:r>
                <w:rPr>
                  <w:rFonts w:ascii="Cambria Math" w:hAnsi="Cambria Math"/>
                </w:rPr>
                <m:t>J</m:t>
              </m:r>
            </m:e>
            <m:sub>
              <m:r>
                <w:rPr>
                  <w:rFonts w:ascii="Cambria Math" w:hAnsi="Cambria Math"/>
                </w:rPr>
                <m:t>1</m:t>
              </m:r>
            </m:sub>
          </m:sSub>
          <m:r>
            <w:rPr>
              <w:rFonts w:ascii="Cambria Math" w:hAnsi="Cambria Math"/>
            </w:rPr>
            <m:t>=</m:t>
          </m:r>
          <m:f>
            <m:fPr>
              <m:ctrlPr>
                <w:rPr>
                  <w:rFonts w:ascii="Cambria Math" w:hAnsi="Cambria Math"/>
                  <w:i/>
                </w:rPr>
              </m:ctrlPr>
            </m:fPr>
            <m:num>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acc>
                        <m:accPr>
                          <m:ctrlPr>
                            <w:rPr>
                              <w:rFonts w:ascii="Cambria Math" w:hAnsi="Cambria Math"/>
                              <w:i/>
                            </w:rPr>
                          </m:ctrlPr>
                        </m:accPr>
                        <m:e>
                          <m:r>
                            <w:rPr>
                              <w:rFonts w:ascii="Cambria Math" w:hAnsi="Cambria Math"/>
                            </w:rPr>
                            <m:t>CAR</m:t>
                          </m:r>
                        </m:e>
                      </m:acc>
                    </m:e>
                    <m:sub>
                      <m:r>
                        <w:rPr>
                          <w:rFonts w:ascii="Cambria Math" w:hAnsi="Cambria Math"/>
                        </w:rPr>
                        <m:t>i</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e>
              </m:nary>
            </m:num>
            <m:den>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acc>
                        <m:accPr>
                          <m:ctrlPr>
                            <w:rPr>
                              <w:rFonts w:ascii="Cambria Math" w:hAnsi="Cambria Math"/>
                              <w:i/>
                            </w:rPr>
                          </m:ctrlPr>
                        </m:accPr>
                        <m:e>
                          <m:r>
                            <w:rPr>
                              <w:rFonts w:ascii="Cambria Math" w:hAnsi="Cambria Math"/>
                            </w:rPr>
                            <m:t>σ</m:t>
                          </m:r>
                        </m:e>
                      </m:acc>
                    </m:e>
                    <m:sub>
                      <m:r>
                        <w:rPr>
                          <w:rFonts w:ascii="Cambria Math" w:hAnsi="Cambria Math"/>
                        </w:rPr>
                        <m:t>i</m:t>
                      </m:r>
                    </m:sub>
                  </m:sSub>
                </m:e>
              </m:nary>
            </m:den>
          </m:f>
          <m:box>
            <m:boxPr>
              <m:opEmu m:val="1"/>
              <m:ctrlPr>
                <w:rPr>
                  <w:rFonts w:ascii="Cambria Math" w:eastAsiaTheme="minorEastAsia" w:hAnsi="Cambria Math"/>
                  <w:i/>
                </w:rPr>
              </m:ctrlPr>
            </m:boxPr>
            <m:e>
              <m:groupChr>
                <m:groupChrPr>
                  <m:chr m:val="→"/>
                  <m:vertJc m:val="bot"/>
                  <m:ctrlPr>
                    <w:rPr>
                      <w:rFonts w:ascii="Cambria Math" w:eastAsiaTheme="minorEastAsia" w:hAnsi="Cambria Math"/>
                      <w:i/>
                    </w:rPr>
                  </m:ctrlPr>
                </m:groupChrPr>
                <m:e>
                  <m:r>
                    <w:rPr>
                      <w:rFonts w:ascii="Cambria Math" w:eastAsiaTheme="minorEastAsia" w:hAnsi="Cambria Math"/>
                    </w:rPr>
                    <m:t>d</m:t>
                  </m:r>
                </m:e>
              </m:groupChr>
              <m:r>
                <m:rPr>
                  <m:scr m:val="script"/>
                </m:rPr>
                <w:rPr>
                  <w:rFonts w:ascii="Cambria Math" w:eastAsiaTheme="minorEastAsia" w:hAnsi="Cambria Math"/>
                </w:rPr>
                <m:t>N</m:t>
              </m:r>
              <m:r>
                <w:rPr>
                  <w:rFonts w:ascii="Cambria Math" w:eastAsiaTheme="minorEastAsia" w:hAnsi="Cambria Math"/>
                </w:rPr>
                <m:t>(0,1)</m:t>
              </m:r>
            </m:e>
          </m:box>
        </m:oMath>
      </m:oMathPara>
    </w:p>
    <w:p w14:paraId="0F561715" w14:textId="7D9D51F1" w:rsidR="00AA0D38" w:rsidRDefault="006212DF" w:rsidP="00942DF3">
      <w:pPr>
        <w:jc w:val="both"/>
        <w:rPr>
          <w:rFonts w:eastAsiaTheme="minorEastAsia"/>
        </w:rPr>
      </w:pPr>
      <w:r>
        <w:t xml:space="preserve">where </w:t>
      </w:r>
      <w:r w:rsidR="00C02565">
        <w:t xml:space="preserve">the terms </w:t>
      </w:r>
      <m:oMath>
        <m:sSub>
          <m:sSubPr>
            <m:ctrlPr>
              <w:rPr>
                <w:rFonts w:ascii="Cambria Math" w:hAnsi="Cambria Math"/>
                <w:i/>
              </w:rPr>
            </m:ctrlPr>
          </m:sSubPr>
          <m:e>
            <m:acc>
              <m:accPr>
                <m:ctrlPr>
                  <w:rPr>
                    <w:rFonts w:ascii="Cambria Math" w:hAnsi="Cambria Math"/>
                    <w:i/>
                  </w:rPr>
                </m:ctrlPr>
              </m:accPr>
              <m:e>
                <m:r>
                  <w:rPr>
                    <w:rFonts w:ascii="Cambria Math" w:hAnsi="Cambria Math"/>
                  </w:rPr>
                  <m:t>σ</m:t>
                </m:r>
              </m:e>
            </m:acc>
          </m:e>
          <m:sub>
            <m:r>
              <w:rPr>
                <w:rFonts w:ascii="Cambria Math" w:hAnsi="Cambria Math"/>
              </w:rPr>
              <m:t>i</m:t>
            </m:r>
          </m:sub>
        </m:sSub>
      </m:oMath>
      <w:r w:rsidR="00C02565">
        <w:rPr>
          <w:rFonts w:eastAsiaTheme="minorEastAsia"/>
        </w:rPr>
        <w:t xml:space="preserve"> are the u</w:t>
      </w:r>
      <w:r w:rsidR="00FC0ABB">
        <w:rPr>
          <w:rFonts w:eastAsiaTheme="minorEastAsia"/>
        </w:rPr>
        <w:t>sual OLS estimators of the variance of the error term</w:t>
      </w:r>
      <w:r w:rsidR="00017767">
        <w:rPr>
          <w:rFonts w:eastAsiaTheme="minorEastAsia"/>
        </w:rPr>
        <w:t xml:space="preserve">. Since we use non-overlapping events windows, the variance of the denominator is the simple average of the </w:t>
      </w:r>
      <m:oMath>
        <m:sSub>
          <m:sSubPr>
            <m:ctrlPr>
              <w:rPr>
                <w:rFonts w:ascii="Cambria Math" w:hAnsi="Cambria Math"/>
                <w:i/>
              </w:rPr>
            </m:ctrlPr>
          </m:sSubPr>
          <m:e>
            <m:acc>
              <m:accPr>
                <m:ctrlPr>
                  <w:rPr>
                    <w:rFonts w:ascii="Cambria Math" w:hAnsi="Cambria Math"/>
                    <w:i/>
                  </w:rPr>
                </m:ctrlPr>
              </m:accPr>
              <m:e>
                <m:r>
                  <w:rPr>
                    <w:rFonts w:ascii="Cambria Math" w:hAnsi="Cambria Math"/>
                  </w:rPr>
                  <m:t>σ</m:t>
                </m:r>
              </m:e>
            </m:acc>
          </m:e>
          <m:sub>
            <m:r>
              <w:rPr>
                <w:rFonts w:ascii="Cambria Math" w:hAnsi="Cambria Math"/>
              </w:rPr>
              <m:t>i</m:t>
            </m:r>
          </m:sub>
        </m:sSub>
      </m:oMath>
      <w:r w:rsidR="00017767">
        <w:rPr>
          <w:rFonts w:eastAsiaTheme="minorEastAsia"/>
        </w:rPr>
        <w:t xml:space="preserve"> estimates.</w:t>
      </w:r>
      <w:r w:rsidR="007203E4">
        <w:rPr>
          <w:rFonts w:eastAsiaTheme="minorEastAsia"/>
        </w:rPr>
        <w:t xml:space="preserve"> The second test aggregates instead the CAR normalised by the estimators of variance:</w:t>
      </w:r>
    </w:p>
    <w:p w14:paraId="07FAED92" w14:textId="2A7FE76E" w:rsidR="007203E4" w:rsidRDefault="00D870ED" w:rsidP="00942DF3">
      <w:pPr>
        <w:jc w:val="both"/>
      </w:pPr>
      <m:oMathPara>
        <m:oMath>
          <m:sSub>
            <m:sSubPr>
              <m:ctrlPr>
                <w:rPr>
                  <w:rFonts w:ascii="Cambria Math" w:hAnsi="Cambria Math"/>
                  <w:i/>
                </w:rPr>
              </m:ctrlPr>
            </m:sSubPr>
            <m:e>
              <m:r>
                <w:rPr>
                  <w:rFonts w:ascii="Cambria Math" w:hAnsi="Cambria Math"/>
                </w:rPr>
                <m:t>J</m:t>
              </m:r>
            </m:e>
            <m:sub>
              <m:r>
                <w:rPr>
                  <w:rFonts w:ascii="Cambria Math" w:hAnsi="Cambria Math"/>
                </w:rPr>
                <m:t>2</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acc>
                    <m:accPr>
                      <m:ctrlPr>
                        <w:rPr>
                          <w:rFonts w:ascii="Cambria Math" w:hAnsi="Cambria Math"/>
                          <w:i/>
                        </w:rPr>
                      </m:ctrlPr>
                    </m:accPr>
                    <m:e>
                      <m:r>
                        <w:rPr>
                          <w:rFonts w:ascii="Cambria Math" w:hAnsi="Cambria Math"/>
                        </w:rPr>
                        <m:t>SCAR</m:t>
                      </m:r>
                    </m:e>
                  </m:acc>
                </m:e>
                <m:sub>
                  <m:r>
                    <w:rPr>
                      <w:rFonts w:ascii="Cambria Math" w:hAnsi="Cambria Math"/>
                    </w:rPr>
                    <m:t>i</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e>
          </m:nary>
          <m:groupChr>
            <m:groupChrPr>
              <m:chr m:val="→"/>
              <m:vertJc m:val="bot"/>
              <m:ctrlPr>
                <w:rPr>
                  <w:rFonts w:ascii="Cambria Math" w:eastAsiaTheme="minorEastAsia" w:hAnsi="Cambria Math"/>
                  <w:i/>
                </w:rPr>
              </m:ctrlPr>
            </m:groupChrPr>
            <m:e>
              <m:r>
                <w:rPr>
                  <w:rFonts w:ascii="Cambria Math" w:eastAsiaTheme="minorEastAsia" w:hAnsi="Cambria Math"/>
                </w:rPr>
                <m:t>d</m:t>
              </m:r>
            </m:e>
          </m:groupChr>
          <m:r>
            <m:rPr>
              <m:scr m:val="script"/>
            </m:rPr>
            <w:rPr>
              <w:rFonts w:ascii="Cambria Math" w:eastAsiaTheme="minorEastAsia" w:hAnsi="Cambria Math"/>
            </w:rPr>
            <m:t>N</m:t>
          </m:r>
          <m:r>
            <w:rPr>
              <w:rFonts w:ascii="Cambria Math" w:eastAsiaTheme="minorEastAsia" w:hAnsi="Cambria Math"/>
            </w:rPr>
            <m:t>(0,1)</m:t>
          </m:r>
        </m:oMath>
      </m:oMathPara>
    </w:p>
    <w:p w14:paraId="6CCD13B1" w14:textId="56821D96" w:rsidR="007B30CB" w:rsidRDefault="007203E4" w:rsidP="00942DF3">
      <w:pPr>
        <w:jc w:val="both"/>
        <w:rPr>
          <w:rFonts w:eastAsiaTheme="minorEastAsia"/>
        </w:rPr>
      </w:pPr>
      <w:r>
        <w:t xml:space="preserve">where </w:t>
      </w:r>
      <m:oMath>
        <m:sSub>
          <m:sSubPr>
            <m:ctrlPr>
              <w:rPr>
                <w:rFonts w:ascii="Cambria Math" w:hAnsi="Cambria Math"/>
                <w:i/>
              </w:rPr>
            </m:ctrlPr>
          </m:sSubPr>
          <m:e>
            <m:acc>
              <m:accPr>
                <m:ctrlPr>
                  <w:rPr>
                    <w:rFonts w:ascii="Cambria Math" w:hAnsi="Cambria Math"/>
                    <w:i/>
                  </w:rPr>
                </m:ctrlPr>
              </m:accPr>
              <m:e>
                <m:r>
                  <w:rPr>
                    <w:rFonts w:ascii="Cambria Math" w:hAnsi="Cambria Math"/>
                  </w:rPr>
                  <m:t>SCAR</m:t>
                </m:r>
              </m:e>
            </m:acc>
          </m:e>
          <m:sub>
            <m:r>
              <w:rPr>
                <w:rFonts w:ascii="Cambria Math" w:hAnsi="Cambria Math"/>
              </w:rPr>
              <m:t>i</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r>
          <w:rPr>
            <w:rFonts w:ascii="Cambria Math" w:hAnsi="Cambria Math"/>
          </w:rPr>
          <m:t>=</m:t>
        </m:r>
        <m:f>
          <m:fPr>
            <m:type m:val="lin"/>
            <m:ctrlPr>
              <w:rPr>
                <w:rFonts w:ascii="Cambria Math" w:hAnsi="Cambria Math"/>
                <w:i/>
              </w:rPr>
            </m:ctrlPr>
          </m:fPr>
          <m:num>
            <m:sSub>
              <m:sSubPr>
                <m:ctrlPr>
                  <w:rPr>
                    <w:rFonts w:ascii="Cambria Math" w:hAnsi="Cambria Math"/>
                    <w:i/>
                  </w:rPr>
                </m:ctrlPr>
              </m:sSubPr>
              <m:e>
                <m:acc>
                  <m:accPr>
                    <m:ctrlPr>
                      <w:rPr>
                        <w:rFonts w:ascii="Cambria Math" w:hAnsi="Cambria Math"/>
                        <w:i/>
                      </w:rPr>
                    </m:ctrlPr>
                  </m:accPr>
                  <m:e>
                    <m:r>
                      <w:rPr>
                        <w:rFonts w:ascii="Cambria Math" w:hAnsi="Cambria Math"/>
                      </w:rPr>
                      <m:t>CAR</m:t>
                    </m:r>
                  </m:e>
                </m:acc>
              </m:e>
              <m:sub>
                <m:r>
                  <w:rPr>
                    <w:rFonts w:ascii="Cambria Math" w:hAnsi="Cambria Math"/>
                  </w:rPr>
                  <m:t>i</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num>
          <m:den>
            <m:sSub>
              <m:sSubPr>
                <m:ctrlPr>
                  <w:rPr>
                    <w:rFonts w:ascii="Cambria Math" w:hAnsi="Cambria Math"/>
                    <w:i/>
                  </w:rPr>
                </m:ctrlPr>
              </m:sSubPr>
              <m:e>
                <m:acc>
                  <m:accPr>
                    <m:ctrlPr>
                      <w:rPr>
                        <w:rFonts w:ascii="Cambria Math" w:hAnsi="Cambria Math"/>
                        <w:i/>
                      </w:rPr>
                    </m:ctrlPr>
                  </m:accPr>
                  <m:e>
                    <m:r>
                      <w:rPr>
                        <w:rFonts w:ascii="Cambria Math" w:hAnsi="Cambria Math"/>
                      </w:rPr>
                      <m:t>σ</m:t>
                    </m:r>
                  </m:e>
                </m:acc>
              </m:e>
              <m:sub>
                <m:r>
                  <w:rPr>
                    <w:rFonts w:ascii="Cambria Math" w:hAnsi="Cambria Math"/>
                  </w:rPr>
                  <m:t>i</m:t>
                </m:r>
              </m:sub>
            </m:sSub>
          </m:den>
        </m:f>
      </m:oMath>
      <w:r>
        <w:rPr>
          <w:rFonts w:eastAsiaTheme="minorEastAsia"/>
        </w:rPr>
        <w:t>.</w:t>
      </w:r>
      <w:r w:rsidR="008341CB">
        <w:rPr>
          <w:rFonts w:eastAsiaTheme="minorEastAsia"/>
        </w:rPr>
        <w:t xml:space="preserve"> These statistics also differ in the counterfactual: if the CAR are higher for securities with </w:t>
      </w:r>
      <w:r w:rsidR="007B30CB">
        <w:rPr>
          <w:rFonts w:eastAsiaTheme="minorEastAsia"/>
        </w:rPr>
        <w:t xml:space="preserve">higher variance then statistic </w:t>
      </w:r>
      <w:r w:rsidR="008341CB">
        <w:rPr>
          <w:rFonts w:eastAsiaTheme="minorEastAsia"/>
          <w:i/>
        </w:rPr>
        <w:t>J</w:t>
      </w:r>
      <w:r w:rsidR="007205A8">
        <w:rPr>
          <w:rFonts w:eastAsiaTheme="minorEastAsia"/>
          <w:vertAlign w:val="subscript"/>
        </w:rPr>
        <w:t>1</w:t>
      </w:r>
      <w:r w:rsidR="007B30CB">
        <w:rPr>
          <w:rFonts w:eastAsiaTheme="minorEastAsia"/>
        </w:rPr>
        <w:t>,</w:t>
      </w:r>
      <w:r w:rsidR="008341CB">
        <w:rPr>
          <w:rFonts w:eastAsiaTheme="minorEastAsia"/>
        </w:rPr>
        <w:t xml:space="preserve"> which gives equal weight to the CAR of each bond</w:t>
      </w:r>
      <w:r w:rsidR="007B30CB">
        <w:rPr>
          <w:rFonts w:eastAsiaTheme="minorEastAsia"/>
        </w:rPr>
        <w:t>, should be used</w:t>
      </w:r>
      <w:r w:rsidR="008341CB">
        <w:rPr>
          <w:rFonts w:eastAsiaTheme="minorEastAsia"/>
        </w:rPr>
        <w:t xml:space="preserve">. If the true CAR is the same across securities, then </w:t>
      </w:r>
      <w:r w:rsidR="007B30CB">
        <w:rPr>
          <w:rFonts w:eastAsiaTheme="minorEastAsia"/>
          <w:i/>
        </w:rPr>
        <w:t>J</w:t>
      </w:r>
      <w:r w:rsidR="007205A8">
        <w:rPr>
          <w:rFonts w:eastAsiaTheme="minorEastAsia"/>
          <w:vertAlign w:val="subscript"/>
        </w:rPr>
        <w:t>2</w:t>
      </w:r>
      <w:r w:rsidR="007B30CB">
        <w:rPr>
          <w:rFonts w:eastAsiaTheme="minorEastAsia"/>
        </w:rPr>
        <w:t xml:space="preserve"> has greater power. Since it is unclear which of these applies to the bonds under study, we report the values of both </w:t>
      </w:r>
      <w:r w:rsidR="007B30CB">
        <w:rPr>
          <w:rFonts w:eastAsiaTheme="minorEastAsia"/>
          <w:i/>
        </w:rPr>
        <w:t>J</w:t>
      </w:r>
      <w:r w:rsidR="007B30CB">
        <w:rPr>
          <w:rFonts w:eastAsiaTheme="minorEastAsia"/>
          <w:vertAlign w:val="subscript"/>
        </w:rPr>
        <w:t>1</w:t>
      </w:r>
      <w:r w:rsidR="007B30CB">
        <w:rPr>
          <w:rFonts w:eastAsiaTheme="minorEastAsia"/>
        </w:rPr>
        <w:t xml:space="preserve"> and </w:t>
      </w:r>
      <w:r w:rsidR="007B30CB">
        <w:rPr>
          <w:rFonts w:eastAsiaTheme="minorEastAsia"/>
          <w:i/>
        </w:rPr>
        <w:t>J</w:t>
      </w:r>
      <w:r w:rsidR="007B30CB">
        <w:rPr>
          <w:rFonts w:eastAsiaTheme="minorEastAsia"/>
          <w:vertAlign w:val="subscript"/>
        </w:rPr>
        <w:t>2</w:t>
      </w:r>
      <w:r w:rsidR="007B30CB">
        <w:rPr>
          <w:rFonts w:eastAsiaTheme="minorEastAsia"/>
        </w:rPr>
        <w:t>.</w:t>
      </w:r>
      <w:r w:rsidR="001A0FB9">
        <w:rPr>
          <w:rFonts w:eastAsiaTheme="minorEastAsia"/>
        </w:rPr>
        <w:t xml:space="preserve"> </w:t>
      </w:r>
      <w:r w:rsidR="007B30CB">
        <w:t xml:space="preserve">A different way of </w:t>
      </w:r>
      <w:r w:rsidR="00362A28">
        <w:t xml:space="preserve">distinguishing between true CAR and increased variance during the event </w:t>
      </w:r>
      <w:r w:rsidR="00362A28">
        <w:lastRenderedPageBreak/>
        <w:t>window is to use cross-sectional estimates of the variances of the two test statistics that do not rely on the time-series estimates based on the estimation window.</w:t>
      </w:r>
      <w:r w:rsidR="003D086A">
        <w:rPr>
          <w:rStyle w:val="FootnoteReference"/>
        </w:rPr>
        <w:footnoteReference w:id="1"/>
      </w:r>
      <w:r w:rsidR="003D086A">
        <w:t xml:space="preserve"> We also report the two test statistics with these variances under </w:t>
      </w:r>
      <w:r w:rsidR="003D086A">
        <w:rPr>
          <w:rFonts w:eastAsiaTheme="minorEastAsia"/>
          <w:i/>
        </w:rPr>
        <w:t>J</w:t>
      </w:r>
      <w:r w:rsidR="003D086A">
        <w:rPr>
          <w:rFonts w:eastAsiaTheme="minorEastAsia"/>
          <w:vertAlign w:val="subscript"/>
        </w:rPr>
        <w:t>1cs</w:t>
      </w:r>
      <w:r w:rsidR="003D086A">
        <w:rPr>
          <w:rFonts w:eastAsiaTheme="minorEastAsia"/>
        </w:rPr>
        <w:t xml:space="preserve"> and </w:t>
      </w:r>
      <w:r w:rsidR="003D086A">
        <w:rPr>
          <w:rFonts w:eastAsiaTheme="minorEastAsia"/>
          <w:i/>
        </w:rPr>
        <w:t>J</w:t>
      </w:r>
      <w:r w:rsidR="003D086A">
        <w:rPr>
          <w:rFonts w:eastAsiaTheme="minorEastAsia"/>
          <w:vertAlign w:val="subscript"/>
        </w:rPr>
        <w:t>2cs</w:t>
      </w:r>
      <w:r w:rsidR="003D086A">
        <w:rPr>
          <w:rFonts w:eastAsiaTheme="minorEastAsia"/>
        </w:rPr>
        <w:t>.</w:t>
      </w:r>
    </w:p>
    <w:p w14:paraId="39D57219" w14:textId="77B7CE43" w:rsidR="003D086A" w:rsidRDefault="003D086A">
      <w:pPr>
        <w:ind w:firstLine="284"/>
        <w:jc w:val="both"/>
        <w:rPr>
          <w:rFonts w:eastAsiaTheme="minorEastAsia"/>
        </w:rPr>
      </w:pPr>
      <w:r>
        <w:t xml:space="preserve">The two final statistics use non-parametric evidence. </w:t>
      </w:r>
      <w:r>
        <w:rPr>
          <w:rFonts w:eastAsiaTheme="minorEastAsia"/>
          <w:i/>
        </w:rPr>
        <w:t>J</w:t>
      </w:r>
      <w:r>
        <w:rPr>
          <w:rFonts w:eastAsiaTheme="minorEastAsia"/>
          <w:vertAlign w:val="subscript"/>
        </w:rPr>
        <w:t>3</w:t>
      </w:r>
      <w:r>
        <w:rPr>
          <w:rFonts w:eastAsiaTheme="minorEastAsia"/>
        </w:rPr>
        <w:t xml:space="preserve"> is based on the sign of the CAR. Under the alternative hypothesis that the probability of positive CAR during the event is ½, the test statistic is:</w:t>
      </w:r>
    </w:p>
    <w:p w14:paraId="1F6B7016" w14:textId="14BBF349" w:rsidR="003D086A" w:rsidRPr="003D086A" w:rsidRDefault="00D870ED" w:rsidP="00942DF3">
      <w:pPr>
        <w:jc w:val="both"/>
      </w:pPr>
      <m:oMathPara>
        <m:oMath>
          <m:sSub>
            <m:sSubPr>
              <m:ctrlPr>
                <w:rPr>
                  <w:rFonts w:ascii="Cambria Math" w:hAnsi="Cambria Math"/>
                  <w:i/>
                </w:rPr>
              </m:ctrlPr>
            </m:sSubPr>
            <m:e>
              <m:r>
                <w:rPr>
                  <w:rFonts w:ascii="Cambria Math" w:hAnsi="Cambria Math"/>
                </w:rPr>
                <m:t>J</m:t>
              </m:r>
            </m:e>
            <m:sub>
              <m:r>
                <w:rPr>
                  <w:rFonts w:ascii="Cambria Math" w:hAnsi="Cambria Math"/>
                </w:rPr>
                <m:t>3</m:t>
              </m:r>
            </m:sub>
          </m:sSub>
          <m:r>
            <w:rPr>
              <w:rFonts w:ascii="Cambria Math" w:hAnsi="Cambria Math"/>
            </w:rPr>
            <m:t>=</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T</m:t>
                      </m:r>
                    </m:e>
                    <m:sup>
                      <m:r>
                        <w:rPr>
                          <w:rFonts w:ascii="Cambria Math" w:hAnsi="Cambria Math"/>
                        </w:rPr>
                        <m:t>+</m:t>
                      </m:r>
                    </m:sup>
                  </m:sSup>
                </m:num>
                <m:den>
                  <m:r>
                    <w:rPr>
                      <w:rFonts w:ascii="Cambria Math" w:hAnsi="Cambria Math"/>
                    </w:rPr>
                    <m:t>T</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f>
            <m:fPr>
              <m:ctrlPr>
                <w:rPr>
                  <w:rFonts w:ascii="Cambria Math" w:hAnsi="Cambria Math"/>
                  <w:i/>
                </w:rPr>
              </m:ctrlPr>
            </m:fPr>
            <m:num>
              <m:rad>
                <m:radPr>
                  <m:degHide m:val="1"/>
                  <m:ctrlPr>
                    <w:rPr>
                      <w:rFonts w:ascii="Cambria Math" w:hAnsi="Cambria Math"/>
                      <w:i/>
                    </w:rPr>
                  </m:ctrlPr>
                </m:radPr>
                <m:deg/>
                <m:e>
                  <m:r>
                    <w:rPr>
                      <w:rFonts w:ascii="Cambria Math" w:hAnsi="Cambria Math"/>
                    </w:rPr>
                    <m:t>T</m:t>
                  </m:r>
                </m:e>
              </m:rad>
            </m:num>
            <m:den>
              <m:f>
                <m:fPr>
                  <m:type m:val="lin"/>
                  <m:ctrlPr>
                    <w:rPr>
                      <w:rFonts w:ascii="Cambria Math" w:hAnsi="Cambria Math"/>
                      <w:i/>
                    </w:rPr>
                  </m:ctrlPr>
                </m:fPr>
                <m:num>
                  <m:r>
                    <w:rPr>
                      <w:rFonts w:ascii="Cambria Math" w:hAnsi="Cambria Math"/>
                    </w:rPr>
                    <m:t>1</m:t>
                  </m:r>
                </m:num>
                <m:den>
                  <m:r>
                    <w:rPr>
                      <w:rFonts w:ascii="Cambria Math" w:hAnsi="Cambria Math"/>
                    </w:rPr>
                    <m:t>2</m:t>
                  </m:r>
                </m:den>
              </m:f>
            </m:den>
          </m:f>
          <m:groupChr>
            <m:groupChrPr>
              <m:chr m:val="→"/>
              <m:vertJc m:val="bot"/>
              <m:ctrlPr>
                <w:rPr>
                  <w:rFonts w:ascii="Cambria Math" w:eastAsiaTheme="minorEastAsia" w:hAnsi="Cambria Math"/>
                  <w:i/>
                </w:rPr>
              </m:ctrlPr>
            </m:groupChrPr>
            <m:e>
              <m:r>
                <w:rPr>
                  <w:rFonts w:ascii="Cambria Math" w:eastAsiaTheme="minorEastAsia" w:hAnsi="Cambria Math"/>
                </w:rPr>
                <m:t>d</m:t>
              </m:r>
            </m:e>
          </m:groupChr>
          <m:r>
            <m:rPr>
              <m:scr m:val="script"/>
            </m:rPr>
            <w:rPr>
              <w:rFonts w:ascii="Cambria Math" w:eastAsiaTheme="minorEastAsia" w:hAnsi="Cambria Math"/>
            </w:rPr>
            <m:t>N</m:t>
          </m:r>
          <m:r>
            <w:rPr>
              <w:rFonts w:ascii="Cambria Math" w:eastAsiaTheme="minorEastAsia" w:hAnsi="Cambria Math"/>
            </w:rPr>
            <m:t>(0,1)</m:t>
          </m:r>
        </m:oMath>
      </m:oMathPara>
    </w:p>
    <w:p w14:paraId="0970F27E" w14:textId="3C260354" w:rsidR="003D086A" w:rsidRDefault="003D086A" w:rsidP="00942DF3">
      <w:pPr>
        <w:jc w:val="both"/>
        <w:rPr>
          <w:rFonts w:eastAsiaTheme="minorEastAsia"/>
        </w:rPr>
      </w:pPr>
      <w:r>
        <w:t xml:space="preserve">where </w:t>
      </w:r>
      <m:oMath>
        <m:sSup>
          <m:sSupPr>
            <m:ctrlPr>
              <w:rPr>
                <w:rFonts w:ascii="Cambria Math" w:hAnsi="Cambria Math"/>
                <w:i/>
              </w:rPr>
            </m:ctrlPr>
          </m:sSupPr>
          <m:e>
            <m:r>
              <w:rPr>
                <w:rFonts w:ascii="Cambria Math" w:hAnsi="Cambria Math"/>
              </w:rPr>
              <m:t>T</m:t>
            </m:r>
          </m:e>
          <m:sup>
            <m:r>
              <w:rPr>
                <w:rFonts w:ascii="Cambria Math" w:hAnsi="Cambria Math"/>
              </w:rPr>
              <m:t>+</m:t>
            </m:r>
          </m:sup>
        </m:sSup>
      </m:oMath>
      <w:r>
        <w:rPr>
          <w:rFonts w:eastAsiaTheme="minorEastAsia"/>
        </w:rPr>
        <w:t>(</w:t>
      </w:r>
      <m:oMath>
        <m:r>
          <w:rPr>
            <w:rFonts w:ascii="Cambria Math" w:hAnsi="Cambria Math"/>
          </w:rPr>
          <m:t>T</m:t>
        </m:r>
      </m:oMath>
      <w:r>
        <w:rPr>
          <w:rFonts w:eastAsiaTheme="minorEastAsia"/>
        </w:rPr>
        <w:t>) is the number of positive CAR (all possible cases).</w:t>
      </w:r>
      <w:r w:rsidR="00A97565">
        <w:rPr>
          <w:rFonts w:eastAsiaTheme="minorEastAsia"/>
        </w:rPr>
        <w:t xml:space="preserve"> If the distribution of CAR is skewed, the expected proportion of positive returns will deviate from 50% and in that case a rank test is preferred. If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it</m:t>
            </m:r>
          </m:sub>
        </m:sSub>
      </m:oMath>
      <w:r w:rsidR="00A97565">
        <w:rPr>
          <w:rFonts w:eastAsiaTheme="minorEastAsia"/>
        </w:rPr>
        <w:t xml:space="preserve"> is the rank of the CAR of bond </w:t>
      </w:r>
      <w:r w:rsidR="00A97565" w:rsidRPr="00942DF3">
        <w:rPr>
          <w:rFonts w:eastAsiaTheme="minorEastAsia"/>
          <w:i/>
        </w:rPr>
        <w:t>i</w:t>
      </w:r>
      <w:r w:rsidR="00A97565">
        <w:rPr>
          <w:rFonts w:eastAsiaTheme="minorEastAsia"/>
        </w:rPr>
        <w:t xml:space="preserve"> </w:t>
      </w:r>
      <w:r w:rsidR="007205A8">
        <w:rPr>
          <w:rFonts w:eastAsiaTheme="minorEastAsia"/>
        </w:rPr>
        <w:t>o</w:t>
      </w:r>
      <w:r w:rsidR="00A97565">
        <w:rPr>
          <w:rFonts w:eastAsiaTheme="minorEastAsia"/>
        </w:rPr>
        <w:t xml:space="preserve">n date </w:t>
      </w:r>
      <w:r w:rsidR="00A97565" w:rsidRPr="00942DF3">
        <w:rPr>
          <w:rFonts w:eastAsiaTheme="minorEastAsia"/>
          <w:i/>
        </w:rPr>
        <w:t>t</w:t>
      </w:r>
      <w:r w:rsidR="00A97565">
        <w:rPr>
          <w:rFonts w:eastAsiaTheme="minorEastAsia"/>
        </w:rPr>
        <w:t xml:space="preserve"> (with </w:t>
      </w:r>
      <w:r w:rsidR="00A97565" w:rsidRPr="00D57A2F">
        <w:rPr>
          <w:rFonts w:eastAsiaTheme="minorEastAsia"/>
          <w:i/>
        </w:rPr>
        <w:t>t</w:t>
      </w:r>
      <w:r w:rsidR="00A97565">
        <w:rPr>
          <w:rFonts w:eastAsiaTheme="minorEastAsia"/>
        </w:rPr>
        <w:t xml:space="preserve"> =0 defining the event date), then the test statistic is:</w:t>
      </w:r>
    </w:p>
    <w:p w14:paraId="2442D51B" w14:textId="487D96AA" w:rsidR="00A97565" w:rsidRPr="00942DF3" w:rsidRDefault="00D870ED" w:rsidP="00942DF3">
      <w:pPr>
        <w:jc w:val="both"/>
        <w:rPr>
          <w:rFonts w:eastAsiaTheme="minorEastAsia"/>
        </w:rPr>
      </w:pPr>
      <m:oMathPara>
        <m:oMath>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J</m:t>
                    </m:r>
                  </m:e>
                  <m:sub>
                    <m:r>
                      <w:rPr>
                        <w:rFonts w:ascii="Cambria Math" w:hAnsi="Cambria Math"/>
                      </w:rPr>
                      <m:t>4</m:t>
                    </m:r>
                  </m:sub>
                </m:sSub>
                <m:r>
                  <w:rPr>
                    <w:rFonts w:ascii="Cambria Math" w:hAnsi="Cambria Math"/>
                  </w:rPr>
                  <m:t>=</m:t>
                </m:r>
                <m:f>
                  <m:fPr>
                    <m:type m:val="lin"/>
                    <m:ctrlPr>
                      <w:rPr>
                        <w:rFonts w:ascii="Cambria Math" w:hAnsi="Cambria Math"/>
                        <w:i/>
                      </w:rPr>
                    </m:ctrlPr>
                  </m:fPr>
                  <m:num>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supHide m:val="1"/>
                        <m:ctrlPr>
                          <w:rPr>
                            <w:rFonts w:ascii="Cambria Math" w:hAnsi="Cambria Math"/>
                            <w:i/>
                          </w:rPr>
                        </m:ctrlPr>
                      </m:naryPr>
                      <m:sub>
                        <m:r>
                          <w:rPr>
                            <w:rFonts w:ascii="Cambria Math" w:hAnsi="Cambria Math"/>
                          </w:rPr>
                          <m:t>i</m:t>
                        </m:r>
                      </m:sub>
                      <m:sup/>
                      <m:e>
                        <m:d>
                          <m:dPr>
                            <m:ctrlPr>
                              <w:rPr>
                                <w:rFonts w:ascii="Cambria Math" w:hAnsi="Cambria Math"/>
                                <w:i/>
                              </w:rPr>
                            </m:ctrlPr>
                          </m:dPr>
                          <m:e>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i0</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T+1</m:t>
                                </m:r>
                              </m:num>
                              <m:den>
                                <m:r>
                                  <w:rPr>
                                    <w:rFonts w:ascii="Cambria Math" w:eastAsiaTheme="minorEastAsia" w:hAnsi="Cambria Math"/>
                                  </w:rPr>
                                  <m:t>2</m:t>
                                </m:r>
                              </m:den>
                            </m:f>
                          </m:e>
                        </m:d>
                      </m:e>
                    </m:nary>
                  </m:num>
                  <m:den>
                    <m:r>
                      <w:rPr>
                        <w:rFonts w:ascii="Cambria Math" w:hAnsi="Cambria Math"/>
                      </w:rPr>
                      <m:t>s</m:t>
                    </m:r>
                  </m:den>
                </m:f>
                <m:groupChr>
                  <m:groupChrPr>
                    <m:chr m:val="→"/>
                    <m:vertJc m:val="bot"/>
                    <m:ctrlPr>
                      <w:rPr>
                        <w:rFonts w:ascii="Cambria Math" w:eastAsiaTheme="minorEastAsia" w:hAnsi="Cambria Math"/>
                        <w:i/>
                      </w:rPr>
                    </m:ctrlPr>
                  </m:groupChrPr>
                  <m:e>
                    <m:r>
                      <w:rPr>
                        <w:rFonts w:ascii="Cambria Math" w:eastAsiaTheme="minorEastAsia" w:hAnsi="Cambria Math"/>
                      </w:rPr>
                      <m:t>d</m:t>
                    </m:r>
                  </m:e>
                </m:groupChr>
                <m:r>
                  <m:rPr>
                    <m:scr m:val="script"/>
                  </m:rPr>
                  <w:rPr>
                    <w:rFonts w:ascii="Cambria Math" w:eastAsiaTheme="minorEastAsia" w:hAnsi="Cambria Math"/>
                  </w:rPr>
                  <m:t>N</m:t>
                </m:r>
                <m:r>
                  <w:rPr>
                    <w:rFonts w:ascii="Cambria Math" w:eastAsiaTheme="minorEastAsia" w:hAnsi="Cambria Math"/>
                  </w:rPr>
                  <m:t>(0,1)</m:t>
                </m:r>
              </m:e>
            </m:mr>
            <m:mr>
              <m:e>
                <m:r>
                  <w:rPr>
                    <w:rFonts w:ascii="Cambria Math" w:hAnsi="Cambria Math"/>
                  </w:rPr>
                  <m:t>s=</m:t>
                </m:r>
                <m:rad>
                  <m:radPr>
                    <m:degHide m:val="1"/>
                    <m:ctrlPr>
                      <w:rPr>
                        <w:rFonts w:ascii="Cambria Math" w:hAnsi="Cambria Math"/>
                        <w:i/>
                      </w:rPr>
                    </m:ctrlPr>
                  </m:radPr>
                  <m:deg/>
                  <m:e>
                    <m:f>
                      <m:fPr>
                        <m:ctrlPr>
                          <w:rPr>
                            <w:rFonts w:ascii="Cambria Math" w:hAnsi="Cambria Math"/>
                            <w:i/>
                          </w:rPr>
                        </m:ctrlPr>
                      </m:fPr>
                      <m:num>
                        <m:r>
                          <w:rPr>
                            <w:rFonts w:ascii="Cambria Math" w:hAnsi="Cambria Math"/>
                          </w:rPr>
                          <m:t>1</m:t>
                        </m:r>
                      </m:num>
                      <m:den>
                        <m:r>
                          <w:rPr>
                            <w:rFonts w:ascii="Cambria Math" w:hAnsi="Cambria Math"/>
                          </w:rPr>
                          <m:t>T</m:t>
                        </m:r>
                      </m:den>
                    </m:f>
                    <m:nary>
                      <m:naryPr>
                        <m:chr m:val="∑"/>
                        <m:limLoc m:val="subSup"/>
                        <m:ctrlPr>
                          <w:rPr>
                            <w:rFonts w:ascii="Cambria Math" w:hAnsi="Cambria Math"/>
                            <w:i/>
                          </w:rPr>
                        </m:ctrlPr>
                      </m:naryPr>
                      <m:sub>
                        <m:r>
                          <w:rPr>
                            <w:rFonts w:ascii="Cambria Math" w:hAnsi="Cambria Math"/>
                          </w:rPr>
                          <m:t>τ=1</m:t>
                        </m:r>
                      </m:sub>
                      <m:sup>
                        <m:r>
                          <w:rPr>
                            <w:rFonts w:ascii="Cambria Math" w:hAnsi="Cambria Math"/>
                          </w:rPr>
                          <m:t>T</m:t>
                        </m:r>
                      </m:sup>
                      <m:e>
                        <m:sSup>
                          <m:sSupPr>
                            <m:ctrlPr>
                              <w:rPr>
                                <w:rFonts w:ascii="Cambria Math" w:hAnsi="Cambria Math"/>
                                <w:i/>
                              </w:rPr>
                            </m:ctrlPr>
                          </m:sSupPr>
                          <m:e>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supHide m:val="1"/>
                                    <m:ctrlPr>
                                      <w:rPr>
                                        <w:rFonts w:ascii="Cambria Math" w:hAnsi="Cambria Math"/>
                                        <w:i/>
                                      </w:rPr>
                                    </m:ctrlPr>
                                  </m:naryPr>
                                  <m:sub>
                                    <m:r>
                                      <w:rPr>
                                        <w:rFonts w:ascii="Cambria Math" w:hAnsi="Cambria Math"/>
                                      </w:rPr>
                                      <m:t>i</m:t>
                                    </m:r>
                                  </m:sub>
                                  <m:sup/>
                                  <m:e>
                                    <m:d>
                                      <m:dPr>
                                        <m:ctrlPr>
                                          <w:rPr>
                                            <w:rFonts w:ascii="Cambria Math" w:hAnsi="Cambria Math"/>
                                            <w:i/>
                                          </w:rPr>
                                        </m:ctrlPr>
                                      </m:dPr>
                                      <m:e>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iτ</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T+1</m:t>
                                            </m:r>
                                          </m:num>
                                          <m:den>
                                            <m:r>
                                              <w:rPr>
                                                <w:rFonts w:ascii="Cambria Math" w:eastAsiaTheme="minorEastAsia" w:hAnsi="Cambria Math"/>
                                              </w:rPr>
                                              <m:t>2</m:t>
                                            </m:r>
                                          </m:den>
                                        </m:f>
                                      </m:e>
                                    </m:d>
                                  </m:e>
                                </m:nary>
                              </m:e>
                            </m:d>
                          </m:e>
                          <m:sup>
                            <m:r>
                              <w:rPr>
                                <w:rFonts w:ascii="Cambria Math" w:hAnsi="Cambria Math"/>
                              </w:rPr>
                              <m:t>2</m:t>
                            </m:r>
                          </m:sup>
                        </m:sSup>
                      </m:e>
                    </m:nary>
                  </m:e>
                </m:rad>
              </m:e>
            </m:mr>
          </m:m>
        </m:oMath>
      </m:oMathPara>
    </w:p>
    <w:p w14:paraId="1509E348" w14:textId="773B86B9" w:rsidR="00993318" w:rsidRDefault="004A22B5" w:rsidP="00942DF3">
      <w:pPr>
        <w:jc w:val="both"/>
        <w:rPr>
          <w:rFonts w:eastAsiaTheme="minorEastAsia"/>
        </w:rPr>
      </w:pPr>
      <w:r>
        <w:rPr>
          <w:rFonts w:eastAsiaTheme="minorEastAsia"/>
        </w:rPr>
        <w:t xml:space="preserve">where </w:t>
      </w:r>
      <m:oMath>
        <m:f>
          <m:fPr>
            <m:type m:val="lin"/>
            <m:ctrlPr>
              <w:rPr>
                <w:rFonts w:ascii="Cambria Math" w:eastAsiaTheme="minorEastAsia" w:hAnsi="Cambria Math"/>
                <w:i/>
              </w:rPr>
            </m:ctrlPr>
          </m:fPr>
          <m:num>
            <m:d>
              <m:dPr>
                <m:ctrlPr>
                  <w:rPr>
                    <w:rFonts w:ascii="Cambria Math" w:eastAsiaTheme="minorEastAsia" w:hAnsi="Cambria Math"/>
                    <w:i/>
                  </w:rPr>
                </m:ctrlPr>
              </m:dPr>
              <m:e>
                <m:r>
                  <w:rPr>
                    <w:rFonts w:ascii="Cambria Math" w:eastAsiaTheme="minorEastAsia" w:hAnsi="Cambria Math"/>
                  </w:rPr>
                  <m:t>T+1</m:t>
                </m:r>
              </m:e>
            </m:d>
          </m:num>
          <m:den>
            <m:r>
              <w:rPr>
                <w:rFonts w:ascii="Cambria Math" w:eastAsiaTheme="minorEastAsia" w:hAnsi="Cambria Math"/>
              </w:rPr>
              <m:t>2</m:t>
            </m:r>
          </m:den>
        </m:f>
      </m:oMath>
      <w:r w:rsidR="00CE6A92">
        <w:rPr>
          <w:rFonts w:eastAsiaTheme="minorEastAsia"/>
        </w:rPr>
        <w:t xml:space="preserve"> is the expected rank of an event window with </w:t>
      </w:r>
      <w:r w:rsidR="00CE6A92">
        <w:rPr>
          <w:rFonts w:eastAsiaTheme="minorEastAsia"/>
          <w:i/>
        </w:rPr>
        <w:t>T</w:t>
      </w:r>
      <w:r w:rsidR="00CE6A92">
        <w:rPr>
          <w:rFonts w:eastAsiaTheme="minorEastAsia"/>
        </w:rPr>
        <w:t xml:space="preserve"> days.</w:t>
      </w:r>
      <w:r w:rsidR="00993318">
        <w:rPr>
          <w:rFonts w:eastAsiaTheme="minorEastAsia"/>
        </w:rPr>
        <w:t xml:space="preserve"> Table A.1 collects the values of the six statistics for three lengths of the estimation window (15, 20 and 30 days) and using only pre-event windows or bilateral windows, around the event window.</w:t>
      </w:r>
      <w:r w:rsidR="00993318">
        <w:rPr>
          <w:rStyle w:val="FootnoteReference"/>
          <w:rFonts w:eastAsiaTheme="minorEastAsia"/>
        </w:rPr>
        <w:footnoteReference w:id="2"/>
      </w:r>
      <w:r w:rsidR="00EC18BE">
        <w:rPr>
          <w:rFonts w:eastAsiaTheme="minorEastAsia"/>
        </w:rPr>
        <w:t xml:space="preserve"> </w:t>
      </w:r>
    </w:p>
    <w:p w14:paraId="4099358F" w14:textId="77777777" w:rsidR="001A0FB9" w:rsidRPr="007F79B9" w:rsidRDefault="001A0FB9" w:rsidP="001A0FB9">
      <w:pPr>
        <w:jc w:val="center"/>
        <w:rPr>
          <w:b/>
        </w:rPr>
      </w:pPr>
      <w:r w:rsidRPr="008706FB">
        <w:rPr>
          <w:b/>
        </w:rPr>
        <w:t xml:space="preserve">Table </w:t>
      </w:r>
      <w:r>
        <w:rPr>
          <w:b/>
        </w:rPr>
        <w:t>A.1</w:t>
      </w:r>
      <w:r w:rsidRPr="008706FB">
        <w:rPr>
          <w:b/>
        </w:rPr>
        <w:t xml:space="preserve"> here</w:t>
      </w:r>
    </w:p>
    <w:p w14:paraId="6F9F5E57" w14:textId="5809BD7B" w:rsidR="001A0FB9" w:rsidRDefault="00EC18BE" w:rsidP="00942DF3">
      <w:pPr>
        <w:jc w:val="both"/>
      </w:pPr>
      <w:r w:rsidRPr="008706FB">
        <w:t xml:space="preserve">The usual assumption in this literature is that although published on a given day, the information contained in the announcement could have been public the day before (essentially because of printing lags of newspapers). Hence, the length of the </w:t>
      </w:r>
      <w:r>
        <w:t>event window</w:t>
      </w:r>
      <w:r w:rsidRPr="008706FB">
        <w:t xml:space="preserve"> is </w:t>
      </w:r>
      <w:r>
        <w:t xml:space="preserve">first </w:t>
      </w:r>
      <w:r w:rsidRPr="008706FB">
        <w:t>set at two days.</w:t>
      </w:r>
      <w:r w:rsidR="00354765">
        <w:t xml:space="preserve"> However, we</w:t>
      </w:r>
      <w:r w:rsidR="00354765" w:rsidRPr="008706FB">
        <w:t xml:space="preserve"> are unsure about the power of this test, because the size of the p</w:t>
      </w:r>
      <w:r w:rsidR="00354765">
        <w:t>ortfolios is small (5</w:t>
      </w:r>
      <w:r w:rsidR="00354765" w:rsidRPr="008706FB">
        <w:t xml:space="preserve"> bonds) and also because we cannot be sure that the information was not available more th</w:t>
      </w:r>
      <w:r w:rsidR="00354765">
        <w:t>an a day prior to publication. Hence, a</w:t>
      </w:r>
      <w:r w:rsidR="00354765" w:rsidRPr="008706FB">
        <w:t xml:space="preserve">s an alternative, we define the announcement period by the 95% confidence intervals of the breakpoints closer to the </w:t>
      </w:r>
      <w:r w:rsidR="002118DF">
        <w:t>date when the guaranteed bonds were first published by the press</w:t>
      </w:r>
      <w:r w:rsidR="0029548B">
        <w:t xml:space="preserve"> (see Table 1 in the manuscript).</w:t>
      </w:r>
    </w:p>
    <w:p w14:paraId="6656D233" w14:textId="195A8C3A" w:rsidR="00CA409F" w:rsidRDefault="00704522">
      <w:pPr>
        <w:ind w:firstLine="284"/>
        <w:jc w:val="both"/>
        <w:rPr>
          <w:rFonts w:eastAsiaTheme="minorEastAsia"/>
        </w:rPr>
      </w:pPr>
      <w:r>
        <w:rPr>
          <w:rFonts w:eastAsiaTheme="minorEastAsia"/>
        </w:rPr>
        <w:t>The results of the event studies are not entirely consistent across the different test statistics. Nevertheless, the preponderance of evidence is that the announce</w:t>
      </w:r>
      <w:r w:rsidR="00A81B93">
        <w:rPr>
          <w:rFonts w:eastAsiaTheme="minorEastAsia"/>
        </w:rPr>
        <w:t xml:space="preserve">ment of guaranteed bonds had no significant impact on the returns of legacy bonds or, in fact, had a </w:t>
      </w:r>
      <w:r w:rsidR="00A81B93" w:rsidRPr="00942DF3">
        <w:rPr>
          <w:rFonts w:eastAsiaTheme="minorEastAsia"/>
          <w:i/>
        </w:rPr>
        <w:t>positive</w:t>
      </w:r>
      <w:r w:rsidR="00A81B93">
        <w:rPr>
          <w:rFonts w:eastAsiaTheme="minorEastAsia"/>
        </w:rPr>
        <w:t xml:space="preserve"> effect. </w:t>
      </w:r>
      <w:r w:rsidR="00263EBD">
        <w:rPr>
          <w:rFonts w:eastAsiaTheme="minorEastAsia"/>
        </w:rPr>
        <w:t xml:space="preserve">This is consistent with the graphical impression from Figures 2-5 in the manuscript, which already confirmed that the issue of guaranteed bonds stabilised, rather than diluted, the market for legacy debt, with the exception of the first Greek operation. In particular, </w:t>
      </w:r>
      <w:r w:rsidR="004C0CA7">
        <w:rPr>
          <w:rFonts w:eastAsiaTheme="minorEastAsia"/>
        </w:rPr>
        <w:t>the parametric tests (J</w:t>
      </w:r>
      <w:r w:rsidR="004C0CA7" w:rsidRPr="00942DF3">
        <w:rPr>
          <w:rFonts w:eastAsiaTheme="minorEastAsia"/>
          <w:vertAlign w:val="subscript"/>
        </w:rPr>
        <w:t>1</w:t>
      </w:r>
      <w:r w:rsidR="004C0CA7">
        <w:rPr>
          <w:rFonts w:eastAsiaTheme="minorEastAsia"/>
        </w:rPr>
        <w:t xml:space="preserve"> and J</w:t>
      </w:r>
      <w:r w:rsidR="004C0CA7" w:rsidRPr="00942DF3">
        <w:rPr>
          <w:rFonts w:eastAsiaTheme="minorEastAsia"/>
          <w:vertAlign w:val="subscript"/>
        </w:rPr>
        <w:t>2</w:t>
      </w:r>
      <w:r w:rsidR="004C0CA7">
        <w:rPr>
          <w:rFonts w:eastAsiaTheme="minorEastAsia"/>
        </w:rPr>
        <w:t xml:space="preserve">) </w:t>
      </w:r>
      <w:r w:rsidR="00263EBD">
        <w:rPr>
          <w:rFonts w:eastAsiaTheme="minorEastAsia"/>
        </w:rPr>
        <w:t xml:space="preserve">over short windows (2 days) </w:t>
      </w:r>
      <w:r w:rsidR="004C0CA7">
        <w:rPr>
          <w:rFonts w:eastAsiaTheme="minorEastAsia"/>
        </w:rPr>
        <w:t>point out for a positive and significant impact of the guarantee</w:t>
      </w:r>
      <w:r w:rsidR="00263EBD">
        <w:rPr>
          <w:rFonts w:eastAsiaTheme="minorEastAsia"/>
        </w:rPr>
        <w:t xml:space="preserve">d bonds. This is not a figment of </w:t>
      </w:r>
      <w:r w:rsidR="00973A10">
        <w:rPr>
          <w:rFonts w:eastAsiaTheme="minorEastAsia"/>
        </w:rPr>
        <w:t xml:space="preserve">increased variance after the announcement, since the results hold even stronger for the </w:t>
      </w:r>
      <w:r w:rsidR="00973A10">
        <w:rPr>
          <w:rFonts w:eastAsiaTheme="minorEastAsia"/>
        </w:rPr>
        <w:lastRenderedPageBreak/>
        <w:t>variant of the test statistics with cross-sectional variances (J</w:t>
      </w:r>
      <w:r w:rsidR="00973A10" w:rsidRPr="00D57A2F">
        <w:rPr>
          <w:rFonts w:eastAsiaTheme="minorEastAsia"/>
          <w:vertAlign w:val="subscript"/>
        </w:rPr>
        <w:t>1</w:t>
      </w:r>
      <w:r w:rsidR="00973A10">
        <w:rPr>
          <w:rFonts w:eastAsiaTheme="minorEastAsia"/>
          <w:vertAlign w:val="subscript"/>
        </w:rPr>
        <w:t>cs</w:t>
      </w:r>
      <w:r w:rsidR="00973A10">
        <w:rPr>
          <w:rFonts w:eastAsiaTheme="minorEastAsia"/>
        </w:rPr>
        <w:t xml:space="preserve"> and J</w:t>
      </w:r>
      <w:r w:rsidR="00973A10" w:rsidRPr="00D57A2F">
        <w:rPr>
          <w:rFonts w:eastAsiaTheme="minorEastAsia"/>
          <w:vertAlign w:val="subscript"/>
        </w:rPr>
        <w:t>2</w:t>
      </w:r>
      <w:r w:rsidR="00973A10">
        <w:rPr>
          <w:rFonts w:eastAsiaTheme="minorEastAsia"/>
          <w:vertAlign w:val="subscript"/>
        </w:rPr>
        <w:t>cs</w:t>
      </w:r>
      <w:r w:rsidR="00973A10">
        <w:rPr>
          <w:rFonts w:eastAsiaTheme="minorEastAsia"/>
        </w:rPr>
        <w:t>)</w:t>
      </w:r>
      <w:r w:rsidR="00697BA5">
        <w:rPr>
          <w:rFonts w:eastAsiaTheme="minorEastAsia"/>
        </w:rPr>
        <w:t xml:space="preserve">, which implies that the events were associated not only with positive abnormal returns but also with lower variance. </w:t>
      </w:r>
      <w:r w:rsidR="00D27469">
        <w:rPr>
          <w:rFonts w:eastAsiaTheme="minorEastAsia"/>
        </w:rPr>
        <w:t>The results are also stronger for longer estimation windows. The non-parametric tests are less sanguine for short event windows, but still support positive and significant effects for the third test statistic. However, the more robust statistic J</w:t>
      </w:r>
      <w:r w:rsidR="00D27469">
        <w:rPr>
          <w:rFonts w:eastAsiaTheme="minorEastAsia"/>
          <w:vertAlign w:val="subscript"/>
        </w:rPr>
        <w:t>4</w:t>
      </w:r>
      <w:r w:rsidR="00D27469">
        <w:rPr>
          <w:rFonts w:eastAsiaTheme="minorEastAsia"/>
        </w:rPr>
        <w:t xml:space="preserve"> already </w:t>
      </w:r>
      <w:r w:rsidR="0002594F">
        <w:rPr>
          <w:rFonts w:eastAsiaTheme="minorEastAsia"/>
        </w:rPr>
        <w:t>implies</w:t>
      </w:r>
      <w:r w:rsidR="00D27469">
        <w:rPr>
          <w:rFonts w:eastAsiaTheme="minorEastAsia"/>
        </w:rPr>
        <w:t xml:space="preserve"> a dilution effect. </w:t>
      </w:r>
    </w:p>
    <w:p w14:paraId="24665AA3" w14:textId="726CC477" w:rsidR="00681844" w:rsidRPr="00942DF3" w:rsidRDefault="00681844">
      <w:pPr>
        <w:ind w:firstLine="284"/>
        <w:jc w:val="both"/>
        <w:rPr>
          <w:rFonts w:eastAsiaTheme="minorEastAsia"/>
        </w:rPr>
      </w:pPr>
      <w:r>
        <w:rPr>
          <w:rFonts w:eastAsiaTheme="minorEastAsia"/>
        </w:rPr>
        <w:t>The evidence for the longer event windows (corresponding to the confidence intervals of the Bai-Perron breakpoints) is more mixed and there is now more support for dilution effects</w:t>
      </w:r>
      <w:r w:rsidR="00E91F4B">
        <w:rPr>
          <w:rFonts w:eastAsiaTheme="minorEastAsia"/>
        </w:rPr>
        <w:t>, especially when using</w:t>
      </w:r>
      <w:r>
        <w:rPr>
          <w:rFonts w:eastAsiaTheme="minorEastAsia"/>
        </w:rPr>
        <w:t xml:space="preserve"> longer estimation windows</w:t>
      </w:r>
      <w:r w:rsidR="00E91F4B">
        <w:rPr>
          <w:rFonts w:eastAsiaTheme="minorEastAsia"/>
        </w:rPr>
        <w:t>, and also when using bilateral rather than unilateral windows</w:t>
      </w:r>
      <w:r>
        <w:rPr>
          <w:rFonts w:eastAsiaTheme="minorEastAsia"/>
        </w:rPr>
        <w:t>.</w:t>
      </w:r>
      <w:r>
        <w:rPr>
          <w:rStyle w:val="FootnoteReference"/>
          <w:rFonts w:eastAsiaTheme="minorEastAsia"/>
        </w:rPr>
        <w:footnoteReference w:id="3"/>
      </w:r>
      <w:r w:rsidR="00E91F4B">
        <w:rPr>
          <w:rFonts w:eastAsiaTheme="minorEastAsia"/>
        </w:rPr>
        <w:t xml:space="preserve"> Nonetheless, if the tests with short even windows probably have low power, some of the event windows based on the Bai-Perron tests are so long that we may be incurring in the reverse type I error. Indeed, the longest event window in this case</w:t>
      </w:r>
      <w:r w:rsidR="00852207">
        <w:rPr>
          <w:rFonts w:eastAsiaTheme="minorEastAsia"/>
        </w:rPr>
        <w:t>, for the 1832-33 Greek operation, has 55 days.</w:t>
      </w:r>
      <w:r w:rsidR="00852207">
        <w:rPr>
          <w:rStyle w:val="FootnoteReference"/>
          <w:rFonts w:eastAsiaTheme="minorEastAsia"/>
        </w:rPr>
        <w:footnoteReference w:id="4"/>
      </w:r>
    </w:p>
    <w:p w14:paraId="495FE6A7" w14:textId="3C52FF82" w:rsidR="00EF679A" w:rsidRPr="007F79B9" w:rsidRDefault="00D852BF" w:rsidP="00EB02E8">
      <w:pPr>
        <w:ind w:firstLine="284"/>
        <w:jc w:val="both"/>
      </w:pPr>
      <w:r>
        <w:t xml:space="preserve">A conservative </w:t>
      </w:r>
      <w:r w:rsidR="008706FB" w:rsidRPr="008706FB">
        <w:t xml:space="preserve">conclusion from this analysis must therefore be that, though </w:t>
      </w:r>
      <w:r>
        <w:t xml:space="preserve">possibly </w:t>
      </w:r>
      <w:r w:rsidR="008706FB" w:rsidRPr="008706FB">
        <w:t xml:space="preserve">present, </w:t>
      </w:r>
      <w:r>
        <w:t xml:space="preserve">there is no strong evidence of </w:t>
      </w:r>
      <w:r w:rsidR="008706FB" w:rsidRPr="008706FB">
        <w:t>dilution effects in the cases studied in this paper</w:t>
      </w:r>
      <w:r>
        <w:t>. The first Greek bond of 1833 comes closer to a case of dilution, but even here only for a short while, as illustrated by the fast reversal of yields on the 1825 independence bonds after the initial announcement shock (Figure 1 in the manuscript).</w:t>
      </w:r>
    </w:p>
    <w:p w14:paraId="7F207300" w14:textId="77777777" w:rsidR="00B6732B" w:rsidRPr="007F79B9" w:rsidRDefault="00B6732B" w:rsidP="00EB02E8">
      <w:pPr>
        <w:ind w:firstLine="284"/>
        <w:jc w:val="both"/>
      </w:pPr>
    </w:p>
    <w:p w14:paraId="1AE8BB24" w14:textId="132BECE3" w:rsidR="008C5727" w:rsidRPr="00942DF3" w:rsidRDefault="003D70F0" w:rsidP="00942DF3">
      <w:pPr>
        <w:pStyle w:val="ListParagraph"/>
        <w:numPr>
          <w:ilvl w:val="0"/>
          <w:numId w:val="1"/>
        </w:numPr>
        <w:ind w:left="0" w:firstLine="0"/>
        <w:rPr>
          <w:b/>
          <w:sz w:val="24"/>
        </w:rPr>
      </w:pPr>
      <w:r>
        <w:rPr>
          <w:b/>
          <w:sz w:val="24"/>
        </w:rPr>
        <w:t>P</w:t>
      </w:r>
      <w:r w:rsidR="008A1836" w:rsidRPr="00942DF3">
        <w:rPr>
          <w:b/>
          <w:sz w:val="24"/>
        </w:rPr>
        <w:t>anel VARs</w:t>
      </w:r>
    </w:p>
    <w:p w14:paraId="0B402B58" w14:textId="77777777" w:rsidR="003C6C19" w:rsidRPr="007F79B9" w:rsidRDefault="008706FB" w:rsidP="008A1836">
      <w:pPr>
        <w:jc w:val="both"/>
      </w:pPr>
      <w:r w:rsidRPr="008706FB">
        <w:t>Panel VARs combine the traditional VAR approach, which treats all the variables in the system as endogenous, with the panel-data approach, which allows for unobserved individual country heterogeneity. We specify a first-order VAR model as follows:</w:t>
      </w:r>
    </w:p>
    <w:p w14:paraId="37CB964D" w14:textId="579CE537" w:rsidR="003C6C19" w:rsidRPr="007F79B9" w:rsidRDefault="00D870ED" w:rsidP="00E6044E">
      <w:pPr>
        <w:ind w:firstLine="284"/>
        <w:jc w:val="right"/>
      </w:pPr>
      <m:oMath>
        <m:sSub>
          <m:sSubPr>
            <m:ctrlPr>
              <w:rPr>
                <w:rFonts w:ascii="Cambria Math" w:hAnsi="Cambria Math"/>
                <w:i/>
              </w:rPr>
            </m:ctrlPr>
          </m:sSubPr>
          <m:e>
            <m:r>
              <w:rPr>
                <w:rFonts w:ascii="Cambria Math" w:hAnsi="Cambria Math"/>
              </w:rPr>
              <m:t>Y</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 xml:space="preserve"> </m:t>
            </m:r>
            <m:r>
              <m:rPr>
                <m:sty m:val="p"/>
              </m:rPr>
              <w:rPr>
                <w:rFonts w:ascii="Cambria Math" w:hAnsi="Cambria Math" w:hint="eastAsia"/>
              </w:rPr>
              <m:t>Γ</m:t>
            </m:r>
          </m:e>
          <m:sub>
            <m:r>
              <w:rPr>
                <w:rFonts w:ascii="Cambria Math" w:hAnsi="Cambria Math"/>
              </w:rPr>
              <m:t>0</m:t>
            </m:r>
          </m:sub>
        </m:sSub>
        <m:r>
          <w:rPr>
            <w:rFonts w:ascii="Cambria Math" w:hAnsi="Cambria Math"/>
          </w:rPr>
          <m:t>+Γ</m:t>
        </m:r>
        <m:d>
          <m:dPr>
            <m:ctrlPr>
              <w:rPr>
                <w:rFonts w:ascii="Cambria Math" w:hAnsi="Cambria Math"/>
                <w:i/>
              </w:rPr>
            </m:ctrlPr>
          </m:dPr>
          <m:e>
            <m:r>
              <w:rPr>
                <w:rFonts w:ascii="Cambria Math" w:hAnsi="Cambria Math"/>
              </w:rPr>
              <m:t>L</m:t>
            </m:r>
          </m:e>
        </m:d>
        <m:sSub>
          <m:sSubPr>
            <m:ctrlPr>
              <w:rPr>
                <w:rFonts w:ascii="Cambria Math" w:hAnsi="Cambria Math"/>
                <w:i/>
              </w:rPr>
            </m:ctrlPr>
          </m:sSubPr>
          <m:e>
            <m:r>
              <w:rPr>
                <w:rFonts w:ascii="Cambria Math" w:hAnsi="Cambria Math"/>
              </w:rPr>
              <m:t>Y</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it</m:t>
            </m:r>
          </m:sub>
        </m:sSub>
      </m:oMath>
      <w:r w:rsidR="008706FB" w:rsidRPr="008706FB">
        <w:tab/>
      </w:r>
      <w:r w:rsidR="008706FB" w:rsidRPr="008706FB">
        <w:tab/>
      </w:r>
      <w:r w:rsidR="008706FB" w:rsidRPr="008706FB">
        <w:tab/>
      </w:r>
      <w:r w:rsidR="008706FB" w:rsidRPr="008706FB">
        <w:tab/>
        <w:t>(</w:t>
      </w:r>
      <w:r w:rsidR="00045423">
        <w:t>1</w:t>
      </w:r>
      <w:r w:rsidR="008706FB" w:rsidRPr="008706FB">
        <w:t>)</w:t>
      </w:r>
    </w:p>
    <w:p w14:paraId="1851DED1" w14:textId="05680584" w:rsidR="003C6C19" w:rsidRPr="007F79B9" w:rsidRDefault="008706FB" w:rsidP="00892CE0">
      <w:pPr>
        <w:jc w:val="both"/>
      </w:pPr>
      <w:r w:rsidRPr="008706FB">
        <w:t xml:space="preserve">where </w:t>
      </w:r>
      <m:oMath>
        <m:sSub>
          <m:sSubPr>
            <m:ctrlPr>
              <w:rPr>
                <w:rFonts w:ascii="Cambria Math" w:hAnsi="Cambria Math"/>
                <w:i/>
              </w:rPr>
            </m:ctrlPr>
          </m:sSubPr>
          <m:e>
            <m:r>
              <w:rPr>
                <w:rFonts w:ascii="Cambria Math" w:hAnsi="Cambria Math"/>
              </w:rPr>
              <m:t>Y</m:t>
            </m:r>
          </m:e>
          <m:sub>
            <m:r>
              <w:rPr>
                <w:rFonts w:ascii="Cambria Math" w:hAnsi="Cambria Math"/>
              </w:rPr>
              <m:t>it</m:t>
            </m:r>
          </m:sub>
        </m:sSub>
      </m:oMath>
      <w:r w:rsidRPr="008706FB">
        <w:t xml:space="preserve"> is a vector of endogenous variables (bonds yields), </w:t>
      </w:r>
      <m:oMath>
        <m:sSub>
          <m:sSubPr>
            <m:ctrlPr>
              <w:rPr>
                <w:rFonts w:ascii="Cambria Math" w:hAnsi="Cambria Math"/>
                <w:i/>
              </w:rPr>
            </m:ctrlPr>
          </m:sSubPr>
          <m:e>
            <m:r>
              <m:rPr>
                <m:sty m:val="p"/>
              </m:rPr>
              <w:rPr>
                <w:rFonts w:ascii="Cambria Math" w:hAnsi="Cambria Math" w:hint="eastAsia"/>
              </w:rPr>
              <m:t>Γ</m:t>
            </m:r>
          </m:e>
          <m:sub>
            <m:r>
              <w:rPr>
                <w:rFonts w:ascii="Cambria Math" w:hAnsi="Cambria Math"/>
              </w:rPr>
              <m:t>0</m:t>
            </m:r>
          </m:sub>
        </m:sSub>
      </m:oMath>
      <w:r w:rsidR="00620B12">
        <w:rPr>
          <w:rFonts w:eastAsiaTheme="minorEastAsia"/>
        </w:rPr>
        <w:t xml:space="preserve"> </w:t>
      </w:r>
      <w:r w:rsidRPr="008706FB">
        <w:t xml:space="preserve">is a vector of constants, </w:t>
      </w:r>
      <m:oMath>
        <m:r>
          <w:rPr>
            <w:rFonts w:ascii="Cambria Math" w:hAnsi="Cambria Math"/>
          </w:rPr>
          <m:t xml:space="preserve"> Γ</m:t>
        </m:r>
        <m:d>
          <m:dPr>
            <m:ctrlPr>
              <w:rPr>
                <w:rFonts w:ascii="Cambria Math" w:hAnsi="Cambria Math"/>
                <w:i/>
              </w:rPr>
            </m:ctrlPr>
          </m:dPr>
          <m:e>
            <m:r>
              <w:rPr>
                <w:rFonts w:ascii="Cambria Math" w:hAnsi="Cambria Math"/>
              </w:rPr>
              <m:t>L</m:t>
            </m:r>
          </m:e>
        </m:d>
      </m:oMath>
      <w:r w:rsidR="00620B12">
        <w:rPr>
          <w:rFonts w:eastAsiaTheme="minorEastAsia"/>
          <w:noProof/>
        </w:rPr>
        <w:t xml:space="preserve"> </w:t>
      </w:r>
      <w:r w:rsidRPr="008706FB">
        <w:t xml:space="preserve">is a matrix polynomial in the lag operator, </w:t>
      </w:r>
      <m:oMath>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i</m:t>
            </m:r>
          </m:sub>
        </m:sSub>
      </m:oMath>
      <w:r w:rsidRPr="008706FB">
        <w:t xml:space="preserve"> is a matrix of country-specific fixed effects, and </w:t>
      </w:r>
      <m:oMath>
        <m:sSub>
          <m:sSubPr>
            <m:ctrlPr>
              <w:rPr>
                <w:rFonts w:ascii="Cambria Math" w:hAnsi="Cambria Math"/>
                <w:i/>
              </w:rPr>
            </m:ctrlPr>
          </m:sSubPr>
          <m:e>
            <m:r>
              <w:rPr>
                <w:rFonts w:ascii="Cambria Math" w:hAnsi="Cambria Math"/>
              </w:rPr>
              <m:t>ε</m:t>
            </m:r>
          </m:e>
          <m:sub>
            <m:r>
              <w:rPr>
                <w:rFonts w:ascii="Cambria Math" w:hAnsi="Cambria Math"/>
              </w:rPr>
              <m:t>it</m:t>
            </m:r>
          </m:sub>
        </m:sSub>
      </m:oMath>
      <w:r w:rsidRPr="008706FB">
        <w:t xml:space="preserve"> is a vector or error terms (with zero mean and country-specific variance).</w:t>
      </w:r>
    </w:p>
    <w:p w14:paraId="17DDBF69" w14:textId="77777777" w:rsidR="00892CE0" w:rsidRPr="007F79B9" w:rsidRDefault="008706FB" w:rsidP="00892CE0">
      <w:pPr>
        <w:ind w:firstLine="284"/>
        <w:jc w:val="both"/>
      </w:pPr>
      <w:r w:rsidRPr="008706FB">
        <w:t>However, the correlation between the fixed effects and the regressors due to lags of the dependent variables implies that the commonly used mean-differencing procedure creates biased coefficients (Holtz-Eaking et al. 1988). This drawback can be avoided by a two-step procedure. First, we use the “Helmert procedure”, that is, a forward mean-differencing approach that removes only the mean of all future observations available for each country-year (Arellano and Bover 1995).</w:t>
      </w:r>
      <w:r>
        <w:rPr>
          <w:rStyle w:val="FootnoteReference"/>
        </w:rPr>
        <w:footnoteReference w:id="5"/>
      </w:r>
      <w:r w:rsidRPr="008706FB">
        <w:t xml:space="preserve"> Second, we estimate the system by GMM and use the lags of the regressors as instruments, as the transformation keeps the orthogonality between lagged regressors and transformed variables </w:t>
      </w:r>
      <w:r w:rsidRPr="008706FB">
        <w:lastRenderedPageBreak/>
        <w:t>unchanged (Arellano and Bond 1991). In our model, the number of regressors is equal to the number of instruments. Consequently, the model is “just identified” and the system GMM is equivalent to estimating each equation by two-stage least squares. We tested all transformed variables for unit roots by using a Fisher-type test that allows for large T-small N panels (Choi 2001) and could reject them for all panels.</w:t>
      </w:r>
    </w:p>
    <w:p w14:paraId="3104DD90" w14:textId="737A4773" w:rsidR="00892CE0" w:rsidRPr="007F79B9" w:rsidRDefault="008706FB" w:rsidP="00892CE0">
      <w:pPr>
        <w:ind w:firstLine="284"/>
        <w:jc w:val="both"/>
      </w:pPr>
      <w:r w:rsidRPr="008706FB">
        <w:t xml:space="preserve">Another issue that deserves attention refers to the impulse-response functions. Given that the variance-covariance matrix of the error terms may not be diagonal, we need to decompose the residuals so that they become orthogonal. We follow the usual Choleski decomposition that order variables such that any potential correlation between the residuals of two elements is allocated to the variable that comes first. In all cases we ordered the bonds of guaranteeing powers first, starting with Great Britain and following with France and Russia. Because of the nature of international guaranties, we ordered the guaranteed bonds second, and the non-guaranteed domestic bonds last. We also experimented with different orderings within these three groups of bonds, where possible, but the results did not differ materially. Finally, given the relatively low frequency of the data, we only ran the models with one monthly lag. The results are described in Table </w:t>
      </w:r>
      <w:r w:rsidR="00045423">
        <w:t>A.2</w:t>
      </w:r>
      <w:r w:rsidRPr="008706FB">
        <w:t>, which lists the four models horizontally, i.e. each row identifies a left-hand side variable and the coefficients of the lags of itself and the other endogenous variables (listed in the columns), as appropriate.</w:t>
      </w:r>
    </w:p>
    <w:p w14:paraId="22B49C8E" w14:textId="3513EFD4" w:rsidR="00DF3150" w:rsidRPr="007F79B9" w:rsidRDefault="008706FB" w:rsidP="00DF3150">
      <w:pPr>
        <w:jc w:val="center"/>
        <w:rPr>
          <w:b/>
        </w:rPr>
      </w:pPr>
      <w:r w:rsidRPr="008706FB">
        <w:rPr>
          <w:b/>
        </w:rPr>
        <w:t xml:space="preserve">Table </w:t>
      </w:r>
      <w:r w:rsidR="00045423">
        <w:rPr>
          <w:b/>
        </w:rPr>
        <w:t>A.2</w:t>
      </w:r>
      <w:r w:rsidRPr="008706FB">
        <w:rPr>
          <w:b/>
        </w:rPr>
        <w:t xml:space="preserve"> here</w:t>
      </w:r>
    </w:p>
    <w:p w14:paraId="05E6B2C1" w14:textId="1051C990" w:rsidR="00DF3150" w:rsidRPr="007F79B9" w:rsidRDefault="008706FB" w:rsidP="00DF3150">
      <w:pPr>
        <w:jc w:val="both"/>
      </w:pPr>
      <w:r w:rsidRPr="008706FB">
        <w:t xml:space="preserve">With the exception of Greece, the models are almost diagonal. This is understandable given the low frequency of the data, which makes it harder to identify lagged effects of yield changes on to other bonds’ yields. This structure appears consistent with the ordering of the bonds, which is also confirmed by the impulse response functions (IRF) that come out of this exercise. These are represented in Figures </w:t>
      </w:r>
      <w:r w:rsidR="00045423">
        <w:t>A.</w:t>
      </w:r>
      <w:r w:rsidR="002210AE">
        <w:t>2</w:t>
      </w:r>
      <w:r w:rsidR="00045423">
        <w:t>-A.</w:t>
      </w:r>
      <w:r w:rsidR="002210AE">
        <w:t>5</w:t>
      </w:r>
      <w:r w:rsidRPr="008706FB">
        <w:t xml:space="preserve"> for up to six months, with 95% confidence intervals computed from Monte Carlo simulations.</w:t>
      </w:r>
    </w:p>
    <w:p w14:paraId="7E644E4E" w14:textId="37C4730A" w:rsidR="003C6C19" w:rsidRPr="007F79B9" w:rsidRDefault="008706FB" w:rsidP="00491844">
      <w:pPr>
        <w:jc w:val="center"/>
        <w:rPr>
          <w:b/>
        </w:rPr>
      </w:pPr>
      <w:r w:rsidRPr="008706FB">
        <w:rPr>
          <w:b/>
        </w:rPr>
        <w:t xml:space="preserve">Figures </w:t>
      </w:r>
      <w:r w:rsidR="00045423">
        <w:rPr>
          <w:b/>
        </w:rPr>
        <w:t>A.</w:t>
      </w:r>
      <w:r w:rsidR="002210AE">
        <w:rPr>
          <w:b/>
        </w:rPr>
        <w:t>2</w:t>
      </w:r>
      <w:r w:rsidRPr="008706FB">
        <w:rPr>
          <w:b/>
        </w:rPr>
        <w:t>-</w:t>
      </w:r>
      <w:r w:rsidR="00045423">
        <w:rPr>
          <w:b/>
        </w:rPr>
        <w:t>A.</w:t>
      </w:r>
      <w:r w:rsidR="002210AE">
        <w:rPr>
          <w:b/>
        </w:rPr>
        <w:t>5</w:t>
      </w:r>
      <w:r w:rsidRPr="008706FB">
        <w:rPr>
          <w:b/>
        </w:rPr>
        <w:t xml:space="preserve"> here</w:t>
      </w:r>
    </w:p>
    <w:p w14:paraId="691D0F61" w14:textId="6FD1AA00" w:rsidR="00491844" w:rsidRPr="007F79B9" w:rsidRDefault="008706FB" w:rsidP="00491844">
      <w:pPr>
        <w:jc w:val="both"/>
      </w:pPr>
      <w:r w:rsidRPr="008706FB">
        <w:t>Despite the low data frequency, the IRFs are consistent with the ordering of the variables in the PVARs in the sense that the variables ordered first do not respond to shocks to variables ordered later. For instance, the yields of British long-term bonds (consols), arguable the world benchmark, do not react to any other yields in the systems. French yields only react to shocks to British yields, and so on. In general, a shock to British yields has positive and long-lasting effects on all other bonds, which is in accordance with their benchmark status. The size of the effects is consistently below one, meaning that increases in the benchmark yield actually narrowed spreads, as has been found elsewhere (Eichengreen and Mody 2000). However, this can also be driven by the monthly frequency of the data, as most of the adjustment to a shock to British bonds might happen faster than after a month.</w:t>
      </w:r>
      <w:r>
        <w:rPr>
          <w:rStyle w:val="FootnoteReference"/>
        </w:rPr>
        <w:footnoteReference w:id="6"/>
      </w:r>
    </w:p>
    <w:p w14:paraId="1AE3DE9F" w14:textId="77777777" w:rsidR="00491844" w:rsidRPr="007F79B9" w:rsidRDefault="008706FB" w:rsidP="00DA2F4D">
      <w:pPr>
        <w:ind w:firstLine="284"/>
        <w:jc w:val="both"/>
      </w:pPr>
      <w:r w:rsidRPr="008706FB">
        <w:t xml:space="preserve">Shocks to the yields of other guaranteeing powers had permanent effects on guaranteed bonds but, generally, not on other domestic bonds. Or, when the impacts are statistically significant, they are either very small in economic terms (e.g. the IRF of the two Egyptian bonds–unified and state domain–to shocks to French yields) or non-persistent, as in the reactions of the Turkish and Greek </w:t>
      </w:r>
      <w:r w:rsidRPr="008706FB">
        <w:lastRenderedPageBreak/>
        <w:t>non-guaranteed bonds to shocks to French or Russian yields. The size of the reactions of the yields of guaranteed bonds was also consistent with the ordering of the guaranteeing powers, being larger in the IRF to shocks to British yields than to French and Russian. This then establishes a pecking order of guarantors, with British bonds clearly setting the benchmark for all other countries’ yield curves. It also reinforces the conclusion we got from factor analysis, in terms of the distinction in the way markets priced guaranteed and non-guaranteed bonds. The former reacted to the cost of credit of the guaranteeing powers, whereas the latter did not – with the exception of the British benchmark. Moreover, with but one exception, the yields on guaranteed bonds also did not react to shocks to the yields of non-guaranteed domestic bonds, further underscoring the separation of the two classes of bonds over the long-run.</w:t>
      </w:r>
      <w:r>
        <w:rPr>
          <w:rStyle w:val="FootnoteReference"/>
        </w:rPr>
        <w:footnoteReference w:id="7"/>
      </w:r>
    </w:p>
    <w:p w14:paraId="32E04032" w14:textId="5973AC06" w:rsidR="00A816A3" w:rsidRPr="007F79B9" w:rsidRDefault="008706FB" w:rsidP="00DA2F4D">
      <w:pPr>
        <w:ind w:firstLine="284"/>
        <w:jc w:val="both"/>
      </w:pPr>
      <w:r w:rsidRPr="008706FB">
        <w:t xml:space="preserve">The same interpretation is confirmed by decomposing the variance of the individual yield series in Tables </w:t>
      </w:r>
      <w:r w:rsidR="00045423">
        <w:t>A.3-A.6</w:t>
      </w:r>
      <w:r w:rsidRPr="008706FB">
        <w:t xml:space="preserve">, where British yields dominate among the share of variance explained by foreign powers. </w:t>
      </w:r>
    </w:p>
    <w:p w14:paraId="600B8E1C" w14:textId="459B3CEB" w:rsidR="000B334C" w:rsidRPr="007F79B9" w:rsidRDefault="008706FB" w:rsidP="000B334C">
      <w:pPr>
        <w:jc w:val="center"/>
        <w:rPr>
          <w:b/>
        </w:rPr>
      </w:pPr>
      <w:r w:rsidRPr="008706FB">
        <w:rPr>
          <w:b/>
        </w:rPr>
        <w:t xml:space="preserve">Tables </w:t>
      </w:r>
      <w:r w:rsidR="00045423">
        <w:rPr>
          <w:b/>
        </w:rPr>
        <w:t>A.3-A.6</w:t>
      </w:r>
      <w:r w:rsidRPr="008706FB">
        <w:rPr>
          <w:b/>
        </w:rPr>
        <w:t xml:space="preserve"> here</w:t>
      </w:r>
    </w:p>
    <w:p w14:paraId="5F980917" w14:textId="6F7CDBEF" w:rsidR="008F077A" w:rsidRDefault="008706FB" w:rsidP="00942DF3">
      <w:pPr>
        <w:jc w:val="both"/>
      </w:pPr>
      <w:r w:rsidRPr="008706FB">
        <w:t>The remaining information in the variance decomposition tables confirms the results of the IRFs and of the factor analysis. In all four cases, the variance of the yield of guaranteed bonds reacted more to the yields of the guaranteeing powers than of non-guaranteed bonds. Conversely, the variance of non-guaranteed bonds is hardly explained by the behaviour of the guaranteed bonds and reacts more to domestic developments, although not escaping the impact of changes in the market benchmark, the British consols. Coming back to the Chinese case, Table 11 shows how the variance of the British-German Cassel loan was very dependent on British consol yields. Actually, the formally Russian-guaranteed 4% loan of 1895 was even more dependent on British yields. The Cassel bonds also reacted slightly less to Russian yields than the guaranteed bond, as expected, although the credit of this guaranteeing power barely explains 6% of the variance of both loans. This is suggestive, as mentioned previously, of the existence of financial spheres of influence as expressed in bond prices, but it also reveals the smaller relevance of a formal guaranty by a power of dubious credit itself.</w:t>
      </w:r>
    </w:p>
    <w:p w14:paraId="681BBDB1" w14:textId="77777777" w:rsidR="009D4CF3" w:rsidRPr="007F79B9" w:rsidRDefault="009D4CF3" w:rsidP="00942DF3">
      <w:pPr>
        <w:jc w:val="both"/>
        <w:sectPr w:rsidR="009D4CF3" w:rsidRPr="007F79B9" w:rsidSect="00942DF3">
          <w:footerReference w:type="even" r:id="rId8"/>
          <w:footerReference w:type="default" r:id="rId9"/>
          <w:footerReference w:type="first" r:id="rId10"/>
          <w:pgSz w:w="11906" w:h="16838" w:code="9"/>
          <w:pgMar w:top="1440" w:right="1440" w:bottom="1440" w:left="1440" w:header="709" w:footer="709" w:gutter="0"/>
          <w:pgNumType w:start="1"/>
          <w:cols w:space="708"/>
          <w:docGrid w:linePitch="360"/>
        </w:sectPr>
      </w:pPr>
    </w:p>
    <w:p w14:paraId="7FAD4D4D" w14:textId="19DDB777" w:rsidR="006254F0" w:rsidRDefault="008706FB" w:rsidP="00634AC3">
      <w:pPr>
        <w:pStyle w:val="ListParagraph"/>
        <w:ind w:left="0"/>
        <w:contextualSpacing w:val="0"/>
        <w:jc w:val="center"/>
        <w:rPr>
          <w:b/>
        </w:rPr>
      </w:pPr>
      <w:r w:rsidRPr="008706FB">
        <w:rPr>
          <w:b/>
        </w:rPr>
        <w:lastRenderedPageBreak/>
        <w:t xml:space="preserve">Table </w:t>
      </w:r>
      <w:r w:rsidR="00045423">
        <w:rPr>
          <w:b/>
        </w:rPr>
        <w:t>A.1</w:t>
      </w:r>
      <w:r w:rsidRPr="008706FB">
        <w:rPr>
          <w:b/>
        </w:rPr>
        <w:t>: Tests of Dilution</w:t>
      </w:r>
    </w:p>
    <w:tbl>
      <w:tblPr>
        <w:tblW w:w="0" w:type="auto"/>
        <w:jc w:val="center"/>
        <w:tblLook w:val="04A0" w:firstRow="1" w:lastRow="0" w:firstColumn="1" w:lastColumn="0" w:noHBand="0" w:noVBand="1"/>
      </w:tblPr>
      <w:tblGrid>
        <w:gridCol w:w="472"/>
        <w:gridCol w:w="851"/>
        <w:gridCol w:w="979"/>
        <w:gridCol w:w="851"/>
        <w:gridCol w:w="979"/>
        <w:gridCol w:w="851"/>
        <w:gridCol w:w="979"/>
        <w:gridCol w:w="1008"/>
        <w:gridCol w:w="979"/>
        <w:gridCol w:w="941"/>
        <w:gridCol w:w="979"/>
        <w:gridCol w:w="941"/>
        <w:gridCol w:w="1008"/>
      </w:tblGrid>
      <w:tr w:rsidR="009038E1" w:rsidRPr="00342DF8" w14:paraId="7BF7F30C" w14:textId="77777777" w:rsidTr="00942DF3">
        <w:trPr>
          <w:trHeight w:val="280"/>
          <w:jc w:val="center"/>
        </w:trPr>
        <w:tc>
          <w:tcPr>
            <w:tcW w:w="0" w:type="auto"/>
            <w:tcBorders>
              <w:top w:val="single" w:sz="4" w:space="0" w:color="auto"/>
              <w:left w:val="nil"/>
              <w:bottom w:val="nil"/>
              <w:right w:val="nil"/>
            </w:tcBorders>
            <w:shd w:val="clear" w:color="auto" w:fill="auto"/>
            <w:noWrap/>
            <w:vAlign w:val="bottom"/>
            <w:hideMark/>
          </w:tcPr>
          <w:p w14:paraId="02F70859" w14:textId="77777777" w:rsidR="00CA409F" w:rsidRPr="00942DF3" w:rsidRDefault="00CA409F" w:rsidP="00CA409F">
            <w:pPr>
              <w:spacing w:after="0" w:line="240" w:lineRule="auto"/>
              <w:rPr>
                <w:rFonts w:ascii="Calibri" w:eastAsia="Times New Roman" w:hAnsi="Calibri" w:cs="Times New Roman"/>
                <w:color w:val="000000"/>
              </w:rPr>
            </w:pPr>
          </w:p>
        </w:tc>
        <w:tc>
          <w:tcPr>
            <w:tcW w:w="0" w:type="auto"/>
            <w:gridSpan w:val="6"/>
            <w:tcBorders>
              <w:top w:val="single" w:sz="4" w:space="0" w:color="auto"/>
              <w:left w:val="nil"/>
              <w:bottom w:val="nil"/>
              <w:right w:val="nil"/>
            </w:tcBorders>
            <w:shd w:val="clear" w:color="auto" w:fill="auto"/>
            <w:noWrap/>
            <w:vAlign w:val="bottom"/>
            <w:hideMark/>
          </w:tcPr>
          <w:p w14:paraId="5A07DE2D" w14:textId="77777777" w:rsidR="00CA409F" w:rsidRPr="00942DF3" w:rsidRDefault="00CA409F" w:rsidP="00CA409F">
            <w:pPr>
              <w:keepNext/>
              <w:keepLines/>
              <w:spacing w:before="200" w:after="0" w:line="240" w:lineRule="auto"/>
              <w:jc w:val="center"/>
              <w:outlineLvl w:val="7"/>
              <w:rPr>
                <w:rFonts w:ascii="Calibri" w:eastAsia="Times New Roman" w:hAnsi="Calibri" w:cs="Times New Roman"/>
                <w:b/>
                <w:bCs/>
                <w:color w:val="000000"/>
              </w:rPr>
            </w:pPr>
            <w:r w:rsidRPr="00342DF8">
              <w:rPr>
                <w:rFonts w:ascii="Calibri" w:eastAsia="Times New Roman" w:hAnsi="Calibri" w:cs="Times New Roman"/>
                <w:b/>
                <w:bCs/>
                <w:color w:val="000000"/>
              </w:rPr>
              <w:t>Event window = 2 days</w:t>
            </w:r>
          </w:p>
        </w:tc>
        <w:tc>
          <w:tcPr>
            <w:tcW w:w="0" w:type="auto"/>
            <w:gridSpan w:val="6"/>
            <w:tcBorders>
              <w:top w:val="single" w:sz="4" w:space="0" w:color="auto"/>
              <w:left w:val="nil"/>
              <w:bottom w:val="nil"/>
              <w:right w:val="nil"/>
            </w:tcBorders>
            <w:shd w:val="clear" w:color="auto" w:fill="auto"/>
            <w:noWrap/>
            <w:vAlign w:val="bottom"/>
            <w:hideMark/>
          </w:tcPr>
          <w:p w14:paraId="7AE345C1" w14:textId="77777777" w:rsidR="00CA409F" w:rsidRPr="00942DF3" w:rsidRDefault="00CA409F" w:rsidP="00CA409F">
            <w:pPr>
              <w:keepNext/>
              <w:keepLines/>
              <w:spacing w:before="200" w:after="0" w:line="240" w:lineRule="auto"/>
              <w:jc w:val="center"/>
              <w:outlineLvl w:val="7"/>
              <w:rPr>
                <w:rFonts w:ascii="Calibri" w:eastAsia="Times New Roman" w:hAnsi="Calibri" w:cs="Times New Roman"/>
                <w:b/>
                <w:bCs/>
                <w:color w:val="000000"/>
              </w:rPr>
            </w:pPr>
            <w:r w:rsidRPr="00342DF8">
              <w:rPr>
                <w:rFonts w:ascii="Calibri" w:eastAsia="Times New Roman" w:hAnsi="Calibri" w:cs="Times New Roman"/>
                <w:b/>
                <w:bCs/>
                <w:color w:val="000000"/>
              </w:rPr>
              <w:t>Event window = C.I.s of Bai-Perron breakpoint tests</w:t>
            </w:r>
          </w:p>
        </w:tc>
      </w:tr>
      <w:tr w:rsidR="009038E1" w:rsidRPr="00342DF8" w14:paraId="411038DC" w14:textId="77777777" w:rsidTr="00942DF3">
        <w:trPr>
          <w:trHeight w:val="280"/>
          <w:jc w:val="center"/>
        </w:trPr>
        <w:tc>
          <w:tcPr>
            <w:tcW w:w="0" w:type="auto"/>
            <w:tcBorders>
              <w:top w:val="nil"/>
              <w:left w:val="nil"/>
              <w:bottom w:val="nil"/>
              <w:right w:val="nil"/>
            </w:tcBorders>
            <w:shd w:val="clear" w:color="auto" w:fill="auto"/>
            <w:noWrap/>
            <w:vAlign w:val="bottom"/>
            <w:hideMark/>
          </w:tcPr>
          <w:p w14:paraId="72340FF6" w14:textId="77777777" w:rsidR="00CA409F" w:rsidRPr="00942DF3" w:rsidRDefault="00CA409F" w:rsidP="00CA409F">
            <w:pPr>
              <w:spacing w:after="0" w:line="240" w:lineRule="auto"/>
              <w:rPr>
                <w:rFonts w:ascii="Calibri" w:eastAsia="Times New Roman" w:hAnsi="Calibri" w:cs="Times New Roman"/>
                <w:color w:val="000000"/>
              </w:rPr>
            </w:pPr>
          </w:p>
        </w:tc>
        <w:tc>
          <w:tcPr>
            <w:tcW w:w="0" w:type="auto"/>
            <w:gridSpan w:val="2"/>
            <w:tcBorders>
              <w:top w:val="nil"/>
              <w:left w:val="nil"/>
              <w:bottom w:val="nil"/>
              <w:right w:val="nil"/>
            </w:tcBorders>
            <w:shd w:val="clear" w:color="auto" w:fill="auto"/>
            <w:noWrap/>
            <w:vAlign w:val="bottom"/>
            <w:hideMark/>
          </w:tcPr>
          <w:p w14:paraId="52555344" w14:textId="77777777" w:rsidR="00CA409F" w:rsidRPr="00942DF3" w:rsidRDefault="00CA409F" w:rsidP="00CA409F">
            <w:pPr>
              <w:keepNext/>
              <w:keepLines/>
              <w:spacing w:before="200" w:after="0" w:line="240" w:lineRule="auto"/>
              <w:jc w:val="center"/>
              <w:outlineLvl w:val="7"/>
              <w:rPr>
                <w:rFonts w:ascii="Calibri" w:eastAsia="Times New Roman" w:hAnsi="Calibri" w:cs="Times New Roman"/>
                <w:b/>
                <w:bCs/>
                <w:color w:val="000000"/>
              </w:rPr>
            </w:pPr>
            <w:r w:rsidRPr="00342DF8">
              <w:rPr>
                <w:rFonts w:ascii="Calibri" w:eastAsia="Times New Roman" w:hAnsi="Calibri" w:cs="Times New Roman"/>
                <w:b/>
                <w:bCs/>
                <w:color w:val="000000"/>
              </w:rPr>
              <w:t>15 days</w:t>
            </w:r>
          </w:p>
        </w:tc>
        <w:tc>
          <w:tcPr>
            <w:tcW w:w="0" w:type="auto"/>
            <w:gridSpan w:val="2"/>
            <w:tcBorders>
              <w:top w:val="nil"/>
              <w:left w:val="nil"/>
              <w:bottom w:val="nil"/>
              <w:right w:val="nil"/>
            </w:tcBorders>
            <w:shd w:val="clear" w:color="auto" w:fill="auto"/>
            <w:noWrap/>
            <w:vAlign w:val="bottom"/>
            <w:hideMark/>
          </w:tcPr>
          <w:p w14:paraId="2E683E22" w14:textId="77777777" w:rsidR="00CA409F" w:rsidRPr="00942DF3" w:rsidRDefault="00CA409F" w:rsidP="00CA409F">
            <w:pPr>
              <w:keepNext/>
              <w:keepLines/>
              <w:spacing w:before="200" w:after="0" w:line="240" w:lineRule="auto"/>
              <w:jc w:val="center"/>
              <w:outlineLvl w:val="7"/>
              <w:rPr>
                <w:rFonts w:ascii="Calibri" w:eastAsia="Times New Roman" w:hAnsi="Calibri" w:cs="Times New Roman"/>
                <w:b/>
                <w:bCs/>
                <w:color w:val="000000"/>
              </w:rPr>
            </w:pPr>
            <w:r w:rsidRPr="00342DF8">
              <w:rPr>
                <w:rFonts w:ascii="Calibri" w:eastAsia="Times New Roman" w:hAnsi="Calibri" w:cs="Times New Roman"/>
                <w:b/>
                <w:bCs/>
                <w:color w:val="000000"/>
              </w:rPr>
              <w:t>20 days</w:t>
            </w:r>
          </w:p>
        </w:tc>
        <w:tc>
          <w:tcPr>
            <w:tcW w:w="0" w:type="auto"/>
            <w:gridSpan w:val="2"/>
            <w:tcBorders>
              <w:top w:val="nil"/>
              <w:left w:val="nil"/>
              <w:bottom w:val="nil"/>
              <w:right w:val="nil"/>
            </w:tcBorders>
            <w:shd w:val="clear" w:color="auto" w:fill="auto"/>
            <w:noWrap/>
            <w:vAlign w:val="bottom"/>
            <w:hideMark/>
          </w:tcPr>
          <w:p w14:paraId="70245D70" w14:textId="77777777" w:rsidR="00CA409F" w:rsidRPr="00942DF3" w:rsidRDefault="00CA409F" w:rsidP="00CA409F">
            <w:pPr>
              <w:keepNext/>
              <w:keepLines/>
              <w:spacing w:before="200" w:after="0" w:line="240" w:lineRule="auto"/>
              <w:jc w:val="center"/>
              <w:outlineLvl w:val="7"/>
              <w:rPr>
                <w:rFonts w:ascii="Calibri" w:eastAsia="Times New Roman" w:hAnsi="Calibri" w:cs="Times New Roman"/>
                <w:b/>
                <w:bCs/>
                <w:color w:val="000000"/>
              </w:rPr>
            </w:pPr>
            <w:r w:rsidRPr="00342DF8">
              <w:rPr>
                <w:rFonts w:ascii="Calibri" w:eastAsia="Times New Roman" w:hAnsi="Calibri" w:cs="Times New Roman"/>
                <w:b/>
                <w:bCs/>
                <w:color w:val="000000"/>
              </w:rPr>
              <w:t>30 days</w:t>
            </w:r>
          </w:p>
        </w:tc>
        <w:tc>
          <w:tcPr>
            <w:tcW w:w="0" w:type="auto"/>
            <w:gridSpan w:val="2"/>
            <w:tcBorders>
              <w:top w:val="nil"/>
              <w:left w:val="nil"/>
              <w:bottom w:val="nil"/>
              <w:right w:val="nil"/>
            </w:tcBorders>
            <w:shd w:val="clear" w:color="auto" w:fill="auto"/>
            <w:noWrap/>
            <w:vAlign w:val="bottom"/>
            <w:hideMark/>
          </w:tcPr>
          <w:p w14:paraId="3E218FA4" w14:textId="77777777" w:rsidR="00CA409F" w:rsidRPr="00942DF3" w:rsidRDefault="00CA409F" w:rsidP="00CA409F">
            <w:pPr>
              <w:keepNext/>
              <w:keepLines/>
              <w:spacing w:before="200" w:after="0" w:line="240" w:lineRule="auto"/>
              <w:jc w:val="center"/>
              <w:outlineLvl w:val="7"/>
              <w:rPr>
                <w:rFonts w:ascii="Calibri" w:eastAsia="Times New Roman" w:hAnsi="Calibri" w:cs="Times New Roman"/>
                <w:b/>
                <w:bCs/>
                <w:color w:val="000000"/>
              </w:rPr>
            </w:pPr>
            <w:r w:rsidRPr="00342DF8">
              <w:rPr>
                <w:rFonts w:ascii="Calibri" w:eastAsia="Times New Roman" w:hAnsi="Calibri" w:cs="Times New Roman"/>
                <w:b/>
                <w:bCs/>
                <w:color w:val="000000"/>
              </w:rPr>
              <w:t>15 days</w:t>
            </w:r>
          </w:p>
        </w:tc>
        <w:tc>
          <w:tcPr>
            <w:tcW w:w="0" w:type="auto"/>
            <w:gridSpan w:val="2"/>
            <w:tcBorders>
              <w:top w:val="nil"/>
              <w:left w:val="nil"/>
              <w:bottom w:val="nil"/>
              <w:right w:val="nil"/>
            </w:tcBorders>
            <w:shd w:val="clear" w:color="auto" w:fill="auto"/>
            <w:noWrap/>
            <w:vAlign w:val="bottom"/>
            <w:hideMark/>
          </w:tcPr>
          <w:p w14:paraId="28906D75" w14:textId="77777777" w:rsidR="00CA409F" w:rsidRPr="00942DF3" w:rsidRDefault="00CA409F" w:rsidP="00CA409F">
            <w:pPr>
              <w:keepNext/>
              <w:keepLines/>
              <w:spacing w:before="200" w:after="0" w:line="240" w:lineRule="auto"/>
              <w:jc w:val="center"/>
              <w:outlineLvl w:val="7"/>
              <w:rPr>
                <w:rFonts w:ascii="Calibri" w:eastAsia="Times New Roman" w:hAnsi="Calibri" w:cs="Times New Roman"/>
                <w:b/>
                <w:bCs/>
                <w:color w:val="000000"/>
              </w:rPr>
            </w:pPr>
            <w:r w:rsidRPr="00342DF8">
              <w:rPr>
                <w:rFonts w:ascii="Calibri" w:eastAsia="Times New Roman" w:hAnsi="Calibri" w:cs="Times New Roman"/>
                <w:b/>
                <w:bCs/>
                <w:color w:val="000000"/>
              </w:rPr>
              <w:t>20 days</w:t>
            </w:r>
          </w:p>
        </w:tc>
        <w:tc>
          <w:tcPr>
            <w:tcW w:w="0" w:type="auto"/>
            <w:gridSpan w:val="2"/>
            <w:tcBorders>
              <w:top w:val="nil"/>
              <w:left w:val="nil"/>
              <w:bottom w:val="nil"/>
              <w:right w:val="nil"/>
            </w:tcBorders>
            <w:shd w:val="clear" w:color="auto" w:fill="auto"/>
            <w:noWrap/>
            <w:vAlign w:val="bottom"/>
            <w:hideMark/>
          </w:tcPr>
          <w:p w14:paraId="47C3E40A" w14:textId="77777777" w:rsidR="00CA409F" w:rsidRPr="00942DF3" w:rsidRDefault="00CA409F" w:rsidP="00CA409F">
            <w:pPr>
              <w:keepNext/>
              <w:keepLines/>
              <w:spacing w:before="200" w:after="0" w:line="240" w:lineRule="auto"/>
              <w:jc w:val="center"/>
              <w:outlineLvl w:val="7"/>
              <w:rPr>
                <w:rFonts w:ascii="Calibri" w:eastAsia="Times New Roman" w:hAnsi="Calibri" w:cs="Times New Roman"/>
                <w:b/>
                <w:bCs/>
                <w:color w:val="000000"/>
              </w:rPr>
            </w:pPr>
            <w:r w:rsidRPr="00342DF8">
              <w:rPr>
                <w:rFonts w:ascii="Calibri" w:eastAsia="Times New Roman" w:hAnsi="Calibri" w:cs="Times New Roman"/>
                <w:b/>
                <w:bCs/>
                <w:color w:val="000000"/>
              </w:rPr>
              <w:t>30 days</w:t>
            </w:r>
          </w:p>
        </w:tc>
      </w:tr>
      <w:tr w:rsidR="009038E1" w:rsidRPr="00342DF8" w14:paraId="36F4F0A9" w14:textId="77777777" w:rsidTr="00942DF3">
        <w:trPr>
          <w:trHeight w:val="280"/>
          <w:jc w:val="center"/>
        </w:trPr>
        <w:tc>
          <w:tcPr>
            <w:tcW w:w="0" w:type="auto"/>
            <w:tcBorders>
              <w:top w:val="nil"/>
              <w:left w:val="nil"/>
              <w:bottom w:val="double" w:sz="4" w:space="0" w:color="auto"/>
              <w:right w:val="nil"/>
            </w:tcBorders>
            <w:shd w:val="clear" w:color="auto" w:fill="auto"/>
            <w:noWrap/>
            <w:vAlign w:val="bottom"/>
            <w:hideMark/>
          </w:tcPr>
          <w:p w14:paraId="266238F9" w14:textId="77777777" w:rsidR="00CA409F" w:rsidRPr="00942DF3" w:rsidRDefault="00CA409F" w:rsidP="00CA409F">
            <w:pPr>
              <w:spacing w:after="0" w:line="240" w:lineRule="auto"/>
              <w:rPr>
                <w:rFonts w:ascii="Calibri" w:eastAsia="Times New Roman" w:hAnsi="Calibri" w:cs="Times New Roman"/>
                <w:color w:val="000000"/>
              </w:rPr>
            </w:pPr>
          </w:p>
        </w:tc>
        <w:tc>
          <w:tcPr>
            <w:tcW w:w="0" w:type="auto"/>
            <w:tcBorders>
              <w:top w:val="nil"/>
              <w:left w:val="nil"/>
              <w:bottom w:val="double" w:sz="4" w:space="0" w:color="auto"/>
              <w:right w:val="nil"/>
            </w:tcBorders>
            <w:shd w:val="clear" w:color="auto" w:fill="auto"/>
            <w:noWrap/>
            <w:vAlign w:val="bottom"/>
            <w:hideMark/>
          </w:tcPr>
          <w:p w14:paraId="21307543" w14:textId="36EA7777" w:rsidR="00CA409F" w:rsidRPr="00942DF3" w:rsidRDefault="009038E1" w:rsidP="00CA409F">
            <w:pPr>
              <w:keepNext/>
              <w:keepLines/>
              <w:spacing w:before="200" w:after="0" w:line="240" w:lineRule="auto"/>
              <w:outlineLvl w:val="7"/>
              <w:rPr>
                <w:rFonts w:ascii="Calibri" w:eastAsia="Times New Roman" w:hAnsi="Calibri" w:cs="Times New Roman"/>
                <w:b/>
                <w:bCs/>
                <w:color w:val="000000"/>
              </w:rPr>
            </w:pPr>
            <w:r w:rsidRPr="00942DF3">
              <w:rPr>
                <w:rFonts w:ascii="Calibri" w:eastAsia="Times New Roman" w:hAnsi="Calibri" w:cs="Times New Roman"/>
                <w:b/>
                <w:bCs/>
                <w:color w:val="000000"/>
              </w:rPr>
              <w:t>before</w:t>
            </w:r>
          </w:p>
        </w:tc>
        <w:tc>
          <w:tcPr>
            <w:tcW w:w="0" w:type="auto"/>
            <w:tcBorders>
              <w:top w:val="nil"/>
              <w:left w:val="nil"/>
              <w:bottom w:val="double" w:sz="4" w:space="0" w:color="auto"/>
              <w:right w:val="nil"/>
            </w:tcBorders>
            <w:shd w:val="clear" w:color="auto" w:fill="auto"/>
            <w:noWrap/>
            <w:vAlign w:val="bottom"/>
            <w:hideMark/>
          </w:tcPr>
          <w:p w14:paraId="5B0F45C8" w14:textId="77777777" w:rsidR="00CA409F" w:rsidRPr="00942DF3" w:rsidRDefault="00CA409F" w:rsidP="00CA409F">
            <w:pPr>
              <w:keepNext/>
              <w:keepLines/>
              <w:spacing w:before="200" w:after="0" w:line="240" w:lineRule="auto"/>
              <w:outlineLvl w:val="7"/>
              <w:rPr>
                <w:rFonts w:ascii="Calibri" w:eastAsia="Times New Roman" w:hAnsi="Calibri" w:cs="Times New Roman"/>
                <w:b/>
                <w:bCs/>
                <w:color w:val="000000"/>
              </w:rPr>
            </w:pPr>
            <w:r w:rsidRPr="00342DF8">
              <w:rPr>
                <w:rFonts w:ascii="Calibri" w:eastAsia="Times New Roman" w:hAnsi="Calibri" w:cs="Times New Roman"/>
                <w:b/>
                <w:bCs/>
                <w:color w:val="000000"/>
              </w:rPr>
              <w:t>bilateral</w:t>
            </w:r>
          </w:p>
        </w:tc>
        <w:tc>
          <w:tcPr>
            <w:tcW w:w="0" w:type="auto"/>
            <w:tcBorders>
              <w:top w:val="nil"/>
              <w:left w:val="nil"/>
              <w:bottom w:val="double" w:sz="4" w:space="0" w:color="auto"/>
              <w:right w:val="nil"/>
            </w:tcBorders>
            <w:shd w:val="clear" w:color="auto" w:fill="auto"/>
            <w:noWrap/>
            <w:vAlign w:val="bottom"/>
            <w:hideMark/>
          </w:tcPr>
          <w:p w14:paraId="73F4FD91" w14:textId="3830AA0E" w:rsidR="00CA409F" w:rsidRPr="00942DF3" w:rsidRDefault="009038E1" w:rsidP="00CA409F">
            <w:pPr>
              <w:keepNext/>
              <w:keepLines/>
              <w:spacing w:before="200" w:after="0" w:line="240" w:lineRule="auto"/>
              <w:outlineLvl w:val="7"/>
              <w:rPr>
                <w:rFonts w:ascii="Calibri" w:eastAsia="Times New Roman" w:hAnsi="Calibri" w:cs="Times New Roman"/>
                <w:b/>
                <w:bCs/>
                <w:color w:val="000000"/>
              </w:rPr>
            </w:pPr>
            <w:r w:rsidRPr="00942DF3">
              <w:rPr>
                <w:rFonts w:ascii="Calibri" w:eastAsia="Times New Roman" w:hAnsi="Calibri" w:cs="Times New Roman"/>
                <w:b/>
                <w:bCs/>
                <w:color w:val="000000"/>
              </w:rPr>
              <w:t>before</w:t>
            </w:r>
          </w:p>
        </w:tc>
        <w:tc>
          <w:tcPr>
            <w:tcW w:w="0" w:type="auto"/>
            <w:tcBorders>
              <w:top w:val="nil"/>
              <w:left w:val="nil"/>
              <w:bottom w:val="double" w:sz="4" w:space="0" w:color="auto"/>
              <w:right w:val="nil"/>
            </w:tcBorders>
            <w:shd w:val="clear" w:color="auto" w:fill="auto"/>
            <w:noWrap/>
            <w:vAlign w:val="bottom"/>
            <w:hideMark/>
          </w:tcPr>
          <w:p w14:paraId="18B0A3CE" w14:textId="77777777" w:rsidR="00CA409F" w:rsidRPr="00942DF3" w:rsidRDefault="00CA409F" w:rsidP="00CA409F">
            <w:pPr>
              <w:keepNext/>
              <w:keepLines/>
              <w:spacing w:before="200" w:after="0" w:line="240" w:lineRule="auto"/>
              <w:outlineLvl w:val="7"/>
              <w:rPr>
                <w:rFonts w:ascii="Calibri" w:eastAsia="Times New Roman" w:hAnsi="Calibri" w:cs="Times New Roman"/>
                <w:b/>
                <w:bCs/>
                <w:color w:val="000000"/>
              </w:rPr>
            </w:pPr>
            <w:r w:rsidRPr="00342DF8">
              <w:rPr>
                <w:rFonts w:ascii="Calibri" w:eastAsia="Times New Roman" w:hAnsi="Calibri" w:cs="Times New Roman"/>
                <w:b/>
                <w:bCs/>
                <w:color w:val="000000"/>
              </w:rPr>
              <w:t>bilateral</w:t>
            </w:r>
          </w:p>
        </w:tc>
        <w:tc>
          <w:tcPr>
            <w:tcW w:w="0" w:type="auto"/>
            <w:tcBorders>
              <w:top w:val="nil"/>
              <w:left w:val="nil"/>
              <w:bottom w:val="double" w:sz="4" w:space="0" w:color="auto"/>
              <w:right w:val="nil"/>
            </w:tcBorders>
            <w:shd w:val="clear" w:color="auto" w:fill="auto"/>
            <w:noWrap/>
            <w:vAlign w:val="bottom"/>
            <w:hideMark/>
          </w:tcPr>
          <w:p w14:paraId="4B88E0B0" w14:textId="0A5E4CF8" w:rsidR="00CA409F" w:rsidRPr="00942DF3" w:rsidRDefault="009038E1" w:rsidP="00CA409F">
            <w:pPr>
              <w:keepNext/>
              <w:keepLines/>
              <w:spacing w:before="200" w:after="0" w:line="240" w:lineRule="auto"/>
              <w:outlineLvl w:val="7"/>
              <w:rPr>
                <w:rFonts w:ascii="Calibri" w:eastAsia="Times New Roman" w:hAnsi="Calibri" w:cs="Times New Roman"/>
                <w:b/>
                <w:bCs/>
                <w:color w:val="000000"/>
              </w:rPr>
            </w:pPr>
            <w:r w:rsidRPr="00942DF3">
              <w:rPr>
                <w:rFonts w:ascii="Calibri" w:eastAsia="Times New Roman" w:hAnsi="Calibri" w:cs="Times New Roman"/>
                <w:b/>
                <w:bCs/>
                <w:color w:val="000000"/>
              </w:rPr>
              <w:t>before</w:t>
            </w:r>
          </w:p>
        </w:tc>
        <w:tc>
          <w:tcPr>
            <w:tcW w:w="0" w:type="auto"/>
            <w:tcBorders>
              <w:top w:val="nil"/>
              <w:left w:val="nil"/>
              <w:bottom w:val="double" w:sz="4" w:space="0" w:color="auto"/>
              <w:right w:val="nil"/>
            </w:tcBorders>
            <w:shd w:val="clear" w:color="auto" w:fill="auto"/>
            <w:noWrap/>
            <w:vAlign w:val="bottom"/>
            <w:hideMark/>
          </w:tcPr>
          <w:p w14:paraId="5D20AB62" w14:textId="77777777" w:rsidR="00CA409F" w:rsidRPr="00942DF3" w:rsidRDefault="00CA409F" w:rsidP="00CA409F">
            <w:pPr>
              <w:keepNext/>
              <w:keepLines/>
              <w:spacing w:before="200" w:after="0" w:line="240" w:lineRule="auto"/>
              <w:outlineLvl w:val="7"/>
              <w:rPr>
                <w:rFonts w:ascii="Calibri" w:eastAsia="Times New Roman" w:hAnsi="Calibri" w:cs="Times New Roman"/>
                <w:b/>
                <w:bCs/>
                <w:color w:val="000000"/>
              </w:rPr>
            </w:pPr>
            <w:r w:rsidRPr="00342DF8">
              <w:rPr>
                <w:rFonts w:ascii="Calibri" w:eastAsia="Times New Roman" w:hAnsi="Calibri" w:cs="Times New Roman"/>
                <w:b/>
                <w:bCs/>
                <w:color w:val="000000"/>
              </w:rPr>
              <w:t>bilateral</w:t>
            </w:r>
          </w:p>
        </w:tc>
        <w:tc>
          <w:tcPr>
            <w:tcW w:w="0" w:type="auto"/>
            <w:tcBorders>
              <w:top w:val="nil"/>
              <w:left w:val="nil"/>
              <w:bottom w:val="double" w:sz="4" w:space="0" w:color="auto"/>
              <w:right w:val="nil"/>
            </w:tcBorders>
            <w:shd w:val="clear" w:color="auto" w:fill="auto"/>
            <w:noWrap/>
            <w:vAlign w:val="bottom"/>
            <w:hideMark/>
          </w:tcPr>
          <w:p w14:paraId="495BBA93" w14:textId="5B3BF04D" w:rsidR="00CA409F" w:rsidRPr="00942DF3" w:rsidRDefault="009038E1" w:rsidP="00CA409F">
            <w:pPr>
              <w:keepNext/>
              <w:keepLines/>
              <w:spacing w:before="200" w:after="0" w:line="240" w:lineRule="auto"/>
              <w:outlineLvl w:val="7"/>
              <w:rPr>
                <w:rFonts w:ascii="Calibri" w:eastAsia="Times New Roman" w:hAnsi="Calibri" w:cs="Times New Roman"/>
                <w:b/>
                <w:bCs/>
                <w:color w:val="000000"/>
              </w:rPr>
            </w:pPr>
            <w:r w:rsidRPr="00942DF3">
              <w:rPr>
                <w:rFonts w:ascii="Calibri" w:eastAsia="Times New Roman" w:hAnsi="Calibri" w:cs="Times New Roman"/>
                <w:b/>
                <w:bCs/>
                <w:color w:val="000000"/>
              </w:rPr>
              <w:t>before</w:t>
            </w:r>
          </w:p>
        </w:tc>
        <w:tc>
          <w:tcPr>
            <w:tcW w:w="0" w:type="auto"/>
            <w:tcBorders>
              <w:top w:val="nil"/>
              <w:left w:val="nil"/>
              <w:bottom w:val="double" w:sz="4" w:space="0" w:color="auto"/>
              <w:right w:val="nil"/>
            </w:tcBorders>
            <w:shd w:val="clear" w:color="auto" w:fill="auto"/>
            <w:noWrap/>
            <w:vAlign w:val="bottom"/>
            <w:hideMark/>
          </w:tcPr>
          <w:p w14:paraId="5F11696D" w14:textId="77777777" w:rsidR="00CA409F" w:rsidRPr="00942DF3" w:rsidRDefault="00CA409F" w:rsidP="00CA409F">
            <w:pPr>
              <w:keepNext/>
              <w:keepLines/>
              <w:spacing w:before="200" w:after="0" w:line="240" w:lineRule="auto"/>
              <w:outlineLvl w:val="7"/>
              <w:rPr>
                <w:rFonts w:ascii="Calibri" w:eastAsia="Times New Roman" w:hAnsi="Calibri" w:cs="Times New Roman"/>
                <w:b/>
                <w:bCs/>
                <w:color w:val="000000"/>
              </w:rPr>
            </w:pPr>
            <w:r w:rsidRPr="00342DF8">
              <w:rPr>
                <w:rFonts w:ascii="Calibri" w:eastAsia="Times New Roman" w:hAnsi="Calibri" w:cs="Times New Roman"/>
                <w:b/>
                <w:bCs/>
                <w:color w:val="000000"/>
              </w:rPr>
              <w:t>bilateral</w:t>
            </w:r>
          </w:p>
        </w:tc>
        <w:tc>
          <w:tcPr>
            <w:tcW w:w="0" w:type="auto"/>
            <w:tcBorders>
              <w:top w:val="nil"/>
              <w:left w:val="nil"/>
              <w:bottom w:val="double" w:sz="4" w:space="0" w:color="auto"/>
              <w:right w:val="nil"/>
            </w:tcBorders>
            <w:shd w:val="clear" w:color="auto" w:fill="auto"/>
            <w:noWrap/>
            <w:vAlign w:val="bottom"/>
            <w:hideMark/>
          </w:tcPr>
          <w:p w14:paraId="3A065423" w14:textId="071B6028" w:rsidR="00CA409F" w:rsidRPr="00942DF3" w:rsidRDefault="009038E1" w:rsidP="00CA409F">
            <w:pPr>
              <w:keepNext/>
              <w:keepLines/>
              <w:spacing w:before="200" w:after="0" w:line="240" w:lineRule="auto"/>
              <w:outlineLvl w:val="7"/>
              <w:rPr>
                <w:rFonts w:ascii="Calibri" w:eastAsia="Times New Roman" w:hAnsi="Calibri" w:cs="Times New Roman"/>
                <w:b/>
                <w:bCs/>
                <w:color w:val="000000"/>
              </w:rPr>
            </w:pPr>
            <w:r w:rsidRPr="00942DF3">
              <w:rPr>
                <w:rFonts w:ascii="Calibri" w:eastAsia="Times New Roman" w:hAnsi="Calibri" w:cs="Times New Roman"/>
                <w:b/>
                <w:bCs/>
                <w:color w:val="000000"/>
              </w:rPr>
              <w:t>before</w:t>
            </w:r>
          </w:p>
        </w:tc>
        <w:tc>
          <w:tcPr>
            <w:tcW w:w="0" w:type="auto"/>
            <w:tcBorders>
              <w:top w:val="nil"/>
              <w:left w:val="nil"/>
              <w:bottom w:val="double" w:sz="4" w:space="0" w:color="auto"/>
              <w:right w:val="nil"/>
            </w:tcBorders>
            <w:shd w:val="clear" w:color="auto" w:fill="auto"/>
            <w:noWrap/>
            <w:vAlign w:val="bottom"/>
            <w:hideMark/>
          </w:tcPr>
          <w:p w14:paraId="1FD69EE1" w14:textId="77777777" w:rsidR="00CA409F" w:rsidRPr="00942DF3" w:rsidRDefault="00CA409F" w:rsidP="00CA409F">
            <w:pPr>
              <w:keepNext/>
              <w:keepLines/>
              <w:spacing w:before="200" w:after="0" w:line="240" w:lineRule="auto"/>
              <w:outlineLvl w:val="7"/>
              <w:rPr>
                <w:rFonts w:ascii="Calibri" w:eastAsia="Times New Roman" w:hAnsi="Calibri" w:cs="Times New Roman"/>
                <w:b/>
                <w:bCs/>
                <w:color w:val="000000"/>
              </w:rPr>
            </w:pPr>
            <w:r w:rsidRPr="00342DF8">
              <w:rPr>
                <w:rFonts w:ascii="Calibri" w:eastAsia="Times New Roman" w:hAnsi="Calibri" w:cs="Times New Roman"/>
                <w:b/>
                <w:bCs/>
                <w:color w:val="000000"/>
              </w:rPr>
              <w:t>bilateral</w:t>
            </w:r>
          </w:p>
        </w:tc>
        <w:tc>
          <w:tcPr>
            <w:tcW w:w="0" w:type="auto"/>
            <w:tcBorders>
              <w:top w:val="nil"/>
              <w:left w:val="nil"/>
              <w:bottom w:val="double" w:sz="4" w:space="0" w:color="auto"/>
              <w:right w:val="nil"/>
            </w:tcBorders>
            <w:shd w:val="clear" w:color="auto" w:fill="auto"/>
            <w:noWrap/>
            <w:vAlign w:val="bottom"/>
            <w:hideMark/>
          </w:tcPr>
          <w:p w14:paraId="0799E141" w14:textId="21BC073D" w:rsidR="00CA409F" w:rsidRPr="00942DF3" w:rsidRDefault="009038E1" w:rsidP="00CA409F">
            <w:pPr>
              <w:keepNext/>
              <w:keepLines/>
              <w:spacing w:before="200" w:after="0" w:line="240" w:lineRule="auto"/>
              <w:outlineLvl w:val="7"/>
              <w:rPr>
                <w:rFonts w:ascii="Calibri" w:eastAsia="Times New Roman" w:hAnsi="Calibri" w:cs="Times New Roman"/>
                <w:b/>
                <w:bCs/>
                <w:color w:val="000000"/>
              </w:rPr>
            </w:pPr>
            <w:r w:rsidRPr="00942DF3">
              <w:rPr>
                <w:rFonts w:ascii="Calibri" w:eastAsia="Times New Roman" w:hAnsi="Calibri" w:cs="Times New Roman"/>
                <w:b/>
                <w:bCs/>
                <w:color w:val="000000"/>
              </w:rPr>
              <w:t>before</w:t>
            </w:r>
          </w:p>
        </w:tc>
        <w:tc>
          <w:tcPr>
            <w:tcW w:w="0" w:type="auto"/>
            <w:tcBorders>
              <w:top w:val="nil"/>
              <w:left w:val="nil"/>
              <w:bottom w:val="double" w:sz="4" w:space="0" w:color="auto"/>
              <w:right w:val="nil"/>
            </w:tcBorders>
            <w:shd w:val="clear" w:color="auto" w:fill="auto"/>
            <w:noWrap/>
            <w:vAlign w:val="bottom"/>
            <w:hideMark/>
          </w:tcPr>
          <w:p w14:paraId="356320FA" w14:textId="77777777" w:rsidR="00CA409F" w:rsidRPr="00942DF3" w:rsidRDefault="00CA409F" w:rsidP="00CA409F">
            <w:pPr>
              <w:keepNext/>
              <w:keepLines/>
              <w:spacing w:before="200" w:after="0" w:line="240" w:lineRule="auto"/>
              <w:outlineLvl w:val="7"/>
              <w:rPr>
                <w:rFonts w:ascii="Calibri" w:eastAsia="Times New Roman" w:hAnsi="Calibri" w:cs="Times New Roman"/>
                <w:b/>
                <w:bCs/>
                <w:color w:val="000000"/>
              </w:rPr>
            </w:pPr>
            <w:r w:rsidRPr="00342DF8">
              <w:rPr>
                <w:rFonts w:ascii="Calibri" w:eastAsia="Times New Roman" w:hAnsi="Calibri" w:cs="Times New Roman"/>
                <w:b/>
                <w:bCs/>
                <w:color w:val="000000"/>
              </w:rPr>
              <w:t>bilateral</w:t>
            </w:r>
          </w:p>
        </w:tc>
      </w:tr>
      <w:tr w:rsidR="009038E1" w:rsidRPr="00342DF8" w14:paraId="0EFA51A6" w14:textId="77777777" w:rsidTr="00942DF3">
        <w:trPr>
          <w:trHeight w:val="280"/>
          <w:jc w:val="center"/>
        </w:trPr>
        <w:tc>
          <w:tcPr>
            <w:tcW w:w="0" w:type="auto"/>
            <w:tcBorders>
              <w:top w:val="double" w:sz="4" w:space="0" w:color="auto"/>
              <w:left w:val="nil"/>
              <w:bottom w:val="nil"/>
              <w:right w:val="nil"/>
            </w:tcBorders>
            <w:shd w:val="clear" w:color="auto" w:fill="auto"/>
            <w:noWrap/>
            <w:vAlign w:val="bottom"/>
            <w:hideMark/>
          </w:tcPr>
          <w:p w14:paraId="6DC15510" w14:textId="77777777" w:rsidR="00CA409F" w:rsidRPr="00942DF3" w:rsidRDefault="00CA409F" w:rsidP="00CA409F">
            <w:pPr>
              <w:keepNext/>
              <w:keepLines/>
              <w:spacing w:before="200" w:after="0" w:line="240" w:lineRule="auto"/>
              <w:outlineLvl w:val="7"/>
              <w:rPr>
                <w:rFonts w:ascii="Calibri" w:eastAsia="Times New Roman" w:hAnsi="Calibri" w:cs="Times New Roman"/>
                <w:color w:val="000000"/>
              </w:rPr>
            </w:pPr>
            <w:r w:rsidRPr="00342DF8">
              <w:rPr>
                <w:rFonts w:ascii="Calibri" w:eastAsia="Times New Roman" w:hAnsi="Calibri" w:cs="Times New Roman"/>
                <w:color w:val="000000"/>
              </w:rPr>
              <w:t>J</w:t>
            </w:r>
            <w:r w:rsidRPr="00942DF3">
              <w:rPr>
                <w:rFonts w:ascii="Calibri" w:eastAsia="Times New Roman" w:hAnsi="Calibri" w:cs="Times New Roman"/>
                <w:color w:val="000000"/>
                <w:vertAlign w:val="subscript"/>
              </w:rPr>
              <w:t>1</w:t>
            </w:r>
          </w:p>
        </w:tc>
        <w:tc>
          <w:tcPr>
            <w:tcW w:w="0" w:type="auto"/>
            <w:tcBorders>
              <w:top w:val="double" w:sz="4" w:space="0" w:color="auto"/>
              <w:left w:val="nil"/>
              <w:bottom w:val="nil"/>
              <w:right w:val="nil"/>
            </w:tcBorders>
            <w:shd w:val="clear" w:color="auto" w:fill="auto"/>
            <w:noWrap/>
            <w:vAlign w:val="bottom"/>
            <w:hideMark/>
          </w:tcPr>
          <w:p w14:paraId="2CE94691" w14:textId="77777777" w:rsidR="00CA409F" w:rsidRPr="00942DF3" w:rsidRDefault="00CA409F" w:rsidP="009038E1">
            <w:pPr>
              <w:keepNext/>
              <w:keepLines/>
              <w:spacing w:before="200" w:after="0" w:line="240" w:lineRule="auto"/>
              <w:ind w:left="-77" w:firstLine="77"/>
              <w:jc w:val="right"/>
              <w:outlineLvl w:val="7"/>
              <w:rPr>
                <w:rFonts w:ascii="Calibri" w:eastAsia="Times New Roman" w:hAnsi="Calibri" w:cs="Times New Roman"/>
                <w:color w:val="000000"/>
              </w:rPr>
            </w:pPr>
            <w:r w:rsidRPr="00342DF8">
              <w:rPr>
                <w:rFonts w:ascii="Calibri" w:eastAsia="Times New Roman" w:hAnsi="Calibri" w:cs="Times New Roman"/>
                <w:color w:val="000000"/>
              </w:rPr>
              <w:t>13.688</w:t>
            </w:r>
          </w:p>
        </w:tc>
        <w:tc>
          <w:tcPr>
            <w:tcW w:w="0" w:type="auto"/>
            <w:tcBorders>
              <w:top w:val="double" w:sz="4" w:space="0" w:color="auto"/>
              <w:left w:val="nil"/>
              <w:bottom w:val="nil"/>
              <w:right w:val="nil"/>
            </w:tcBorders>
            <w:shd w:val="clear" w:color="auto" w:fill="auto"/>
            <w:noWrap/>
            <w:vAlign w:val="bottom"/>
            <w:hideMark/>
          </w:tcPr>
          <w:p w14:paraId="0C44F6FB"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4.439</w:t>
            </w:r>
          </w:p>
        </w:tc>
        <w:tc>
          <w:tcPr>
            <w:tcW w:w="0" w:type="auto"/>
            <w:tcBorders>
              <w:top w:val="double" w:sz="4" w:space="0" w:color="auto"/>
              <w:left w:val="nil"/>
              <w:bottom w:val="nil"/>
              <w:right w:val="nil"/>
            </w:tcBorders>
            <w:shd w:val="clear" w:color="auto" w:fill="auto"/>
            <w:noWrap/>
            <w:vAlign w:val="bottom"/>
            <w:hideMark/>
          </w:tcPr>
          <w:p w14:paraId="4CC3A78A"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15.306</w:t>
            </w:r>
          </w:p>
        </w:tc>
        <w:tc>
          <w:tcPr>
            <w:tcW w:w="0" w:type="auto"/>
            <w:tcBorders>
              <w:top w:val="double" w:sz="4" w:space="0" w:color="auto"/>
              <w:left w:val="nil"/>
              <w:bottom w:val="nil"/>
              <w:right w:val="nil"/>
            </w:tcBorders>
            <w:shd w:val="clear" w:color="auto" w:fill="auto"/>
            <w:noWrap/>
            <w:vAlign w:val="bottom"/>
            <w:hideMark/>
          </w:tcPr>
          <w:p w14:paraId="08FF475B"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5.271</w:t>
            </w:r>
          </w:p>
        </w:tc>
        <w:tc>
          <w:tcPr>
            <w:tcW w:w="0" w:type="auto"/>
            <w:tcBorders>
              <w:top w:val="double" w:sz="4" w:space="0" w:color="auto"/>
              <w:left w:val="nil"/>
              <w:bottom w:val="nil"/>
              <w:right w:val="nil"/>
            </w:tcBorders>
            <w:shd w:val="clear" w:color="auto" w:fill="auto"/>
            <w:noWrap/>
            <w:vAlign w:val="bottom"/>
            <w:hideMark/>
          </w:tcPr>
          <w:p w14:paraId="446128F4"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14.604</w:t>
            </w:r>
          </w:p>
        </w:tc>
        <w:tc>
          <w:tcPr>
            <w:tcW w:w="0" w:type="auto"/>
            <w:tcBorders>
              <w:top w:val="double" w:sz="4" w:space="0" w:color="auto"/>
              <w:left w:val="nil"/>
              <w:bottom w:val="nil"/>
              <w:right w:val="nil"/>
            </w:tcBorders>
            <w:shd w:val="clear" w:color="auto" w:fill="auto"/>
            <w:noWrap/>
            <w:vAlign w:val="bottom"/>
            <w:hideMark/>
          </w:tcPr>
          <w:p w14:paraId="5E6CE9A3"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7.317</w:t>
            </w:r>
          </w:p>
        </w:tc>
        <w:tc>
          <w:tcPr>
            <w:tcW w:w="0" w:type="auto"/>
            <w:tcBorders>
              <w:top w:val="double" w:sz="4" w:space="0" w:color="auto"/>
              <w:left w:val="nil"/>
              <w:bottom w:val="nil"/>
              <w:right w:val="nil"/>
            </w:tcBorders>
            <w:shd w:val="clear" w:color="auto" w:fill="auto"/>
            <w:noWrap/>
            <w:vAlign w:val="bottom"/>
            <w:hideMark/>
          </w:tcPr>
          <w:p w14:paraId="134BF99E"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6.223</w:t>
            </w:r>
          </w:p>
        </w:tc>
        <w:tc>
          <w:tcPr>
            <w:tcW w:w="0" w:type="auto"/>
            <w:tcBorders>
              <w:top w:val="double" w:sz="4" w:space="0" w:color="auto"/>
              <w:left w:val="nil"/>
              <w:bottom w:val="nil"/>
              <w:right w:val="nil"/>
            </w:tcBorders>
            <w:shd w:val="clear" w:color="auto" w:fill="auto"/>
            <w:noWrap/>
            <w:vAlign w:val="bottom"/>
            <w:hideMark/>
          </w:tcPr>
          <w:p w14:paraId="64B3EF59"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-0.676</w:t>
            </w:r>
          </w:p>
        </w:tc>
        <w:tc>
          <w:tcPr>
            <w:tcW w:w="0" w:type="auto"/>
            <w:tcBorders>
              <w:top w:val="double" w:sz="4" w:space="0" w:color="auto"/>
              <w:left w:val="nil"/>
              <w:bottom w:val="nil"/>
              <w:right w:val="nil"/>
            </w:tcBorders>
            <w:shd w:val="clear" w:color="auto" w:fill="auto"/>
            <w:noWrap/>
            <w:vAlign w:val="bottom"/>
            <w:hideMark/>
          </w:tcPr>
          <w:p w14:paraId="65F21813"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-0.562</w:t>
            </w:r>
          </w:p>
        </w:tc>
        <w:tc>
          <w:tcPr>
            <w:tcW w:w="0" w:type="auto"/>
            <w:tcBorders>
              <w:top w:val="double" w:sz="4" w:space="0" w:color="auto"/>
              <w:left w:val="nil"/>
              <w:bottom w:val="nil"/>
              <w:right w:val="nil"/>
            </w:tcBorders>
            <w:shd w:val="clear" w:color="auto" w:fill="auto"/>
            <w:noWrap/>
            <w:vAlign w:val="bottom"/>
            <w:hideMark/>
          </w:tcPr>
          <w:p w14:paraId="13927C94"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-3.246</w:t>
            </w:r>
          </w:p>
        </w:tc>
        <w:tc>
          <w:tcPr>
            <w:tcW w:w="0" w:type="auto"/>
            <w:tcBorders>
              <w:top w:val="double" w:sz="4" w:space="0" w:color="auto"/>
              <w:left w:val="nil"/>
              <w:bottom w:val="nil"/>
              <w:right w:val="nil"/>
            </w:tcBorders>
            <w:shd w:val="clear" w:color="auto" w:fill="auto"/>
            <w:noWrap/>
            <w:vAlign w:val="bottom"/>
            <w:hideMark/>
          </w:tcPr>
          <w:p w14:paraId="75C1EDEA"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-6.355</w:t>
            </w:r>
          </w:p>
        </w:tc>
        <w:tc>
          <w:tcPr>
            <w:tcW w:w="0" w:type="auto"/>
            <w:tcBorders>
              <w:top w:val="double" w:sz="4" w:space="0" w:color="auto"/>
              <w:left w:val="nil"/>
              <w:bottom w:val="nil"/>
              <w:right w:val="nil"/>
            </w:tcBorders>
            <w:shd w:val="clear" w:color="auto" w:fill="auto"/>
            <w:noWrap/>
            <w:vAlign w:val="bottom"/>
            <w:hideMark/>
          </w:tcPr>
          <w:p w14:paraId="2BD11408"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-6.908</w:t>
            </w:r>
          </w:p>
        </w:tc>
      </w:tr>
      <w:tr w:rsidR="009038E1" w:rsidRPr="00342DF8" w14:paraId="2974BCE0" w14:textId="77777777" w:rsidTr="00942DF3">
        <w:trPr>
          <w:trHeight w:val="280"/>
          <w:jc w:val="center"/>
        </w:trPr>
        <w:tc>
          <w:tcPr>
            <w:tcW w:w="0" w:type="auto"/>
            <w:tcBorders>
              <w:top w:val="nil"/>
              <w:left w:val="nil"/>
              <w:bottom w:val="nil"/>
              <w:right w:val="nil"/>
            </w:tcBorders>
            <w:shd w:val="clear" w:color="auto" w:fill="auto"/>
            <w:noWrap/>
            <w:vAlign w:val="bottom"/>
            <w:hideMark/>
          </w:tcPr>
          <w:p w14:paraId="341AFF82" w14:textId="77777777" w:rsidR="00CA409F" w:rsidRPr="00942DF3" w:rsidRDefault="00CA409F" w:rsidP="00942DF3">
            <w:pPr>
              <w:spacing w:after="120" w:line="240" w:lineRule="auto"/>
              <w:rPr>
                <w:rFonts w:ascii="Calibri" w:eastAsia="Times New Roman" w:hAnsi="Calibri" w:cs="Times New Roman"/>
                <w:color w:val="000000"/>
              </w:rPr>
            </w:pPr>
          </w:p>
        </w:tc>
        <w:tc>
          <w:tcPr>
            <w:tcW w:w="0" w:type="auto"/>
            <w:tcBorders>
              <w:top w:val="nil"/>
              <w:left w:val="nil"/>
              <w:bottom w:val="nil"/>
              <w:right w:val="nil"/>
            </w:tcBorders>
            <w:shd w:val="clear" w:color="auto" w:fill="auto"/>
            <w:noWrap/>
            <w:vAlign w:val="bottom"/>
            <w:hideMark/>
          </w:tcPr>
          <w:p w14:paraId="0AC8EC88"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nil"/>
              <w:right w:val="nil"/>
            </w:tcBorders>
            <w:shd w:val="clear" w:color="auto" w:fill="auto"/>
            <w:noWrap/>
            <w:vAlign w:val="bottom"/>
            <w:hideMark/>
          </w:tcPr>
          <w:p w14:paraId="5926C9C3"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nil"/>
              <w:right w:val="nil"/>
            </w:tcBorders>
            <w:shd w:val="clear" w:color="auto" w:fill="auto"/>
            <w:noWrap/>
            <w:vAlign w:val="bottom"/>
            <w:hideMark/>
          </w:tcPr>
          <w:p w14:paraId="40172C0F"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nil"/>
              <w:right w:val="nil"/>
            </w:tcBorders>
            <w:shd w:val="clear" w:color="auto" w:fill="auto"/>
            <w:noWrap/>
            <w:vAlign w:val="bottom"/>
            <w:hideMark/>
          </w:tcPr>
          <w:p w14:paraId="54021CB5"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nil"/>
              <w:right w:val="nil"/>
            </w:tcBorders>
            <w:shd w:val="clear" w:color="auto" w:fill="auto"/>
            <w:noWrap/>
            <w:vAlign w:val="bottom"/>
            <w:hideMark/>
          </w:tcPr>
          <w:p w14:paraId="70141CC0"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nil"/>
              <w:right w:val="nil"/>
            </w:tcBorders>
            <w:shd w:val="clear" w:color="auto" w:fill="auto"/>
            <w:noWrap/>
            <w:vAlign w:val="bottom"/>
            <w:hideMark/>
          </w:tcPr>
          <w:p w14:paraId="4E9FD927"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nil"/>
              <w:right w:val="nil"/>
            </w:tcBorders>
            <w:shd w:val="clear" w:color="auto" w:fill="auto"/>
            <w:noWrap/>
            <w:vAlign w:val="bottom"/>
            <w:hideMark/>
          </w:tcPr>
          <w:p w14:paraId="655A7A1E"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nil"/>
              <w:right w:val="nil"/>
            </w:tcBorders>
            <w:shd w:val="clear" w:color="auto" w:fill="auto"/>
            <w:noWrap/>
            <w:vAlign w:val="bottom"/>
            <w:hideMark/>
          </w:tcPr>
          <w:p w14:paraId="5B0BBFA4"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(0.125)</w:t>
            </w:r>
          </w:p>
        </w:tc>
        <w:tc>
          <w:tcPr>
            <w:tcW w:w="0" w:type="auto"/>
            <w:tcBorders>
              <w:top w:val="nil"/>
              <w:left w:val="nil"/>
              <w:bottom w:val="nil"/>
              <w:right w:val="nil"/>
            </w:tcBorders>
            <w:shd w:val="clear" w:color="auto" w:fill="auto"/>
            <w:noWrap/>
            <w:vAlign w:val="bottom"/>
            <w:hideMark/>
          </w:tcPr>
          <w:p w14:paraId="6CC3E23F"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(0.144)</w:t>
            </w:r>
          </w:p>
        </w:tc>
        <w:tc>
          <w:tcPr>
            <w:tcW w:w="0" w:type="auto"/>
            <w:tcBorders>
              <w:top w:val="nil"/>
              <w:left w:val="nil"/>
              <w:bottom w:val="nil"/>
              <w:right w:val="nil"/>
            </w:tcBorders>
            <w:shd w:val="clear" w:color="auto" w:fill="auto"/>
            <w:noWrap/>
            <w:vAlign w:val="bottom"/>
            <w:hideMark/>
          </w:tcPr>
          <w:p w14:paraId="31CB8BC4"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nil"/>
              <w:right w:val="nil"/>
            </w:tcBorders>
            <w:shd w:val="clear" w:color="auto" w:fill="auto"/>
            <w:noWrap/>
            <w:vAlign w:val="bottom"/>
            <w:hideMark/>
          </w:tcPr>
          <w:p w14:paraId="68BDA1DC"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nil"/>
              <w:right w:val="nil"/>
            </w:tcBorders>
            <w:shd w:val="clear" w:color="auto" w:fill="auto"/>
            <w:noWrap/>
            <w:vAlign w:val="bottom"/>
            <w:hideMark/>
          </w:tcPr>
          <w:p w14:paraId="4DF775F3"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(0.000)</w:t>
            </w:r>
          </w:p>
        </w:tc>
      </w:tr>
      <w:tr w:rsidR="009038E1" w:rsidRPr="00342DF8" w14:paraId="38B970DD" w14:textId="77777777" w:rsidTr="00942DF3">
        <w:trPr>
          <w:trHeight w:val="280"/>
          <w:jc w:val="center"/>
        </w:trPr>
        <w:tc>
          <w:tcPr>
            <w:tcW w:w="0" w:type="auto"/>
            <w:tcBorders>
              <w:top w:val="nil"/>
              <w:left w:val="nil"/>
              <w:bottom w:val="nil"/>
              <w:right w:val="nil"/>
            </w:tcBorders>
            <w:shd w:val="clear" w:color="auto" w:fill="auto"/>
            <w:noWrap/>
            <w:vAlign w:val="bottom"/>
            <w:hideMark/>
          </w:tcPr>
          <w:p w14:paraId="7E7EAFCB" w14:textId="77777777" w:rsidR="00CA409F" w:rsidRPr="00942DF3" w:rsidRDefault="00CA409F" w:rsidP="00CA409F">
            <w:pPr>
              <w:keepNext/>
              <w:keepLines/>
              <w:spacing w:before="200" w:after="0" w:line="240" w:lineRule="auto"/>
              <w:outlineLvl w:val="7"/>
              <w:rPr>
                <w:rFonts w:ascii="Calibri" w:eastAsia="Times New Roman" w:hAnsi="Calibri" w:cs="Times New Roman"/>
                <w:color w:val="000000"/>
              </w:rPr>
            </w:pPr>
            <w:r w:rsidRPr="00342DF8">
              <w:rPr>
                <w:rFonts w:ascii="Calibri" w:eastAsia="Times New Roman" w:hAnsi="Calibri" w:cs="Times New Roman"/>
                <w:color w:val="000000"/>
              </w:rPr>
              <w:t>J</w:t>
            </w:r>
            <w:r w:rsidRPr="00942DF3">
              <w:rPr>
                <w:rFonts w:ascii="Calibri" w:eastAsia="Times New Roman" w:hAnsi="Calibri" w:cs="Times New Roman"/>
                <w:color w:val="000000"/>
                <w:vertAlign w:val="subscript"/>
              </w:rPr>
              <w:t>2</w:t>
            </w:r>
          </w:p>
        </w:tc>
        <w:tc>
          <w:tcPr>
            <w:tcW w:w="0" w:type="auto"/>
            <w:tcBorders>
              <w:top w:val="nil"/>
              <w:left w:val="nil"/>
              <w:bottom w:val="nil"/>
              <w:right w:val="nil"/>
            </w:tcBorders>
            <w:shd w:val="clear" w:color="auto" w:fill="auto"/>
            <w:noWrap/>
            <w:vAlign w:val="bottom"/>
            <w:hideMark/>
          </w:tcPr>
          <w:p w14:paraId="5D2AF774"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48.925</w:t>
            </w:r>
          </w:p>
        </w:tc>
        <w:tc>
          <w:tcPr>
            <w:tcW w:w="0" w:type="auto"/>
            <w:tcBorders>
              <w:top w:val="nil"/>
              <w:left w:val="nil"/>
              <w:bottom w:val="nil"/>
              <w:right w:val="nil"/>
            </w:tcBorders>
            <w:shd w:val="clear" w:color="auto" w:fill="auto"/>
            <w:noWrap/>
            <w:vAlign w:val="bottom"/>
            <w:hideMark/>
          </w:tcPr>
          <w:p w14:paraId="54640EF5"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19.627</w:t>
            </w:r>
          </w:p>
        </w:tc>
        <w:tc>
          <w:tcPr>
            <w:tcW w:w="0" w:type="auto"/>
            <w:tcBorders>
              <w:top w:val="nil"/>
              <w:left w:val="nil"/>
              <w:bottom w:val="nil"/>
              <w:right w:val="nil"/>
            </w:tcBorders>
            <w:shd w:val="clear" w:color="auto" w:fill="auto"/>
            <w:noWrap/>
            <w:vAlign w:val="bottom"/>
            <w:hideMark/>
          </w:tcPr>
          <w:p w14:paraId="1D9EA379"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71.351</w:t>
            </w:r>
          </w:p>
        </w:tc>
        <w:tc>
          <w:tcPr>
            <w:tcW w:w="0" w:type="auto"/>
            <w:tcBorders>
              <w:top w:val="nil"/>
              <w:left w:val="nil"/>
              <w:bottom w:val="nil"/>
              <w:right w:val="nil"/>
            </w:tcBorders>
            <w:shd w:val="clear" w:color="auto" w:fill="auto"/>
            <w:noWrap/>
            <w:vAlign w:val="bottom"/>
            <w:hideMark/>
          </w:tcPr>
          <w:p w14:paraId="69F223F5"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24.567</w:t>
            </w:r>
          </w:p>
        </w:tc>
        <w:tc>
          <w:tcPr>
            <w:tcW w:w="0" w:type="auto"/>
            <w:tcBorders>
              <w:top w:val="nil"/>
              <w:left w:val="nil"/>
              <w:bottom w:val="nil"/>
              <w:right w:val="nil"/>
            </w:tcBorders>
            <w:shd w:val="clear" w:color="auto" w:fill="auto"/>
            <w:noWrap/>
            <w:vAlign w:val="bottom"/>
            <w:hideMark/>
          </w:tcPr>
          <w:p w14:paraId="095A6764"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54.925</w:t>
            </w:r>
          </w:p>
        </w:tc>
        <w:tc>
          <w:tcPr>
            <w:tcW w:w="0" w:type="auto"/>
            <w:tcBorders>
              <w:top w:val="nil"/>
              <w:left w:val="nil"/>
              <w:bottom w:val="nil"/>
              <w:right w:val="nil"/>
            </w:tcBorders>
            <w:shd w:val="clear" w:color="auto" w:fill="auto"/>
            <w:noWrap/>
            <w:vAlign w:val="bottom"/>
            <w:hideMark/>
          </w:tcPr>
          <w:p w14:paraId="6C3D24B1"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21.526</w:t>
            </w:r>
          </w:p>
        </w:tc>
        <w:tc>
          <w:tcPr>
            <w:tcW w:w="0" w:type="auto"/>
            <w:tcBorders>
              <w:top w:val="nil"/>
              <w:left w:val="nil"/>
              <w:bottom w:val="nil"/>
              <w:right w:val="nil"/>
            </w:tcBorders>
            <w:shd w:val="clear" w:color="auto" w:fill="auto"/>
            <w:noWrap/>
            <w:vAlign w:val="bottom"/>
            <w:hideMark/>
          </w:tcPr>
          <w:p w14:paraId="00B59171"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-100.920</w:t>
            </w:r>
          </w:p>
        </w:tc>
        <w:tc>
          <w:tcPr>
            <w:tcW w:w="0" w:type="auto"/>
            <w:tcBorders>
              <w:top w:val="nil"/>
              <w:left w:val="nil"/>
              <w:bottom w:val="nil"/>
              <w:right w:val="nil"/>
            </w:tcBorders>
            <w:shd w:val="clear" w:color="auto" w:fill="auto"/>
            <w:noWrap/>
            <w:vAlign w:val="bottom"/>
            <w:hideMark/>
          </w:tcPr>
          <w:p w14:paraId="50994855"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-62.891</w:t>
            </w:r>
          </w:p>
        </w:tc>
        <w:tc>
          <w:tcPr>
            <w:tcW w:w="0" w:type="auto"/>
            <w:tcBorders>
              <w:top w:val="nil"/>
              <w:left w:val="nil"/>
              <w:bottom w:val="nil"/>
              <w:right w:val="nil"/>
            </w:tcBorders>
            <w:shd w:val="clear" w:color="auto" w:fill="auto"/>
            <w:noWrap/>
            <w:vAlign w:val="bottom"/>
            <w:hideMark/>
          </w:tcPr>
          <w:p w14:paraId="2378CC22"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194.382</w:t>
            </w:r>
          </w:p>
        </w:tc>
        <w:tc>
          <w:tcPr>
            <w:tcW w:w="0" w:type="auto"/>
            <w:tcBorders>
              <w:top w:val="nil"/>
              <w:left w:val="nil"/>
              <w:bottom w:val="nil"/>
              <w:right w:val="nil"/>
            </w:tcBorders>
            <w:shd w:val="clear" w:color="auto" w:fill="auto"/>
            <w:noWrap/>
            <w:vAlign w:val="bottom"/>
            <w:hideMark/>
          </w:tcPr>
          <w:p w14:paraId="6C3BFED4" w14:textId="77777777" w:rsidR="00CA409F" w:rsidRPr="00342DF8" w:rsidRDefault="00CA409F" w:rsidP="00CA409F">
            <w:pPr>
              <w:spacing w:after="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-94.652</w:t>
            </w:r>
          </w:p>
        </w:tc>
        <w:tc>
          <w:tcPr>
            <w:tcW w:w="0" w:type="auto"/>
            <w:tcBorders>
              <w:top w:val="nil"/>
              <w:left w:val="nil"/>
              <w:bottom w:val="nil"/>
              <w:right w:val="nil"/>
            </w:tcBorders>
            <w:shd w:val="clear" w:color="auto" w:fill="auto"/>
            <w:noWrap/>
            <w:vAlign w:val="bottom"/>
            <w:hideMark/>
          </w:tcPr>
          <w:p w14:paraId="54ABF9FC"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238.276</w:t>
            </w:r>
          </w:p>
        </w:tc>
        <w:tc>
          <w:tcPr>
            <w:tcW w:w="0" w:type="auto"/>
            <w:tcBorders>
              <w:top w:val="nil"/>
              <w:left w:val="nil"/>
              <w:bottom w:val="nil"/>
              <w:right w:val="nil"/>
            </w:tcBorders>
            <w:shd w:val="clear" w:color="auto" w:fill="auto"/>
            <w:noWrap/>
            <w:vAlign w:val="bottom"/>
            <w:hideMark/>
          </w:tcPr>
          <w:p w14:paraId="64A212D5"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-143.167</w:t>
            </w:r>
          </w:p>
        </w:tc>
      </w:tr>
      <w:tr w:rsidR="009038E1" w:rsidRPr="00342DF8" w14:paraId="74A53112" w14:textId="77777777" w:rsidTr="00942DF3">
        <w:trPr>
          <w:trHeight w:val="280"/>
          <w:jc w:val="center"/>
        </w:trPr>
        <w:tc>
          <w:tcPr>
            <w:tcW w:w="0" w:type="auto"/>
            <w:tcBorders>
              <w:top w:val="nil"/>
              <w:left w:val="nil"/>
              <w:bottom w:val="nil"/>
              <w:right w:val="nil"/>
            </w:tcBorders>
            <w:shd w:val="clear" w:color="auto" w:fill="auto"/>
            <w:noWrap/>
            <w:vAlign w:val="bottom"/>
            <w:hideMark/>
          </w:tcPr>
          <w:p w14:paraId="3D2B8EF3" w14:textId="77777777" w:rsidR="00CA409F" w:rsidRPr="00942DF3" w:rsidRDefault="00CA409F" w:rsidP="00942DF3">
            <w:pPr>
              <w:spacing w:after="120" w:line="240" w:lineRule="auto"/>
              <w:rPr>
                <w:rFonts w:ascii="Calibri" w:eastAsia="Times New Roman" w:hAnsi="Calibri" w:cs="Times New Roman"/>
                <w:color w:val="000000"/>
              </w:rPr>
            </w:pPr>
          </w:p>
        </w:tc>
        <w:tc>
          <w:tcPr>
            <w:tcW w:w="0" w:type="auto"/>
            <w:tcBorders>
              <w:top w:val="nil"/>
              <w:left w:val="nil"/>
              <w:bottom w:val="nil"/>
              <w:right w:val="nil"/>
            </w:tcBorders>
            <w:shd w:val="clear" w:color="auto" w:fill="auto"/>
            <w:noWrap/>
            <w:vAlign w:val="bottom"/>
            <w:hideMark/>
          </w:tcPr>
          <w:p w14:paraId="4B17D0C0"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nil"/>
              <w:right w:val="nil"/>
            </w:tcBorders>
            <w:shd w:val="clear" w:color="auto" w:fill="auto"/>
            <w:noWrap/>
            <w:vAlign w:val="bottom"/>
            <w:hideMark/>
          </w:tcPr>
          <w:p w14:paraId="6BB032BC"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nil"/>
              <w:right w:val="nil"/>
            </w:tcBorders>
            <w:shd w:val="clear" w:color="auto" w:fill="auto"/>
            <w:noWrap/>
            <w:vAlign w:val="bottom"/>
            <w:hideMark/>
          </w:tcPr>
          <w:p w14:paraId="61974018"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nil"/>
              <w:right w:val="nil"/>
            </w:tcBorders>
            <w:shd w:val="clear" w:color="auto" w:fill="auto"/>
            <w:noWrap/>
            <w:vAlign w:val="bottom"/>
            <w:hideMark/>
          </w:tcPr>
          <w:p w14:paraId="0282C4D8"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nil"/>
              <w:right w:val="nil"/>
            </w:tcBorders>
            <w:shd w:val="clear" w:color="auto" w:fill="auto"/>
            <w:noWrap/>
            <w:vAlign w:val="bottom"/>
            <w:hideMark/>
          </w:tcPr>
          <w:p w14:paraId="6DC64A10"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nil"/>
              <w:right w:val="nil"/>
            </w:tcBorders>
            <w:shd w:val="clear" w:color="auto" w:fill="auto"/>
            <w:noWrap/>
            <w:vAlign w:val="bottom"/>
            <w:hideMark/>
          </w:tcPr>
          <w:p w14:paraId="6B143F79"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nil"/>
              <w:right w:val="nil"/>
            </w:tcBorders>
            <w:shd w:val="clear" w:color="auto" w:fill="auto"/>
            <w:noWrap/>
            <w:vAlign w:val="bottom"/>
            <w:hideMark/>
          </w:tcPr>
          <w:p w14:paraId="02D3F8E0"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nil"/>
              <w:right w:val="nil"/>
            </w:tcBorders>
            <w:shd w:val="clear" w:color="auto" w:fill="auto"/>
            <w:noWrap/>
            <w:vAlign w:val="bottom"/>
            <w:hideMark/>
          </w:tcPr>
          <w:p w14:paraId="18FF5CDA"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nil"/>
              <w:right w:val="nil"/>
            </w:tcBorders>
            <w:shd w:val="clear" w:color="auto" w:fill="auto"/>
            <w:noWrap/>
            <w:vAlign w:val="bottom"/>
            <w:hideMark/>
          </w:tcPr>
          <w:p w14:paraId="1799E8DF"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nil"/>
              <w:right w:val="nil"/>
            </w:tcBorders>
            <w:shd w:val="clear" w:color="auto" w:fill="auto"/>
            <w:noWrap/>
            <w:vAlign w:val="bottom"/>
            <w:hideMark/>
          </w:tcPr>
          <w:p w14:paraId="06877D0B"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nil"/>
              <w:right w:val="nil"/>
            </w:tcBorders>
            <w:shd w:val="clear" w:color="auto" w:fill="auto"/>
            <w:noWrap/>
            <w:vAlign w:val="bottom"/>
            <w:hideMark/>
          </w:tcPr>
          <w:p w14:paraId="16D4D428"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nil"/>
              <w:right w:val="nil"/>
            </w:tcBorders>
            <w:shd w:val="clear" w:color="auto" w:fill="auto"/>
            <w:noWrap/>
            <w:vAlign w:val="bottom"/>
            <w:hideMark/>
          </w:tcPr>
          <w:p w14:paraId="7DDBCF1B"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(0.000)</w:t>
            </w:r>
          </w:p>
        </w:tc>
      </w:tr>
      <w:tr w:rsidR="009038E1" w:rsidRPr="00342DF8" w14:paraId="69056400" w14:textId="77777777" w:rsidTr="00942DF3">
        <w:trPr>
          <w:trHeight w:val="280"/>
          <w:jc w:val="center"/>
        </w:trPr>
        <w:tc>
          <w:tcPr>
            <w:tcW w:w="0" w:type="auto"/>
            <w:tcBorders>
              <w:top w:val="nil"/>
              <w:left w:val="nil"/>
              <w:bottom w:val="nil"/>
              <w:right w:val="nil"/>
            </w:tcBorders>
            <w:shd w:val="clear" w:color="auto" w:fill="auto"/>
            <w:noWrap/>
            <w:vAlign w:val="bottom"/>
            <w:hideMark/>
          </w:tcPr>
          <w:p w14:paraId="00587FE5" w14:textId="77777777" w:rsidR="00CA409F" w:rsidRPr="00942DF3" w:rsidRDefault="00CA409F" w:rsidP="00CA409F">
            <w:pPr>
              <w:keepNext/>
              <w:keepLines/>
              <w:spacing w:before="200" w:after="0" w:line="240" w:lineRule="auto"/>
              <w:outlineLvl w:val="7"/>
              <w:rPr>
                <w:rFonts w:ascii="Calibri" w:eastAsia="Times New Roman" w:hAnsi="Calibri" w:cs="Times New Roman"/>
                <w:color w:val="000000"/>
              </w:rPr>
            </w:pPr>
            <w:r w:rsidRPr="00342DF8">
              <w:rPr>
                <w:rFonts w:ascii="Calibri" w:eastAsia="Times New Roman" w:hAnsi="Calibri" w:cs="Times New Roman"/>
                <w:color w:val="000000"/>
              </w:rPr>
              <w:t>J</w:t>
            </w:r>
            <w:r w:rsidRPr="00942DF3">
              <w:rPr>
                <w:rFonts w:ascii="Calibri" w:eastAsia="Times New Roman" w:hAnsi="Calibri" w:cs="Times New Roman"/>
                <w:color w:val="000000"/>
                <w:vertAlign w:val="subscript"/>
              </w:rPr>
              <w:t>3</w:t>
            </w:r>
          </w:p>
        </w:tc>
        <w:tc>
          <w:tcPr>
            <w:tcW w:w="0" w:type="auto"/>
            <w:tcBorders>
              <w:top w:val="nil"/>
              <w:left w:val="nil"/>
              <w:bottom w:val="nil"/>
              <w:right w:val="nil"/>
            </w:tcBorders>
            <w:shd w:val="clear" w:color="auto" w:fill="auto"/>
            <w:noWrap/>
            <w:vAlign w:val="bottom"/>
            <w:hideMark/>
          </w:tcPr>
          <w:p w14:paraId="5E2F2D83"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1.265</w:t>
            </w:r>
          </w:p>
        </w:tc>
        <w:tc>
          <w:tcPr>
            <w:tcW w:w="0" w:type="auto"/>
            <w:tcBorders>
              <w:top w:val="nil"/>
              <w:left w:val="nil"/>
              <w:bottom w:val="nil"/>
              <w:right w:val="nil"/>
            </w:tcBorders>
            <w:shd w:val="clear" w:color="auto" w:fill="auto"/>
            <w:noWrap/>
            <w:vAlign w:val="bottom"/>
            <w:hideMark/>
          </w:tcPr>
          <w:p w14:paraId="52F1D2B5"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0.632</w:t>
            </w:r>
          </w:p>
        </w:tc>
        <w:tc>
          <w:tcPr>
            <w:tcW w:w="0" w:type="auto"/>
            <w:tcBorders>
              <w:top w:val="nil"/>
              <w:left w:val="nil"/>
              <w:bottom w:val="nil"/>
              <w:right w:val="nil"/>
            </w:tcBorders>
            <w:shd w:val="clear" w:color="auto" w:fill="auto"/>
            <w:noWrap/>
            <w:vAlign w:val="bottom"/>
            <w:hideMark/>
          </w:tcPr>
          <w:p w14:paraId="222D42FF"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1.897</w:t>
            </w:r>
          </w:p>
        </w:tc>
        <w:tc>
          <w:tcPr>
            <w:tcW w:w="0" w:type="auto"/>
            <w:tcBorders>
              <w:top w:val="nil"/>
              <w:left w:val="nil"/>
              <w:bottom w:val="nil"/>
              <w:right w:val="nil"/>
            </w:tcBorders>
            <w:shd w:val="clear" w:color="auto" w:fill="auto"/>
            <w:noWrap/>
            <w:vAlign w:val="bottom"/>
            <w:hideMark/>
          </w:tcPr>
          <w:p w14:paraId="3D6FF0ED"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0.632</w:t>
            </w:r>
          </w:p>
        </w:tc>
        <w:tc>
          <w:tcPr>
            <w:tcW w:w="0" w:type="auto"/>
            <w:tcBorders>
              <w:top w:val="nil"/>
              <w:left w:val="nil"/>
              <w:bottom w:val="nil"/>
              <w:right w:val="nil"/>
            </w:tcBorders>
            <w:shd w:val="clear" w:color="auto" w:fill="auto"/>
            <w:noWrap/>
            <w:vAlign w:val="bottom"/>
            <w:hideMark/>
          </w:tcPr>
          <w:p w14:paraId="0A7A8819"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1.265</w:t>
            </w:r>
          </w:p>
        </w:tc>
        <w:tc>
          <w:tcPr>
            <w:tcW w:w="0" w:type="auto"/>
            <w:tcBorders>
              <w:top w:val="nil"/>
              <w:left w:val="nil"/>
              <w:bottom w:val="nil"/>
              <w:right w:val="nil"/>
            </w:tcBorders>
            <w:shd w:val="clear" w:color="auto" w:fill="auto"/>
            <w:noWrap/>
            <w:vAlign w:val="bottom"/>
            <w:hideMark/>
          </w:tcPr>
          <w:p w14:paraId="19C3CBF3" w14:textId="77777777" w:rsidR="00CA409F" w:rsidRPr="00342DF8" w:rsidRDefault="00CA409F" w:rsidP="00CA409F">
            <w:pPr>
              <w:spacing w:after="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0.632</w:t>
            </w:r>
          </w:p>
        </w:tc>
        <w:tc>
          <w:tcPr>
            <w:tcW w:w="0" w:type="auto"/>
            <w:tcBorders>
              <w:top w:val="nil"/>
              <w:left w:val="nil"/>
              <w:bottom w:val="nil"/>
              <w:right w:val="nil"/>
            </w:tcBorders>
            <w:shd w:val="clear" w:color="auto" w:fill="auto"/>
            <w:noWrap/>
            <w:vAlign w:val="bottom"/>
            <w:hideMark/>
          </w:tcPr>
          <w:p w14:paraId="0773EAD8"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-3.317</w:t>
            </w:r>
          </w:p>
        </w:tc>
        <w:tc>
          <w:tcPr>
            <w:tcW w:w="0" w:type="auto"/>
            <w:tcBorders>
              <w:top w:val="nil"/>
              <w:left w:val="nil"/>
              <w:bottom w:val="nil"/>
              <w:right w:val="nil"/>
            </w:tcBorders>
            <w:shd w:val="clear" w:color="auto" w:fill="auto"/>
            <w:noWrap/>
            <w:vAlign w:val="bottom"/>
            <w:hideMark/>
          </w:tcPr>
          <w:p w14:paraId="0505117A"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-5.005</w:t>
            </w:r>
          </w:p>
        </w:tc>
        <w:tc>
          <w:tcPr>
            <w:tcW w:w="0" w:type="auto"/>
            <w:tcBorders>
              <w:top w:val="nil"/>
              <w:left w:val="nil"/>
              <w:bottom w:val="nil"/>
              <w:right w:val="nil"/>
            </w:tcBorders>
            <w:shd w:val="clear" w:color="auto" w:fill="auto"/>
            <w:noWrap/>
            <w:vAlign w:val="bottom"/>
            <w:hideMark/>
          </w:tcPr>
          <w:p w14:paraId="2E7C20DB"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-4.161</w:t>
            </w:r>
          </w:p>
        </w:tc>
        <w:tc>
          <w:tcPr>
            <w:tcW w:w="0" w:type="auto"/>
            <w:tcBorders>
              <w:top w:val="nil"/>
              <w:left w:val="nil"/>
              <w:bottom w:val="nil"/>
              <w:right w:val="nil"/>
            </w:tcBorders>
            <w:shd w:val="clear" w:color="auto" w:fill="auto"/>
            <w:noWrap/>
            <w:vAlign w:val="bottom"/>
            <w:hideMark/>
          </w:tcPr>
          <w:p w14:paraId="6B05397D"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-5.246</w:t>
            </w:r>
          </w:p>
        </w:tc>
        <w:tc>
          <w:tcPr>
            <w:tcW w:w="0" w:type="auto"/>
            <w:tcBorders>
              <w:top w:val="nil"/>
              <w:left w:val="nil"/>
              <w:bottom w:val="nil"/>
              <w:right w:val="nil"/>
            </w:tcBorders>
            <w:shd w:val="clear" w:color="auto" w:fill="auto"/>
            <w:noWrap/>
            <w:vAlign w:val="bottom"/>
            <w:hideMark/>
          </w:tcPr>
          <w:p w14:paraId="427B58A3"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-5.367</w:t>
            </w:r>
          </w:p>
        </w:tc>
        <w:tc>
          <w:tcPr>
            <w:tcW w:w="0" w:type="auto"/>
            <w:tcBorders>
              <w:top w:val="nil"/>
              <w:left w:val="nil"/>
              <w:bottom w:val="nil"/>
              <w:right w:val="nil"/>
            </w:tcBorders>
            <w:shd w:val="clear" w:color="auto" w:fill="auto"/>
            <w:noWrap/>
            <w:vAlign w:val="bottom"/>
            <w:hideMark/>
          </w:tcPr>
          <w:p w14:paraId="1104322B"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-4.884</w:t>
            </w:r>
          </w:p>
        </w:tc>
      </w:tr>
      <w:tr w:rsidR="009038E1" w:rsidRPr="00342DF8" w14:paraId="78F2CBD1" w14:textId="77777777" w:rsidTr="00942DF3">
        <w:trPr>
          <w:trHeight w:val="280"/>
          <w:jc w:val="center"/>
        </w:trPr>
        <w:tc>
          <w:tcPr>
            <w:tcW w:w="0" w:type="auto"/>
            <w:tcBorders>
              <w:top w:val="nil"/>
              <w:left w:val="nil"/>
              <w:bottom w:val="nil"/>
              <w:right w:val="nil"/>
            </w:tcBorders>
            <w:shd w:val="clear" w:color="auto" w:fill="auto"/>
            <w:noWrap/>
            <w:vAlign w:val="bottom"/>
            <w:hideMark/>
          </w:tcPr>
          <w:p w14:paraId="0EDA3FAD" w14:textId="77777777" w:rsidR="00CA409F" w:rsidRPr="00942DF3" w:rsidRDefault="00CA409F" w:rsidP="00942DF3">
            <w:pPr>
              <w:spacing w:after="120" w:line="240" w:lineRule="auto"/>
              <w:rPr>
                <w:rFonts w:ascii="Calibri" w:eastAsia="Times New Roman" w:hAnsi="Calibri" w:cs="Times New Roman"/>
                <w:color w:val="000000"/>
              </w:rPr>
            </w:pPr>
          </w:p>
        </w:tc>
        <w:tc>
          <w:tcPr>
            <w:tcW w:w="0" w:type="auto"/>
            <w:tcBorders>
              <w:top w:val="nil"/>
              <w:left w:val="nil"/>
              <w:bottom w:val="nil"/>
              <w:right w:val="nil"/>
            </w:tcBorders>
            <w:shd w:val="clear" w:color="auto" w:fill="auto"/>
            <w:noWrap/>
            <w:vAlign w:val="bottom"/>
            <w:hideMark/>
          </w:tcPr>
          <w:p w14:paraId="65C983FF"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(0.051)</w:t>
            </w:r>
          </w:p>
        </w:tc>
        <w:tc>
          <w:tcPr>
            <w:tcW w:w="0" w:type="auto"/>
            <w:tcBorders>
              <w:top w:val="nil"/>
              <w:left w:val="nil"/>
              <w:bottom w:val="nil"/>
              <w:right w:val="nil"/>
            </w:tcBorders>
            <w:shd w:val="clear" w:color="auto" w:fill="auto"/>
            <w:noWrap/>
            <w:vAlign w:val="bottom"/>
            <w:hideMark/>
          </w:tcPr>
          <w:p w14:paraId="7ED9B7A8"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(0.132)</w:t>
            </w:r>
          </w:p>
        </w:tc>
        <w:tc>
          <w:tcPr>
            <w:tcW w:w="0" w:type="auto"/>
            <w:tcBorders>
              <w:top w:val="nil"/>
              <w:left w:val="nil"/>
              <w:bottom w:val="nil"/>
              <w:right w:val="nil"/>
            </w:tcBorders>
            <w:shd w:val="clear" w:color="auto" w:fill="auto"/>
            <w:noWrap/>
            <w:vAlign w:val="bottom"/>
            <w:hideMark/>
          </w:tcPr>
          <w:p w14:paraId="0167A910"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(0.014)</w:t>
            </w:r>
          </w:p>
        </w:tc>
        <w:tc>
          <w:tcPr>
            <w:tcW w:w="0" w:type="auto"/>
            <w:tcBorders>
              <w:top w:val="nil"/>
              <w:left w:val="nil"/>
              <w:bottom w:val="nil"/>
              <w:right w:val="nil"/>
            </w:tcBorders>
            <w:shd w:val="clear" w:color="auto" w:fill="auto"/>
            <w:noWrap/>
            <w:vAlign w:val="bottom"/>
            <w:hideMark/>
          </w:tcPr>
          <w:p w14:paraId="00CD7633"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(0.132)</w:t>
            </w:r>
          </w:p>
        </w:tc>
        <w:tc>
          <w:tcPr>
            <w:tcW w:w="0" w:type="auto"/>
            <w:tcBorders>
              <w:top w:val="nil"/>
              <w:left w:val="nil"/>
              <w:bottom w:val="nil"/>
              <w:right w:val="nil"/>
            </w:tcBorders>
            <w:shd w:val="clear" w:color="auto" w:fill="auto"/>
            <w:noWrap/>
            <w:vAlign w:val="bottom"/>
            <w:hideMark/>
          </w:tcPr>
          <w:p w14:paraId="653C3C85"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(0.051)</w:t>
            </w:r>
          </w:p>
        </w:tc>
        <w:tc>
          <w:tcPr>
            <w:tcW w:w="0" w:type="auto"/>
            <w:tcBorders>
              <w:top w:val="nil"/>
              <w:left w:val="nil"/>
              <w:bottom w:val="nil"/>
              <w:right w:val="nil"/>
            </w:tcBorders>
            <w:shd w:val="clear" w:color="auto" w:fill="auto"/>
            <w:noWrap/>
            <w:vAlign w:val="bottom"/>
            <w:hideMark/>
          </w:tcPr>
          <w:p w14:paraId="52EAB648"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(0.132)</w:t>
            </w:r>
          </w:p>
        </w:tc>
        <w:tc>
          <w:tcPr>
            <w:tcW w:w="0" w:type="auto"/>
            <w:tcBorders>
              <w:top w:val="nil"/>
              <w:left w:val="nil"/>
              <w:bottom w:val="nil"/>
              <w:right w:val="nil"/>
            </w:tcBorders>
            <w:shd w:val="clear" w:color="auto" w:fill="auto"/>
            <w:noWrap/>
            <w:vAlign w:val="bottom"/>
            <w:hideMark/>
          </w:tcPr>
          <w:p w14:paraId="115FD255"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nil"/>
              <w:right w:val="nil"/>
            </w:tcBorders>
            <w:shd w:val="clear" w:color="auto" w:fill="auto"/>
            <w:noWrap/>
            <w:vAlign w:val="bottom"/>
            <w:hideMark/>
          </w:tcPr>
          <w:p w14:paraId="2414C91E"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0.00</w:t>
            </w:r>
          </w:p>
        </w:tc>
        <w:tc>
          <w:tcPr>
            <w:tcW w:w="0" w:type="auto"/>
            <w:tcBorders>
              <w:top w:val="nil"/>
              <w:left w:val="nil"/>
              <w:bottom w:val="nil"/>
              <w:right w:val="nil"/>
            </w:tcBorders>
            <w:shd w:val="clear" w:color="auto" w:fill="auto"/>
            <w:noWrap/>
            <w:vAlign w:val="bottom"/>
            <w:hideMark/>
          </w:tcPr>
          <w:p w14:paraId="4C744D41"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nil"/>
              <w:right w:val="nil"/>
            </w:tcBorders>
            <w:shd w:val="clear" w:color="auto" w:fill="auto"/>
            <w:noWrap/>
            <w:vAlign w:val="bottom"/>
            <w:hideMark/>
          </w:tcPr>
          <w:p w14:paraId="24C489C9"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nil"/>
              <w:right w:val="nil"/>
            </w:tcBorders>
            <w:shd w:val="clear" w:color="auto" w:fill="auto"/>
            <w:noWrap/>
            <w:vAlign w:val="bottom"/>
            <w:hideMark/>
          </w:tcPr>
          <w:p w14:paraId="22E6AF53"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nil"/>
              <w:right w:val="nil"/>
            </w:tcBorders>
            <w:shd w:val="clear" w:color="auto" w:fill="auto"/>
            <w:noWrap/>
            <w:vAlign w:val="bottom"/>
            <w:hideMark/>
          </w:tcPr>
          <w:p w14:paraId="06E0CBB0"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(0.000)</w:t>
            </w:r>
          </w:p>
        </w:tc>
      </w:tr>
      <w:tr w:rsidR="009038E1" w:rsidRPr="00342DF8" w14:paraId="60371989" w14:textId="77777777" w:rsidTr="00942DF3">
        <w:trPr>
          <w:trHeight w:val="280"/>
          <w:jc w:val="center"/>
        </w:trPr>
        <w:tc>
          <w:tcPr>
            <w:tcW w:w="0" w:type="auto"/>
            <w:tcBorders>
              <w:top w:val="nil"/>
              <w:left w:val="nil"/>
              <w:bottom w:val="nil"/>
              <w:right w:val="nil"/>
            </w:tcBorders>
            <w:shd w:val="clear" w:color="auto" w:fill="auto"/>
            <w:noWrap/>
            <w:vAlign w:val="bottom"/>
            <w:hideMark/>
          </w:tcPr>
          <w:p w14:paraId="15820990" w14:textId="77777777" w:rsidR="00CA409F" w:rsidRPr="00342DF8" w:rsidRDefault="00CA409F" w:rsidP="00CA409F">
            <w:pPr>
              <w:spacing w:after="0" w:line="240" w:lineRule="auto"/>
              <w:rPr>
                <w:rFonts w:ascii="Calibri" w:eastAsia="Times New Roman" w:hAnsi="Calibri" w:cs="Times New Roman"/>
                <w:color w:val="000000"/>
              </w:rPr>
            </w:pPr>
            <w:r w:rsidRPr="00342DF8">
              <w:rPr>
                <w:rFonts w:ascii="Calibri" w:eastAsia="Times New Roman" w:hAnsi="Calibri" w:cs="Times New Roman"/>
                <w:color w:val="000000"/>
              </w:rPr>
              <w:t>J</w:t>
            </w:r>
            <w:r w:rsidRPr="00942DF3">
              <w:rPr>
                <w:rFonts w:ascii="Calibri" w:eastAsia="Times New Roman" w:hAnsi="Calibri" w:cs="Times New Roman"/>
                <w:color w:val="000000"/>
                <w:vertAlign w:val="subscript"/>
              </w:rPr>
              <w:t>4</w:t>
            </w:r>
          </w:p>
        </w:tc>
        <w:tc>
          <w:tcPr>
            <w:tcW w:w="0" w:type="auto"/>
            <w:tcBorders>
              <w:top w:val="nil"/>
              <w:left w:val="nil"/>
              <w:bottom w:val="nil"/>
              <w:right w:val="nil"/>
            </w:tcBorders>
            <w:shd w:val="clear" w:color="auto" w:fill="auto"/>
            <w:noWrap/>
            <w:vAlign w:val="bottom"/>
            <w:hideMark/>
          </w:tcPr>
          <w:p w14:paraId="38B59DDF"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-3.467</w:t>
            </w:r>
          </w:p>
        </w:tc>
        <w:tc>
          <w:tcPr>
            <w:tcW w:w="0" w:type="auto"/>
            <w:tcBorders>
              <w:top w:val="nil"/>
              <w:left w:val="nil"/>
              <w:bottom w:val="nil"/>
              <w:right w:val="nil"/>
            </w:tcBorders>
            <w:shd w:val="clear" w:color="auto" w:fill="auto"/>
            <w:noWrap/>
            <w:vAlign w:val="bottom"/>
            <w:hideMark/>
          </w:tcPr>
          <w:p w14:paraId="2A765592" w14:textId="77777777" w:rsidR="00CA409F" w:rsidRPr="00342DF8" w:rsidRDefault="00CA409F" w:rsidP="00CA409F">
            <w:pPr>
              <w:spacing w:after="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-3.467</w:t>
            </w:r>
          </w:p>
        </w:tc>
        <w:tc>
          <w:tcPr>
            <w:tcW w:w="0" w:type="auto"/>
            <w:tcBorders>
              <w:top w:val="nil"/>
              <w:left w:val="nil"/>
              <w:bottom w:val="nil"/>
              <w:right w:val="nil"/>
            </w:tcBorders>
            <w:shd w:val="clear" w:color="auto" w:fill="auto"/>
            <w:noWrap/>
            <w:vAlign w:val="bottom"/>
            <w:hideMark/>
          </w:tcPr>
          <w:p w14:paraId="18BD888D"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-3.467</w:t>
            </w:r>
          </w:p>
        </w:tc>
        <w:tc>
          <w:tcPr>
            <w:tcW w:w="0" w:type="auto"/>
            <w:tcBorders>
              <w:top w:val="nil"/>
              <w:left w:val="nil"/>
              <w:bottom w:val="nil"/>
              <w:right w:val="nil"/>
            </w:tcBorders>
            <w:shd w:val="clear" w:color="auto" w:fill="auto"/>
            <w:noWrap/>
            <w:vAlign w:val="bottom"/>
            <w:hideMark/>
          </w:tcPr>
          <w:p w14:paraId="3A2C39C7"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-3.467</w:t>
            </w:r>
          </w:p>
        </w:tc>
        <w:tc>
          <w:tcPr>
            <w:tcW w:w="0" w:type="auto"/>
            <w:tcBorders>
              <w:top w:val="nil"/>
              <w:left w:val="nil"/>
              <w:bottom w:val="nil"/>
              <w:right w:val="nil"/>
            </w:tcBorders>
            <w:shd w:val="clear" w:color="auto" w:fill="auto"/>
            <w:noWrap/>
            <w:vAlign w:val="bottom"/>
            <w:hideMark/>
          </w:tcPr>
          <w:p w14:paraId="4DB155BE"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-3.467</w:t>
            </w:r>
          </w:p>
        </w:tc>
        <w:tc>
          <w:tcPr>
            <w:tcW w:w="0" w:type="auto"/>
            <w:tcBorders>
              <w:top w:val="nil"/>
              <w:left w:val="nil"/>
              <w:bottom w:val="nil"/>
              <w:right w:val="nil"/>
            </w:tcBorders>
            <w:shd w:val="clear" w:color="auto" w:fill="auto"/>
            <w:noWrap/>
            <w:vAlign w:val="bottom"/>
            <w:hideMark/>
          </w:tcPr>
          <w:p w14:paraId="27333AAF"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-3.467</w:t>
            </w:r>
          </w:p>
        </w:tc>
        <w:tc>
          <w:tcPr>
            <w:tcW w:w="0" w:type="auto"/>
            <w:tcBorders>
              <w:top w:val="nil"/>
              <w:left w:val="nil"/>
              <w:bottom w:val="nil"/>
              <w:right w:val="nil"/>
            </w:tcBorders>
            <w:shd w:val="clear" w:color="auto" w:fill="auto"/>
            <w:noWrap/>
            <w:vAlign w:val="bottom"/>
            <w:hideMark/>
          </w:tcPr>
          <w:p w14:paraId="735F0B2F"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1.992</w:t>
            </w:r>
          </w:p>
        </w:tc>
        <w:tc>
          <w:tcPr>
            <w:tcW w:w="0" w:type="auto"/>
            <w:tcBorders>
              <w:top w:val="nil"/>
              <w:left w:val="nil"/>
              <w:bottom w:val="nil"/>
              <w:right w:val="nil"/>
            </w:tcBorders>
            <w:shd w:val="clear" w:color="auto" w:fill="auto"/>
            <w:noWrap/>
            <w:vAlign w:val="bottom"/>
            <w:hideMark/>
          </w:tcPr>
          <w:p w14:paraId="203D1272"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1.992</w:t>
            </w:r>
          </w:p>
        </w:tc>
        <w:tc>
          <w:tcPr>
            <w:tcW w:w="0" w:type="auto"/>
            <w:tcBorders>
              <w:top w:val="nil"/>
              <w:left w:val="nil"/>
              <w:bottom w:val="nil"/>
              <w:right w:val="nil"/>
            </w:tcBorders>
            <w:shd w:val="clear" w:color="auto" w:fill="auto"/>
            <w:noWrap/>
            <w:vAlign w:val="bottom"/>
            <w:hideMark/>
          </w:tcPr>
          <w:p w14:paraId="61F9695E"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1.989</w:t>
            </w:r>
          </w:p>
        </w:tc>
        <w:tc>
          <w:tcPr>
            <w:tcW w:w="0" w:type="auto"/>
            <w:tcBorders>
              <w:top w:val="nil"/>
              <w:left w:val="nil"/>
              <w:bottom w:val="nil"/>
              <w:right w:val="nil"/>
            </w:tcBorders>
            <w:shd w:val="clear" w:color="auto" w:fill="auto"/>
            <w:noWrap/>
            <w:vAlign w:val="bottom"/>
            <w:hideMark/>
          </w:tcPr>
          <w:p w14:paraId="384C1FB4"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1.989</w:t>
            </w:r>
          </w:p>
        </w:tc>
        <w:tc>
          <w:tcPr>
            <w:tcW w:w="0" w:type="auto"/>
            <w:tcBorders>
              <w:top w:val="nil"/>
              <w:left w:val="nil"/>
              <w:bottom w:val="nil"/>
              <w:right w:val="nil"/>
            </w:tcBorders>
            <w:shd w:val="clear" w:color="auto" w:fill="auto"/>
            <w:noWrap/>
            <w:vAlign w:val="bottom"/>
            <w:hideMark/>
          </w:tcPr>
          <w:p w14:paraId="5B690D16"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1.992</w:t>
            </w:r>
          </w:p>
        </w:tc>
        <w:tc>
          <w:tcPr>
            <w:tcW w:w="0" w:type="auto"/>
            <w:tcBorders>
              <w:top w:val="nil"/>
              <w:left w:val="nil"/>
              <w:bottom w:val="nil"/>
              <w:right w:val="nil"/>
            </w:tcBorders>
            <w:shd w:val="clear" w:color="auto" w:fill="auto"/>
            <w:noWrap/>
            <w:vAlign w:val="bottom"/>
            <w:hideMark/>
          </w:tcPr>
          <w:p w14:paraId="6827F6E2"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1.992</w:t>
            </w:r>
          </w:p>
        </w:tc>
      </w:tr>
      <w:tr w:rsidR="009038E1" w:rsidRPr="00342DF8" w14:paraId="4E137454" w14:textId="77777777" w:rsidTr="00942DF3">
        <w:trPr>
          <w:trHeight w:val="280"/>
          <w:jc w:val="center"/>
        </w:trPr>
        <w:tc>
          <w:tcPr>
            <w:tcW w:w="0" w:type="auto"/>
            <w:tcBorders>
              <w:top w:val="nil"/>
              <w:left w:val="nil"/>
              <w:bottom w:val="nil"/>
              <w:right w:val="nil"/>
            </w:tcBorders>
            <w:shd w:val="clear" w:color="auto" w:fill="auto"/>
            <w:noWrap/>
            <w:vAlign w:val="bottom"/>
            <w:hideMark/>
          </w:tcPr>
          <w:p w14:paraId="3CDB8A04" w14:textId="77777777" w:rsidR="00CA409F" w:rsidRPr="00942DF3" w:rsidRDefault="00CA409F" w:rsidP="00942DF3">
            <w:pPr>
              <w:spacing w:after="120" w:line="240" w:lineRule="auto"/>
              <w:rPr>
                <w:rFonts w:ascii="Calibri" w:eastAsia="Times New Roman" w:hAnsi="Calibri" w:cs="Times New Roman"/>
                <w:color w:val="000000"/>
              </w:rPr>
            </w:pPr>
          </w:p>
        </w:tc>
        <w:tc>
          <w:tcPr>
            <w:tcW w:w="0" w:type="auto"/>
            <w:tcBorders>
              <w:top w:val="nil"/>
              <w:left w:val="nil"/>
              <w:bottom w:val="nil"/>
              <w:right w:val="nil"/>
            </w:tcBorders>
            <w:shd w:val="clear" w:color="auto" w:fill="auto"/>
            <w:noWrap/>
            <w:vAlign w:val="bottom"/>
            <w:hideMark/>
          </w:tcPr>
          <w:p w14:paraId="4D4A8ED9"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nil"/>
              <w:right w:val="nil"/>
            </w:tcBorders>
            <w:shd w:val="clear" w:color="auto" w:fill="auto"/>
            <w:noWrap/>
            <w:vAlign w:val="bottom"/>
            <w:hideMark/>
          </w:tcPr>
          <w:p w14:paraId="4056FB0A"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nil"/>
              <w:right w:val="nil"/>
            </w:tcBorders>
            <w:shd w:val="clear" w:color="auto" w:fill="auto"/>
            <w:noWrap/>
            <w:vAlign w:val="bottom"/>
            <w:hideMark/>
          </w:tcPr>
          <w:p w14:paraId="63E99129"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nil"/>
              <w:right w:val="nil"/>
            </w:tcBorders>
            <w:shd w:val="clear" w:color="auto" w:fill="auto"/>
            <w:noWrap/>
            <w:vAlign w:val="bottom"/>
            <w:hideMark/>
          </w:tcPr>
          <w:p w14:paraId="1272CCA1"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nil"/>
              <w:right w:val="nil"/>
            </w:tcBorders>
            <w:shd w:val="clear" w:color="auto" w:fill="auto"/>
            <w:noWrap/>
            <w:vAlign w:val="bottom"/>
            <w:hideMark/>
          </w:tcPr>
          <w:p w14:paraId="59210432"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nil"/>
              <w:right w:val="nil"/>
            </w:tcBorders>
            <w:shd w:val="clear" w:color="auto" w:fill="auto"/>
            <w:noWrap/>
            <w:vAlign w:val="bottom"/>
            <w:hideMark/>
          </w:tcPr>
          <w:p w14:paraId="62AAC57C"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nil"/>
              <w:right w:val="nil"/>
            </w:tcBorders>
            <w:shd w:val="clear" w:color="auto" w:fill="auto"/>
            <w:noWrap/>
            <w:vAlign w:val="bottom"/>
            <w:hideMark/>
          </w:tcPr>
          <w:p w14:paraId="4C66FF49"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(0.012)</w:t>
            </w:r>
          </w:p>
        </w:tc>
        <w:tc>
          <w:tcPr>
            <w:tcW w:w="0" w:type="auto"/>
            <w:tcBorders>
              <w:top w:val="nil"/>
              <w:left w:val="nil"/>
              <w:bottom w:val="nil"/>
              <w:right w:val="nil"/>
            </w:tcBorders>
            <w:shd w:val="clear" w:color="auto" w:fill="auto"/>
            <w:noWrap/>
            <w:vAlign w:val="bottom"/>
            <w:hideMark/>
          </w:tcPr>
          <w:p w14:paraId="265C7A2C"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(0.012)</w:t>
            </w:r>
          </w:p>
        </w:tc>
        <w:tc>
          <w:tcPr>
            <w:tcW w:w="0" w:type="auto"/>
            <w:tcBorders>
              <w:top w:val="nil"/>
              <w:left w:val="nil"/>
              <w:bottom w:val="nil"/>
              <w:right w:val="nil"/>
            </w:tcBorders>
            <w:shd w:val="clear" w:color="auto" w:fill="auto"/>
            <w:noWrap/>
            <w:vAlign w:val="bottom"/>
            <w:hideMark/>
          </w:tcPr>
          <w:p w14:paraId="44C7BDFB"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(0.012)</w:t>
            </w:r>
          </w:p>
        </w:tc>
        <w:tc>
          <w:tcPr>
            <w:tcW w:w="0" w:type="auto"/>
            <w:tcBorders>
              <w:top w:val="nil"/>
              <w:left w:val="nil"/>
              <w:bottom w:val="nil"/>
              <w:right w:val="nil"/>
            </w:tcBorders>
            <w:shd w:val="clear" w:color="auto" w:fill="auto"/>
            <w:noWrap/>
            <w:vAlign w:val="bottom"/>
            <w:hideMark/>
          </w:tcPr>
          <w:p w14:paraId="3DD01169"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(0.012)</w:t>
            </w:r>
          </w:p>
        </w:tc>
        <w:tc>
          <w:tcPr>
            <w:tcW w:w="0" w:type="auto"/>
            <w:tcBorders>
              <w:top w:val="nil"/>
              <w:left w:val="nil"/>
              <w:bottom w:val="nil"/>
              <w:right w:val="nil"/>
            </w:tcBorders>
            <w:shd w:val="clear" w:color="auto" w:fill="auto"/>
            <w:noWrap/>
            <w:vAlign w:val="bottom"/>
            <w:hideMark/>
          </w:tcPr>
          <w:p w14:paraId="7238D111"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(0.012)</w:t>
            </w:r>
          </w:p>
        </w:tc>
        <w:tc>
          <w:tcPr>
            <w:tcW w:w="0" w:type="auto"/>
            <w:tcBorders>
              <w:top w:val="nil"/>
              <w:left w:val="nil"/>
              <w:bottom w:val="nil"/>
              <w:right w:val="nil"/>
            </w:tcBorders>
            <w:shd w:val="clear" w:color="auto" w:fill="auto"/>
            <w:noWrap/>
            <w:vAlign w:val="bottom"/>
            <w:hideMark/>
          </w:tcPr>
          <w:p w14:paraId="08B976E9"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(0.012)</w:t>
            </w:r>
          </w:p>
        </w:tc>
      </w:tr>
      <w:tr w:rsidR="009038E1" w:rsidRPr="00342DF8" w14:paraId="5454E3BF" w14:textId="77777777" w:rsidTr="00942DF3">
        <w:trPr>
          <w:trHeight w:val="280"/>
          <w:jc w:val="center"/>
        </w:trPr>
        <w:tc>
          <w:tcPr>
            <w:tcW w:w="0" w:type="auto"/>
            <w:tcBorders>
              <w:top w:val="nil"/>
              <w:left w:val="nil"/>
              <w:bottom w:val="nil"/>
              <w:right w:val="nil"/>
            </w:tcBorders>
            <w:shd w:val="clear" w:color="auto" w:fill="auto"/>
            <w:noWrap/>
            <w:vAlign w:val="bottom"/>
            <w:hideMark/>
          </w:tcPr>
          <w:p w14:paraId="5B629062" w14:textId="5C49C923" w:rsidR="00CA409F" w:rsidRPr="00942DF3" w:rsidRDefault="009038E1" w:rsidP="00CA409F">
            <w:pPr>
              <w:keepNext/>
              <w:keepLines/>
              <w:spacing w:before="200" w:after="0" w:line="240" w:lineRule="auto"/>
              <w:outlineLvl w:val="7"/>
              <w:rPr>
                <w:rFonts w:ascii="Calibri" w:eastAsia="Times New Roman" w:hAnsi="Calibri" w:cs="Times New Roman"/>
                <w:color w:val="000000"/>
              </w:rPr>
            </w:pPr>
            <w:r w:rsidRPr="00942DF3">
              <w:rPr>
                <w:rFonts w:ascii="Calibri" w:eastAsia="Times New Roman" w:hAnsi="Calibri" w:cs="Times New Roman"/>
                <w:color w:val="000000"/>
              </w:rPr>
              <w:t>J</w:t>
            </w:r>
            <w:r w:rsidRPr="00942DF3">
              <w:rPr>
                <w:rFonts w:ascii="Calibri" w:eastAsia="Times New Roman" w:hAnsi="Calibri" w:cs="Times New Roman"/>
                <w:color w:val="000000"/>
                <w:vertAlign w:val="subscript"/>
              </w:rPr>
              <w:t>1</w:t>
            </w:r>
            <w:r w:rsidR="00CA409F" w:rsidRPr="00942DF3">
              <w:rPr>
                <w:rFonts w:ascii="Calibri" w:eastAsia="Times New Roman" w:hAnsi="Calibri" w:cs="Times New Roman"/>
                <w:color w:val="000000"/>
                <w:vertAlign w:val="subscript"/>
              </w:rPr>
              <w:t>cs</w:t>
            </w:r>
          </w:p>
        </w:tc>
        <w:tc>
          <w:tcPr>
            <w:tcW w:w="0" w:type="auto"/>
            <w:tcBorders>
              <w:top w:val="nil"/>
              <w:left w:val="nil"/>
              <w:bottom w:val="nil"/>
              <w:right w:val="nil"/>
            </w:tcBorders>
            <w:shd w:val="clear" w:color="auto" w:fill="auto"/>
            <w:noWrap/>
            <w:vAlign w:val="bottom"/>
            <w:hideMark/>
          </w:tcPr>
          <w:p w14:paraId="6F49DF95"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30.353</w:t>
            </w:r>
          </w:p>
        </w:tc>
        <w:tc>
          <w:tcPr>
            <w:tcW w:w="0" w:type="auto"/>
            <w:tcBorders>
              <w:top w:val="nil"/>
              <w:left w:val="nil"/>
              <w:bottom w:val="nil"/>
              <w:right w:val="nil"/>
            </w:tcBorders>
            <w:shd w:val="clear" w:color="auto" w:fill="auto"/>
            <w:noWrap/>
            <w:vAlign w:val="bottom"/>
            <w:hideMark/>
          </w:tcPr>
          <w:p w14:paraId="00134B1F" w14:textId="77777777" w:rsidR="00CA409F" w:rsidRPr="00342DF8" w:rsidRDefault="00CA409F" w:rsidP="00CA409F">
            <w:pPr>
              <w:spacing w:after="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32.472</w:t>
            </w:r>
          </w:p>
        </w:tc>
        <w:tc>
          <w:tcPr>
            <w:tcW w:w="0" w:type="auto"/>
            <w:tcBorders>
              <w:top w:val="nil"/>
              <w:left w:val="nil"/>
              <w:bottom w:val="nil"/>
              <w:right w:val="nil"/>
            </w:tcBorders>
            <w:shd w:val="clear" w:color="auto" w:fill="auto"/>
            <w:noWrap/>
            <w:vAlign w:val="bottom"/>
            <w:hideMark/>
          </w:tcPr>
          <w:p w14:paraId="7F359EA1"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39.691</w:t>
            </w:r>
          </w:p>
        </w:tc>
        <w:tc>
          <w:tcPr>
            <w:tcW w:w="0" w:type="auto"/>
            <w:tcBorders>
              <w:top w:val="nil"/>
              <w:left w:val="nil"/>
              <w:bottom w:val="nil"/>
              <w:right w:val="nil"/>
            </w:tcBorders>
            <w:shd w:val="clear" w:color="auto" w:fill="auto"/>
            <w:noWrap/>
            <w:vAlign w:val="bottom"/>
            <w:hideMark/>
          </w:tcPr>
          <w:p w14:paraId="4713736F"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31.105</w:t>
            </w:r>
          </w:p>
        </w:tc>
        <w:tc>
          <w:tcPr>
            <w:tcW w:w="0" w:type="auto"/>
            <w:tcBorders>
              <w:top w:val="nil"/>
              <w:left w:val="nil"/>
              <w:bottom w:val="nil"/>
              <w:right w:val="nil"/>
            </w:tcBorders>
            <w:shd w:val="clear" w:color="auto" w:fill="auto"/>
            <w:noWrap/>
            <w:vAlign w:val="bottom"/>
            <w:hideMark/>
          </w:tcPr>
          <w:p w14:paraId="504054FF"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52.520</w:t>
            </w:r>
          </w:p>
        </w:tc>
        <w:tc>
          <w:tcPr>
            <w:tcW w:w="0" w:type="auto"/>
            <w:tcBorders>
              <w:top w:val="nil"/>
              <w:left w:val="nil"/>
              <w:bottom w:val="nil"/>
              <w:right w:val="nil"/>
            </w:tcBorders>
            <w:shd w:val="clear" w:color="auto" w:fill="auto"/>
            <w:noWrap/>
            <w:vAlign w:val="bottom"/>
            <w:hideMark/>
          </w:tcPr>
          <w:p w14:paraId="4F099526"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39.811</w:t>
            </w:r>
          </w:p>
        </w:tc>
        <w:tc>
          <w:tcPr>
            <w:tcW w:w="0" w:type="auto"/>
            <w:tcBorders>
              <w:top w:val="nil"/>
              <w:left w:val="nil"/>
              <w:bottom w:val="nil"/>
              <w:right w:val="nil"/>
            </w:tcBorders>
            <w:shd w:val="clear" w:color="auto" w:fill="auto"/>
            <w:noWrap/>
            <w:vAlign w:val="bottom"/>
            <w:hideMark/>
          </w:tcPr>
          <w:p w14:paraId="3DABBCD4"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1.610</w:t>
            </w:r>
          </w:p>
        </w:tc>
        <w:tc>
          <w:tcPr>
            <w:tcW w:w="0" w:type="auto"/>
            <w:tcBorders>
              <w:top w:val="nil"/>
              <w:left w:val="nil"/>
              <w:bottom w:val="nil"/>
              <w:right w:val="nil"/>
            </w:tcBorders>
            <w:shd w:val="clear" w:color="auto" w:fill="auto"/>
            <w:noWrap/>
            <w:vAlign w:val="bottom"/>
            <w:hideMark/>
          </w:tcPr>
          <w:p w14:paraId="0077EBAF"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-0.370</w:t>
            </w:r>
          </w:p>
        </w:tc>
        <w:tc>
          <w:tcPr>
            <w:tcW w:w="0" w:type="auto"/>
            <w:tcBorders>
              <w:top w:val="nil"/>
              <w:left w:val="nil"/>
              <w:bottom w:val="nil"/>
              <w:right w:val="nil"/>
            </w:tcBorders>
            <w:shd w:val="clear" w:color="auto" w:fill="auto"/>
            <w:noWrap/>
            <w:vAlign w:val="bottom"/>
            <w:hideMark/>
          </w:tcPr>
          <w:p w14:paraId="139943D0"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-0.150</w:t>
            </w:r>
          </w:p>
        </w:tc>
        <w:tc>
          <w:tcPr>
            <w:tcW w:w="0" w:type="auto"/>
            <w:tcBorders>
              <w:top w:val="nil"/>
              <w:left w:val="nil"/>
              <w:bottom w:val="nil"/>
              <w:right w:val="nil"/>
            </w:tcBorders>
            <w:shd w:val="clear" w:color="auto" w:fill="auto"/>
            <w:noWrap/>
            <w:vAlign w:val="bottom"/>
            <w:hideMark/>
          </w:tcPr>
          <w:p w14:paraId="79CB2E9E"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-1.643</w:t>
            </w:r>
          </w:p>
        </w:tc>
        <w:tc>
          <w:tcPr>
            <w:tcW w:w="0" w:type="auto"/>
            <w:tcBorders>
              <w:top w:val="nil"/>
              <w:left w:val="nil"/>
              <w:bottom w:val="nil"/>
              <w:right w:val="nil"/>
            </w:tcBorders>
            <w:shd w:val="clear" w:color="auto" w:fill="auto"/>
            <w:noWrap/>
            <w:vAlign w:val="bottom"/>
            <w:hideMark/>
          </w:tcPr>
          <w:p w14:paraId="02C8679D"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-1.331</w:t>
            </w:r>
          </w:p>
        </w:tc>
        <w:tc>
          <w:tcPr>
            <w:tcW w:w="0" w:type="auto"/>
            <w:tcBorders>
              <w:top w:val="nil"/>
              <w:left w:val="nil"/>
              <w:bottom w:val="nil"/>
              <w:right w:val="nil"/>
            </w:tcBorders>
            <w:shd w:val="clear" w:color="auto" w:fill="auto"/>
            <w:noWrap/>
            <w:vAlign w:val="bottom"/>
            <w:hideMark/>
          </w:tcPr>
          <w:p w14:paraId="5D3BA5CF"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-3.205</w:t>
            </w:r>
          </w:p>
        </w:tc>
      </w:tr>
      <w:tr w:rsidR="009038E1" w:rsidRPr="00342DF8" w14:paraId="1C4D2101" w14:textId="77777777" w:rsidTr="00942DF3">
        <w:trPr>
          <w:trHeight w:val="280"/>
          <w:jc w:val="center"/>
        </w:trPr>
        <w:tc>
          <w:tcPr>
            <w:tcW w:w="0" w:type="auto"/>
            <w:tcBorders>
              <w:top w:val="nil"/>
              <w:left w:val="nil"/>
              <w:bottom w:val="nil"/>
              <w:right w:val="nil"/>
            </w:tcBorders>
            <w:shd w:val="clear" w:color="auto" w:fill="auto"/>
            <w:noWrap/>
            <w:vAlign w:val="bottom"/>
            <w:hideMark/>
          </w:tcPr>
          <w:p w14:paraId="57B1F64B" w14:textId="77777777" w:rsidR="00CA409F" w:rsidRPr="00942DF3" w:rsidRDefault="00CA409F" w:rsidP="00942DF3">
            <w:pPr>
              <w:spacing w:after="120" w:line="240" w:lineRule="auto"/>
              <w:rPr>
                <w:rFonts w:ascii="Calibri" w:eastAsia="Times New Roman" w:hAnsi="Calibri" w:cs="Times New Roman"/>
                <w:color w:val="000000"/>
              </w:rPr>
            </w:pPr>
          </w:p>
        </w:tc>
        <w:tc>
          <w:tcPr>
            <w:tcW w:w="0" w:type="auto"/>
            <w:tcBorders>
              <w:top w:val="nil"/>
              <w:left w:val="nil"/>
              <w:bottom w:val="nil"/>
              <w:right w:val="nil"/>
            </w:tcBorders>
            <w:shd w:val="clear" w:color="auto" w:fill="auto"/>
            <w:noWrap/>
            <w:vAlign w:val="bottom"/>
            <w:hideMark/>
          </w:tcPr>
          <w:p w14:paraId="61428844"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nil"/>
              <w:right w:val="nil"/>
            </w:tcBorders>
            <w:shd w:val="clear" w:color="auto" w:fill="auto"/>
            <w:noWrap/>
            <w:vAlign w:val="bottom"/>
            <w:hideMark/>
          </w:tcPr>
          <w:p w14:paraId="50727D8E"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nil"/>
              <w:right w:val="nil"/>
            </w:tcBorders>
            <w:shd w:val="clear" w:color="auto" w:fill="auto"/>
            <w:noWrap/>
            <w:vAlign w:val="bottom"/>
            <w:hideMark/>
          </w:tcPr>
          <w:p w14:paraId="53479D28"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nil"/>
              <w:right w:val="nil"/>
            </w:tcBorders>
            <w:shd w:val="clear" w:color="auto" w:fill="auto"/>
            <w:noWrap/>
            <w:vAlign w:val="bottom"/>
            <w:hideMark/>
          </w:tcPr>
          <w:p w14:paraId="7D64E8EF"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nil"/>
              <w:right w:val="nil"/>
            </w:tcBorders>
            <w:shd w:val="clear" w:color="auto" w:fill="auto"/>
            <w:noWrap/>
            <w:vAlign w:val="bottom"/>
            <w:hideMark/>
          </w:tcPr>
          <w:p w14:paraId="23491E20"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nil"/>
              <w:right w:val="nil"/>
            </w:tcBorders>
            <w:shd w:val="clear" w:color="auto" w:fill="auto"/>
            <w:noWrap/>
            <w:vAlign w:val="bottom"/>
            <w:hideMark/>
          </w:tcPr>
          <w:p w14:paraId="47156A7F"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nil"/>
              <w:right w:val="nil"/>
            </w:tcBorders>
            <w:shd w:val="clear" w:color="auto" w:fill="auto"/>
            <w:noWrap/>
            <w:vAlign w:val="bottom"/>
            <w:hideMark/>
          </w:tcPr>
          <w:p w14:paraId="1BA35ECF"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(0.027)</w:t>
            </w:r>
          </w:p>
        </w:tc>
        <w:tc>
          <w:tcPr>
            <w:tcW w:w="0" w:type="auto"/>
            <w:tcBorders>
              <w:top w:val="nil"/>
              <w:left w:val="nil"/>
              <w:bottom w:val="nil"/>
              <w:right w:val="nil"/>
            </w:tcBorders>
            <w:shd w:val="clear" w:color="auto" w:fill="auto"/>
            <w:noWrap/>
            <w:vAlign w:val="bottom"/>
            <w:hideMark/>
          </w:tcPr>
          <w:p w14:paraId="6578E86A"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(0.178)</w:t>
            </w:r>
          </w:p>
        </w:tc>
        <w:tc>
          <w:tcPr>
            <w:tcW w:w="0" w:type="auto"/>
            <w:tcBorders>
              <w:top w:val="nil"/>
              <w:left w:val="nil"/>
              <w:bottom w:val="nil"/>
              <w:right w:val="nil"/>
            </w:tcBorders>
            <w:shd w:val="clear" w:color="auto" w:fill="auto"/>
            <w:noWrap/>
            <w:vAlign w:val="bottom"/>
            <w:hideMark/>
          </w:tcPr>
          <w:p w14:paraId="6A7913B4"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(0.220)</w:t>
            </w:r>
          </w:p>
        </w:tc>
        <w:tc>
          <w:tcPr>
            <w:tcW w:w="0" w:type="auto"/>
            <w:tcBorders>
              <w:top w:val="nil"/>
              <w:left w:val="nil"/>
              <w:bottom w:val="nil"/>
              <w:right w:val="nil"/>
            </w:tcBorders>
            <w:shd w:val="clear" w:color="auto" w:fill="auto"/>
            <w:noWrap/>
            <w:vAlign w:val="bottom"/>
            <w:hideMark/>
          </w:tcPr>
          <w:p w14:paraId="41F5E17E"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(0.025)</w:t>
            </w:r>
          </w:p>
        </w:tc>
        <w:tc>
          <w:tcPr>
            <w:tcW w:w="0" w:type="auto"/>
            <w:tcBorders>
              <w:top w:val="nil"/>
              <w:left w:val="nil"/>
              <w:bottom w:val="nil"/>
              <w:right w:val="nil"/>
            </w:tcBorders>
            <w:shd w:val="clear" w:color="auto" w:fill="auto"/>
            <w:noWrap/>
            <w:vAlign w:val="bottom"/>
            <w:hideMark/>
          </w:tcPr>
          <w:p w14:paraId="10D87758"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(0.046)</w:t>
            </w:r>
          </w:p>
        </w:tc>
        <w:tc>
          <w:tcPr>
            <w:tcW w:w="0" w:type="auto"/>
            <w:tcBorders>
              <w:top w:val="nil"/>
              <w:left w:val="nil"/>
              <w:bottom w:val="nil"/>
              <w:right w:val="nil"/>
            </w:tcBorders>
            <w:shd w:val="clear" w:color="auto" w:fill="auto"/>
            <w:noWrap/>
            <w:vAlign w:val="bottom"/>
            <w:hideMark/>
          </w:tcPr>
          <w:p w14:paraId="5B6712E7" w14:textId="77777777" w:rsidR="00CA409F" w:rsidRPr="00342DF8" w:rsidRDefault="00CA409F" w:rsidP="00942DF3">
            <w:pPr>
              <w:spacing w:after="12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(0.000)</w:t>
            </w:r>
          </w:p>
        </w:tc>
      </w:tr>
      <w:tr w:rsidR="009038E1" w:rsidRPr="00342DF8" w14:paraId="53E2D2C6" w14:textId="77777777" w:rsidTr="00942DF3">
        <w:trPr>
          <w:trHeight w:val="280"/>
          <w:jc w:val="center"/>
        </w:trPr>
        <w:tc>
          <w:tcPr>
            <w:tcW w:w="0" w:type="auto"/>
            <w:tcBorders>
              <w:top w:val="nil"/>
              <w:left w:val="nil"/>
              <w:right w:val="nil"/>
            </w:tcBorders>
            <w:shd w:val="clear" w:color="auto" w:fill="auto"/>
            <w:noWrap/>
            <w:vAlign w:val="bottom"/>
            <w:hideMark/>
          </w:tcPr>
          <w:p w14:paraId="55F7EB38" w14:textId="53E28E0E" w:rsidR="00CA409F" w:rsidRPr="00942DF3" w:rsidRDefault="009038E1" w:rsidP="00CA409F">
            <w:pPr>
              <w:keepNext/>
              <w:keepLines/>
              <w:spacing w:before="200" w:after="0" w:line="240" w:lineRule="auto"/>
              <w:outlineLvl w:val="7"/>
              <w:rPr>
                <w:rFonts w:ascii="Calibri" w:eastAsia="Times New Roman" w:hAnsi="Calibri" w:cs="Times New Roman"/>
                <w:color w:val="000000"/>
              </w:rPr>
            </w:pPr>
            <w:r w:rsidRPr="00942DF3">
              <w:rPr>
                <w:rFonts w:ascii="Calibri" w:eastAsia="Times New Roman" w:hAnsi="Calibri" w:cs="Times New Roman"/>
                <w:color w:val="000000"/>
              </w:rPr>
              <w:t>J</w:t>
            </w:r>
            <w:r w:rsidRPr="00942DF3">
              <w:rPr>
                <w:rFonts w:ascii="Calibri" w:eastAsia="Times New Roman" w:hAnsi="Calibri" w:cs="Times New Roman"/>
                <w:color w:val="000000"/>
                <w:vertAlign w:val="subscript"/>
              </w:rPr>
              <w:t>2</w:t>
            </w:r>
            <w:r w:rsidR="00CA409F" w:rsidRPr="00942DF3">
              <w:rPr>
                <w:rFonts w:ascii="Calibri" w:eastAsia="Times New Roman" w:hAnsi="Calibri" w:cs="Times New Roman"/>
                <w:color w:val="000000"/>
                <w:vertAlign w:val="subscript"/>
              </w:rPr>
              <w:t>cs</w:t>
            </w:r>
          </w:p>
        </w:tc>
        <w:tc>
          <w:tcPr>
            <w:tcW w:w="0" w:type="auto"/>
            <w:tcBorders>
              <w:top w:val="nil"/>
              <w:left w:val="nil"/>
              <w:right w:val="nil"/>
            </w:tcBorders>
            <w:shd w:val="clear" w:color="auto" w:fill="auto"/>
            <w:noWrap/>
            <w:vAlign w:val="bottom"/>
            <w:hideMark/>
          </w:tcPr>
          <w:p w14:paraId="2307A49A"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12.145</w:t>
            </w:r>
          </w:p>
        </w:tc>
        <w:tc>
          <w:tcPr>
            <w:tcW w:w="0" w:type="auto"/>
            <w:tcBorders>
              <w:top w:val="nil"/>
              <w:left w:val="nil"/>
              <w:right w:val="nil"/>
            </w:tcBorders>
            <w:shd w:val="clear" w:color="auto" w:fill="auto"/>
            <w:noWrap/>
            <w:vAlign w:val="bottom"/>
            <w:hideMark/>
          </w:tcPr>
          <w:p w14:paraId="774278F1"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9.440</w:t>
            </w:r>
          </w:p>
        </w:tc>
        <w:tc>
          <w:tcPr>
            <w:tcW w:w="0" w:type="auto"/>
            <w:tcBorders>
              <w:top w:val="nil"/>
              <w:left w:val="nil"/>
              <w:right w:val="nil"/>
            </w:tcBorders>
            <w:shd w:val="clear" w:color="auto" w:fill="auto"/>
            <w:noWrap/>
            <w:vAlign w:val="bottom"/>
            <w:hideMark/>
          </w:tcPr>
          <w:p w14:paraId="4C269CF4"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14.394</w:t>
            </w:r>
          </w:p>
        </w:tc>
        <w:tc>
          <w:tcPr>
            <w:tcW w:w="0" w:type="auto"/>
            <w:tcBorders>
              <w:top w:val="nil"/>
              <w:left w:val="nil"/>
              <w:right w:val="nil"/>
            </w:tcBorders>
            <w:shd w:val="clear" w:color="auto" w:fill="auto"/>
            <w:noWrap/>
            <w:vAlign w:val="bottom"/>
            <w:hideMark/>
          </w:tcPr>
          <w:p w14:paraId="00600999"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9.514</w:t>
            </w:r>
          </w:p>
        </w:tc>
        <w:tc>
          <w:tcPr>
            <w:tcW w:w="0" w:type="auto"/>
            <w:tcBorders>
              <w:top w:val="nil"/>
              <w:left w:val="nil"/>
              <w:right w:val="nil"/>
            </w:tcBorders>
            <w:shd w:val="clear" w:color="auto" w:fill="auto"/>
            <w:noWrap/>
            <w:vAlign w:val="bottom"/>
            <w:hideMark/>
          </w:tcPr>
          <w:p w14:paraId="7F5CD499"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11.185</w:t>
            </w:r>
          </w:p>
        </w:tc>
        <w:tc>
          <w:tcPr>
            <w:tcW w:w="0" w:type="auto"/>
            <w:tcBorders>
              <w:top w:val="nil"/>
              <w:left w:val="nil"/>
              <w:right w:val="nil"/>
            </w:tcBorders>
            <w:shd w:val="clear" w:color="auto" w:fill="auto"/>
            <w:noWrap/>
            <w:vAlign w:val="bottom"/>
            <w:hideMark/>
          </w:tcPr>
          <w:p w14:paraId="2754DD42"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16.535</w:t>
            </w:r>
          </w:p>
        </w:tc>
        <w:tc>
          <w:tcPr>
            <w:tcW w:w="0" w:type="auto"/>
            <w:tcBorders>
              <w:top w:val="nil"/>
              <w:left w:val="nil"/>
              <w:right w:val="nil"/>
            </w:tcBorders>
            <w:shd w:val="clear" w:color="auto" w:fill="auto"/>
            <w:noWrap/>
            <w:vAlign w:val="bottom"/>
            <w:hideMark/>
          </w:tcPr>
          <w:p w14:paraId="7DB8EF96"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-1.310</w:t>
            </w:r>
          </w:p>
        </w:tc>
        <w:tc>
          <w:tcPr>
            <w:tcW w:w="0" w:type="auto"/>
            <w:tcBorders>
              <w:top w:val="nil"/>
              <w:left w:val="nil"/>
              <w:right w:val="nil"/>
            </w:tcBorders>
            <w:shd w:val="clear" w:color="auto" w:fill="auto"/>
            <w:noWrap/>
            <w:vAlign w:val="bottom"/>
            <w:hideMark/>
          </w:tcPr>
          <w:p w14:paraId="3ACC39B0"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-2.199</w:t>
            </w:r>
          </w:p>
        </w:tc>
        <w:tc>
          <w:tcPr>
            <w:tcW w:w="0" w:type="auto"/>
            <w:tcBorders>
              <w:top w:val="nil"/>
              <w:left w:val="nil"/>
              <w:right w:val="nil"/>
            </w:tcBorders>
            <w:shd w:val="clear" w:color="auto" w:fill="auto"/>
            <w:noWrap/>
            <w:vAlign w:val="bottom"/>
            <w:hideMark/>
          </w:tcPr>
          <w:p w14:paraId="47CDF9DE"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2.382</w:t>
            </w:r>
          </w:p>
        </w:tc>
        <w:tc>
          <w:tcPr>
            <w:tcW w:w="0" w:type="auto"/>
            <w:tcBorders>
              <w:top w:val="nil"/>
              <w:left w:val="nil"/>
              <w:right w:val="nil"/>
            </w:tcBorders>
            <w:shd w:val="clear" w:color="auto" w:fill="auto"/>
            <w:noWrap/>
            <w:vAlign w:val="bottom"/>
            <w:hideMark/>
          </w:tcPr>
          <w:p w14:paraId="43F786D3"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-3.282</w:t>
            </w:r>
          </w:p>
        </w:tc>
        <w:tc>
          <w:tcPr>
            <w:tcW w:w="0" w:type="auto"/>
            <w:tcBorders>
              <w:top w:val="nil"/>
              <w:left w:val="nil"/>
              <w:right w:val="nil"/>
            </w:tcBorders>
            <w:shd w:val="clear" w:color="auto" w:fill="auto"/>
            <w:noWrap/>
            <w:vAlign w:val="bottom"/>
            <w:hideMark/>
          </w:tcPr>
          <w:p w14:paraId="09FC29F1"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2.365</w:t>
            </w:r>
          </w:p>
        </w:tc>
        <w:tc>
          <w:tcPr>
            <w:tcW w:w="0" w:type="auto"/>
            <w:tcBorders>
              <w:top w:val="nil"/>
              <w:left w:val="nil"/>
              <w:right w:val="nil"/>
            </w:tcBorders>
            <w:shd w:val="clear" w:color="auto" w:fill="auto"/>
            <w:noWrap/>
            <w:vAlign w:val="bottom"/>
            <w:hideMark/>
          </w:tcPr>
          <w:p w14:paraId="29E1BB7F" w14:textId="77777777" w:rsidR="00CA409F" w:rsidRPr="00342DF8" w:rsidRDefault="00CA409F" w:rsidP="00CA409F">
            <w:pPr>
              <w:spacing w:after="0" w:line="240" w:lineRule="auto"/>
              <w:jc w:val="right"/>
              <w:rPr>
                <w:rFonts w:ascii="Calibri" w:eastAsia="Times New Roman" w:hAnsi="Calibri" w:cs="Times New Roman"/>
                <w:color w:val="000000"/>
              </w:rPr>
            </w:pPr>
            <w:r w:rsidRPr="00342DF8">
              <w:rPr>
                <w:rFonts w:ascii="Calibri" w:eastAsia="Times New Roman" w:hAnsi="Calibri" w:cs="Times New Roman"/>
                <w:color w:val="000000"/>
              </w:rPr>
              <w:t>-4.660</w:t>
            </w:r>
          </w:p>
        </w:tc>
      </w:tr>
      <w:tr w:rsidR="009038E1" w:rsidRPr="00342DF8" w14:paraId="26A433DE" w14:textId="77777777" w:rsidTr="00942DF3">
        <w:trPr>
          <w:trHeight w:val="280"/>
          <w:jc w:val="center"/>
        </w:trPr>
        <w:tc>
          <w:tcPr>
            <w:tcW w:w="0" w:type="auto"/>
            <w:tcBorders>
              <w:top w:val="nil"/>
              <w:left w:val="nil"/>
              <w:bottom w:val="single" w:sz="4" w:space="0" w:color="auto"/>
              <w:right w:val="nil"/>
            </w:tcBorders>
            <w:shd w:val="clear" w:color="auto" w:fill="auto"/>
            <w:noWrap/>
            <w:vAlign w:val="bottom"/>
            <w:hideMark/>
          </w:tcPr>
          <w:p w14:paraId="3FBCD564" w14:textId="77777777" w:rsidR="00CA409F" w:rsidRPr="00942DF3" w:rsidRDefault="00CA409F" w:rsidP="00CA409F">
            <w:pPr>
              <w:spacing w:after="0" w:line="240" w:lineRule="auto"/>
              <w:rPr>
                <w:rFonts w:ascii="Calibri" w:eastAsia="Times New Roman" w:hAnsi="Calibri" w:cs="Times New Roman"/>
                <w:color w:val="000000"/>
              </w:rPr>
            </w:pPr>
          </w:p>
        </w:tc>
        <w:tc>
          <w:tcPr>
            <w:tcW w:w="0" w:type="auto"/>
            <w:tcBorders>
              <w:top w:val="nil"/>
              <w:left w:val="nil"/>
              <w:bottom w:val="single" w:sz="4" w:space="0" w:color="auto"/>
              <w:right w:val="nil"/>
            </w:tcBorders>
            <w:shd w:val="clear" w:color="auto" w:fill="auto"/>
            <w:noWrap/>
            <w:vAlign w:val="bottom"/>
            <w:hideMark/>
          </w:tcPr>
          <w:p w14:paraId="4A53208A"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single" w:sz="4" w:space="0" w:color="auto"/>
              <w:right w:val="nil"/>
            </w:tcBorders>
            <w:shd w:val="clear" w:color="auto" w:fill="auto"/>
            <w:noWrap/>
            <w:vAlign w:val="bottom"/>
            <w:hideMark/>
          </w:tcPr>
          <w:p w14:paraId="72142559"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single" w:sz="4" w:space="0" w:color="auto"/>
              <w:right w:val="nil"/>
            </w:tcBorders>
            <w:shd w:val="clear" w:color="auto" w:fill="auto"/>
            <w:noWrap/>
            <w:vAlign w:val="bottom"/>
            <w:hideMark/>
          </w:tcPr>
          <w:p w14:paraId="09E9B1A9"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single" w:sz="4" w:space="0" w:color="auto"/>
              <w:right w:val="nil"/>
            </w:tcBorders>
            <w:shd w:val="clear" w:color="auto" w:fill="auto"/>
            <w:noWrap/>
            <w:vAlign w:val="bottom"/>
            <w:hideMark/>
          </w:tcPr>
          <w:p w14:paraId="65514A47"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single" w:sz="4" w:space="0" w:color="auto"/>
              <w:right w:val="nil"/>
            </w:tcBorders>
            <w:shd w:val="clear" w:color="auto" w:fill="auto"/>
            <w:noWrap/>
            <w:vAlign w:val="bottom"/>
            <w:hideMark/>
          </w:tcPr>
          <w:p w14:paraId="7A9B743C"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single" w:sz="4" w:space="0" w:color="auto"/>
              <w:right w:val="nil"/>
            </w:tcBorders>
            <w:shd w:val="clear" w:color="auto" w:fill="auto"/>
            <w:noWrap/>
            <w:vAlign w:val="bottom"/>
            <w:hideMark/>
          </w:tcPr>
          <w:p w14:paraId="38C717F6"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single" w:sz="4" w:space="0" w:color="auto"/>
              <w:right w:val="nil"/>
            </w:tcBorders>
            <w:shd w:val="clear" w:color="auto" w:fill="auto"/>
            <w:noWrap/>
            <w:vAlign w:val="bottom"/>
            <w:hideMark/>
          </w:tcPr>
          <w:p w14:paraId="48EEFD14"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(0.048)</w:t>
            </w:r>
          </w:p>
        </w:tc>
        <w:tc>
          <w:tcPr>
            <w:tcW w:w="0" w:type="auto"/>
            <w:tcBorders>
              <w:top w:val="nil"/>
              <w:left w:val="nil"/>
              <w:bottom w:val="single" w:sz="4" w:space="0" w:color="auto"/>
              <w:right w:val="nil"/>
            </w:tcBorders>
            <w:shd w:val="clear" w:color="auto" w:fill="auto"/>
            <w:noWrap/>
            <w:vAlign w:val="bottom"/>
            <w:hideMark/>
          </w:tcPr>
          <w:p w14:paraId="136FB166"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(0.007)</w:t>
            </w:r>
          </w:p>
        </w:tc>
        <w:tc>
          <w:tcPr>
            <w:tcW w:w="0" w:type="auto"/>
            <w:tcBorders>
              <w:top w:val="nil"/>
              <w:left w:val="nil"/>
              <w:bottom w:val="single" w:sz="4" w:space="0" w:color="auto"/>
              <w:right w:val="nil"/>
            </w:tcBorders>
            <w:shd w:val="clear" w:color="auto" w:fill="auto"/>
            <w:noWrap/>
            <w:vAlign w:val="bottom"/>
            <w:hideMark/>
          </w:tcPr>
          <w:p w14:paraId="3EF55452"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(0.004)</w:t>
            </w:r>
          </w:p>
        </w:tc>
        <w:tc>
          <w:tcPr>
            <w:tcW w:w="0" w:type="auto"/>
            <w:tcBorders>
              <w:top w:val="nil"/>
              <w:left w:val="nil"/>
              <w:bottom w:val="single" w:sz="4" w:space="0" w:color="auto"/>
              <w:right w:val="nil"/>
            </w:tcBorders>
            <w:shd w:val="clear" w:color="auto" w:fill="auto"/>
            <w:noWrap/>
            <w:vAlign w:val="bottom"/>
            <w:hideMark/>
          </w:tcPr>
          <w:p w14:paraId="64B0A574"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(0.000)</w:t>
            </w:r>
          </w:p>
        </w:tc>
        <w:tc>
          <w:tcPr>
            <w:tcW w:w="0" w:type="auto"/>
            <w:tcBorders>
              <w:top w:val="nil"/>
              <w:left w:val="nil"/>
              <w:bottom w:val="single" w:sz="4" w:space="0" w:color="auto"/>
              <w:right w:val="nil"/>
            </w:tcBorders>
            <w:shd w:val="clear" w:color="auto" w:fill="auto"/>
            <w:noWrap/>
            <w:vAlign w:val="bottom"/>
            <w:hideMark/>
          </w:tcPr>
          <w:p w14:paraId="67C840E9"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(0.005)</w:t>
            </w:r>
          </w:p>
        </w:tc>
        <w:tc>
          <w:tcPr>
            <w:tcW w:w="0" w:type="auto"/>
            <w:tcBorders>
              <w:top w:val="nil"/>
              <w:left w:val="nil"/>
              <w:bottom w:val="single" w:sz="4" w:space="0" w:color="auto"/>
              <w:right w:val="nil"/>
            </w:tcBorders>
            <w:shd w:val="clear" w:color="auto" w:fill="auto"/>
            <w:noWrap/>
            <w:vAlign w:val="bottom"/>
            <w:hideMark/>
          </w:tcPr>
          <w:p w14:paraId="086F0875" w14:textId="77777777" w:rsidR="00CA409F" w:rsidRPr="00942DF3" w:rsidRDefault="00CA409F" w:rsidP="00CA409F">
            <w:pPr>
              <w:keepNext/>
              <w:keepLines/>
              <w:spacing w:before="200" w:after="0" w:line="240" w:lineRule="auto"/>
              <w:jc w:val="right"/>
              <w:outlineLvl w:val="7"/>
              <w:rPr>
                <w:rFonts w:ascii="Calibri" w:eastAsia="Times New Roman" w:hAnsi="Calibri" w:cs="Times New Roman"/>
                <w:color w:val="000000"/>
              </w:rPr>
            </w:pPr>
            <w:r w:rsidRPr="00342DF8">
              <w:rPr>
                <w:rFonts w:ascii="Calibri" w:eastAsia="Times New Roman" w:hAnsi="Calibri" w:cs="Times New Roman"/>
                <w:color w:val="000000"/>
              </w:rPr>
              <w:t>(0.000)</w:t>
            </w:r>
          </w:p>
        </w:tc>
      </w:tr>
    </w:tbl>
    <w:p w14:paraId="297B5564" w14:textId="0898C628" w:rsidR="006254F0" w:rsidRPr="00342DF8" w:rsidRDefault="008706FB" w:rsidP="00634AC3">
      <w:pPr>
        <w:pStyle w:val="ListParagraph"/>
        <w:ind w:left="0"/>
        <w:contextualSpacing w:val="0"/>
        <w:jc w:val="center"/>
        <w:rPr>
          <w:sz w:val="20"/>
        </w:rPr>
      </w:pPr>
      <w:r w:rsidRPr="00342DF8">
        <w:rPr>
          <w:sz w:val="20"/>
        </w:rPr>
        <w:t xml:space="preserve">Numbers in parenthesis are </w:t>
      </w:r>
      <w:r w:rsidR="009038E1" w:rsidRPr="00342DF8">
        <w:rPr>
          <w:sz w:val="20"/>
        </w:rPr>
        <w:t>the</w:t>
      </w:r>
      <w:r w:rsidRPr="00342DF8">
        <w:rPr>
          <w:sz w:val="20"/>
        </w:rPr>
        <w:t xml:space="preserve"> p values </w:t>
      </w:r>
      <w:r w:rsidR="009038E1" w:rsidRPr="00342DF8">
        <w:rPr>
          <w:sz w:val="20"/>
        </w:rPr>
        <w:t>of the test statistics</w:t>
      </w:r>
      <w:r w:rsidRPr="00342DF8">
        <w:rPr>
          <w:sz w:val="20"/>
        </w:rPr>
        <w:t>.</w:t>
      </w:r>
    </w:p>
    <w:p w14:paraId="5BEF9A61" w14:textId="77777777" w:rsidR="00342DF8" w:rsidRDefault="00342DF8" w:rsidP="00EB0877">
      <w:pPr>
        <w:jc w:val="center"/>
        <w:sectPr w:rsidR="00342DF8" w:rsidSect="00942DF3">
          <w:pgSz w:w="16840" w:h="11900" w:orient="landscape"/>
          <w:pgMar w:top="1440" w:right="1440" w:bottom="1440" w:left="1440" w:header="708" w:footer="708" w:gutter="0"/>
          <w:cols w:space="708"/>
          <w:docGrid w:linePitch="360"/>
        </w:sectPr>
      </w:pPr>
    </w:p>
    <w:p w14:paraId="23A83F66" w14:textId="560E5DED" w:rsidR="00EB0877" w:rsidRPr="007F79B9" w:rsidRDefault="008706FB" w:rsidP="00EB0877">
      <w:pPr>
        <w:jc w:val="center"/>
        <w:rPr>
          <w:b/>
        </w:rPr>
      </w:pPr>
      <w:r w:rsidRPr="008706FB">
        <w:rPr>
          <w:b/>
        </w:rPr>
        <w:lastRenderedPageBreak/>
        <w:t xml:space="preserve">Table </w:t>
      </w:r>
      <w:r w:rsidR="00045423">
        <w:rPr>
          <w:b/>
        </w:rPr>
        <w:t>A.2</w:t>
      </w:r>
      <w:r w:rsidRPr="008706FB">
        <w:rPr>
          <w:b/>
        </w:rPr>
        <w:t xml:space="preserve">: GMM estimates of Panel VAR </w:t>
      </w:r>
    </w:p>
    <w:tbl>
      <w:tblPr>
        <w:tblW w:w="0" w:type="auto"/>
        <w:jc w:val="center"/>
        <w:tblLook w:val="04A0" w:firstRow="1" w:lastRow="0" w:firstColumn="1" w:lastColumn="0" w:noHBand="0" w:noVBand="1"/>
      </w:tblPr>
      <w:tblGrid>
        <w:gridCol w:w="943"/>
        <w:gridCol w:w="847"/>
        <w:gridCol w:w="1158"/>
        <w:gridCol w:w="1158"/>
        <w:gridCol w:w="1158"/>
        <w:gridCol w:w="1158"/>
        <w:gridCol w:w="1158"/>
        <w:gridCol w:w="1158"/>
      </w:tblGrid>
      <w:tr w:rsidR="00312157" w:rsidRPr="007F79B9" w14:paraId="11A17E86" w14:textId="77777777" w:rsidTr="00312157">
        <w:trPr>
          <w:trHeight w:val="360"/>
          <w:jc w:val="center"/>
        </w:trPr>
        <w:tc>
          <w:tcPr>
            <w:tcW w:w="0" w:type="auto"/>
            <w:tcBorders>
              <w:top w:val="single" w:sz="4" w:space="0" w:color="auto"/>
              <w:left w:val="nil"/>
              <w:bottom w:val="double" w:sz="4" w:space="0" w:color="auto"/>
              <w:right w:val="nil"/>
            </w:tcBorders>
            <w:shd w:val="clear" w:color="auto" w:fill="auto"/>
            <w:noWrap/>
            <w:vAlign w:val="bottom"/>
            <w:hideMark/>
          </w:tcPr>
          <w:p w14:paraId="0894E8C0" w14:textId="77777777" w:rsidR="00EB0877" w:rsidRPr="007F79B9" w:rsidRDefault="00EB0877" w:rsidP="00DF3150">
            <w:pPr>
              <w:spacing w:after="0" w:line="360" w:lineRule="auto"/>
              <w:jc w:val="center"/>
              <w:rPr>
                <w:rFonts w:ascii="Calibri" w:eastAsia="Times New Roman" w:hAnsi="Calibri" w:cs="Times New Roman"/>
                <w:b/>
                <w:color w:val="000000"/>
                <w:lang w:eastAsia="en-GB"/>
              </w:rPr>
            </w:pPr>
          </w:p>
        </w:tc>
        <w:tc>
          <w:tcPr>
            <w:tcW w:w="0" w:type="auto"/>
            <w:tcBorders>
              <w:top w:val="single" w:sz="4" w:space="0" w:color="auto"/>
              <w:left w:val="nil"/>
              <w:bottom w:val="double" w:sz="4" w:space="0" w:color="auto"/>
              <w:right w:val="nil"/>
            </w:tcBorders>
            <w:shd w:val="clear" w:color="auto" w:fill="auto"/>
            <w:noWrap/>
            <w:vAlign w:val="bottom"/>
            <w:hideMark/>
          </w:tcPr>
          <w:p w14:paraId="53B1C62C" w14:textId="77777777" w:rsidR="00312157" w:rsidRPr="007F79B9" w:rsidRDefault="00312157" w:rsidP="00DF3150">
            <w:pPr>
              <w:spacing w:after="0" w:line="360" w:lineRule="auto"/>
              <w:jc w:val="center"/>
              <w:rPr>
                <w:rFonts w:ascii="Calibri" w:eastAsia="Times New Roman" w:hAnsi="Calibri" w:cs="Times New Roman"/>
                <w:b/>
                <w:color w:val="000000"/>
                <w:lang w:eastAsia="en-GB"/>
              </w:rPr>
            </w:pPr>
          </w:p>
        </w:tc>
        <w:tc>
          <w:tcPr>
            <w:tcW w:w="0" w:type="auto"/>
            <w:tcBorders>
              <w:top w:val="single" w:sz="4" w:space="0" w:color="auto"/>
              <w:left w:val="nil"/>
              <w:bottom w:val="double" w:sz="4" w:space="0" w:color="auto"/>
              <w:right w:val="nil"/>
            </w:tcBorders>
            <w:shd w:val="clear" w:color="auto" w:fill="auto"/>
            <w:noWrap/>
            <w:vAlign w:val="bottom"/>
            <w:hideMark/>
          </w:tcPr>
          <w:p w14:paraId="660C5734" w14:textId="77777777" w:rsidR="00312157" w:rsidRPr="007F79B9" w:rsidRDefault="008706FB" w:rsidP="00DF3150">
            <w:pPr>
              <w:spacing w:after="0" w:line="360" w:lineRule="auto"/>
              <w:jc w:val="center"/>
              <w:rPr>
                <w:rFonts w:ascii="Calibri" w:eastAsia="Times New Roman" w:hAnsi="Calibri" w:cs="Times New Roman"/>
                <w:b/>
                <w:color w:val="000000"/>
                <w:lang w:eastAsia="en-GB"/>
              </w:rPr>
            </w:pPr>
            <w:r w:rsidRPr="008706FB">
              <w:rPr>
                <w:rFonts w:ascii="Calibri" w:eastAsia="Times New Roman" w:hAnsi="Calibri" w:cs="Times New Roman"/>
                <w:b/>
                <w:color w:val="000000"/>
                <w:lang w:eastAsia="en-GB"/>
              </w:rPr>
              <w:t>ygbr</w:t>
            </w:r>
          </w:p>
        </w:tc>
        <w:tc>
          <w:tcPr>
            <w:tcW w:w="0" w:type="auto"/>
            <w:tcBorders>
              <w:top w:val="single" w:sz="4" w:space="0" w:color="auto"/>
              <w:left w:val="nil"/>
              <w:bottom w:val="double" w:sz="4" w:space="0" w:color="auto"/>
              <w:right w:val="nil"/>
            </w:tcBorders>
            <w:shd w:val="clear" w:color="auto" w:fill="auto"/>
            <w:noWrap/>
            <w:vAlign w:val="bottom"/>
            <w:hideMark/>
          </w:tcPr>
          <w:p w14:paraId="027A6233" w14:textId="77777777" w:rsidR="00312157" w:rsidRPr="007F79B9" w:rsidRDefault="008706FB" w:rsidP="00DF3150">
            <w:pPr>
              <w:spacing w:after="0" w:line="360" w:lineRule="auto"/>
              <w:jc w:val="center"/>
              <w:rPr>
                <w:rFonts w:ascii="Calibri" w:eastAsia="Times New Roman" w:hAnsi="Calibri" w:cs="Times New Roman"/>
                <w:b/>
                <w:color w:val="000000"/>
                <w:lang w:eastAsia="en-GB"/>
              </w:rPr>
            </w:pPr>
            <w:r w:rsidRPr="008706FB">
              <w:rPr>
                <w:rFonts w:ascii="Calibri" w:eastAsia="Times New Roman" w:hAnsi="Calibri" w:cs="Times New Roman"/>
                <w:b/>
                <w:color w:val="000000"/>
                <w:lang w:eastAsia="en-GB"/>
              </w:rPr>
              <w:t>yfra</w:t>
            </w:r>
          </w:p>
        </w:tc>
        <w:tc>
          <w:tcPr>
            <w:tcW w:w="0" w:type="auto"/>
            <w:tcBorders>
              <w:top w:val="single" w:sz="4" w:space="0" w:color="auto"/>
              <w:left w:val="nil"/>
              <w:bottom w:val="double" w:sz="4" w:space="0" w:color="auto"/>
              <w:right w:val="nil"/>
            </w:tcBorders>
            <w:shd w:val="clear" w:color="auto" w:fill="auto"/>
            <w:noWrap/>
            <w:vAlign w:val="bottom"/>
            <w:hideMark/>
          </w:tcPr>
          <w:p w14:paraId="2C15FF1E" w14:textId="77777777" w:rsidR="00312157" w:rsidRPr="007F79B9" w:rsidRDefault="008706FB" w:rsidP="00DF3150">
            <w:pPr>
              <w:spacing w:after="0" w:line="360" w:lineRule="auto"/>
              <w:jc w:val="center"/>
              <w:rPr>
                <w:rFonts w:ascii="Calibri" w:eastAsia="Times New Roman" w:hAnsi="Calibri" w:cs="Times New Roman"/>
                <w:b/>
                <w:color w:val="000000"/>
                <w:lang w:eastAsia="en-GB"/>
              </w:rPr>
            </w:pPr>
            <w:r w:rsidRPr="008706FB">
              <w:rPr>
                <w:rFonts w:ascii="Calibri" w:eastAsia="Times New Roman" w:hAnsi="Calibri" w:cs="Times New Roman"/>
                <w:b/>
                <w:color w:val="000000"/>
                <w:lang w:eastAsia="en-GB"/>
              </w:rPr>
              <w:t>yrus</w:t>
            </w:r>
          </w:p>
        </w:tc>
        <w:tc>
          <w:tcPr>
            <w:tcW w:w="0" w:type="auto"/>
            <w:tcBorders>
              <w:top w:val="single" w:sz="4" w:space="0" w:color="auto"/>
              <w:left w:val="nil"/>
              <w:bottom w:val="double" w:sz="4" w:space="0" w:color="auto"/>
              <w:right w:val="nil"/>
            </w:tcBorders>
            <w:shd w:val="clear" w:color="auto" w:fill="auto"/>
            <w:noWrap/>
            <w:vAlign w:val="bottom"/>
            <w:hideMark/>
          </w:tcPr>
          <w:p w14:paraId="62E8EB67" w14:textId="77777777" w:rsidR="00312157" w:rsidRPr="007F79B9" w:rsidRDefault="008706FB" w:rsidP="00DF3150">
            <w:pPr>
              <w:spacing w:after="0" w:line="360" w:lineRule="auto"/>
              <w:jc w:val="center"/>
              <w:rPr>
                <w:rFonts w:ascii="Calibri" w:eastAsia="Times New Roman" w:hAnsi="Calibri" w:cs="Times New Roman"/>
                <w:b/>
                <w:color w:val="000000"/>
                <w:lang w:eastAsia="en-GB"/>
              </w:rPr>
            </w:pPr>
            <w:r w:rsidRPr="008706FB">
              <w:rPr>
                <w:rFonts w:ascii="Calibri" w:eastAsia="Times New Roman" w:hAnsi="Calibri" w:cs="Times New Roman"/>
                <w:b/>
                <w:color w:val="000000"/>
                <w:lang w:eastAsia="en-GB"/>
              </w:rPr>
              <w:t>y</w:t>
            </w:r>
            <w:r>
              <w:rPr>
                <w:rFonts w:ascii="Calibri" w:eastAsia="Times New Roman" w:hAnsi="Calibri" w:cs="Times New Roman"/>
                <w:b/>
                <w:color w:val="000000"/>
                <w:vertAlign w:val="subscript"/>
                <w:lang w:eastAsia="en-GB"/>
              </w:rPr>
              <w:t>g</w:t>
            </w:r>
          </w:p>
        </w:tc>
        <w:tc>
          <w:tcPr>
            <w:tcW w:w="0" w:type="auto"/>
            <w:tcBorders>
              <w:top w:val="single" w:sz="4" w:space="0" w:color="auto"/>
              <w:left w:val="nil"/>
              <w:bottom w:val="double" w:sz="4" w:space="0" w:color="auto"/>
              <w:right w:val="nil"/>
            </w:tcBorders>
            <w:shd w:val="clear" w:color="auto" w:fill="auto"/>
            <w:noWrap/>
            <w:vAlign w:val="bottom"/>
            <w:hideMark/>
          </w:tcPr>
          <w:p w14:paraId="1C9BC688" w14:textId="77777777" w:rsidR="00312157" w:rsidRPr="007F79B9" w:rsidRDefault="008706FB" w:rsidP="00DF3150">
            <w:pPr>
              <w:spacing w:after="0" w:line="360" w:lineRule="auto"/>
              <w:jc w:val="center"/>
              <w:rPr>
                <w:rFonts w:ascii="Calibri" w:eastAsia="Times New Roman" w:hAnsi="Calibri" w:cs="Times New Roman"/>
                <w:b/>
                <w:color w:val="000000"/>
                <w:lang w:eastAsia="en-GB"/>
              </w:rPr>
            </w:pPr>
            <w:r w:rsidRPr="008706FB">
              <w:rPr>
                <w:rFonts w:ascii="Calibri" w:eastAsia="Times New Roman" w:hAnsi="Calibri" w:cs="Times New Roman"/>
                <w:b/>
                <w:color w:val="000000"/>
                <w:lang w:eastAsia="en-GB"/>
              </w:rPr>
              <w:t>y</w:t>
            </w:r>
            <w:r>
              <w:rPr>
                <w:rFonts w:ascii="Calibri" w:eastAsia="Times New Roman" w:hAnsi="Calibri" w:cs="Times New Roman"/>
                <w:b/>
                <w:color w:val="000000"/>
                <w:vertAlign w:val="subscript"/>
                <w:lang w:eastAsia="en-GB"/>
              </w:rPr>
              <w:t>o1</w:t>
            </w:r>
          </w:p>
        </w:tc>
        <w:tc>
          <w:tcPr>
            <w:tcW w:w="0" w:type="auto"/>
            <w:tcBorders>
              <w:top w:val="single" w:sz="4" w:space="0" w:color="auto"/>
              <w:left w:val="nil"/>
              <w:bottom w:val="double" w:sz="4" w:space="0" w:color="auto"/>
              <w:right w:val="nil"/>
            </w:tcBorders>
            <w:shd w:val="clear" w:color="auto" w:fill="auto"/>
            <w:noWrap/>
            <w:vAlign w:val="bottom"/>
            <w:hideMark/>
          </w:tcPr>
          <w:p w14:paraId="1F1C0967" w14:textId="77777777" w:rsidR="00312157" w:rsidRPr="007F79B9" w:rsidRDefault="008706FB" w:rsidP="00DF3150">
            <w:pPr>
              <w:spacing w:after="0" w:line="360" w:lineRule="auto"/>
              <w:jc w:val="center"/>
              <w:rPr>
                <w:rFonts w:ascii="Calibri" w:eastAsia="Times New Roman" w:hAnsi="Calibri" w:cs="Times New Roman"/>
                <w:b/>
                <w:color w:val="000000"/>
                <w:lang w:eastAsia="en-GB"/>
              </w:rPr>
            </w:pPr>
            <w:r w:rsidRPr="008706FB">
              <w:rPr>
                <w:rFonts w:ascii="Calibri" w:eastAsia="Times New Roman" w:hAnsi="Calibri" w:cs="Times New Roman"/>
                <w:b/>
                <w:color w:val="000000"/>
                <w:lang w:eastAsia="en-GB"/>
              </w:rPr>
              <w:t>y</w:t>
            </w:r>
            <w:r>
              <w:rPr>
                <w:rFonts w:ascii="Calibri" w:eastAsia="Times New Roman" w:hAnsi="Calibri" w:cs="Times New Roman"/>
                <w:b/>
                <w:color w:val="000000"/>
                <w:vertAlign w:val="subscript"/>
                <w:lang w:eastAsia="en-GB"/>
              </w:rPr>
              <w:t>o2</w:t>
            </w:r>
          </w:p>
        </w:tc>
      </w:tr>
      <w:tr w:rsidR="00E42269" w:rsidRPr="007F79B9" w14:paraId="0FFB4221" w14:textId="77777777" w:rsidTr="00312157">
        <w:trPr>
          <w:trHeight w:val="300"/>
          <w:jc w:val="center"/>
        </w:trPr>
        <w:tc>
          <w:tcPr>
            <w:tcW w:w="0" w:type="auto"/>
            <w:tcBorders>
              <w:top w:val="double" w:sz="4" w:space="0" w:color="auto"/>
              <w:left w:val="nil"/>
              <w:bottom w:val="nil"/>
              <w:right w:val="nil"/>
            </w:tcBorders>
            <w:shd w:val="clear" w:color="auto" w:fill="auto"/>
            <w:noWrap/>
            <w:vAlign w:val="bottom"/>
            <w:hideMark/>
          </w:tcPr>
          <w:p w14:paraId="7B7FA6CE" w14:textId="77777777" w:rsidR="00E42269" w:rsidRPr="007F79B9" w:rsidRDefault="008706FB" w:rsidP="00312157">
            <w:pPr>
              <w:spacing w:after="0" w:line="240" w:lineRule="auto"/>
              <w:rPr>
                <w:rFonts w:ascii="Calibri" w:eastAsia="Times New Roman" w:hAnsi="Calibri" w:cs="Times New Roman"/>
                <w:b/>
                <w:color w:val="000000"/>
                <w:lang w:eastAsia="en-GB"/>
              </w:rPr>
            </w:pPr>
            <w:r w:rsidRPr="008706FB">
              <w:rPr>
                <w:rFonts w:ascii="Calibri" w:eastAsia="Times New Roman" w:hAnsi="Calibri" w:cs="Times New Roman"/>
                <w:b/>
                <w:color w:val="000000"/>
                <w:lang w:eastAsia="en-GB"/>
              </w:rPr>
              <w:t>Turkey</w:t>
            </w:r>
          </w:p>
        </w:tc>
        <w:tc>
          <w:tcPr>
            <w:tcW w:w="0" w:type="auto"/>
            <w:tcBorders>
              <w:top w:val="double" w:sz="4" w:space="0" w:color="auto"/>
              <w:left w:val="nil"/>
              <w:bottom w:val="nil"/>
              <w:right w:val="nil"/>
            </w:tcBorders>
            <w:shd w:val="clear" w:color="auto" w:fill="auto"/>
            <w:noWrap/>
            <w:vAlign w:val="bottom"/>
            <w:hideMark/>
          </w:tcPr>
          <w:p w14:paraId="6B2F1BA7" w14:textId="77777777" w:rsidR="00E42269" w:rsidRPr="007F79B9" w:rsidRDefault="008706FB" w:rsidP="00312157">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ygbr</w:t>
            </w:r>
          </w:p>
        </w:tc>
        <w:tc>
          <w:tcPr>
            <w:tcW w:w="0" w:type="auto"/>
            <w:tcBorders>
              <w:top w:val="double" w:sz="4" w:space="0" w:color="auto"/>
              <w:left w:val="nil"/>
              <w:bottom w:val="nil"/>
              <w:right w:val="nil"/>
            </w:tcBorders>
            <w:shd w:val="clear" w:color="auto" w:fill="auto"/>
            <w:noWrap/>
            <w:vAlign w:val="bottom"/>
            <w:hideMark/>
          </w:tcPr>
          <w:p w14:paraId="0944C863" w14:textId="77777777" w:rsidR="00E42269" w:rsidRPr="007F79B9" w:rsidRDefault="008706FB" w:rsidP="00E42269">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0.9696***</w:t>
            </w:r>
          </w:p>
        </w:tc>
        <w:tc>
          <w:tcPr>
            <w:tcW w:w="0" w:type="auto"/>
            <w:tcBorders>
              <w:top w:val="double" w:sz="4" w:space="0" w:color="auto"/>
              <w:left w:val="nil"/>
              <w:bottom w:val="nil"/>
              <w:right w:val="nil"/>
            </w:tcBorders>
            <w:shd w:val="clear" w:color="auto" w:fill="auto"/>
            <w:noWrap/>
            <w:vAlign w:val="bottom"/>
            <w:hideMark/>
          </w:tcPr>
          <w:p w14:paraId="2EC8350A" w14:textId="77777777" w:rsidR="00E42269" w:rsidRPr="007F79B9" w:rsidRDefault="008706FB" w:rsidP="00E42269">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0.0317**</w:t>
            </w:r>
          </w:p>
        </w:tc>
        <w:tc>
          <w:tcPr>
            <w:tcW w:w="0" w:type="auto"/>
            <w:tcBorders>
              <w:top w:val="double" w:sz="4" w:space="0" w:color="auto"/>
              <w:left w:val="nil"/>
              <w:bottom w:val="nil"/>
              <w:right w:val="nil"/>
            </w:tcBorders>
            <w:shd w:val="clear" w:color="auto" w:fill="auto"/>
            <w:noWrap/>
            <w:vAlign w:val="bottom"/>
            <w:hideMark/>
          </w:tcPr>
          <w:p w14:paraId="51A78784" w14:textId="77777777" w:rsidR="00E42269" w:rsidRPr="007F79B9" w:rsidRDefault="00E42269" w:rsidP="00DF3150">
            <w:pPr>
              <w:spacing w:after="0" w:line="240" w:lineRule="auto"/>
              <w:rPr>
                <w:rFonts w:ascii="Calibri" w:eastAsia="Times New Roman" w:hAnsi="Calibri" w:cs="Times New Roman"/>
                <w:color w:val="000000"/>
                <w:lang w:eastAsia="en-GB"/>
              </w:rPr>
            </w:pPr>
          </w:p>
        </w:tc>
        <w:tc>
          <w:tcPr>
            <w:tcW w:w="0" w:type="auto"/>
            <w:tcBorders>
              <w:top w:val="double" w:sz="4" w:space="0" w:color="auto"/>
              <w:left w:val="nil"/>
              <w:bottom w:val="nil"/>
              <w:right w:val="nil"/>
            </w:tcBorders>
            <w:shd w:val="clear" w:color="auto" w:fill="auto"/>
            <w:noWrap/>
            <w:vAlign w:val="bottom"/>
            <w:hideMark/>
          </w:tcPr>
          <w:p w14:paraId="2306A65A" w14:textId="77777777" w:rsidR="00E42269" w:rsidRPr="007F79B9" w:rsidRDefault="008706FB" w:rsidP="00E42269">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-0.0228</w:t>
            </w:r>
          </w:p>
        </w:tc>
        <w:tc>
          <w:tcPr>
            <w:tcW w:w="0" w:type="auto"/>
            <w:tcBorders>
              <w:top w:val="double" w:sz="4" w:space="0" w:color="auto"/>
              <w:left w:val="nil"/>
              <w:bottom w:val="nil"/>
              <w:right w:val="nil"/>
            </w:tcBorders>
            <w:shd w:val="clear" w:color="auto" w:fill="auto"/>
            <w:noWrap/>
            <w:vAlign w:val="bottom"/>
            <w:hideMark/>
          </w:tcPr>
          <w:p w14:paraId="5128848A" w14:textId="77777777" w:rsidR="00E42269" w:rsidRPr="007F79B9" w:rsidRDefault="008706FB" w:rsidP="00E42269">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0.0007</w:t>
            </w:r>
          </w:p>
        </w:tc>
        <w:tc>
          <w:tcPr>
            <w:tcW w:w="0" w:type="auto"/>
            <w:tcBorders>
              <w:top w:val="double" w:sz="4" w:space="0" w:color="auto"/>
              <w:left w:val="nil"/>
              <w:bottom w:val="nil"/>
              <w:right w:val="nil"/>
            </w:tcBorders>
            <w:shd w:val="clear" w:color="auto" w:fill="auto"/>
            <w:noWrap/>
            <w:vAlign w:val="bottom"/>
            <w:hideMark/>
          </w:tcPr>
          <w:p w14:paraId="1A7184AB" w14:textId="77777777" w:rsidR="00E42269" w:rsidRPr="007F79B9" w:rsidRDefault="00E42269" w:rsidP="00DF3150">
            <w:pPr>
              <w:spacing w:after="0" w:line="240" w:lineRule="auto"/>
              <w:rPr>
                <w:rFonts w:ascii="Calibri" w:eastAsia="Times New Roman" w:hAnsi="Calibri" w:cs="Times New Roman"/>
                <w:color w:val="000000"/>
                <w:lang w:eastAsia="en-GB"/>
              </w:rPr>
            </w:pPr>
          </w:p>
        </w:tc>
      </w:tr>
      <w:tr w:rsidR="00E42269" w:rsidRPr="007F79B9" w14:paraId="4F4523E1" w14:textId="77777777" w:rsidTr="00312157">
        <w:trPr>
          <w:trHeight w:val="300"/>
          <w:jc w:val="center"/>
        </w:trPr>
        <w:tc>
          <w:tcPr>
            <w:tcW w:w="0" w:type="auto"/>
            <w:tcBorders>
              <w:top w:val="nil"/>
              <w:left w:val="nil"/>
              <w:bottom w:val="nil"/>
              <w:right w:val="nil"/>
            </w:tcBorders>
            <w:shd w:val="clear" w:color="auto" w:fill="auto"/>
            <w:noWrap/>
            <w:vAlign w:val="bottom"/>
            <w:hideMark/>
          </w:tcPr>
          <w:p w14:paraId="3524B3B2" w14:textId="77777777" w:rsidR="00E42269" w:rsidRPr="007F79B9" w:rsidRDefault="008706FB" w:rsidP="00312157">
            <w:pPr>
              <w:spacing w:after="0" w:line="240" w:lineRule="auto"/>
              <w:rPr>
                <w:rFonts w:ascii="Calibri" w:eastAsia="Times New Roman" w:hAnsi="Calibri" w:cs="Times New Roman"/>
                <w:b/>
                <w:color w:val="000000"/>
                <w:lang w:eastAsia="en-GB"/>
              </w:rPr>
            </w:pPr>
            <w:r w:rsidRPr="008706FB">
              <w:rPr>
                <w:rFonts w:ascii="Calibri" w:eastAsia="Times New Roman" w:hAnsi="Calibri" w:cs="Times New Roman"/>
                <w:b/>
                <w:color w:val="000000"/>
                <w:lang w:eastAsia="en-GB"/>
              </w:rPr>
              <w:t>(N=870)</w:t>
            </w:r>
          </w:p>
        </w:tc>
        <w:tc>
          <w:tcPr>
            <w:tcW w:w="0" w:type="auto"/>
            <w:tcBorders>
              <w:top w:val="nil"/>
              <w:left w:val="nil"/>
              <w:bottom w:val="nil"/>
              <w:right w:val="nil"/>
            </w:tcBorders>
            <w:shd w:val="clear" w:color="auto" w:fill="auto"/>
            <w:noWrap/>
            <w:vAlign w:val="bottom"/>
            <w:hideMark/>
          </w:tcPr>
          <w:p w14:paraId="5C0E86FC" w14:textId="77777777" w:rsidR="00E42269" w:rsidRPr="007F79B9" w:rsidRDefault="00E42269" w:rsidP="00312157">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345D4ACA" w14:textId="77777777" w:rsidR="00E42269" w:rsidRPr="007F79B9" w:rsidRDefault="008706FB" w:rsidP="00E42269">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(0.0108)</w:t>
            </w:r>
          </w:p>
        </w:tc>
        <w:tc>
          <w:tcPr>
            <w:tcW w:w="0" w:type="auto"/>
            <w:tcBorders>
              <w:top w:val="nil"/>
              <w:left w:val="nil"/>
              <w:bottom w:val="nil"/>
              <w:right w:val="nil"/>
            </w:tcBorders>
            <w:shd w:val="clear" w:color="auto" w:fill="auto"/>
            <w:noWrap/>
            <w:vAlign w:val="bottom"/>
            <w:hideMark/>
          </w:tcPr>
          <w:p w14:paraId="7A0AE7AB" w14:textId="77777777" w:rsidR="00E42269" w:rsidRPr="007F79B9" w:rsidRDefault="008706FB" w:rsidP="00E42269">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(0.0159)</w:t>
            </w:r>
          </w:p>
        </w:tc>
        <w:tc>
          <w:tcPr>
            <w:tcW w:w="0" w:type="auto"/>
            <w:tcBorders>
              <w:top w:val="nil"/>
              <w:left w:val="nil"/>
              <w:bottom w:val="nil"/>
              <w:right w:val="nil"/>
            </w:tcBorders>
            <w:shd w:val="clear" w:color="auto" w:fill="auto"/>
            <w:noWrap/>
            <w:vAlign w:val="bottom"/>
            <w:hideMark/>
          </w:tcPr>
          <w:p w14:paraId="0F66857B" w14:textId="77777777" w:rsidR="00E42269" w:rsidRPr="007F79B9" w:rsidRDefault="00E42269" w:rsidP="00DF3150">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6B1B8AFC" w14:textId="77777777" w:rsidR="00E42269" w:rsidRPr="007F79B9" w:rsidRDefault="008706FB" w:rsidP="00E42269">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(0.0165)</w:t>
            </w:r>
          </w:p>
        </w:tc>
        <w:tc>
          <w:tcPr>
            <w:tcW w:w="0" w:type="auto"/>
            <w:tcBorders>
              <w:top w:val="nil"/>
              <w:left w:val="nil"/>
              <w:bottom w:val="nil"/>
              <w:right w:val="nil"/>
            </w:tcBorders>
            <w:shd w:val="clear" w:color="auto" w:fill="auto"/>
            <w:noWrap/>
            <w:vAlign w:val="bottom"/>
            <w:hideMark/>
          </w:tcPr>
          <w:p w14:paraId="1AAFD471" w14:textId="77777777" w:rsidR="00E42269" w:rsidRPr="007F79B9" w:rsidRDefault="008706FB" w:rsidP="00E42269">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(0.0012)</w:t>
            </w:r>
          </w:p>
        </w:tc>
        <w:tc>
          <w:tcPr>
            <w:tcW w:w="0" w:type="auto"/>
            <w:tcBorders>
              <w:top w:val="nil"/>
              <w:left w:val="nil"/>
              <w:bottom w:val="nil"/>
              <w:right w:val="nil"/>
            </w:tcBorders>
            <w:shd w:val="clear" w:color="auto" w:fill="auto"/>
            <w:noWrap/>
            <w:vAlign w:val="bottom"/>
            <w:hideMark/>
          </w:tcPr>
          <w:p w14:paraId="6675C64B" w14:textId="77777777" w:rsidR="00E42269" w:rsidRPr="007F79B9" w:rsidRDefault="00E42269" w:rsidP="00DF3150">
            <w:pPr>
              <w:spacing w:after="0" w:line="240" w:lineRule="auto"/>
              <w:rPr>
                <w:rFonts w:ascii="Calibri" w:eastAsia="Times New Roman" w:hAnsi="Calibri" w:cs="Times New Roman"/>
                <w:color w:val="000000"/>
                <w:lang w:eastAsia="en-GB"/>
              </w:rPr>
            </w:pPr>
          </w:p>
        </w:tc>
      </w:tr>
      <w:tr w:rsidR="00E42269" w:rsidRPr="007F79B9" w14:paraId="7ECEE00E" w14:textId="77777777" w:rsidTr="00312157">
        <w:trPr>
          <w:trHeight w:val="300"/>
          <w:jc w:val="center"/>
        </w:trPr>
        <w:tc>
          <w:tcPr>
            <w:tcW w:w="0" w:type="auto"/>
            <w:tcBorders>
              <w:top w:val="nil"/>
              <w:left w:val="nil"/>
              <w:bottom w:val="nil"/>
              <w:right w:val="nil"/>
            </w:tcBorders>
            <w:shd w:val="clear" w:color="auto" w:fill="auto"/>
            <w:noWrap/>
            <w:vAlign w:val="bottom"/>
            <w:hideMark/>
          </w:tcPr>
          <w:p w14:paraId="2A7E5983" w14:textId="77777777" w:rsidR="00E42269" w:rsidRPr="007F79B9" w:rsidRDefault="00E42269" w:rsidP="00312157">
            <w:pPr>
              <w:spacing w:after="0" w:line="240" w:lineRule="auto"/>
              <w:rPr>
                <w:rFonts w:ascii="Calibri" w:eastAsia="Times New Roman" w:hAnsi="Calibri" w:cs="Times New Roman"/>
                <w:b/>
                <w:color w:val="000000"/>
                <w:lang w:eastAsia="en-GB"/>
              </w:rPr>
            </w:pPr>
          </w:p>
        </w:tc>
        <w:tc>
          <w:tcPr>
            <w:tcW w:w="0" w:type="auto"/>
            <w:tcBorders>
              <w:top w:val="nil"/>
              <w:left w:val="nil"/>
              <w:bottom w:val="nil"/>
              <w:right w:val="nil"/>
            </w:tcBorders>
            <w:shd w:val="clear" w:color="auto" w:fill="auto"/>
            <w:noWrap/>
            <w:vAlign w:val="bottom"/>
            <w:hideMark/>
          </w:tcPr>
          <w:p w14:paraId="4C3CCA36" w14:textId="77777777" w:rsidR="00E42269" w:rsidRPr="007F79B9" w:rsidRDefault="008706FB" w:rsidP="00312157">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yfra</w:t>
            </w:r>
          </w:p>
        </w:tc>
        <w:tc>
          <w:tcPr>
            <w:tcW w:w="0" w:type="auto"/>
            <w:tcBorders>
              <w:top w:val="nil"/>
              <w:left w:val="nil"/>
              <w:bottom w:val="nil"/>
              <w:right w:val="nil"/>
            </w:tcBorders>
            <w:shd w:val="clear" w:color="auto" w:fill="auto"/>
            <w:noWrap/>
            <w:vAlign w:val="bottom"/>
            <w:hideMark/>
          </w:tcPr>
          <w:p w14:paraId="5326485E" w14:textId="77777777" w:rsidR="00E42269" w:rsidRPr="007F79B9" w:rsidRDefault="008706FB" w:rsidP="00E42269">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0.0214</w:t>
            </w:r>
          </w:p>
        </w:tc>
        <w:tc>
          <w:tcPr>
            <w:tcW w:w="0" w:type="auto"/>
            <w:gridSpan w:val="2"/>
            <w:tcBorders>
              <w:top w:val="nil"/>
              <w:left w:val="nil"/>
              <w:bottom w:val="nil"/>
              <w:right w:val="nil"/>
            </w:tcBorders>
            <w:shd w:val="clear" w:color="auto" w:fill="auto"/>
            <w:noWrap/>
            <w:vAlign w:val="bottom"/>
            <w:hideMark/>
          </w:tcPr>
          <w:p w14:paraId="7EB31450" w14:textId="77777777" w:rsidR="00E42269" w:rsidRPr="007F79B9" w:rsidRDefault="008706FB" w:rsidP="00E42269">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0.9864***</w:t>
            </w:r>
          </w:p>
        </w:tc>
        <w:tc>
          <w:tcPr>
            <w:tcW w:w="0" w:type="auto"/>
            <w:tcBorders>
              <w:top w:val="nil"/>
              <w:left w:val="nil"/>
              <w:bottom w:val="nil"/>
              <w:right w:val="nil"/>
            </w:tcBorders>
            <w:shd w:val="clear" w:color="auto" w:fill="auto"/>
            <w:noWrap/>
            <w:vAlign w:val="bottom"/>
            <w:hideMark/>
          </w:tcPr>
          <w:p w14:paraId="371F3CEB" w14:textId="77777777" w:rsidR="00E42269" w:rsidRPr="007F79B9" w:rsidRDefault="008706FB" w:rsidP="00DF315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-0.0743</w:t>
            </w:r>
          </w:p>
        </w:tc>
        <w:tc>
          <w:tcPr>
            <w:tcW w:w="0" w:type="auto"/>
            <w:tcBorders>
              <w:top w:val="nil"/>
              <w:left w:val="nil"/>
              <w:bottom w:val="nil"/>
              <w:right w:val="nil"/>
            </w:tcBorders>
            <w:shd w:val="clear" w:color="auto" w:fill="auto"/>
            <w:noWrap/>
            <w:vAlign w:val="bottom"/>
            <w:hideMark/>
          </w:tcPr>
          <w:p w14:paraId="4470E6F3" w14:textId="77777777" w:rsidR="00E42269" w:rsidRPr="007F79B9" w:rsidRDefault="008706FB" w:rsidP="00E42269">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-0.0272</w:t>
            </w:r>
          </w:p>
        </w:tc>
        <w:tc>
          <w:tcPr>
            <w:tcW w:w="0" w:type="auto"/>
            <w:tcBorders>
              <w:top w:val="nil"/>
              <w:left w:val="nil"/>
              <w:bottom w:val="nil"/>
              <w:right w:val="nil"/>
            </w:tcBorders>
            <w:shd w:val="clear" w:color="auto" w:fill="auto"/>
            <w:noWrap/>
            <w:vAlign w:val="bottom"/>
            <w:hideMark/>
          </w:tcPr>
          <w:p w14:paraId="3A58E17A" w14:textId="77777777" w:rsidR="00E42269" w:rsidRPr="007F79B9" w:rsidRDefault="008706FB" w:rsidP="00E42269">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0.0017</w:t>
            </w:r>
          </w:p>
        </w:tc>
      </w:tr>
      <w:tr w:rsidR="00E42269" w:rsidRPr="007F79B9" w14:paraId="4F326A9D" w14:textId="77777777" w:rsidTr="00312157">
        <w:trPr>
          <w:trHeight w:val="300"/>
          <w:jc w:val="center"/>
        </w:trPr>
        <w:tc>
          <w:tcPr>
            <w:tcW w:w="0" w:type="auto"/>
            <w:tcBorders>
              <w:top w:val="nil"/>
              <w:left w:val="nil"/>
              <w:bottom w:val="nil"/>
              <w:right w:val="nil"/>
            </w:tcBorders>
            <w:shd w:val="clear" w:color="auto" w:fill="auto"/>
            <w:noWrap/>
            <w:vAlign w:val="bottom"/>
            <w:hideMark/>
          </w:tcPr>
          <w:p w14:paraId="61767803" w14:textId="77777777" w:rsidR="00E42269" w:rsidRPr="007F79B9" w:rsidRDefault="00E42269" w:rsidP="00312157">
            <w:pPr>
              <w:spacing w:after="0" w:line="240" w:lineRule="auto"/>
              <w:rPr>
                <w:rFonts w:ascii="Calibri" w:eastAsia="Times New Roman" w:hAnsi="Calibri" w:cs="Times New Roman"/>
                <w:b/>
                <w:color w:val="000000"/>
                <w:lang w:eastAsia="en-GB"/>
              </w:rPr>
            </w:pPr>
          </w:p>
        </w:tc>
        <w:tc>
          <w:tcPr>
            <w:tcW w:w="0" w:type="auto"/>
            <w:tcBorders>
              <w:top w:val="nil"/>
              <w:left w:val="nil"/>
              <w:bottom w:val="nil"/>
              <w:right w:val="nil"/>
            </w:tcBorders>
            <w:shd w:val="clear" w:color="auto" w:fill="auto"/>
            <w:noWrap/>
            <w:vAlign w:val="bottom"/>
            <w:hideMark/>
          </w:tcPr>
          <w:p w14:paraId="18E6FFE8" w14:textId="77777777" w:rsidR="00E42269" w:rsidRPr="007F79B9" w:rsidRDefault="00E42269" w:rsidP="00312157">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70F42193" w14:textId="77777777" w:rsidR="00E42269" w:rsidRPr="007F79B9" w:rsidRDefault="008706FB" w:rsidP="00E42269">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(0.0271)</w:t>
            </w:r>
          </w:p>
        </w:tc>
        <w:tc>
          <w:tcPr>
            <w:tcW w:w="0" w:type="auto"/>
            <w:tcBorders>
              <w:top w:val="nil"/>
              <w:left w:val="nil"/>
              <w:bottom w:val="nil"/>
              <w:right w:val="nil"/>
            </w:tcBorders>
            <w:shd w:val="clear" w:color="auto" w:fill="auto"/>
            <w:noWrap/>
            <w:vAlign w:val="bottom"/>
            <w:hideMark/>
          </w:tcPr>
          <w:p w14:paraId="60B8EA61" w14:textId="77777777" w:rsidR="00E42269" w:rsidRPr="007F79B9" w:rsidRDefault="008706FB" w:rsidP="00E42269">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(0.0662)</w:t>
            </w:r>
          </w:p>
        </w:tc>
        <w:tc>
          <w:tcPr>
            <w:tcW w:w="0" w:type="auto"/>
            <w:tcBorders>
              <w:top w:val="nil"/>
              <w:left w:val="nil"/>
              <w:bottom w:val="nil"/>
              <w:right w:val="nil"/>
            </w:tcBorders>
            <w:shd w:val="clear" w:color="auto" w:fill="auto"/>
            <w:noWrap/>
            <w:vAlign w:val="bottom"/>
            <w:hideMark/>
          </w:tcPr>
          <w:p w14:paraId="31046D52" w14:textId="77777777" w:rsidR="00E42269" w:rsidRPr="007F79B9" w:rsidRDefault="00E42269" w:rsidP="00DF3150">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11E2B3B7" w14:textId="77777777" w:rsidR="00E42269" w:rsidRPr="007F79B9" w:rsidRDefault="008706FB" w:rsidP="00E42269">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(0.0736)</w:t>
            </w:r>
          </w:p>
        </w:tc>
        <w:tc>
          <w:tcPr>
            <w:tcW w:w="0" w:type="auto"/>
            <w:tcBorders>
              <w:top w:val="nil"/>
              <w:left w:val="nil"/>
              <w:bottom w:val="nil"/>
              <w:right w:val="nil"/>
            </w:tcBorders>
            <w:shd w:val="clear" w:color="auto" w:fill="auto"/>
            <w:noWrap/>
            <w:vAlign w:val="bottom"/>
            <w:hideMark/>
          </w:tcPr>
          <w:p w14:paraId="41152D8D" w14:textId="77777777" w:rsidR="00E42269" w:rsidRPr="007F79B9" w:rsidRDefault="008706FB" w:rsidP="00E42269">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(0.0050)</w:t>
            </w:r>
          </w:p>
        </w:tc>
        <w:tc>
          <w:tcPr>
            <w:tcW w:w="0" w:type="auto"/>
            <w:tcBorders>
              <w:top w:val="nil"/>
              <w:left w:val="nil"/>
              <w:bottom w:val="nil"/>
              <w:right w:val="nil"/>
            </w:tcBorders>
            <w:shd w:val="clear" w:color="auto" w:fill="auto"/>
            <w:noWrap/>
            <w:vAlign w:val="bottom"/>
            <w:hideMark/>
          </w:tcPr>
          <w:p w14:paraId="64814B4B" w14:textId="77777777" w:rsidR="00E42269" w:rsidRPr="007F79B9" w:rsidRDefault="00E42269" w:rsidP="00DF3150">
            <w:pPr>
              <w:spacing w:after="0" w:line="240" w:lineRule="auto"/>
              <w:rPr>
                <w:rFonts w:ascii="Calibri" w:eastAsia="Times New Roman" w:hAnsi="Calibri" w:cs="Times New Roman"/>
                <w:color w:val="000000"/>
                <w:lang w:eastAsia="en-GB"/>
              </w:rPr>
            </w:pPr>
          </w:p>
        </w:tc>
      </w:tr>
      <w:tr w:rsidR="00E42269" w:rsidRPr="007F79B9" w14:paraId="478247AE" w14:textId="77777777" w:rsidTr="00312157">
        <w:trPr>
          <w:trHeight w:val="300"/>
          <w:jc w:val="center"/>
        </w:trPr>
        <w:tc>
          <w:tcPr>
            <w:tcW w:w="0" w:type="auto"/>
            <w:tcBorders>
              <w:top w:val="nil"/>
              <w:left w:val="nil"/>
              <w:bottom w:val="nil"/>
              <w:right w:val="nil"/>
            </w:tcBorders>
            <w:shd w:val="clear" w:color="auto" w:fill="auto"/>
            <w:noWrap/>
            <w:vAlign w:val="bottom"/>
            <w:hideMark/>
          </w:tcPr>
          <w:p w14:paraId="5C30F83A" w14:textId="77777777" w:rsidR="00E42269" w:rsidRPr="007F79B9" w:rsidRDefault="00E42269" w:rsidP="00312157">
            <w:pPr>
              <w:spacing w:after="0" w:line="240" w:lineRule="auto"/>
              <w:rPr>
                <w:rFonts w:ascii="Calibri" w:eastAsia="Times New Roman" w:hAnsi="Calibri" w:cs="Times New Roman"/>
                <w:b/>
                <w:color w:val="000000"/>
                <w:lang w:eastAsia="en-GB"/>
              </w:rPr>
            </w:pPr>
          </w:p>
        </w:tc>
        <w:tc>
          <w:tcPr>
            <w:tcW w:w="0" w:type="auto"/>
            <w:tcBorders>
              <w:top w:val="nil"/>
              <w:left w:val="nil"/>
              <w:bottom w:val="nil"/>
              <w:right w:val="nil"/>
            </w:tcBorders>
            <w:shd w:val="clear" w:color="auto" w:fill="auto"/>
            <w:noWrap/>
            <w:vAlign w:val="bottom"/>
            <w:hideMark/>
          </w:tcPr>
          <w:p w14:paraId="5DAFB830" w14:textId="77777777" w:rsidR="00E42269" w:rsidRPr="007F79B9" w:rsidRDefault="008706FB" w:rsidP="00312157">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y1855</w:t>
            </w:r>
          </w:p>
        </w:tc>
        <w:tc>
          <w:tcPr>
            <w:tcW w:w="0" w:type="auto"/>
            <w:tcBorders>
              <w:top w:val="nil"/>
              <w:left w:val="nil"/>
              <w:bottom w:val="nil"/>
              <w:right w:val="nil"/>
            </w:tcBorders>
            <w:shd w:val="clear" w:color="auto" w:fill="auto"/>
            <w:noWrap/>
            <w:vAlign w:val="bottom"/>
            <w:hideMark/>
          </w:tcPr>
          <w:p w14:paraId="3939F197" w14:textId="77777777" w:rsidR="00E42269" w:rsidRPr="007F79B9" w:rsidRDefault="008706FB" w:rsidP="00E42269">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-0.0427</w:t>
            </w:r>
          </w:p>
        </w:tc>
        <w:tc>
          <w:tcPr>
            <w:tcW w:w="0" w:type="auto"/>
            <w:tcBorders>
              <w:top w:val="nil"/>
              <w:left w:val="nil"/>
              <w:bottom w:val="nil"/>
              <w:right w:val="nil"/>
            </w:tcBorders>
            <w:shd w:val="clear" w:color="auto" w:fill="auto"/>
            <w:noWrap/>
            <w:vAlign w:val="bottom"/>
            <w:hideMark/>
          </w:tcPr>
          <w:p w14:paraId="7EF5F3C3" w14:textId="77777777" w:rsidR="00E42269" w:rsidRPr="007F79B9" w:rsidRDefault="008706FB" w:rsidP="00E42269">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-0.0067</w:t>
            </w:r>
          </w:p>
        </w:tc>
        <w:tc>
          <w:tcPr>
            <w:tcW w:w="0" w:type="auto"/>
            <w:tcBorders>
              <w:top w:val="nil"/>
              <w:left w:val="nil"/>
              <w:bottom w:val="nil"/>
              <w:right w:val="nil"/>
            </w:tcBorders>
            <w:shd w:val="clear" w:color="auto" w:fill="auto"/>
            <w:noWrap/>
            <w:vAlign w:val="bottom"/>
            <w:hideMark/>
          </w:tcPr>
          <w:p w14:paraId="3C956BBD" w14:textId="77777777" w:rsidR="00E42269" w:rsidRPr="007F79B9" w:rsidRDefault="00E42269" w:rsidP="00DF3150">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4B52FAB7" w14:textId="77777777" w:rsidR="00E42269" w:rsidRPr="007F79B9" w:rsidRDefault="008706FB" w:rsidP="00E42269">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1.013***</w:t>
            </w:r>
          </w:p>
        </w:tc>
        <w:tc>
          <w:tcPr>
            <w:tcW w:w="0" w:type="auto"/>
            <w:tcBorders>
              <w:top w:val="nil"/>
              <w:left w:val="nil"/>
              <w:bottom w:val="nil"/>
              <w:right w:val="nil"/>
            </w:tcBorders>
            <w:shd w:val="clear" w:color="auto" w:fill="auto"/>
            <w:noWrap/>
            <w:vAlign w:val="bottom"/>
            <w:hideMark/>
          </w:tcPr>
          <w:p w14:paraId="49691C24" w14:textId="77777777" w:rsidR="00E42269" w:rsidRPr="007F79B9" w:rsidRDefault="008706FB" w:rsidP="00E42269">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0.0022</w:t>
            </w:r>
          </w:p>
        </w:tc>
        <w:tc>
          <w:tcPr>
            <w:tcW w:w="0" w:type="auto"/>
            <w:tcBorders>
              <w:top w:val="nil"/>
              <w:left w:val="nil"/>
              <w:bottom w:val="nil"/>
              <w:right w:val="nil"/>
            </w:tcBorders>
            <w:shd w:val="clear" w:color="auto" w:fill="auto"/>
            <w:noWrap/>
            <w:vAlign w:val="bottom"/>
            <w:hideMark/>
          </w:tcPr>
          <w:p w14:paraId="60696CDD" w14:textId="77777777" w:rsidR="00E42269" w:rsidRPr="007F79B9" w:rsidRDefault="00E42269" w:rsidP="00DF3150">
            <w:pPr>
              <w:spacing w:after="0" w:line="240" w:lineRule="auto"/>
              <w:rPr>
                <w:rFonts w:ascii="Calibri" w:eastAsia="Times New Roman" w:hAnsi="Calibri" w:cs="Times New Roman"/>
                <w:color w:val="000000"/>
                <w:lang w:eastAsia="en-GB"/>
              </w:rPr>
            </w:pPr>
          </w:p>
        </w:tc>
      </w:tr>
      <w:tr w:rsidR="00E42269" w:rsidRPr="007F79B9" w14:paraId="6245C0B1" w14:textId="77777777" w:rsidTr="00312157">
        <w:trPr>
          <w:trHeight w:val="300"/>
          <w:jc w:val="center"/>
        </w:trPr>
        <w:tc>
          <w:tcPr>
            <w:tcW w:w="0" w:type="auto"/>
            <w:tcBorders>
              <w:top w:val="nil"/>
              <w:left w:val="nil"/>
              <w:bottom w:val="nil"/>
              <w:right w:val="nil"/>
            </w:tcBorders>
            <w:shd w:val="clear" w:color="auto" w:fill="auto"/>
            <w:noWrap/>
            <w:vAlign w:val="bottom"/>
            <w:hideMark/>
          </w:tcPr>
          <w:p w14:paraId="6C04BF8A" w14:textId="77777777" w:rsidR="00E42269" w:rsidRPr="007F79B9" w:rsidRDefault="00E42269" w:rsidP="00312157">
            <w:pPr>
              <w:spacing w:after="0" w:line="240" w:lineRule="auto"/>
              <w:rPr>
                <w:rFonts w:ascii="Calibri" w:eastAsia="Times New Roman" w:hAnsi="Calibri" w:cs="Times New Roman"/>
                <w:b/>
                <w:color w:val="000000"/>
                <w:lang w:eastAsia="en-GB"/>
              </w:rPr>
            </w:pPr>
          </w:p>
        </w:tc>
        <w:tc>
          <w:tcPr>
            <w:tcW w:w="0" w:type="auto"/>
            <w:tcBorders>
              <w:top w:val="nil"/>
              <w:left w:val="nil"/>
              <w:bottom w:val="nil"/>
              <w:right w:val="nil"/>
            </w:tcBorders>
            <w:shd w:val="clear" w:color="auto" w:fill="auto"/>
            <w:noWrap/>
            <w:vAlign w:val="bottom"/>
            <w:hideMark/>
          </w:tcPr>
          <w:p w14:paraId="0D350F77" w14:textId="77777777" w:rsidR="00E42269" w:rsidRPr="007F79B9" w:rsidRDefault="00E42269" w:rsidP="00312157">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479F054C" w14:textId="77777777" w:rsidR="00E42269" w:rsidRPr="007F79B9" w:rsidRDefault="008706FB" w:rsidP="00E42269">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(0.0533)</w:t>
            </w:r>
          </w:p>
        </w:tc>
        <w:tc>
          <w:tcPr>
            <w:tcW w:w="0" w:type="auto"/>
            <w:tcBorders>
              <w:top w:val="nil"/>
              <w:left w:val="nil"/>
              <w:bottom w:val="nil"/>
              <w:right w:val="nil"/>
            </w:tcBorders>
            <w:shd w:val="clear" w:color="auto" w:fill="auto"/>
            <w:noWrap/>
            <w:vAlign w:val="bottom"/>
            <w:hideMark/>
          </w:tcPr>
          <w:p w14:paraId="3A9B0FDF" w14:textId="77777777" w:rsidR="00E42269" w:rsidRPr="007F79B9" w:rsidRDefault="008706FB" w:rsidP="00E42269">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(0.1570)</w:t>
            </w:r>
          </w:p>
        </w:tc>
        <w:tc>
          <w:tcPr>
            <w:tcW w:w="0" w:type="auto"/>
            <w:tcBorders>
              <w:top w:val="nil"/>
              <w:left w:val="nil"/>
              <w:bottom w:val="nil"/>
              <w:right w:val="nil"/>
            </w:tcBorders>
            <w:shd w:val="clear" w:color="auto" w:fill="auto"/>
            <w:noWrap/>
            <w:vAlign w:val="bottom"/>
            <w:hideMark/>
          </w:tcPr>
          <w:p w14:paraId="69BCC0FD" w14:textId="77777777" w:rsidR="00E42269" w:rsidRPr="007F79B9" w:rsidRDefault="00E42269" w:rsidP="00DF3150">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0944A818" w14:textId="77777777" w:rsidR="00E42269" w:rsidRPr="007F79B9" w:rsidRDefault="008706FB" w:rsidP="00E42269">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(0.1719)</w:t>
            </w:r>
          </w:p>
        </w:tc>
        <w:tc>
          <w:tcPr>
            <w:tcW w:w="0" w:type="auto"/>
            <w:tcBorders>
              <w:top w:val="nil"/>
              <w:left w:val="nil"/>
              <w:bottom w:val="nil"/>
              <w:right w:val="nil"/>
            </w:tcBorders>
            <w:shd w:val="clear" w:color="auto" w:fill="auto"/>
            <w:noWrap/>
            <w:vAlign w:val="bottom"/>
            <w:hideMark/>
          </w:tcPr>
          <w:p w14:paraId="29F14FB3" w14:textId="77777777" w:rsidR="00E42269" w:rsidRPr="007F79B9" w:rsidRDefault="008706FB" w:rsidP="00E42269">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(0.0099)</w:t>
            </w:r>
          </w:p>
        </w:tc>
        <w:tc>
          <w:tcPr>
            <w:tcW w:w="0" w:type="auto"/>
            <w:tcBorders>
              <w:top w:val="nil"/>
              <w:left w:val="nil"/>
              <w:bottom w:val="nil"/>
              <w:right w:val="nil"/>
            </w:tcBorders>
            <w:shd w:val="clear" w:color="auto" w:fill="auto"/>
            <w:noWrap/>
            <w:vAlign w:val="bottom"/>
            <w:hideMark/>
          </w:tcPr>
          <w:p w14:paraId="298B5B99" w14:textId="77777777" w:rsidR="00E42269" w:rsidRPr="007F79B9" w:rsidRDefault="00E42269" w:rsidP="00DF3150">
            <w:pPr>
              <w:spacing w:after="0" w:line="240" w:lineRule="auto"/>
              <w:rPr>
                <w:rFonts w:ascii="Calibri" w:eastAsia="Times New Roman" w:hAnsi="Calibri" w:cs="Times New Roman"/>
                <w:color w:val="000000"/>
                <w:lang w:eastAsia="en-GB"/>
              </w:rPr>
            </w:pPr>
          </w:p>
        </w:tc>
      </w:tr>
      <w:tr w:rsidR="00E42269" w:rsidRPr="007F79B9" w14:paraId="2F316CFA" w14:textId="77777777" w:rsidTr="00312157">
        <w:trPr>
          <w:trHeight w:val="300"/>
          <w:jc w:val="center"/>
        </w:trPr>
        <w:tc>
          <w:tcPr>
            <w:tcW w:w="0" w:type="auto"/>
            <w:tcBorders>
              <w:top w:val="nil"/>
              <w:left w:val="nil"/>
              <w:right w:val="nil"/>
            </w:tcBorders>
            <w:shd w:val="clear" w:color="auto" w:fill="auto"/>
            <w:noWrap/>
            <w:vAlign w:val="bottom"/>
            <w:hideMark/>
          </w:tcPr>
          <w:p w14:paraId="28FE246A" w14:textId="77777777" w:rsidR="00E42269" w:rsidRPr="007F79B9" w:rsidRDefault="00E42269" w:rsidP="00312157">
            <w:pPr>
              <w:spacing w:after="0" w:line="240" w:lineRule="auto"/>
              <w:rPr>
                <w:rFonts w:ascii="Calibri" w:eastAsia="Times New Roman" w:hAnsi="Calibri" w:cs="Times New Roman"/>
                <w:b/>
                <w:color w:val="000000"/>
                <w:lang w:eastAsia="en-GB"/>
              </w:rPr>
            </w:pPr>
          </w:p>
        </w:tc>
        <w:tc>
          <w:tcPr>
            <w:tcW w:w="0" w:type="auto"/>
            <w:tcBorders>
              <w:top w:val="nil"/>
              <w:left w:val="nil"/>
              <w:right w:val="nil"/>
            </w:tcBorders>
            <w:shd w:val="clear" w:color="auto" w:fill="auto"/>
            <w:noWrap/>
            <w:vAlign w:val="bottom"/>
            <w:hideMark/>
          </w:tcPr>
          <w:p w14:paraId="38C7AF61" w14:textId="77777777" w:rsidR="00E42269" w:rsidRPr="007F79B9" w:rsidRDefault="008706FB" w:rsidP="00312157">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y1854</w:t>
            </w:r>
          </w:p>
        </w:tc>
        <w:tc>
          <w:tcPr>
            <w:tcW w:w="0" w:type="auto"/>
            <w:tcBorders>
              <w:top w:val="nil"/>
              <w:left w:val="nil"/>
              <w:right w:val="nil"/>
            </w:tcBorders>
            <w:shd w:val="clear" w:color="auto" w:fill="auto"/>
            <w:noWrap/>
            <w:vAlign w:val="bottom"/>
            <w:hideMark/>
          </w:tcPr>
          <w:p w14:paraId="5F9FF0E8" w14:textId="77777777" w:rsidR="00E42269" w:rsidRPr="007F79B9" w:rsidRDefault="008706FB" w:rsidP="00E42269">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-0.1176</w:t>
            </w:r>
          </w:p>
        </w:tc>
        <w:tc>
          <w:tcPr>
            <w:tcW w:w="0" w:type="auto"/>
            <w:tcBorders>
              <w:top w:val="nil"/>
              <w:left w:val="nil"/>
              <w:right w:val="nil"/>
            </w:tcBorders>
            <w:shd w:val="clear" w:color="auto" w:fill="auto"/>
            <w:noWrap/>
            <w:vAlign w:val="bottom"/>
            <w:hideMark/>
          </w:tcPr>
          <w:p w14:paraId="15E9D7DD" w14:textId="77777777" w:rsidR="00E42269" w:rsidRPr="007F79B9" w:rsidRDefault="008706FB" w:rsidP="00E42269">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0.2960</w:t>
            </w:r>
          </w:p>
        </w:tc>
        <w:tc>
          <w:tcPr>
            <w:tcW w:w="0" w:type="auto"/>
            <w:tcBorders>
              <w:top w:val="nil"/>
              <w:left w:val="nil"/>
              <w:right w:val="nil"/>
            </w:tcBorders>
            <w:shd w:val="clear" w:color="auto" w:fill="auto"/>
            <w:noWrap/>
            <w:vAlign w:val="bottom"/>
            <w:hideMark/>
          </w:tcPr>
          <w:p w14:paraId="470AFC1F" w14:textId="77777777" w:rsidR="00E42269" w:rsidRPr="007F79B9" w:rsidRDefault="00E42269" w:rsidP="00DF3150">
            <w:pPr>
              <w:spacing w:after="0" w:line="240" w:lineRule="auto"/>
              <w:rPr>
                <w:rFonts w:ascii="Calibri" w:eastAsia="Times New Roman" w:hAnsi="Calibri" w:cs="Times New Roman"/>
                <w:color w:val="000000"/>
                <w:lang w:eastAsia="en-GB"/>
              </w:rPr>
            </w:pPr>
          </w:p>
        </w:tc>
        <w:tc>
          <w:tcPr>
            <w:tcW w:w="0" w:type="auto"/>
            <w:tcBorders>
              <w:top w:val="nil"/>
              <w:left w:val="nil"/>
              <w:right w:val="nil"/>
            </w:tcBorders>
            <w:shd w:val="clear" w:color="auto" w:fill="auto"/>
            <w:noWrap/>
            <w:vAlign w:val="bottom"/>
            <w:hideMark/>
          </w:tcPr>
          <w:p w14:paraId="0B770C01" w14:textId="77777777" w:rsidR="00E42269" w:rsidRPr="007F79B9" w:rsidRDefault="008706FB" w:rsidP="00E42269">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-0.0656</w:t>
            </w:r>
          </w:p>
        </w:tc>
        <w:tc>
          <w:tcPr>
            <w:tcW w:w="0" w:type="auto"/>
            <w:gridSpan w:val="2"/>
            <w:tcBorders>
              <w:top w:val="nil"/>
              <w:left w:val="nil"/>
              <w:right w:val="nil"/>
            </w:tcBorders>
            <w:shd w:val="clear" w:color="auto" w:fill="auto"/>
            <w:noWrap/>
            <w:vAlign w:val="bottom"/>
            <w:hideMark/>
          </w:tcPr>
          <w:p w14:paraId="71143490" w14:textId="77777777" w:rsidR="00E42269" w:rsidRPr="007F79B9" w:rsidRDefault="008706FB" w:rsidP="00E42269">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0.9333***</w:t>
            </w:r>
          </w:p>
        </w:tc>
      </w:tr>
      <w:tr w:rsidR="00E42269" w:rsidRPr="007F79B9" w14:paraId="13A471B7" w14:textId="77777777" w:rsidTr="00312157">
        <w:trPr>
          <w:trHeight w:val="300"/>
          <w:jc w:val="center"/>
        </w:trPr>
        <w:tc>
          <w:tcPr>
            <w:tcW w:w="0" w:type="auto"/>
            <w:tcBorders>
              <w:top w:val="nil"/>
              <w:left w:val="nil"/>
              <w:bottom w:val="single" w:sz="4" w:space="0" w:color="auto"/>
              <w:right w:val="nil"/>
            </w:tcBorders>
            <w:shd w:val="clear" w:color="auto" w:fill="auto"/>
            <w:noWrap/>
            <w:vAlign w:val="bottom"/>
            <w:hideMark/>
          </w:tcPr>
          <w:p w14:paraId="162E859E" w14:textId="77777777" w:rsidR="00E42269" w:rsidRPr="007F79B9" w:rsidRDefault="00E42269" w:rsidP="00312157">
            <w:pPr>
              <w:spacing w:after="0" w:line="240" w:lineRule="auto"/>
              <w:rPr>
                <w:rFonts w:ascii="Calibri" w:eastAsia="Times New Roman" w:hAnsi="Calibri" w:cs="Times New Roman"/>
                <w:b/>
                <w:color w:val="000000"/>
                <w:lang w:eastAsia="en-GB"/>
              </w:rPr>
            </w:pPr>
          </w:p>
        </w:tc>
        <w:tc>
          <w:tcPr>
            <w:tcW w:w="0" w:type="auto"/>
            <w:tcBorders>
              <w:top w:val="nil"/>
              <w:left w:val="nil"/>
              <w:bottom w:val="single" w:sz="4" w:space="0" w:color="auto"/>
              <w:right w:val="nil"/>
            </w:tcBorders>
            <w:shd w:val="clear" w:color="auto" w:fill="auto"/>
            <w:noWrap/>
            <w:vAlign w:val="bottom"/>
            <w:hideMark/>
          </w:tcPr>
          <w:p w14:paraId="11C8CD3A" w14:textId="77777777" w:rsidR="00E42269" w:rsidRPr="007F79B9" w:rsidRDefault="00E42269" w:rsidP="00312157">
            <w:pPr>
              <w:spacing w:after="0" w:line="240" w:lineRule="auto"/>
              <w:rPr>
                <w:rFonts w:ascii="Calibri" w:eastAsia="Times New Roman" w:hAnsi="Calibri" w:cs="Times New Roman"/>
                <w:color w:val="000000"/>
                <w:lang w:eastAsia="en-GB"/>
              </w:rPr>
            </w:pPr>
          </w:p>
        </w:tc>
        <w:tc>
          <w:tcPr>
            <w:tcW w:w="0" w:type="auto"/>
            <w:tcBorders>
              <w:top w:val="nil"/>
              <w:left w:val="nil"/>
              <w:bottom w:val="single" w:sz="4" w:space="0" w:color="auto"/>
              <w:right w:val="nil"/>
            </w:tcBorders>
            <w:shd w:val="clear" w:color="auto" w:fill="auto"/>
            <w:noWrap/>
            <w:vAlign w:val="bottom"/>
            <w:hideMark/>
          </w:tcPr>
          <w:p w14:paraId="5F75E0D7" w14:textId="77777777" w:rsidR="00E42269" w:rsidRPr="007F79B9" w:rsidRDefault="008706FB" w:rsidP="00E42269">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(0.4806)</w:t>
            </w:r>
          </w:p>
        </w:tc>
        <w:tc>
          <w:tcPr>
            <w:tcW w:w="0" w:type="auto"/>
            <w:tcBorders>
              <w:top w:val="nil"/>
              <w:left w:val="nil"/>
              <w:bottom w:val="single" w:sz="4" w:space="0" w:color="auto"/>
              <w:right w:val="nil"/>
            </w:tcBorders>
            <w:shd w:val="clear" w:color="auto" w:fill="auto"/>
            <w:noWrap/>
            <w:vAlign w:val="bottom"/>
            <w:hideMark/>
          </w:tcPr>
          <w:p w14:paraId="483F8FD7" w14:textId="77777777" w:rsidR="00E42269" w:rsidRPr="007F79B9" w:rsidRDefault="008706FB" w:rsidP="00E42269">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(1.3632)</w:t>
            </w:r>
          </w:p>
        </w:tc>
        <w:tc>
          <w:tcPr>
            <w:tcW w:w="0" w:type="auto"/>
            <w:tcBorders>
              <w:top w:val="nil"/>
              <w:left w:val="nil"/>
              <w:bottom w:val="single" w:sz="4" w:space="0" w:color="auto"/>
              <w:right w:val="nil"/>
            </w:tcBorders>
            <w:shd w:val="clear" w:color="auto" w:fill="auto"/>
            <w:noWrap/>
            <w:vAlign w:val="bottom"/>
            <w:hideMark/>
          </w:tcPr>
          <w:p w14:paraId="497E0EFC" w14:textId="77777777" w:rsidR="00E42269" w:rsidRPr="007F79B9" w:rsidRDefault="00E42269" w:rsidP="00DF3150">
            <w:pPr>
              <w:spacing w:after="0" w:line="240" w:lineRule="auto"/>
              <w:rPr>
                <w:rFonts w:ascii="Calibri" w:eastAsia="Times New Roman" w:hAnsi="Calibri" w:cs="Times New Roman"/>
                <w:color w:val="000000"/>
                <w:lang w:eastAsia="en-GB"/>
              </w:rPr>
            </w:pPr>
          </w:p>
        </w:tc>
        <w:tc>
          <w:tcPr>
            <w:tcW w:w="0" w:type="auto"/>
            <w:tcBorders>
              <w:top w:val="nil"/>
              <w:left w:val="nil"/>
              <w:bottom w:val="single" w:sz="4" w:space="0" w:color="auto"/>
              <w:right w:val="nil"/>
            </w:tcBorders>
            <w:shd w:val="clear" w:color="auto" w:fill="auto"/>
            <w:noWrap/>
            <w:vAlign w:val="bottom"/>
            <w:hideMark/>
          </w:tcPr>
          <w:p w14:paraId="0411B843" w14:textId="77777777" w:rsidR="00E42269" w:rsidRPr="007F79B9" w:rsidRDefault="008706FB" w:rsidP="00E42269">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(1.5048)</w:t>
            </w:r>
          </w:p>
        </w:tc>
        <w:tc>
          <w:tcPr>
            <w:tcW w:w="0" w:type="auto"/>
            <w:tcBorders>
              <w:top w:val="nil"/>
              <w:left w:val="nil"/>
              <w:bottom w:val="single" w:sz="4" w:space="0" w:color="auto"/>
              <w:right w:val="nil"/>
            </w:tcBorders>
            <w:shd w:val="clear" w:color="auto" w:fill="auto"/>
            <w:noWrap/>
            <w:vAlign w:val="bottom"/>
            <w:hideMark/>
          </w:tcPr>
          <w:p w14:paraId="36D6863B" w14:textId="77777777" w:rsidR="00E42269" w:rsidRPr="007F79B9" w:rsidRDefault="008706FB" w:rsidP="00E42269">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(0.1049)</w:t>
            </w:r>
          </w:p>
        </w:tc>
        <w:tc>
          <w:tcPr>
            <w:tcW w:w="0" w:type="auto"/>
            <w:tcBorders>
              <w:top w:val="nil"/>
              <w:left w:val="nil"/>
              <w:bottom w:val="single" w:sz="4" w:space="0" w:color="auto"/>
              <w:right w:val="nil"/>
            </w:tcBorders>
            <w:shd w:val="clear" w:color="auto" w:fill="auto"/>
            <w:noWrap/>
            <w:vAlign w:val="bottom"/>
            <w:hideMark/>
          </w:tcPr>
          <w:p w14:paraId="5EE85F7F" w14:textId="77777777" w:rsidR="00E42269" w:rsidRPr="007F79B9" w:rsidRDefault="00E42269" w:rsidP="00DF3150">
            <w:pPr>
              <w:spacing w:after="0" w:line="240" w:lineRule="auto"/>
              <w:rPr>
                <w:rFonts w:ascii="Calibri" w:eastAsia="Times New Roman" w:hAnsi="Calibri" w:cs="Times New Roman"/>
                <w:color w:val="000000"/>
                <w:lang w:eastAsia="en-GB"/>
              </w:rPr>
            </w:pPr>
          </w:p>
        </w:tc>
      </w:tr>
      <w:tr w:rsidR="001E2C20" w:rsidRPr="007F79B9" w14:paraId="5BD24575" w14:textId="77777777" w:rsidTr="00312157">
        <w:trPr>
          <w:trHeight w:val="300"/>
          <w:jc w:val="center"/>
        </w:trPr>
        <w:tc>
          <w:tcPr>
            <w:tcW w:w="0" w:type="auto"/>
            <w:tcBorders>
              <w:top w:val="single" w:sz="4" w:space="0" w:color="auto"/>
              <w:left w:val="nil"/>
              <w:bottom w:val="nil"/>
              <w:right w:val="nil"/>
            </w:tcBorders>
            <w:shd w:val="clear" w:color="auto" w:fill="auto"/>
            <w:noWrap/>
            <w:vAlign w:val="bottom"/>
            <w:hideMark/>
          </w:tcPr>
          <w:p w14:paraId="26AB4682" w14:textId="77777777" w:rsidR="001E2C20" w:rsidRPr="007F79B9" w:rsidRDefault="008706FB" w:rsidP="00312157">
            <w:pPr>
              <w:spacing w:after="0" w:line="240" w:lineRule="auto"/>
              <w:rPr>
                <w:rFonts w:ascii="Calibri" w:eastAsia="Times New Roman" w:hAnsi="Calibri" w:cs="Times New Roman"/>
                <w:b/>
                <w:color w:val="000000"/>
                <w:lang w:eastAsia="en-GB"/>
              </w:rPr>
            </w:pPr>
            <w:r w:rsidRPr="008706FB">
              <w:rPr>
                <w:rFonts w:ascii="Calibri" w:eastAsia="Times New Roman" w:hAnsi="Calibri" w:cs="Times New Roman"/>
                <w:b/>
                <w:color w:val="000000"/>
                <w:lang w:eastAsia="en-GB"/>
              </w:rPr>
              <w:t>Egypt</w:t>
            </w:r>
          </w:p>
        </w:tc>
        <w:tc>
          <w:tcPr>
            <w:tcW w:w="0" w:type="auto"/>
            <w:tcBorders>
              <w:top w:val="single" w:sz="4" w:space="0" w:color="auto"/>
              <w:left w:val="nil"/>
              <w:bottom w:val="nil"/>
              <w:right w:val="nil"/>
            </w:tcBorders>
            <w:shd w:val="clear" w:color="auto" w:fill="auto"/>
            <w:noWrap/>
            <w:vAlign w:val="bottom"/>
            <w:hideMark/>
          </w:tcPr>
          <w:p w14:paraId="13BCB894" w14:textId="77777777" w:rsidR="001E2C20" w:rsidRPr="007F79B9" w:rsidRDefault="008706FB" w:rsidP="00312157">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ygbr</w:t>
            </w:r>
          </w:p>
        </w:tc>
        <w:tc>
          <w:tcPr>
            <w:tcW w:w="0" w:type="auto"/>
            <w:tcBorders>
              <w:top w:val="single" w:sz="4" w:space="0" w:color="auto"/>
              <w:left w:val="nil"/>
              <w:bottom w:val="nil"/>
              <w:right w:val="nil"/>
            </w:tcBorders>
            <w:shd w:val="clear" w:color="auto" w:fill="auto"/>
            <w:noWrap/>
            <w:vAlign w:val="bottom"/>
            <w:hideMark/>
          </w:tcPr>
          <w:p w14:paraId="4A01C6F4"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0.8852***</w:t>
            </w:r>
          </w:p>
        </w:tc>
        <w:tc>
          <w:tcPr>
            <w:tcW w:w="0" w:type="auto"/>
            <w:tcBorders>
              <w:top w:val="single" w:sz="4" w:space="0" w:color="auto"/>
              <w:left w:val="nil"/>
              <w:bottom w:val="nil"/>
              <w:right w:val="nil"/>
            </w:tcBorders>
            <w:shd w:val="clear" w:color="auto" w:fill="auto"/>
            <w:noWrap/>
            <w:vAlign w:val="bottom"/>
            <w:hideMark/>
          </w:tcPr>
          <w:p w14:paraId="413A5987"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0.0017</w:t>
            </w:r>
          </w:p>
        </w:tc>
        <w:tc>
          <w:tcPr>
            <w:tcW w:w="0" w:type="auto"/>
            <w:tcBorders>
              <w:top w:val="single" w:sz="4" w:space="0" w:color="auto"/>
              <w:left w:val="nil"/>
              <w:bottom w:val="nil"/>
              <w:right w:val="nil"/>
            </w:tcBorders>
            <w:shd w:val="clear" w:color="auto" w:fill="auto"/>
            <w:noWrap/>
            <w:vAlign w:val="bottom"/>
            <w:hideMark/>
          </w:tcPr>
          <w:p w14:paraId="7689768B" w14:textId="77777777" w:rsidR="001E2C20" w:rsidRPr="007F79B9" w:rsidRDefault="001E2C20" w:rsidP="00DF3150">
            <w:pPr>
              <w:spacing w:after="0" w:line="240" w:lineRule="auto"/>
              <w:rPr>
                <w:rFonts w:ascii="Calibri" w:eastAsia="Times New Roman" w:hAnsi="Calibri" w:cs="Times New Roman"/>
                <w:color w:val="000000"/>
                <w:lang w:eastAsia="en-GB"/>
              </w:rPr>
            </w:pPr>
          </w:p>
        </w:tc>
        <w:tc>
          <w:tcPr>
            <w:tcW w:w="0" w:type="auto"/>
            <w:tcBorders>
              <w:top w:val="single" w:sz="4" w:space="0" w:color="auto"/>
              <w:left w:val="nil"/>
              <w:bottom w:val="nil"/>
              <w:right w:val="nil"/>
            </w:tcBorders>
            <w:shd w:val="clear" w:color="auto" w:fill="auto"/>
            <w:noWrap/>
            <w:vAlign w:val="bottom"/>
            <w:hideMark/>
          </w:tcPr>
          <w:p w14:paraId="12959EEC"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0.1704</w:t>
            </w:r>
          </w:p>
        </w:tc>
        <w:tc>
          <w:tcPr>
            <w:tcW w:w="0" w:type="auto"/>
            <w:tcBorders>
              <w:top w:val="single" w:sz="4" w:space="0" w:color="auto"/>
              <w:left w:val="nil"/>
              <w:bottom w:val="nil"/>
              <w:right w:val="nil"/>
            </w:tcBorders>
            <w:shd w:val="clear" w:color="auto" w:fill="auto"/>
            <w:noWrap/>
            <w:vAlign w:val="bottom"/>
            <w:hideMark/>
          </w:tcPr>
          <w:p w14:paraId="10FE70EB"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0.0092</w:t>
            </w:r>
          </w:p>
        </w:tc>
        <w:tc>
          <w:tcPr>
            <w:tcW w:w="0" w:type="auto"/>
            <w:tcBorders>
              <w:top w:val="single" w:sz="4" w:space="0" w:color="auto"/>
              <w:left w:val="nil"/>
              <w:bottom w:val="nil"/>
              <w:right w:val="nil"/>
            </w:tcBorders>
            <w:shd w:val="clear" w:color="auto" w:fill="auto"/>
            <w:noWrap/>
            <w:vAlign w:val="bottom"/>
            <w:hideMark/>
          </w:tcPr>
          <w:p w14:paraId="0C3EAF28"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0.0033</w:t>
            </w:r>
          </w:p>
        </w:tc>
      </w:tr>
      <w:tr w:rsidR="001E2C20" w:rsidRPr="007F79B9" w14:paraId="6520D8DF" w14:textId="77777777" w:rsidTr="00312157">
        <w:trPr>
          <w:trHeight w:val="300"/>
          <w:jc w:val="center"/>
        </w:trPr>
        <w:tc>
          <w:tcPr>
            <w:tcW w:w="0" w:type="auto"/>
            <w:tcBorders>
              <w:top w:val="nil"/>
              <w:left w:val="nil"/>
              <w:bottom w:val="nil"/>
              <w:right w:val="nil"/>
            </w:tcBorders>
            <w:shd w:val="clear" w:color="auto" w:fill="auto"/>
            <w:noWrap/>
            <w:vAlign w:val="bottom"/>
            <w:hideMark/>
          </w:tcPr>
          <w:p w14:paraId="2CBF6EA0" w14:textId="77777777" w:rsidR="001E2C20" w:rsidRPr="007F79B9" w:rsidRDefault="008706FB" w:rsidP="00312157">
            <w:pPr>
              <w:spacing w:after="0" w:line="240" w:lineRule="auto"/>
              <w:rPr>
                <w:rFonts w:ascii="Calibri" w:eastAsia="Times New Roman" w:hAnsi="Calibri" w:cs="Times New Roman"/>
                <w:b/>
                <w:color w:val="000000"/>
                <w:lang w:eastAsia="en-GB"/>
              </w:rPr>
            </w:pPr>
            <w:r w:rsidRPr="008706FB">
              <w:rPr>
                <w:rFonts w:ascii="Calibri" w:eastAsia="Times New Roman" w:hAnsi="Calibri" w:cs="Times New Roman"/>
                <w:b/>
                <w:color w:val="000000"/>
                <w:lang w:eastAsia="en-GB"/>
              </w:rPr>
              <w:t>(N=842)</w:t>
            </w:r>
          </w:p>
        </w:tc>
        <w:tc>
          <w:tcPr>
            <w:tcW w:w="0" w:type="auto"/>
            <w:tcBorders>
              <w:top w:val="nil"/>
              <w:left w:val="nil"/>
              <w:bottom w:val="nil"/>
              <w:right w:val="nil"/>
            </w:tcBorders>
            <w:shd w:val="clear" w:color="auto" w:fill="auto"/>
            <w:noWrap/>
            <w:vAlign w:val="bottom"/>
            <w:hideMark/>
          </w:tcPr>
          <w:p w14:paraId="4703B0CA" w14:textId="77777777" w:rsidR="001E2C20" w:rsidRPr="007F79B9" w:rsidRDefault="001E2C20" w:rsidP="00312157">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73A205DA"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(0.1070)</w:t>
            </w:r>
          </w:p>
        </w:tc>
        <w:tc>
          <w:tcPr>
            <w:tcW w:w="0" w:type="auto"/>
            <w:tcBorders>
              <w:top w:val="nil"/>
              <w:left w:val="nil"/>
              <w:bottom w:val="nil"/>
              <w:right w:val="nil"/>
            </w:tcBorders>
            <w:shd w:val="clear" w:color="auto" w:fill="auto"/>
            <w:noWrap/>
            <w:vAlign w:val="bottom"/>
            <w:hideMark/>
          </w:tcPr>
          <w:p w14:paraId="29C77F8C"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(0.0316)</w:t>
            </w:r>
          </w:p>
        </w:tc>
        <w:tc>
          <w:tcPr>
            <w:tcW w:w="0" w:type="auto"/>
            <w:tcBorders>
              <w:top w:val="nil"/>
              <w:left w:val="nil"/>
              <w:bottom w:val="nil"/>
              <w:right w:val="nil"/>
            </w:tcBorders>
            <w:shd w:val="clear" w:color="auto" w:fill="auto"/>
            <w:noWrap/>
            <w:vAlign w:val="bottom"/>
            <w:hideMark/>
          </w:tcPr>
          <w:p w14:paraId="6574E15E" w14:textId="77777777" w:rsidR="001E2C20" w:rsidRPr="007F79B9" w:rsidRDefault="001E2C20" w:rsidP="00DF3150">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4FF6C63D"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(0.2046)</w:t>
            </w:r>
          </w:p>
        </w:tc>
        <w:tc>
          <w:tcPr>
            <w:tcW w:w="0" w:type="auto"/>
            <w:tcBorders>
              <w:top w:val="nil"/>
              <w:left w:val="nil"/>
              <w:bottom w:val="nil"/>
              <w:right w:val="nil"/>
            </w:tcBorders>
            <w:shd w:val="clear" w:color="auto" w:fill="auto"/>
            <w:noWrap/>
            <w:vAlign w:val="bottom"/>
            <w:hideMark/>
          </w:tcPr>
          <w:p w14:paraId="491FEC00"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(0.0432)</w:t>
            </w:r>
          </w:p>
        </w:tc>
        <w:tc>
          <w:tcPr>
            <w:tcW w:w="0" w:type="auto"/>
            <w:tcBorders>
              <w:top w:val="nil"/>
              <w:left w:val="nil"/>
              <w:bottom w:val="nil"/>
              <w:right w:val="nil"/>
            </w:tcBorders>
            <w:shd w:val="clear" w:color="auto" w:fill="auto"/>
            <w:noWrap/>
            <w:vAlign w:val="bottom"/>
            <w:hideMark/>
          </w:tcPr>
          <w:p w14:paraId="68AD8DAB"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(0.0151)</w:t>
            </w:r>
          </w:p>
        </w:tc>
      </w:tr>
      <w:tr w:rsidR="001E2C20" w:rsidRPr="007F79B9" w14:paraId="47BF16D6" w14:textId="77777777" w:rsidTr="00312157">
        <w:trPr>
          <w:trHeight w:val="300"/>
          <w:jc w:val="center"/>
        </w:trPr>
        <w:tc>
          <w:tcPr>
            <w:tcW w:w="0" w:type="auto"/>
            <w:tcBorders>
              <w:top w:val="nil"/>
              <w:left w:val="nil"/>
              <w:bottom w:val="nil"/>
              <w:right w:val="nil"/>
            </w:tcBorders>
            <w:shd w:val="clear" w:color="auto" w:fill="auto"/>
            <w:noWrap/>
            <w:vAlign w:val="bottom"/>
            <w:hideMark/>
          </w:tcPr>
          <w:p w14:paraId="382CD79A" w14:textId="77777777" w:rsidR="001E2C20" w:rsidRPr="007F79B9" w:rsidRDefault="001E2C20" w:rsidP="00312157">
            <w:pPr>
              <w:spacing w:after="0" w:line="240" w:lineRule="auto"/>
              <w:rPr>
                <w:rFonts w:ascii="Calibri" w:eastAsia="Times New Roman" w:hAnsi="Calibri" w:cs="Times New Roman"/>
                <w:b/>
                <w:color w:val="000000"/>
                <w:lang w:eastAsia="en-GB"/>
              </w:rPr>
            </w:pPr>
          </w:p>
        </w:tc>
        <w:tc>
          <w:tcPr>
            <w:tcW w:w="0" w:type="auto"/>
            <w:tcBorders>
              <w:top w:val="nil"/>
              <w:left w:val="nil"/>
              <w:bottom w:val="nil"/>
              <w:right w:val="nil"/>
            </w:tcBorders>
            <w:shd w:val="clear" w:color="auto" w:fill="auto"/>
            <w:noWrap/>
            <w:vAlign w:val="bottom"/>
            <w:hideMark/>
          </w:tcPr>
          <w:p w14:paraId="2B57FAB3" w14:textId="77777777" w:rsidR="001E2C20" w:rsidRPr="007F79B9" w:rsidRDefault="008706FB" w:rsidP="00312157">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yfra</w:t>
            </w:r>
          </w:p>
        </w:tc>
        <w:tc>
          <w:tcPr>
            <w:tcW w:w="0" w:type="auto"/>
            <w:tcBorders>
              <w:top w:val="nil"/>
              <w:left w:val="nil"/>
              <w:bottom w:val="nil"/>
              <w:right w:val="nil"/>
            </w:tcBorders>
            <w:shd w:val="clear" w:color="auto" w:fill="auto"/>
            <w:noWrap/>
            <w:vAlign w:val="bottom"/>
            <w:hideMark/>
          </w:tcPr>
          <w:p w14:paraId="69397101"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-0.1028</w:t>
            </w:r>
          </w:p>
        </w:tc>
        <w:tc>
          <w:tcPr>
            <w:tcW w:w="0" w:type="auto"/>
            <w:gridSpan w:val="2"/>
            <w:tcBorders>
              <w:top w:val="nil"/>
              <w:left w:val="nil"/>
              <w:bottom w:val="nil"/>
              <w:right w:val="nil"/>
            </w:tcBorders>
            <w:shd w:val="clear" w:color="auto" w:fill="auto"/>
            <w:noWrap/>
            <w:vAlign w:val="bottom"/>
            <w:hideMark/>
          </w:tcPr>
          <w:p w14:paraId="5BB1143F"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0.8373***</w:t>
            </w:r>
          </w:p>
        </w:tc>
        <w:tc>
          <w:tcPr>
            <w:tcW w:w="0" w:type="auto"/>
            <w:tcBorders>
              <w:top w:val="nil"/>
              <w:left w:val="nil"/>
              <w:bottom w:val="nil"/>
              <w:right w:val="nil"/>
            </w:tcBorders>
            <w:shd w:val="clear" w:color="auto" w:fill="auto"/>
            <w:noWrap/>
            <w:vAlign w:val="bottom"/>
            <w:hideMark/>
          </w:tcPr>
          <w:p w14:paraId="33628968" w14:textId="77777777" w:rsidR="001E2C20" w:rsidRPr="007F79B9" w:rsidRDefault="008706FB" w:rsidP="00DF315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0.2221</w:t>
            </w:r>
          </w:p>
        </w:tc>
        <w:tc>
          <w:tcPr>
            <w:tcW w:w="0" w:type="auto"/>
            <w:tcBorders>
              <w:top w:val="nil"/>
              <w:left w:val="nil"/>
              <w:bottom w:val="nil"/>
              <w:right w:val="nil"/>
            </w:tcBorders>
            <w:shd w:val="clear" w:color="auto" w:fill="auto"/>
            <w:noWrap/>
            <w:vAlign w:val="bottom"/>
            <w:hideMark/>
          </w:tcPr>
          <w:p w14:paraId="663E306C"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0.2685</w:t>
            </w:r>
          </w:p>
        </w:tc>
        <w:tc>
          <w:tcPr>
            <w:tcW w:w="0" w:type="auto"/>
            <w:tcBorders>
              <w:top w:val="nil"/>
              <w:left w:val="nil"/>
              <w:bottom w:val="nil"/>
              <w:right w:val="nil"/>
            </w:tcBorders>
            <w:shd w:val="clear" w:color="auto" w:fill="auto"/>
            <w:noWrap/>
            <w:vAlign w:val="bottom"/>
            <w:hideMark/>
          </w:tcPr>
          <w:p w14:paraId="7AD490AC"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0.0163</w:t>
            </w:r>
          </w:p>
        </w:tc>
      </w:tr>
      <w:tr w:rsidR="001E2C20" w:rsidRPr="007F79B9" w14:paraId="089081A4" w14:textId="77777777" w:rsidTr="00312157">
        <w:trPr>
          <w:trHeight w:val="300"/>
          <w:jc w:val="center"/>
        </w:trPr>
        <w:tc>
          <w:tcPr>
            <w:tcW w:w="0" w:type="auto"/>
            <w:tcBorders>
              <w:top w:val="nil"/>
              <w:left w:val="nil"/>
              <w:bottom w:val="nil"/>
              <w:right w:val="nil"/>
            </w:tcBorders>
            <w:shd w:val="clear" w:color="auto" w:fill="auto"/>
            <w:noWrap/>
            <w:vAlign w:val="bottom"/>
            <w:hideMark/>
          </w:tcPr>
          <w:p w14:paraId="08DBEF6E" w14:textId="77777777" w:rsidR="001E2C20" w:rsidRPr="007F79B9" w:rsidRDefault="001E2C20" w:rsidP="00312157">
            <w:pPr>
              <w:spacing w:after="0" w:line="240" w:lineRule="auto"/>
              <w:rPr>
                <w:rFonts w:ascii="Calibri" w:eastAsia="Times New Roman" w:hAnsi="Calibri" w:cs="Times New Roman"/>
                <w:b/>
                <w:color w:val="000000"/>
                <w:lang w:eastAsia="en-GB"/>
              </w:rPr>
            </w:pPr>
          </w:p>
        </w:tc>
        <w:tc>
          <w:tcPr>
            <w:tcW w:w="0" w:type="auto"/>
            <w:tcBorders>
              <w:top w:val="nil"/>
              <w:left w:val="nil"/>
              <w:bottom w:val="nil"/>
              <w:right w:val="nil"/>
            </w:tcBorders>
            <w:shd w:val="clear" w:color="auto" w:fill="auto"/>
            <w:noWrap/>
            <w:vAlign w:val="bottom"/>
            <w:hideMark/>
          </w:tcPr>
          <w:p w14:paraId="787D00B6" w14:textId="77777777" w:rsidR="001E2C20" w:rsidRPr="007F79B9" w:rsidRDefault="001E2C20" w:rsidP="00312157">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6E913755"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(0.1050)</w:t>
            </w:r>
          </w:p>
        </w:tc>
        <w:tc>
          <w:tcPr>
            <w:tcW w:w="0" w:type="auto"/>
            <w:tcBorders>
              <w:top w:val="nil"/>
              <w:left w:val="nil"/>
              <w:bottom w:val="nil"/>
              <w:right w:val="nil"/>
            </w:tcBorders>
            <w:shd w:val="clear" w:color="auto" w:fill="auto"/>
            <w:noWrap/>
            <w:vAlign w:val="bottom"/>
            <w:hideMark/>
          </w:tcPr>
          <w:p w14:paraId="5404A366"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(0.0837)</w:t>
            </w:r>
          </w:p>
        </w:tc>
        <w:tc>
          <w:tcPr>
            <w:tcW w:w="0" w:type="auto"/>
            <w:tcBorders>
              <w:top w:val="nil"/>
              <w:left w:val="nil"/>
              <w:bottom w:val="nil"/>
              <w:right w:val="nil"/>
            </w:tcBorders>
            <w:shd w:val="clear" w:color="auto" w:fill="auto"/>
            <w:noWrap/>
            <w:vAlign w:val="bottom"/>
            <w:hideMark/>
          </w:tcPr>
          <w:p w14:paraId="50FD7312" w14:textId="77777777" w:rsidR="001E2C20" w:rsidRPr="007F79B9" w:rsidRDefault="001E2C20" w:rsidP="00DF3150">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26344C69"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(0.2174)</w:t>
            </w:r>
          </w:p>
        </w:tc>
        <w:tc>
          <w:tcPr>
            <w:tcW w:w="0" w:type="auto"/>
            <w:tcBorders>
              <w:top w:val="nil"/>
              <w:left w:val="nil"/>
              <w:bottom w:val="nil"/>
              <w:right w:val="nil"/>
            </w:tcBorders>
            <w:shd w:val="clear" w:color="auto" w:fill="auto"/>
            <w:noWrap/>
            <w:vAlign w:val="bottom"/>
            <w:hideMark/>
          </w:tcPr>
          <w:p w14:paraId="3F642DF0"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(0.0467)</w:t>
            </w:r>
          </w:p>
        </w:tc>
        <w:tc>
          <w:tcPr>
            <w:tcW w:w="0" w:type="auto"/>
            <w:tcBorders>
              <w:top w:val="nil"/>
              <w:left w:val="nil"/>
              <w:bottom w:val="nil"/>
              <w:right w:val="nil"/>
            </w:tcBorders>
            <w:shd w:val="clear" w:color="auto" w:fill="auto"/>
            <w:noWrap/>
            <w:vAlign w:val="bottom"/>
            <w:hideMark/>
          </w:tcPr>
          <w:p w14:paraId="01432935"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(0.0432)</w:t>
            </w:r>
          </w:p>
        </w:tc>
      </w:tr>
      <w:tr w:rsidR="001E2C20" w:rsidRPr="007F79B9" w14:paraId="2D3DF519" w14:textId="77777777" w:rsidTr="00312157">
        <w:trPr>
          <w:trHeight w:val="300"/>
          <w:jc w:val="center"/>
        </w:trPr>
        <w:tc>
          <w:tcPr>
            <w:tcW w:w="0" w:type="auto"/>
            <w:tcBorders>
              <w:top w:val="nil"/>
              <w:left w:val="nil"/>
              <w:bottom w:val="nil"/>
              <w:right w:val="nil"/>
            </w:tcBorders>
            <w:shd w:val="clear" w:color="auto" w:fill="auto"/>
            <w:noWrap/>
            <w:vAlign w:val="bottom"/>
            <w:hideMark/>
          </w:tcPr>
          <w:p w14:paraId="2ACA2A93" w14:textId="77777777" w:rsidR="001E2C20" w:rsidRPr="007F79B9" w:rsidRDefault="001E2C20" w:rsidP="00312157">
            <w:pPr>
              <w:spacing w:after="0" w:line="240" w:lineRule="auto"/>
              <w:rPr>
                <w:rFonts w:ascii="Calibri" w:eastAsia="Times New Roman" w:hAnsi="Calibri" w:cs="Times New Roman"/>
                <w:b/>
                <w:color w:val="000000"/>
                <w:lang w:eastAsia="en-GB"/>
              </w:rPr>
            </w:pPr>
          </w:p>
        </w:tc>
        <w:tc>
          <w:tcPr>
            <w:tcW w:w="0" w:type="auto"/>
            <w:tcBorders>
              <w:top w:val="nil"/>
              <w:left w:val="nil"/>
              <w:bottom w:val="nil"/>
              <w:right w:val="nil"/>
            </w:tcBorders>
            <w:shd w:val="clear" w:color="auto" w:fill="auto"/>
            <w:noWrap/>
            <w:vAlign w:val="bottom"/>
            <w:hideMark/>
          </w:tcPr>
          <w:p w14:paraId="28D01F02" w14:textId="77777777" w:rsidR="001E2C20" w:rsidRPr="007F79B9" w:rsidRDefault="008706FB" w:rsidP="00312157">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y1885</w:t>
            </w:r>
          </w:p>
        </w:tc>
        <w:tc>
          <w:tcPr>
            <w:tcW w:w="0" w:type="auto"/>
            <w:tcBorders>
              <w:top w:val="nil"/>
              <w:left w:val="nil"/>
              <w:bottom w:val="nil"/>
              <w:right w:val="nil"/>
            </w:tcBorders>
            <w:shd w:val="clear" w:color="auto" w:fill="auto"/>
            <w:noWrap/>
            <w:vAlign w:val="bottom"/>
            <w:hideMark/>
          </w:tcPr>
          <w:p w14:paraId="53426A80"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0.0491</w:t>
            </w:r>
          </w:p>
        </w:tc>
        <w:tc>
          <w:tcPr>
            <w:tcW w:w="0" w:type="auto"/>
            <w:tcBorders>
              <w:top w:val="nil"/>
              <w:left w:val="nil"/>
              <w:bottom w:val="nil"/>
              <w:right w:val="nil"/>
            </w:tcBorders>
            <w:shd w:val="clear" w:color="auto" w:fill="auto"/>
            <w:noWrap/>
            <w:vAlign w:val="bottom"/>
            <w:hideMark/>
          </w:tcPr>
          <w:p w14:paraId="35FC9FBB"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0.0971**</w:t>
            </w:r>
          </w:p>
        </w:tc>
        <w:tc>
          <w:tcPr>
            <w:tcW w:w="0" w:type="auto"/>
            <w:tcBorders>
              <w:top w:val="nil"/>
              <w:left w:val="nil"/>
              <w:bottom w:val="nil"/>
              <w:right w:val="nil"/>
            </w:tcBorders>
            <w:shd w:val="clear" w:color="auto" w:fill="auto"/>
            <w:noWrap/>
            <w:vAlign w:val="bottom"/>
            <w:hideMark/>
          </w:tcPr>
          <w:p w14:paraId="3788A865" w14:textId="77777777" w:rsidR="001E2C20" w:rsidRPr="007F79B9" w:rsidRDefault="001E2C20" w:rsidP="00DF3150">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10B0EDE8"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0.958***</w:t>
            </w:r>
          </w:p>
        </w:tc>
        <w:tc>
          <w:tcPr>
            <w:tcW w:w="0" w:type="auto"/>
            <w:tcBorders>
              <w:top w:val="nil"/>
              <w:left w:val="nil"/>
              <w:bottom w:val="nil"/>
              <w:right w:val="nil"/>
            </w:tcBorders>
            <w:shd w:val="clear" w:color="auto" w:fill="auto"/>
            <w:noWrap/>
            <w:vAlign w:val="bottom"/>
            <w:hideMark/>
          </w:tcPr>
          <w:p w14:paraId="6EA38E22"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0.0435</w:t>
            </w:r>
          </w:p>
        </w:tc>
        <w:tc>
          <w:tcPr>
            <w:tcW w:w="0" w:type="auto"/>
            <w:tcBorders>
              <w:top w:val="nil"/>
              <w:left w:val="nil"/>
              <w:bottom w:val="nil"/>
              <w:right w:val="nil"/>
            </w:tcBorders>
            <w:shd w:val="clear" w:color="auto" w:fill="auto"/>
            <w:noWrap/>
            <w:vAlign w:val="bottom"/>
            <w:hideMark/>
          </w:tcPr>
          <w:p w14:paraId="139098AE"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-0.0721</w:t>
            </w:r>
          </w:p>
        </w:tc>
      </w:tr>
      <w:tr w:rsidR="001E2C20" w:rsidRPr="007F79B9" w14:paraId="4C45F3C3" w14:textId="77777777" w:rsidTr="00312157">
        <w:trPr>
          <w:trHeight w:val="300"/>
          <w:jc w:val="center"/>
        </w:trPr>
        <w:tc>
          <w:tcPr>
            <w:tcW w:w="0" w:type="auto"/>
            <w:tcBorders>
              <w:top w:val="nil"/>
              <w:left w:val="nil"/>
              <w:bottom w:val="nil"/>
              <w:right w:val="nil"/>
            </w:tcBorders>
            <w:shd w:val="clear" w:color="auto" w:fill="auto"/>
            <w:noWrap/>
            <w:vAlign w:val="bottom"/>
            <w:hideMark/>
          </w:tcPr>
          <w:p w14:paraId="3CF0882A" w14:textId="77777777" w:rsidR="001E2C20" w:rsidRPr="007F79B9" w:rsidRDefault="001E2C20" w:rsidP="00312157">
            <w:pPr>
              <w:spacing w:after="0" w:line="240" w:lineRule="auto"/>
              <w:rPr>
                <w:rFonts w:ascii="Calibri" w:eastAsia="Times New Roman" w:hAnsi="Calibri" w:cs="Times New Roman"/>
                <w:b/>
                <w:color w:val="000000"/>
                <w:lang w:eastAsia="en-GB"/>
              </w:rPr>
            </w:pPr>
          </w:p>
        </w:tc>
        <w:tc>
          <w:tcPr>
            <w:tcW w:w="0" w:type="auto"/>
            <w:tcBorders>
              <w:top w:val="nil"/>
              <w:left w:val="nil"/>
              <w:bottom w:val="nil"/>
              <w:right w:val="nil"/>
            </w:tcBorders>
            <w:shd w:val="clear" w:color="auto" w:fill="auto"/>
            <w:noWrap/>
            <w:vAlign w:val="bottom"/>
            <w:hideMark/>
          </w:tcPr>
          <w:p w14:paraId="72A4830E" w14:textId="77777777" w:rsidR="001E2C20" w:rsidRPr="007F79B9" w:rsidRDefault="001E2C20" w:rsidP="00312157">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2C449B16"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(0.1079)</w:t>
            </w:r>
          </w:p>
        </w:tc>
        <w:tc>
          <w:tcPr>
            <w:tcW w:w="0" w:type="auto"/>
            <w:tcBorders>
              <w:top w:val="nil"/>
              <w:left w:val="nil"/>
              <w:bottom w:val="nil"/>
              <w:right w:val="nil"/>
            </w:tcBorders>
            <w:shd w:val="clear" w:color="auto" w:fill="auto"/>
            <w:noWrap/>
            <w:vAlign w:val="bottom"/>
            <w:hideMark/>
          </w:tcPr>
          <w:p w14:paraId="5EFE5D27"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(0.0464)</w:t>
            </w:r>
          </w:p>
        </w:tc>
        <w:tc>
          <w:tcPr>
            <w:tcW w:w="0" w:type="auto"/>
            <w:tcBorders>
              <w:top w:val="nil"/>
              <w:left w:val="nil"/>
              <w:bottom w:val="nil"/>
              <w:right w:val="nil"/>
            </w:tcBorders>
            <w:shd w:val="clear" w:color="auto" w:fill="auto"/>
            <w:noWrap/>
            <w:vAlign w:val="bottom"/>
            <w:hideMark/>
          </w:tcPr>
          <w:p w14:paraId="5F4889EB" w14:textId="77777777" w:rsidR="001E2C20" w:rsidRPr="007F79B9" w:rsidRDefault="001E2C20" w:rsidP="00DF3150">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7CDFD3A9"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(0.2052)</w:t>
            </w:r>
          </w:p>
        </w:tc>
        <w:tc>
          <w:tcPr>
            <w:tcW w:w="0" w:type="auto"/>
            <w:tcBorders>
              <w:top w:val="nil"/>
              <w:left w:val="nil"/>
              <w:bottom w:val="nil"/>
              <w:right w:val="nil"/>
            </w:tcBorders>
            <w:shd w:val="clear" w:color="auto" w:fill="auto"/>
            <w:noWrap/>
            <w:vAlign w:val="bottom"/>
            <w:hideMark/>
          </w:tcPr>
          <w:p w14:paraId="31C7EBB0"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(0.0451)</w:t>
            </w:r>
          </w:p>
        </w:tc>
        <w:tc>
          <w:tcPr>
            <w:tcW w:w="0" w:type="auto"/>
            <w:tcBorders>
              <w:top w:val="nil"/>
              <w:left w:val="nil"/>
              <w:bottom w:val="nil"/>
              <w:right w:val="nil"/>
            </w:tcBorders>
            <w:shd w:val="clear" w:color="auto" w:fill="auto"/>
            <w:noWrap/>
            <w:vAlign w:val="bottom"/>
            <w:hideMark/>
          </w:tcPr>
          <w:p w14:paraId="5DA98AFD"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(0.0234)</w:t>
            </w:r>
          </w:p>
        </w:tc>
      </w:tr>
      <w:tr w:rsidR="001E2C20" w:rsidRPr="007F79B9" w14:paraId="10C43089" w14:textId="77777777" w:rsidTr="00312157">
        <w:trPr>
          <w:trHeight w:val="300"/>
          <w:jc w:val="center"/>
        </w:trPr>
        <w:tc>
          <w:tcPr>
            <w:tcW w:w="0" w:type="auto"/>
            <w:tcBorders>
              <w:top w:val="nil"/>
              <w:left w:val="nil"/>
              <w:bottom w:val="nil"/>
              <w:right w:val="nil"/>
            </w:tcBorders>
            <w:shd w:val="clear" w:color="auto" w:fill="auto"/>
            <w:noWrap/>
            <w:vAlign w:val="bottom"/>
            <w:hideMark/>
          </w:tcPr>
          <w:p w14:paraId="32A5503D" w14:textId="77777777" w:rsidR="001E2C20" w:rsidRPr="007F79B9" w:rsidRDefault="001E2C20" w:rsidP="00312157">
            <w:pPr>
              <w:spacing w:after="0" w:line="240" w:lineRule="auto"/>
              <w:rPr>
                <w:rFonts w:ascii="Calibri" w:eastAsia="Times New Roman" w:hAnsi="Calibri" w:cs="Times New Roman"/>
                <w:b/>
                <w:color w:val="000000"/>
                <w:lang w:eastAsia="en-GB"/>
              </w:rPr>
            </w:pPr>
          </w:p>
        </w:tc>
        <w:tc>
          <w:tcPr>
            <w:tcW w:w="0" w:type="auto"/>
            <w:tcBorders>
              <w:top w:val="nil"/>
              <w:left w:val="nil"/>
              <w:bottom w:val="nil"/>
              <w:right w:val="nil"/>
            </w:tcBorders>
            <w:shd w:val="clear" w:color="auto" w:fill="auto"/>
            <w:noWrap/>
            <w:vAlign w:val="bottom"/>
            <w:hideMark/>
          </w:tcPr>
          <w:p w14:paraId="0B040A2E" w14:textId="77777777" w:rsidR="001E2C20" w:rsidRPr="007F79B9" w:rsidRDefault="008706FB" w:rsidP="00312157">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ystate</w:t>
            </w:r>
          </w:p>
        </w:tc>
        <w:tc>
          <w:tcPr>
            <w:tcW w:w="0" w:type="auto"/>
            <w:tcBorders>
              <w:top w:val="nil"/>
              <w:left w:val="nil"/>
              <w:bottom w:val="nil"/>
              <w:right w:val="nil"/>
            </w:tcBorders>
            <w:shd w:val="clear" w:color="auto" w:fill="auto"/>
            <w:noWrap/>
            <w:vAlign w:val="bottom"/>
            <w:hideMark/>
          </w:tcPr>
          <w:p w14:paraId="35074E45"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-0.1360</w:t>
            </w:r>
          </w:p>
        </w:tc>
        <w:tc>
          <w:tcPr>
            <w:tcW w:w="0" w:type="auto"/>
            <w:tcBorders>
              <w:top w:val="nil"/>
              <w:left w:val="nil"/>
              <w:bottom w:val="nil"/>
              <w:right w:val="nil"/>
            </w:tcBorders>
            <w:shd w:val="clear" w:color="auto" w:fill="auto"/>
            <w:noWrap/>
            <w:vAlign w:val="bottom"/>
            <w:hideMark/>
          </w:tcPr>
          <w:p w14:paraId="74527272"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-0.0149</w:t>
            </w:r>
          </w:p>
        </w:tc>
        <w:tc>
          <w:tcPr>
            <w:tcW w:w="0" w:type="auto"/>
            <w:tcBorders>
              <w:top w:val="nil"/>
              <w:left w:val="nil"/>
              <w:bottom w:val="nil"/>
              <w:right w:val="nil"/>
            </w:tcBorders>
            <w:shd w:val="clear" w:color="auto" w:fill="auto"/>
            <w:noWrap/>
            <w:vAlign w:val="bottom"/>
            <w:hideMark/>
          </w:tcPr>
          <w:p w14:paraId="19FD8743" w14:textId="77777777" w:rsidR="001E2C20" w:rsidRPr="007F79B9" w:rsidRDefault="001E2C20" w:rsidP="00DF3150">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2E3AD4F5"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0.1770</w:t>
            </w:r>
          </w:p>
        </w:tc>
        <w:tc>
          <w:tcPr>
            <w:tcW w:w="0" w:type="auto"/>
            <w:tcBorders>
              <w:top w:val="nil"/>
              <w:left w:val="nil"/>
              <w:bottom w:val="nil"/>
              <w:right w:val="nil"/>
            </w:tcBorders>
            <w:shd w:val="clear" w:color="auto" w:fill="auto"/>
            <w:noWrap/>
            <w:vAlign w:val="bottom"/>
            <w:hideMark/>
          </w:tcPr>
          <w:p w14:paraId="220876A6"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0.9172***</w:t>
            </w:r>
          </w:p>
        </w:tc>
        <w:tc>
          <w:tcPr>
            <w:tcW w:w="0" w:type="auto"/>
            <w:tcBorders>
              <w:top w:val="nil"/>
              <w:left w:val="nil"/>
              <w:bottom w:val="nil"/>
              <w:right w:val="nil"/>
            </w:tcBorders>
            <w:shd w:val="clear" w:color="auto" w:fill="auto"/>
            <w:noWrap/>
            <w:vAlign w:val="bottom"/>
            <w:hideMark/>
          </w:tcPr>
          <w:p w14:paraId="39BC8842"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0.0746</w:t>
            </w:r>
          </w:p>
        </w:tc>
      </w:tr>
      <w:tr w:rsidR="001E2C20" w:rsidRPr="007F79B9" w14:paraId="61DB1BB5" w14:textId="77777777" w:rsidTr="00312157">
        <w:trPr>
          <w:trHeight w:val="300"/>
          <w:jc w:val="center"/>
        </w:trPr>
        <w:tc>
          <w:tcPr>
            <w:tcW w:w="0" w:type="auto"/>
            <w:tcBorders>
              <w:top w:val="nil"/>
              <w:left w:val="nil"/>
              <w:bottom w:val="nil"/>
              <w:right w:val="nil"/>
            </w:tcBorders>
            <w:shd w:val="clear" w:color="auto" w:fill="auto"/>
            <w:noWrap/>
            <w:vAlign w:val="bottom"/>
            <w:hideMark/>
          </w:tcPr>
          <w:p w14:paraId="5186A21A" w14:textId="77777777" w:rsidR="001E2C20" w:rsidRPr="007F79B9" w:rsidRDefault="001E2C20" w:rsidP="00312157">
            <w:pPr>
              <w:spacing w:after="0" w:line="240" w:lineRule="auto"/>
              <w:rPr>
                <w:rFonts w:ascii="Calibri" w:eastAsia="Times New Roman" w:hAnsi="Calibri" w:cs="Times New Roman"/>
                <w:b/>
                <w:color w:val="000000"/>
                <w:lang w:eastAsia="en-GB"/>
              </w:rPr>
            </w:pPr>
          </w:p>
        </w:tc>
        <w:tc>
          <w:tcPr>
            <w:tcW w:w="0" w:type="auto"/>
            <w:tcBorders>
              <w:top w:val="nil"/>
              <w:left w:val="nil"/>
              <w:bottom w:val="nil"/>
              <w:right w:val="nil"/>
            </w:tcBorders>
            <w:shd w:val="clear" w:color="auto" w:fill="auto"/>
            <w:noWrap/>
            <w:vAlign w:val="bottom"/>
            <w:hideMark/>
          </w:tcPr>
          <w:p w14:paraId="3505B156" w14:textId="77777777" w:rsidR="001E2C20" w:rsidRPr="007F79B9" w:rsidRDefault="001E2C20" w:rsidP="00312157">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36710DAE"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(0.1069)</w:t>
            </w:r>
          </w:p>
        </w:tc>
        <w:tc>
          <w:tcPr>
            <w:tcW w:w="0" w:type="auto"/>
            <w:tcBorders>
              <w:top w:val="nil"/>
              <w:left w:val="nil"/>
              <w:bottom w:val="nil"/>
              <w:right w:val="nil"/>
            </w:tcBorders>
            <w:shd w:val="clear" w:color="auto" w:fill="auto"/>
            <w:noWrap/>
            <w:vAlign w:val="bottom"/>
            <w:hideMark/>
          </w:tcPr>
          <w:p w14:paraId="2A269318"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(0.0678)</w:t>
            </w:r>
          </w:p>
        </w:tc>
        <w:tc>
          <w:tcPr>
            <w:tcW w:w="0" w:type="auto"/>
            <w:tcBorders>
              <w:top w:val="nil"/>
              <w:left w:val="nil"/>
              <w:bottom w:val="nil"/>
              <w:right w:val="nil"/>
            </w:tcBorders>
            <w:shd w:val="clear" w:color="auto" w:fill="auto"/>
            <w:noWrap/>
            <w:vAlign w:val="bottom"/>
            <w:hideMark/>
          </w:tcPr>
          <w:p w14:paraId="24E5D31E" w14:textId="77777777" w:rsidR="001E2C20" w:rsidRPr="007F79B9" w:rsidRDefault="001E2C20" w:rsidP="00DF3150">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1FE0DFBF"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(0.2008)</w:t>
            </w:r>
          </w:p>
        </w:tc>
        <w:tc>
          <w:tcPr>
            <w:tcW w:w="0" w:type="auto"/>
            <w:tcBorders>
              <w:top w:val="nil"/>
              <w:left w:val="nil"/>
              <w:bottom w:val="nil"/>
              <w:right w:val="nil"/>
            </w:tcBorders>
            <w:shd w:val="clear" w:color="auto" w:fill="auto"/>
            <w:noWrap/>
            <w:vAlign w:val="bottom"/>
            <w:hideMark/>
          </w:tcPr>
          <w:p w14:paraId="10F45E8F"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(0.0651)</w:t>
            </w:r>
          </w:p>
        </w:tc>
        <w:tc>
          <w:tcPr>
            <w:tcW w:w="0" w:type="auto"/>
            <w:tcBorders>
              <w:top w:val="nil"/>
              <w:left w:val="nil"/>
              <w:bottom w:val="nil"/>
              <w:right w:val="nil"/>
            </w:tcBorders>
            <w:shd w:val="clear" w:color="auto" w:fill="auto"/>
            <w:noWrap/>
            <w:vAlign w:val="bottom"/>
            <w:hideMark/>
          </w:tcPr>
          <w:p w14:paraId="09DC41F5"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(0.0520)</w:t>
            </w:r>
          </w:p>
        </w:tc>
      </w:tr>
      <w:tr w:rsidR="001E2C20" w:rsidRPr="007F79B9" w14:paraId="142315FD" w14:textId="77777777" w:rsidTr="00312157">
        <w:trPr>
          <w:trHeight w:val="300"/>
          <w:jc w:val="center"/>
        </w:trPr>
        <w:tc>
          <w:tcPr>
            <w:tcW w:w="0" w:type="auto"/>
            <w:tcBorders>
              <w:top w:val="nil"/>
              <w:left w:val="nil"/>
              <w:right w:val="nil"/>
            </w:tcBorders>
            <w:shd w:val="clear" w:color="auto" w:fill="auto"/>
            <w:noWrap/>
            <w:vAlign w:val="bottom"/>
            <w:hideMark/>
          </w:tcPr>
          <w:p w14:paraId="2DC2E870" w14:textId="77777777" w:rsidR="001E2C20" w:rsidRPr="007F79B9" w:rsidRDefault="001E2C20" w:rsidP="00312157">
            <w:pPr>
              <w:spacing w:after="0" w:line="240" w:lineRule="auto"/>
              <w:rPr>
                <w:rFonts w:ascii="Calibri" w:eastAsia="Times New Roman" w:hAnsi="Calibri" w:cs="Times New Roman"/>
                <w:b/>
                <w:color w:val="000000"/>
                <w:lang w:eastAsia="en-GB"/>
              </w:rPr>
            </w:pPr>
          </w:p>
        </w:tc>
        <w:tc>
          <w:tcPr>
            <w:tcW w:w="0" w:type="auto"/>
            <w:tcBorders>
              <w:top w:val="nil"/>
              <w:left w:val="nil"/>
              <w:right w:val="nil"/>
            </w:tcBorders>
            <w:shd w:val="clear" w:color="auto" w:fill="auto"/>
            <w:noWrap/>
            <w:vAlign w:val="bottom"/>
            <w:hideMark/>
          </w:tcPr>
          <w:p w14:paraId="295BE9EE" w14:textId="77777777" w:rsidR="001E2C20" w:rsidRPr="007F79B9" w:rsidRDefault="008706FB" w:rsidP="00312157">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yunif</w:t>
            </w:r>
          </w:p>
        </w:tc>
        <w:tc>
          <w:tcPr>
            <w:tcW w:w="0" w:type="auto"/>
            <w:tcBorders>
              <w:top w:val="nil"/>
              <w:left w:val="nil"/>
              <w:right w:val="nil"/>
            </w:tcBorders>
            <w:shd w:val="clear" w:color="auto" w:fill="auto"/>
            <w:noWrap/>
            <w:vAlign w:val="bottom"/>
            <w:hideMark/>
          </w:tcPr>
          <w:p w14:paraId="462A0FC0"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0.0151</w:t>
            </w:r>
          </w:p>
        </w:tc>
        <w:tc>
          <w:tcPr>
            <w:tcW w:w="0" w:type="auto"/>
            <w:tcBorders>
              <w:top w:val="nil"/>
              <w:left w:val="nil"/>
              <w:right w:val="nil"/>
            </w:tcBorders>
            <w:shd w:val="clear" w:color="auto" w:fill="auto"/>
            <w:noWrap/>
            <w:vAlign w:val="bottom"/>
            <w:hideMark/>
          </w:tcPr>
          <w:p w14:paraId="56AB0CBE"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0.0770</w:t>
            </w:r>
          </w:p>
        </w:tc>
        <w:tc>
          <w:tcPr>
            <w:tcW w:w="0" w:type="auto"/>
            <w:tcBorders>
              <w:top w:val="nil"/>
              <w:left w:val="nil"/>
              <w:right w:val="nil"/>
            </w:tcBorders>
            <w:shd w:val="clear" w:color="auto" w:fill="auto"/>
            <w:noWrap/>
            <w:vAlign w:val="bottom"/>
            <w:hideMark/>
          </w:tcPr>
          <w:p w14:paraId="7B14C69D" w14:textId="77777777" w:rsidR="001E2C20" w:rsidRPr="007F79B9" w:rsidRDefault="001E2C20" w:rsidP="00DF3150">
            <w:pPr>
              <w:spacing w:after="0" w:line="240" w:lineRule="auto"/>
              <w:rPr>
                <w:rFonts w:ascii="Calibri" w:eastAsia="Times New Roman" w:hAnsi="Calibri" w:cs="Times New Roman"/>
                <w:color w:val="000000"/>
                <w:lang w:eastAsia="en-GB"/>
              </w:rPr>
            </w:pPr>
          </w:p>
        </w:tc>
        <w:tc>
          <w:tcPr>
            <w:tcW w:w="0" w:type="auto"/>
            <w:tcBorders>
              <w:top w:val="nil"/>
              <w:left w:val="nil"/>
              <w:right w:val="nil"/>
            </w:tcBorders>
            <w:shd w:val="clear" w:color="auto" w:fill="auto"/>
            <w:noWrap/>
            <w:vAlign w:val="bottom"/>
            <w:hideMark/>
          </w:tcPr>
          <w:p w14:paraId="67145CF5"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0.0278</w:t>
            </w:r>
          </w:p>
        </w:tc>
        <w:tc>
          <w:tcPr>
            <w:tcW w:w="0" w:type="auto"/>
            <w:tcBorders>
              <w:top w:val="nil"/>
              <w:left w:val="nil"/>
              <w:right w:val="nil"/>
            </w:tcBorders>
            <w:shd w:val="clear" w:color="auto" w:fill="auto"/>
            <w:noWrap/>
            <w:vAlign w:val="bottom"/>
            <w:hideMark/>
          </w:tcPr>
          <w:p w14:paraId="133F20D0"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0.0771</w:t>
            </w:r>
          </w:p>
        </w:tc>
        <w:tc>
          <w:tcPr>
            <w:tcW w:w="0" w:type="auto"/>
            <w:tcBorders>
              <w:top w:val="nil"/>
              <w:left w:val="nil"/>
              <w:right w:val="nil"/>
            </w:tcBorders>
            <w:shd w:val="clear" w:color="auto" w:fill="auto"/>
            <w:noWrap/>
            <w:vAlign w:val="bottom"/>
            <w:hideMark/>
          </w:tcPr>
          <w:p w14:paraId="77DA7E10"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0.8785***</w:t>
            </w:r>
          </w:p>
        </w:tc>
      </w:tr>
      <w:tr w:rsidR="001E2C20" w:rsidRPr="007F79B9" w14:paraId="39C1C2D6" w14:textId="77777777" w:rsidTr="00312157">
        <w:trPr>
          <w:trHeight w:val="300"/>
          <w:jc w:val="center"/>
        </w:trPr>
        <w:tc>
          <w:tcPr>
            <w:tcW w:w="0" w:type="auto"/>
            <w:tcBorders>
              <w:top w:val="nil"/>
              <w:left w:val="nil"/>
              <w:bottom w:val="single" w:sz="4" w:space="0" w:color="auto"/>
              <w:right w:val="nil"/>
            </w:tcBorders>
            <w:shd w:val="clear" w:color="auto" w:fill="auto"/>
            <w:noWrap/>
            <w:vAlign w:val="bottom"/>
            <w:hideMark/>
          </w:tcPr>
          <w:p w14:paraId="210F4D39" w14:textId="77777777" w:rsidR="001E2C20" w:rsidRPr="007F79B9" w:rsidRDefault="001E2C20" w:rsidP="00312157">
            <w:pPr>
              <w:spacing w:after="0" w:line="240" w:lineRule="auto"/>
              <w:rPr>
                <w:rFonts w:ascii="Calibri" w:eastAsia="Times New Roman" w:hAnsi="Calibri" w:cs="Times New Roman"/>
                <w:b/>
                <w:color w:val="000000"/>
                <w:lang w:eastAsia="en-GB"/>
              </w:rPr>
            </w:pPr>
          </w:p>
        </w:tc>
        <w:tc>
          <w:tcPr>
            <w:tcW w:w="0" w:type="auto"/>
            <w:tcBorders>
              <w:top w:val="nil"/>
              <w:left w:val="nil"/>
              <w:bottom w:val="single" w:sz="4" w:space="0" w:color="auto"/>
              <w:right w:val="nil"/>
            </w:tcBorders>
            <w:shd w:val="clear" w:color="auto" w:fill="auto"/>
            <w:noWrap/>
            <w:vAlign w:val="bottom"/>
            <w:hideMark/>
          </w:tcPr>
          <w:p w14:paraId="63125407" w14:textId="77777777" w:rsidR="001E2C20" w:rsidRPr="007F79B9" w:rsidRDefault="001E2C20" w:rsidP="00312157">
            <w:pPr>
              <w:spacing w:after="0" w:line="240" w:lineRule="auto"/>
              <w:rPr>
                <w:rFonts w:ascii="Calibri" w:eastAsia="Times New Roman" w:hAnsi="Calibri" w:cs="Times New Roman"/>
                <w:color w:val="000000"/>
                <w:lang w:eastAsia="en-GB"/>
              </w:rPr>
            </w:pPr>
          </w:p>
        </w:tc>
        <w:tc>
          <w:tcPr>
            <w:tcW w:w="0" w:type="auto"/>
            <w:tcBorders>
              <w:top w:val="nil"/>
              <w:left w:val="nil"/>
              <w:bottom w:val="single" w:sz="4" w:space="0" w:color="auto"/>
              <w:right w:val="nil"/>
            </w:tcBorders>
            <w:shd w:val="clear" w:color="auto" w:fill="auto"/>
            <w:noWrap/>
            <w:vAlign w:val="bottom"/>
            <w:hideMark/>
          </w:tcPr>
          <w:p w14:paraId="512E85F4"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(0.1056)</w:t>
            </w:r>
          </w:p>
        </w:tc>
        <w:tc>
          <w:tcPr>
            <w:tcW w:w="0" w:type="auto"/>
            <w:tcBorders>
              <w:top w:val="nil"/>
              <w:left w:val="nil"/>
              <w:bottom w:val="single" w:sz="4" w:space="0" w:color="auto"/>
              <w:right w:val="nil"/>
            </w:tcBorders>
            <w:shd w:val="clear" w:color="auto" w:fill="auto"/>
            <w:noWrap/>
            <w:vAlign w:val="bottom"/>
            <w:hideMark/>
          </w:tcPr>
          <w:p w14:paraId="00D5D3B0"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(0.0405)</w:t>
            </w:r>
          </w:p>
        </w:tc>
        <w:tc>
          <w:tcPr>
            <w:tcW w:w="0" w:type="auto"/>
            <w:tcBorders>
              <w:top w:val="nil"/>
              <w:left w:val="nil"/>
              <w:bottom w:val="single" w:sz="4" w:space="0" w:color="auto"/>
              <w:right w:val="nil"/>
            </w:tcBorders>
            <w:shd w:val="clear" w:color="auto" w:fill="auto"/>
            <w:noWrap/>
            <w:vAlign w:val="bottom"/>
            <w:hideMark/>
          </w:tcPr>
          <w:p w14:paraId="2626A596" w14:textId="77777777" w:rsidR="001E2C20" w:rsidRPr="007F79B9" w:rsidRDefault="001E2C20" w:rsidP="00DF3150">
            <w:pPr>
              <w:spacing w:after="0" w:line="240" w:lineRule="auto"/>
              <w:rPr>
                <w:rFonts w:ascii="Calibri" w:eastAsia="Times New Roman" w:hAnsi="Calibri" w:cs="Times New Roman"/>
                <w:color w:val="000000"/>
                <w:lang w:eastAsia="en-GB"/>
              </w:rPr>
            </w:pPr>
          </w:p>
        </w:tc>
        <w:tc>
          <w:tcPr>
            <w:tcW w:w="0" w:type="auto"/>
            <w:tcBorders>
              <w:top w:val="nil"/>
              <w:left w:val="nil"/>
              <w:bottom w:val="single" w:sz="4" w:space="0" w:color="auto"/>
              <w:right w:val="nil"/>
            </w:tcBorders>
            <w:shd w:val="clear" w:color="auto" w:fill="auto"/>
            <w:noWrap/>
            <w:vAlign w:val="bottom"/>
            <w:hideMark/>
          </w:tcPr>
          <w:p w14:paraId="33AB2A22"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(0.2056)</w:t>
            </w:r>
          </w:p>
        </w:tc>
        <w:tc>
          <w:tcPr>
            <w:tcW w:w="0" w:type="auto"/>
            <w:tcBorders>
              <w:top w:val="nil"/>
              <w:left w:val="nil"/>
              <w:bottom w:val="single" w:sz="4" w:space="0" w:color="auto"/>
              <w:right w:val="nil"/>
            </w:tcBorders>
            <w:shd w:val="clear" w:color="auto" w:fill="auto"/>
            <w:noWrap/>
            <w:vAlign w:val="bottom"/>
            <w:hideMark/>
          </w:tcPr>
          <w:p w14:paraId="487C39FF"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(0.0477)</w:t>
            </w:r>
          </w:p>
        </w:tc>
        <w:tc>
          <w:tcPr>
            <w:tcW w:w="0" w:type="auto"/>
            <w:tcBorders>
              <w:top w:val="nil"/>
              <w:left w:val="nil"/>
              <w:bottom w:val="single" w:sz="4" w:space="0" w:color="auto"/>
              <w:right w:val="nil"/>
            </w:tcBorders>
            <w:shd w:val="clear" w:color="auto" w:fill="auto"/>
            <w:noWrap/>
            <w:vAlign w:val="bottom"/>
            <w:hideMark/>
          </w:tcPr>
          <w:p w14:paraId="60C9D373" w14:textId="77777777" w:rsidR="001E2C20" w:rsidRPr="007F79B9" w:rsidRDefault="008706FB" w:rsidP="001E2C2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(0.0369)</w:t>
            </w:r>
          </w:p>
        </w:tc>
      </w:tr>
      <w:tr w:rsidR="00A6208E" w:rsidRPr="007F79B9" w14:paraId="53143503" w14:textId="77777777" w:rsidTr="00312157">
        <w:trPr>
          <w:trHeight w:val="300"/>
          <w:jc w:val="center"/>
        </w:trPr>
        <w:tc>
          <w:tcPr>
            <w:tcW w:w="0" w:type="auto"/>
            <w:tcBorders>
              <w:top w:val="single" w:sz="4" w:space="0" w:color="auto"/>
              <w:left w:val="nil"/>
              <w:bottom w:val="nil"/>
              <w:right w:val="nil"/>
            </w:tcBorders>
            <w:shd w:val="clear" w:color="auto" w:fill="auto"/>
            <w:noWrap/>
            <w:vAlign w:val="bottom"/>
            <w:hideMark/>
          </w:tcPr>
          <w:p w14:paraId="595C6056" w14:textId="77777777" w:rsidR="00A6208E" w:rsidRPr="007F79B9" w:rsidRDefault="008706FB" w:rsidP="00312157">
            <w:pPr>
              <w:spacing w:after="0" w:line="240" w:lineRule="auto"/>
              <w:rPr>
                <w:rFonts w:ascii="Calibri" w:eastAsia="Times New Roman" w:hAnsi="Calibri" w:cs="Times New Roman"/>
                <w:b/>
                <w:color w:val="000000"/>
                <w:lang w:eastAsia="en-GB"/>
              </w:rPr>
            </w:pPr>
            <w:r w:rsidRPr="008706FB">
              <w:rPr>
                <w:rFonts w:ascii="Calibri" w:eastAsia="Times New Roman" w:hAnsi="Calibri" w:cs="Times New Roman"/>
                <w:b/>
                <w:color w:val="000000"/>
                <w:lang w:eastAsia="en-GB"/>
              </w:rPr>
              <w:t>China</w:t>
            </w:r>
          </w:p>
        </w:tc>
        <w:tc>
          <w:tcPr>
            <w:tcW w:w="0" w:type="auto"/>
            <w:tcBorders>
              <w:top w:val="single" w:sz="4" w:space="0" w:color="auto"/>
              <w:left w:val="nil"/>
              <w:bottom w:val="nil"/>
              <w:right w:val="nil"/>
            </w:tcBorders>
            <w:shd w:val="clear" w:color="auto" w:fill="auto"/>
            <w:noWrap/>
            <w:vAlign w:val="bottom"/>
            <w:hideMark/>
          </w:tcPr>
          <w:p w14:paraId="47E89FDA" w14:textId="77777777" w:rsidR="00A6208E" w:rsidRPr="007F79B9" w:rsidRDefault="008706FB" w:rsidP="00312157">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ygbr</w:t>
            </w:r>
          </w:p>
        </w:tc>
        <w:tc>
          <w:tcPr>
            <w:tcW w:w="0" w:type="auto"/>
            <w:gridSpan w:val="2"/>
            <w:tcBorders>
              <w:top w:val="single" w:sz="4" w:space="0" w:color="auto"/>
              <w:left w:val="nil"/>
              <w:bottom w:val="nil"/>
              <w:right w:val="nil"/>
            </w:tcBorders>
            <w:shd w:val="clear" w:color="auto" w:fill="auto"/>
            <w:noWrap/>
            <w:vAlign w:val="bottom"/>
            <w:hideMark/>
          </w:tcPr>
          <w:p w14:paraId="42495B84" w14:textId="77777777" w:rsidR="00A6208E" w:rsidRPr="007F79B9" w:rsidRDefault="008706FB" w:rsidP="00A6208E">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0.9883***</w:t>
            </w:r>
          </w:p>
        </w:tc>
        <w:tc>
          <w:tcPr>
            <w:tcW w:w="0" w:type="auto"/>
            <w:tcBorders>
              <w:top w:val="single" w:sz="4" w:space="0" w:color="auto"/>
              <w:left w:val="nil"/>
              <w:bottom w:val="nil"/>
              <w:right w:val="nil"/>
            </w:tcBorders>
            <w:shd w:val="clear" w:color="auto" w:fill="auto"/>
            <w:noWrap/>
            <w:vAlign w:val="bottom"/>
            <w:hideMark/>
          </w:tcPr>
          <w:p w14:paraId="1348B152" w14:textId="77777777" w:rsidR="00A6208E" w:rsidRPr="007F79B9" w:rsidRDefault="008706FB" w:rsidP="00A6208E">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0.0092</w:t>
            </w:r>
          </w:p>
        </w:tc>
        <w:tc>
          <w:tcPr>
            <w:tcW w:w="0" w:type="auto"/>
            <w:tcBorders>
              <w:top w:val="single" w:sz="4" w:space="0" w:color="auto"/>
              <w:left w:val="nil"/>
              <w:bottom w:val="nil"/>
              <w:right w:val="nil"/>
            </w:tcBorders>
            <w:shd w:val="clear" w:color="auto" w:fill="auto"/>
            <w:noWrap/>
            <w:vAlign w:val="bottom"/>
            <w:hideMark/>
          </w:tcPr>
          <w:p w14:paraId="66C74C83" w14:textId="77777777" w:rsidR="00A6208E" w:rsidRPr="007F79B9" w:rsidRDefault="008706FB" w:rsidP="00A6208E">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-0.0091</w:t>
            </w:r>
          </w:p>
        </w:tc>
        <w:tc>
          <w:tcPr>
            <w:tcW w:w="0" w:type="auto"/>
            <w:tcBorders>
              <w:top w:val="single" w:sz="4" w:space="0" w:color="auto"/>
              <w:left w:val="nil"/>
              <w:bottom w:val="nil"/>
              <w:right w:val="nil"/>
            </w:tcBorders>
            <w:shd w:val="clear" w:color="auto" w:fill="auto"/>
            <w:noWrap/>
            <w:vAlign w:val="bottom"/>
            <w:hideMark/>
          </w:tcPr>
          <w:p w14:paraId="06CF2080" w14:textId="77777777" w:rsidR="00A6208E" w:rsidRPr="007F79B9" w:rsidRDefault="008706FB" w:rsidP="00A6208E">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0.0049</w:t>
            </w:r>
          </w:p>
        </w:tc>
        <w:tc>
          <w:tcPr>
            <w:tcW w:w="0" w:type="auto"/>
            <w:tcBorders>
              <w:top w:val="single" w:sz="4" w:space="0" w:color="auto"/>
              <w:left w:val="nil"/>
              <w:bottom w:val="nil"/>
              <w:right w:val="nil"/>
            </w:tcBorders>
            <w:shd w:val="clear" w:color="auto" w:fill="auto"/>
            <w:noWrap/>
            <w:vAlign w:val="bottom"/>
            <w:hideMark/>
          </w:tcPr>
          <w:p w14:paraId="531E78FC" w14:textId="77777777" w:rsidR="00A6208E" w:rsidRPr="007F79B9" w:rsidRDefault="00A6208E" w:rsidP="00DF3150">
            <w:pPr>
              <w:spacing w:after="0" w:line="240" w:lineRule="auto"/>
              <w:rPr>
                <w:rFonts w:ascii="Calibri" w:eastAsia="Times New Roman" w:hAnsi="Calibri" w:cs="Times New Roman"/>
                <w:color w:val="000000"/>
                <w:lang w:eastAsia="en-GB"/>
              </w:rPr>
            </w:pPr>
          </w:p>
        </w:tc>
      </w:tr>
      <w:tr w:rsidR="00A6208E" w:rsidRPr="007F79B9" w14:paraId="6BE80F95" w14:textId="77777777" w:rsidTr="00312157">
        <w:trPr>
          <w:trHeight w:val="300"/>
          <w:jc w:val="center"/>
        </w:trPr>
        <w:tc>
          <w:tcPr>
            <w:tcW w:w="0" w:type="auto"/>
            <w:tcBorders>
              <w:top w:val="nil"/>
              <w:left w:val="nil"/>
              <w:bottom w:val="nil"/>
              <w:right w:val="nil"/>
            </w:tcBorders>
            <w:shd w:val="clear" w:color="auto" w:fill="auto"/>
            <w:noWrap/>
            <w:vAlign w:val="bottom"/>
            <w:hideMark/>
          </w:tcPr>
          <w:p w14:paraId="49428948" w14:textId="77777777" w:rsidR="00A6208E" w:rsidRPr="007F79B9" w:rsidRDefault="008706FB" w:rsidP="00312157">
            <w:pPr>
              <w:spacing w:after="0" w:line="240" w:lineRule="auto"/>
              <w:rPr>
                <w:rFonts w:ascii="Calibri" w:eastAsia="Times New Roman" w:hAnsi="Calibri" w:cs="Times New Roman"/>
                <w:b/>
                <w:color w:val="000000"/>
                <w:lang w:eastAsia="en-GB"/>
              </w:rPr>
            </w:pPr>
            <w:r w:rsidRPr="008706FB">
              <w:rPr>
                <w:rFonts w:ascii="Calibri" w:eastAsia="Times New Roman" w:hAnsi="Calibri" w:cs="Times New Roman"/>
                <w:b/>
                <w:color w:val="000000"/>
                <w:lang w:eastAsia="en-GB"/>
              </w:rPr>
              <w:t>(N=515)</w:t>
            </w:r>
          </w:p>
        </w:tc>
        <w:tc>
          <w:tcPr>
            <w:tcW w:w="0" w:type="auto"/>
            <w:tcBorders>
              <w:top w:val="nil"/>
              <w:left w:val="nil"/>
              <w:bottom w:val="nil"/>
              <w:right w:val="nil"/>
            </w:tcBorders>
            <w:shd w:val="clear" w:color="auto" w:fill="auto"/>
            <w:noWrap/>
            <w:vAlign w:val="bottom"/>
            <w:hideMark/>
          </w:tcPr>
          <w:p w14:paraId="18997D27" w14:textId="77777777" w:rsidR="00A6208E" w:rsidRPr="007F79B9" w:rsidRDefault="00A6208E" w:rsidP="00312157">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53630D85" w14:textId="77777777" w:rsidR="00A6208E" w:rsidRPr="007F79B9" w:rsidRDefault="008706FB" w:rsidP="00A6208E">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(0.0308)</w:t>
            </w:r>
          </w:p>
        </w:tc>
        <w:tc>
          <w:tcPr>
            <w:tcW w:w="0" w:type="auto"/>
            <w:tcBorders>
              <w:top w:val="nil"/>
              <w:left w:val="nil"/>
              <w:bottom w:val="nil"/>
              <w:right w:val="nil"/>
            </w:tcBorders>
            <w:shd w:val="clear" w:color="auto" w:fill="auto"/>
            <w:noWrap/>
            <w:vAlign w:val="bottom"/>
            <w:hideMark/>
          </w:tcPr>
          <w:p w14:paraId="1A0A84AE" w14:textId="77777777" w:rsidR="00A6208E" w:rsidRPr="007F79B9" w:rsidRDefault="008706FB" w:rsidP="00A6208E">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(0.0093)</w:t>
            </w:r>
          </w:p>
        </w:tc>
        <w:tc>
          <w:tcPr>
            <w:tcW w:w="0" w:type="auto"/>
            <w:tcBorders>
              <w:top w:val="nil"/>
              <w:left w:val="nil"/>
              <w:bottom w:val="nil"/>
              <w:right w:val="nil"/>
            </w:tcBorders>
            <w:shd w:val="clear" w:color="auto" w:fill="auto"/>
            <w:noWrap/>
            <w:vAlign w:val="bottom"/>
            <w:hideMark/>
          </w:tcPr>
          <w:p w14:paraId="2090C721" w14:textId="77777777" w:rsidR="00A6208E" w:rsidRPr="007F79B9" w:rsidRDefault="008706FB" w:rsidP="00A6208E">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(0.0280)</w:t>
            </w:r>
          </w:p>
        </w:tc>
        <w:tc>
          <w:tcPr>
            <w:tcW w:w="0" w:type="auto"/>
            <w:tcBorders>
              <w:top w:val="nil"/>
              <w:left w:val="nil"/>
              <w:bottom w:val="nil"/>
              <w:right w:val="nil"/>
            </w:tcBorders>
            <w:shd w:val="clear" w:color="auto" w:fill="auto"/>
            <w:noWrap/>
            <w:vAlign w:val="bottom"/>
            <w:hideMark/>
          </w:tcPr>
          <w:p w14:paraId="6D33EE24" w14:textId="77777777" w:rsidR="00A6208E" w:rsidRPr="007F79B9" w:rsidRDefault="008706FB" w:rsidP="00A6208E">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(0.0378)</w:t>
            </w:r>
          </w:p>
        </w:tc>
        <w:tc>
          <w:tcPr>
            <w:tcW w:w="0" w:type="auto"/>
            <w:tcBorders>
              <w:top w:val="nil"/>
              <w:left w:val="nil"/>
              <w:bottom w:val="nil"/>
              <w:right w:val="nil"/>
            </w:tcBorders>
            <w:shd w:val="clear" w:color="auto" w:fill="auto"/>
            <w:noWrap/>
            <w:vAlign w:val="bottom"/>
            <w:hideMark/>
          </w:tcPr>
          <w:p w14:paraId="7C43BAE8" w14:textId="77777777" w:rsidR="00A6208E" w:rsidRPr="007F79B9" w:rsidRDefault="008706FB" w:rsidP="00DF315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(0.0783)</w:t>
            </w:r>
          </w:p>
        </w:tc>
        <w:tc>
          <w:tcPr>
            <w:tcW w:w="0" w:type="auto"/>
            <w:tcBorders>
              <w:top w:val="nil"/>
              <w:left w:val="nil"/>
              <w:bottom w:val="nil"/>
              <w:right w:val="nil"/>
            </w:tcBorders>
            <w:shd w:val="clear" w:color="auto" w:fill="auto"/>
            <w:noWrap/>
            <w:vAlign w:val="bottom"/>
            <w:hideMark/>
          </w:tcPr>
          <w:p w14:paraId="4D6662C5" w14:textId="77777777" w:rsidR="00A6208E" w:rsidRPr="007F79B9" w:rsidRDefault="00A6208E" w:rsidP="00DF3150">
            <w:pPr>
              <w:spacing w:after="0" w:line="240" w:lineRule="auto"/>
              <w:rPr>
                <w:rFonts w:ascii="Calibri" w:eastAsia="Times New Roman" w:hAnsi="Calibri" w:cs="Times New Roman"/>
                <w:color w:val="000000"/>
                <w:lang w:eastAsia="en-GB"/>
              </w:rPr>
            </w:pPr>
          </w:p>
        </w:tc>
      </w:tr>
      <w:tr w:rsidR="00A6208E" w:rsidRPr="007F79B9" w14:paraId="2BA20035" w14:textId="77777777" w:rsidTr="00312157">
        <w:trPr>
          <w:trHeight w:val="300"/>
          <w:jc w:val="center"/>
        </w:trPr>
        <w:tc>
          <w:tcPr>
            <w:tcW w:w="0" w:type="auto"/>
            <w:tcBorders>
              <w:top w:val="nil"/>
              <w:left w:val="nil"/>
              <w:bottom w:val="nil"/>
              <w:right w:val="nil"/>
            </w:tcBorders>
            <w:shd w:val="clear" w:color="auto" w:fill="auto"/>
            <w:noWrap/>
            <w:vAlign w:val="bottom"/>
            <w:hideMark/>
          </w:tcPr>
          <w:p w14:paraId="40AAB62C" w14:textId="77777777" w:rsidR="00A6208E" w:rsidRPr="007F79B9" w:rsidRDefault="00A6208E" w:rsidP="00312157">
            <w:pPr>
              <w:spacing w:after="0" w:line="240" w:lineRule="auto"/>
              <w:rPr>
                <w:rFonts w:ascii="Calibri" w:eastAsia="Times New Roman" w:hAnsi="Calibri" w:cs="Times New Roman"/>
                <w:b/>
                <w:color w:val="000000"/>
                <w:lang w:eastAsia="en-GB"/>
              </w:rPr>
            </w:pPr>
          </w:p>
        </w:tc>
        <w:tc>
          <w:tcPr>
            <w:tcW w:w="0" w:type="auto"/>
            <w:tcBorders>
              <w:top w:val="nil"/>
              <w:left w:val="nil"/>
              <w:bottom w:val="nil"/>
              <w:right w:val="nil"/>
            </w:tcBorders>
            <w:shd w:val="clear" w:color="auto" w:fill="auto"/>
            <w:noWrap/>
            <w:vAlign w:val="bottom"/>
            <w:hideMark/>
          </w:tcPr>
          <w:p w14:paraId="701B9750" w14:textId="77777777" w:rsidR="00A6208E" w:rsidRPr="007F79B9" w:rsidRDefault="008706FB" w:rsidP="00312157">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yrus</w:t>
            </w:r>
          </w:p>
        </w:tc>
        <w:tc>
          <w:tcPr>
            <w:tcW w:w="0" w:type="auto"/>
            <w:tcBorders>
              <w:top w:val="nil"/>
              <w:left w:val="nil"/>
              <w:bottom w:val="nil"/>
              <w:right w:val="nil"/>
            </w:tcBorders>
            <w:shd w:val="clear" w:color="auto" w:fill="auto"/>
            <w:noWrap/>
            <w:vAlign w:val="bottom"/>
            <w:hideMark/>
          </w:tcPr>
          <w:p w14:paraId="6D88D664" w14:textId="77777777" w:rsidR="00A6208E" w:rsidRPr="007F79B9" w:rsidRDefault="008706FB" w:rsidP="00A6208E">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-0.0564</w:t>
            </w:r>
          </w:p>
        </w:tc>
        <w:tc>
          <w:tcPr>
            <w:tcW w:w="0" w:type="auto"/>
            <w:tcBorders>
              <w:top w:val="nil"/>
              <w:left w:val="nil"/>
              <w:bottom w:val="nil"/>
              <w:right w:val="nil"/>
            </w:tcBorders>
            <w:shd w:val="clear" w:color="auto" w:fill="auto"/>
            <w:noWrap/>
            <w:vAlign w:val="bottom"/>
            <w:hideMark/>
          </w:tcPr>
          <w:p w14:paraId="35959DC2" w14:textId="77777777" w:rsidR="00A6208E" w:rsidRPr="007F79B9" w:rsidRDefault="008706FB" w:rsidP="00A6208E">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0.9777***</w:t>
            </w:r>
          </w:p>
        </w:tc>
        <w:tc>
          <w:tcPr>
            <w:tcW w:w="0" w:type="auto"/>
            <w:tcBorders>
              <w:top w:val="nil"/>
              <w:left w:val="nil"/>
              <w:bottom w:val="nil"/>
              <w:right w:val="nil"/>
            </w:tcBorders>
            <w:shd w:val="clear" w:color="auto" w:fill="auto"/>
            <w:noWrap/>
            <w:vAlign w:val="bottom"/>
            <w:hideMark/>
          </w:tcPr>
          <w:p w14:paraId="47D1F6D0" w14:textId="77777777" w:rsidR="00A6208E" w:rsidRPr="007F79B9" w:rsidRDefault="008706FB" w:rsidP="00A6208E">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0.0753</w:t>
            </w:r>
          </w:p>
        </w:tc>
        <w:tc>
          <w:tcPr>
            <w:tcW w:w="0" w:type="auto"/>
            <w:tcBorders>
              <w:top w:val="nil"/>
              <w:left w:val="nil"/>
              <w:bottom w:val="nil"/>
              <w:right w:val="nil"/>
            </w:tcBorders>
            <w:shd w:val="clear" w:color="auto" w:fill="auto"/>
            <w:noWrap/>
            <w:vAlign w:val="bottom"/>
            <w:hideMark/>
          </w:tcPr>
          <w:p w14:paraId="5CF67382" w14:textId="77777777" w:rsidR="00A6208E" w:rsidRPr="007F79B9" w:rsidRDefault="008706FB" w:rsidP="00A6208E">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-0.0084</w:t>
            </w:r>
          </w:p>
        </w:tc>
        <w:tc>
          <w:tcPr>
            <w:tcW w:w="0" w:type="auto"/>
            <w:tcBorders>
              <w:top w:val="nil"/>
              <w:left w:val="nil"/>
              <w:bottom w:val="nil"/>
              <w:right w:val="nil"/>
            </w:tcBorders>
            <w:shd w:val="clear" w:color="auto" w:fill="auto"/>
            <w:noWrap/>
            <w:vAlign w:val="bottom"/>
            <w:hideMark/>
          </w:tcPr>
          <w:p w14:paraId="75BA3C48" w14:textId="77777777" w:rsidR="00A6208E" w:rsidRPr="007F79B9" w:rsidRDefault="008706FB" w:rsidP="00DF315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-0.0147</w:t>
            </w:r>
          </w:p>
        </w:tc>
        <w:tc>
          <w:tcPr>
            <w:tcW w:w="0" w:type="auto"/>
            <w:tcBorders>
              <w:top w:val="nil"/>
              <w:left w:val="nil"/>
              <w:bottom w:val="nil"/>
              <w:right w:val="nil"/>
            </w:tcBorders>
            <w:shd w:val="clear" w:color="auto" w:fill="auto"/>
            <w:noWrap/>
            <w:vAlign w:val="bottom"/>
            <w:hideMark/>
          </w:tcPr>
          <w:p w14:paraId="04A7923E" w14:textId="77777777" w:rsidR="00A6208E" w:rsidRPr="007F79B9" w:rsidRDefault="00A6208E" w:rsidP="00DF3150">
            <w:pPr>
              <w:spacing w:after="0" w:line="240" w:lineRule="auto"/>
              <w:rPr>
                <w:rFonts w:ascii="Calibri" w:eastAsia="Times New Roman" w:hAnsi="Calibri" w:cs="Times New Roman"/>
                <w:color w:val="000000"/>
                <w:lang w:eastAsia="en-GB"/>
              </w:rPr>
            </w:pPr>
          </w:p>
        </w:tc>
      </w:tr>
      <w:tr w:rsidR="00A6208E" w:rsidRPr="007F79B9" w14:paraId="3CCF27EB" w14:textId="77777777" w:rsidTr="00312157">
        <w:trPr>
          <w:trHeight w:val="300"/>
          <w:jc w:val="center"/>
        </w:trPr>
        <w:tc>
          <w:tcPr>
            <w:tcW w:w="0" w:type="auto"/>
            <w:tcBorders>
              <w:top w:val="nil"/>
              <w:left w:val="nil"/>
              <w:bottom w:val="nil"/>
              <w:right w:val="nil"/>
            </w:tcBorders>
            <w:shd w:val="clear" w:color="auto" w:fill="auto"/>
            <w:noWrap/>
            <w:vAlign w:val="bottom"/>
            <w:hideMark/>
          </w:tcPr>
          <w:p w14:paraId="00EEC720" w14:textId="77777777" w:rsidR="00A6208E" w:rsidRPr="007F79B9" w:rsidRDefault="00A6208E" w:rsidP="00312157">
            <w:pPr>
              <w:spacing w:after="0" w:line="240" w:lineRule="auto"/>
              <w:rPr>
                <w:rFonts w:ascii="Calibri" w:eastAsia="Times New Roman" w:hAnsi="Calibri" w:cs="Times New Roman"/>
                <w:b/>
                <w:color w:val="000000"/>
                <w:lang w:eastAsia="en-GB"/>
              </w:rPr>
            </w:pPr>
          </w:p>
        </w:tc>
        <w:tc>
          <w:tcPr>
            <w:tcW w:w="0" w:type="auto"/>
            <w:tcBorders>
              <w:top w:val="nil"/>
              <w:left w:val="nil"/>
              <w:bottom w:val="nil"/>
              <w:right w:val="nil"/>
            </w:tcBorders>
            <w:shd w:val="clear" w:color="auto" w:fill="auto"/>
            <w:noWrap/>
            <w:vAlign w:val="bottom"/>
            <w:hideMark/>
          </w:tcPr>
          <w:p w14:paraId="6359D03E" w14:textId="77777777" w:rsidR="00A6208E" w:rsidRPr="007F79B9" w:rsidRDefault="00A6208E" w:rsidP="00312157">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0796CE84" w14:textId="77777777" w:rsidR="00A6208E" w:rsidRPr="007F79B9" w:rsidRDefault="008706FB" w:rsidP="00A6208E">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(0.0753)</w:t>
            </w:r>
          </w:p>
        </w:tc>
        <w:tc>
          <w:tcPr>
            <w:tcW w:w="0" w:type="auto"/>
            <w:tcBorders>
              <w:top w:val="nil"/>
              <w:left w:val="nil"/>
              <w:bottom w:val="nil"/>
              <w:right w:val="nil"/>
            </w:tcBorders>
            <w:shd w:val="clear" w:color="auto" w:fill="auto"/>
            <w:noWrap/>
            <w:vAlign w:val="bottom"/>
            <w:hideMark/>
          </w:tcPr>
          <w:p w14:paraId="3F7D63C9" w14:textId="77777777" w:rsidR="00A6208E" w:rsidRPr="007F79B9" w:rsidRDefault="008706FB" w:rsidP="00A6208E">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(0.0463)</w:t>
            </w:r>
          </w:p>
        </w:tc>
        <w:tc>
          <w:tcPr>
            <w:tcW w:w="0" w:type="auto"/>
            <w:tcBorders>
              <w:top w:val="nil"/>
              <w:left w:val="nil"/>
              <w:bottom w:val="nil"/>
              <w:right w:val="nil"/>
            </w:tcBorders>
            <w:shd w:val="clear" w:color="auto" w:fill="auto"/>
            <w:noWrap/>
            <w:vAlign w:val="bottom"/>
            <w:hideMark/>
          </w:tcPr>
          <w:p w14:paraId="4869FAF3" w14:textId="77777777" w:rsidR="00A6208E" w:rsidRPr="007F79B9" w:rsidRDefault="008706FB" w:rsidP="00A6208E">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(0.0568)</w:t>
            </w:r>
          </w:p>
        </w:tc>
        <w:tc>
          <w:tcPr>
            <w:tcW w:w="0" w:type="auto"/>
            <w:tcBorders>
              <w:top w:val="nil"/>
              <w:left w:val="nil"/>
              <w:bottom w:val="nil"/>
              <w:right w:val="nil"/>
            </w:tcBorders>
            <w:shd w:val="clear" w:color="auto" w:fill="auto"/>
            <w:noWrap/>
            <w:vAlign w:val="bottom"/>
            <w:hideMark/>
          </w:tcPr>
          <w:p w14:paraId="24CD0975" w14:textId="77777777" w:rsidR="00A6208E" w:rsidRPr="007F79B9" w:rsidRDefault="008706FB" w:rsidP="00A6208E">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(0.0525)</w:t>
            </w:r>
          </w:p>
        </w:tc>
        <w:tc>
          <w:tcPr>
            <w:tcW w:w="0" w:type="auto"/>
            <w:tcBorders>
              <w:top w:val="nil"/>
              <w:left w:val="nil"/>
              <w:bottom w:val="nil"/>
              <w:right w:val="nil"/>
            </w:tcBorders>
            <w:shd w:val="clear" w:color="auto" w:fill="auto"/>
            <w:noWrap/>
            <w:vAlign w:val="bottom"/>
            <w:hideMark/>
          </w:tcPr>
          <w:p w14:paraId="68F0846D" w14:textId="77777777" w:rsidR="00A6208E" w:rsidRPr="007F79B9" w:rsidRDefault="008706FB" w:rsidP="00DF315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(0.1694)</w:t>
            </w:r>
          </w:p>
        </w:tc>
        <w:tc>
          <w:tcPr>
            <w:tcW w:w="0" w:type="auto"/>
            <w:tcBorders>
              <w:top w:val="nil"/>
              <w:left w:val="nil"/>
              <w:bottom w:val="nil"/>
              <w:right w:val="nil"/>
            </w:tcBorders>
            <w:shd w:val="clear" w:color="auto" w:fill="auto"/>
            <w:noWrap/>
            <w:vAlign w:val="bottom"/>
            <w:hideMark/>
          </w:tcPr>
          <w:p w14:paraId="6E1528E7" w14:textId="77777777" w:rsidR="00A6208E" w:rsidRPr="007F79B9" w:rsidRDefault="00A6208E" w:rsidP="00DF3150">
            <w:pPr>
              <w:spacing w:after="0" w:line="240" w:lineRule="auto"/>
              <w:rPr>
                <w:rFonts w:ascii="Calibri" w:eastAsia="Times New Roman" w:hAnsi="Calibri" w:cs="Times New Roman"/>
                <w:color w:val="000000"/>
                <w:lang w:eastAsia="en-GB"/>
              </w:rPr>
            </w:pPr>
          </w:p>
        </w:tc>
      </w:tr>
      <w:tr w:rsidR="00A6208E" w:rsidRPr="007F79B9" w14:paraId="7B2AEA44" w14:textId="77777777" w:rsidTr="00312157">
        <w:trPr>
          <w:trHeight w:val="300"/>
          <w:jc w:val="center"/>
        </w:trPr>
        <w:tc>
          <w:tcPr>
            <w:tcW w:w="0" w:type="auto"/>
            <w:tcBorders>
              <w:top w:val="nil"/>
              <w:left w:val="nil"/>
              <w:bottom w:val="nil"/>
              <w:right w:val="nil"/>
            </w:tcBorders>
            <w:shd w:val="clear" w:color="auto" w:fill="auto"/>
            <w:noWrap/>
            <w:vAlign w:val="bottom"/>
            <w:hideMark/>
          </w:tcPr>
          <w:p w14:paraId="723B41E7" w14:textId="77777777" w:rsidR="00A6208E" w:rsidRPr="007F79B9" w:rsidRDefault="00A6208E" w:rsidP="00312157">
            <w:pPr>
              <w:spacing w:after="0" w:line="240" w:lineRule="auto"/>
              <w:rPr>
                <w:rFonts w:ascii="Calibri" w:eastAsia="Times New Roman" w:hAnsi="Calibri" w:cs="Times New Roman"/>
                <w:b/>
                <w:color w:val="000000"/>
                <w:lang w:eastAsia="en-GB"/>
              </w:rPr>
            </w:pPr>
          </w:p>
        </w:tc>
        <w:tc>
          <w:tcPr>
            <w:tcW w:w="0" w:type="auto"/>
            <w:tcBorders>
              <w:top w:val="nil"/>
              <w:left w:val="nil"/>
              <w:bottom w:val="nil"/>
              <w:right w:val="nil"/>
            </w:tcBorders>
            <w:shd w:val="clear" w:color="auto" w:fill="auto"/>
            <w:noWrap/>
            <w:vAlign w:val="bottom"/>
            <w:hideMark/>
          </w:tcPr>
          <w:p w14:paraId="665C2B75" w14:textId="77777777" w:rsidR="00A6208E" w:rsidRPr="007F79B9" w:rsidRDefault="008706FB" w:rsidP="00312157">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y1895</w:t>
            </w:r>
          </w:p>
        </w:tc>
        <w:tc>
          <w:tcPr>
            <w:tcW w:w="0" w:type="auto"/>
            <w:tcBorders>
              <w:top w:val="nil"/>
              <w:left w:val="nil"/>
              <w:bottom w:val="nil"/>
              <w:right w:val="nil"/>
            </w:tcBorders>
            <w:shd w:val="clear" w:color="auto" w:fill="auto"/>
            <w:noWrap/>
            <w:vAlign w:val="bottom"/>
            <w:hideMark/>
          </w:tcPr>
          <w:p w14:paraId="78FC211C" w14:textId="77777777" w:rsidR="00A6208E" w:rsidRPr="007F79B9" w:rsidRDefault="008706FB" w:rsidP="00A6208E">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0.0948</w:t>
            </w:r>
          </w:p>
        </w:tc>
        <w:tc>
          <w:tcPr>
            <w:tcW w:w="0" w:type="auto"/>
            <w:tcBorders>
              <w:top w:val="nil"/>
              <w:left w:val="nil"/>
              <w:bottom w:val="nil"/>
              <w:right w:val="nil"/>
            </w:tcBorders>
            <w:shd w:val="clear" w:color="auto" w:fill="auto"/>
            <w:noWrap/>
            <w:vAlign w:val="bottom"/>
            <w:hideMark/>
          </w:tcPr>
          <w:p w14:paraId="7B8F27CE" w14:textId="77777777" w:rsidR="00A6208E" w:rsidRPr="007F79B9" w:rsidRDefault="008706FB" w:rsidP="00A6208E">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0.0357*</w:t>
            </w:r>
          </w:p>
        </w:tc>
        <w:tc>
          <w:tcPr>
            <w:tcW w:w="0" w:type="auto"/>
            <w:tcBorders>
              <w:top w:val="nil"/>
              <w:left w:val="nil"/>
              <w:bottom w:val="nil"/>
              <w:right w:val="nil"/>
            </w:tcBorders>
            <w:shd w:val="clear" w:color="auto" w:fill="auto"/>
            <w:noWrap/>
            <w:vAlign w:val="bottom"/>
            <w:hideMark/>
          </w:tcPr>
          <w:p w14:paraId="3DF6F4C2" w14:textId="77777777" w:rsidR="00A6208E" w:rsidRPr="007F79B9" w:rsidRDefault="008706FB" w:rsidP="00A6208E">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0.8141***</w:t>
            </w:r>
          </w:p>
        </w:tc>
        <w:tc>
          <w:tcPr>
            <w:tcW w:w="0" w:type="auto"/>
            <w:tcBorders>
              <w:top w:val="nil"/>
              <w:left w:val="nil"/>
              <w:bottom w:val="nil"/>
              <w:right w:val="nil"/>
            </w:tcBorders>
            <w:shd w:val="clear" w:color="auto" w:fill="auto"/>
            <w:noWrap/>
            <w:vAlign w:val="bottom"/>
            <w:hideMark/>
          </w:tcPr>
          <w:p w14:paraId="4618981C" w14:textId="77777777" w:rsidR="00A6208E" w:rsidRPr="007F79B9" w:rsidRDefault="008706FB" w:rsidP="00A6208E">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0.0511</w:t>
            </w:r>
          </w:p>
        </w:tc>
        <w:tc>
          <w:tcPr>
            <w:tcW w:w="0" w:type="auto"/>
            <w:tcBorders>
              <w:top w:val="nil"/>
              <w:left w:val="nil"/>
              <w:bottom w:val="nil"/>
              <w:right w:val="nil"/>
            </w:tcBorders>
            <w:shd w:val="clear" w:color="auto" w:fill="auto"/>
            <w:noWrap/>
            <w:vAlign w:val="bottom"/>
            <w:hideMark/>
          </w:tcPr>
          <w:p w14:paraId="389037A6" w14:textId="77777777" w:rsidR="00A6208E" w:rsidRPr="007F79B9" w:rsidRDefault="008706FB" w:rsidP="00DF315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0.1298*</w:t>
            </w:r>
          </w:p>
        </w:tc>
        <w:tc>
          <w:tcPr>
            <w:tcW w:w="0" w:type="auto"/>
            <w:tcBorders>
              <w:top w:val="nil"/>
              <w:left w:val="nil"/>
              <w:bottom w:val="nil"/>
              <w:right w:val="nil"/>
            </w:tcBorders>
            <w:shd w:val="clear" w:color="auto" w:fill="auto"/>
            <w:noWrap/>
            <w:vAlign w:val="bottom"/>
            <w:hideMark/>
          </w:tcPr>
          <w:p w14:paraId="0FB3AE1B" w14:textId="77777777" w:rsidR="00A6208E" w:rsidRPr="007F79B9" w:rsidRDefault="00A6208E" w:rsidP="00DF3150">
            <w:pPr>
              <w:spacing w:after="0" w:line="240" w:lineRule="auto"/>
              <w:rPr>
                <w:rFonts w:ascii="Calibri" w:eastAsia="Times New Roman" w:hAnsi="Calibri" w:cs="Times New Roman"/>
                <w:color w:val="000000"/>
                <w:lang w:eastAsia="en-GB"/>
              </w:rPr>
            </w:pPr>
          </w:p>
        </w:tc>
      </w:tr>
      <w:tr w:rsidR="00A6208E" w:rsidRPr="007F79B9" w14:paraId="285159AB" w14:textId="77777777" w:rsidTr="00312157">
        <w:trPr>
          <w:trHeight w:val="300"/>
          <w:jc w:val="center"/>
        </w:trPr>
        <w:tc>
          <w:tcPr>
            <w:tcW w:w="0" w:type="auto"/>
            <w:tcBorders>
              <w:top w:val="nil"/>
              <w:left w:val="nil"/>
              <w:bottom w:val="nil"/>
              <w:right w:val="nil"/>
            </w:tcBorders>
            <w:shd w:val="clear" w:color="auto" w:fill="auto"/>
            <w:noWrap/>
            <w:vAlign w:val="bottom"/>
            <w:hideMark/>
          </w:tcPr>
          <w:p w14:paraId="386A3634" w14:textId="77777777" w:rsidR="00A6208E" w:rsidRPr="007F79B9" w:rsidRDefault="00A6208E" w:rsidP="00312157">
            <w:pPr>
              <w:spacing w:after="0" w:line="240" w:lineRule="auto"/>
              <w:rPr>
                <w:rFonts w:ascii="Calibri" w:eastAsia="Times New Roman" w:hAnsi="Calibri" w:cs="Times New Roman"/>
                <w:b/>
                <w:color w:val="000000"/>
                <w:lang w:eastAsia="en-GB"/>
              </w:rPr>
            </w:pPr>
          </w:p>
        </w:tc>
        <w:tc>
          <w:tcPr>
            <w:tcW w:w="0" w:type="auto"/>
            <w:tcBorders>
              <w:top w:val="nil"/>
              <w:left w:val="nil"/>
              <w:bottom w:val="nil"/>
              <w:right w:val="nil"/>
            </w:tcBorders>
            <w:shd w:val="clear" w:color="auto" w:fill="auto"/>
            <w:noWrap/>
            <w:vAlign w:val="bottom"/>
            <w:hideMark/>
          </w:tcPr>
          <w:p w14:paraId="5DAE3A56" w14:textId="77777777" w:rsidR="00A6208E" w:rsidRPr="007F79B9" w:rsidRDefault="00A6208E" w:rsidP="00312157">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0000E018" w14:textId="77777777" w:rsidR="00A6208E" w:rsidRPr="007F79B9" w:rsidRDefault="008706FB" w:rsidP="00A6208E">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(0.0624)</w:t>
            </w:r>
          </w:p>
        </w:tc>
        <w:tc>
          <w:tcPr>
            <w:tcW w:w="0" w:type="auto"/>
            <w:tcBorders>
              <w:top w:val="nil"/>
              <w:left w:val="nil"/>
              <w:bottom w:val="nil"/>
              <w:right w:val="nil"/>
            </w:tcBorders>
            <w:shd w:val="clear" w:color="auto" w:fill="auto"/>
            <w:noWrap/>
            <w:vAlign w:val="bottom"/>
            <w:hideMark/>
          </w:tcPr>
          <w:p w14:paraId="3CA1ACF2" w14:textId="77777777" w:rsidR="00A6208E" w:rsidRPr="007F79B9" w:rsidRDefault="008706FB" w:rsidP="00A6208E">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(0.0225)</w:t>
            </w:r>
          </w:p>
        </w:tc>
        <w:tc>
          <w:tcPr>
            <w:tcW w:w="0" w:type="auto"/>
            <w:tcBorders>
              <w:top w:val="nil"/>
              <w:left w:val="nil"/>
              <w:bottom w:val="nil"/>
              <w:right w:val="nil"/>
            </w:tcBorders>
            <w:shd w:val="clear" w:color="auto" w:fill="auto"/>
            <w:noWrap/>
            <w:vAlign w:val="bottom"/>
            <w:hideMark/>
          </w:tcPr>
          <w:p w14:paraId="21748A8C" w14:textId="77777777" w:rsidR="00A6208E" w:rsidRPr="007F79B9" w:rsidRDefault="008706FB" w:rsidP="00A6208E">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(0.0592)</w:t>
            </w:r>
          </w:p>
        </w:tc>
        <w:tc>
          <w:tcPr>
            <w:tcW w:w="0" w:type="auto"/>
            <w:tcBorders>
              <w:top w:val="nil"/>
              <w:left w:val="nil"/>
              <w:bottom w:val="nil"/>
              <w:right w:val="nil"/>
            </w:tcBorders>
            <w:shd w:val="clear" w:color="auto" w:fill="auto"/>
            <w:noWrap/>
            <w:vAlign w:val="bottom"/>
            <w:hideMark/>
          </w:tcPr>
          <w:p w14:paraId="0EF3DAD4" w14:textId="77777777" w:rsidR="00A6208E" w:rsidRPr="007F79B9" w:rsidRDefault="008706FB" w:rsidP="00A6208E">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(0.0436)</w:t>
            </w:r>
          </w:p>
        </w:tc>
        <w:tc>
          <w:tcPr>
            <w:tcW w:w="0" w:type="auto"/>
            <w:tcBorders>
              <w:top w:val="nil"/>
              <w:left w:val="nil"/>
              <w:bottom w:val="nil"/>
              <w:right w:val="nil"/>
            </w:tcBorders>
            <w:shd w:val="clear" w:color="auto" w:fill="auto"/>
            <w:noWrap/>
            <w:vAlign w:val="bottom"/>
            <w:hideMark/>
          </w:tcPr>
          <w:p w14:paraId="3C1EB2CF" w14:textId="77777777" w:rsidR="00A6208E" w:rsidRPr="007F79B9" w:rsidRDefault="008706FB" w:rsidP="00DF315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(0.0767)</w:t>
            </w:r>
          </w:p>
        </w:tc>
        <w:tc>
          <w:tcPr>
            <w:tcW w:w="0" w:type="auto"/>
            <w:tcBorders>
              <w:top w:val="nil"/>
              <w:left w:val="nil"/>
              <w:bottom w:val="nil"/>
              <w:right w:val="nil"/>
            </w:tcBorders>
            <w:shd w:val="clear" w:color="auto" w:fill="auto"/>
            <w:noWrap/>
            <w:vAlign w:val="bottom"/>
            <w:hideMark/>
          </w:tcPr>
          <w:p w14:paraId="00BE8718" w14:textId="77777777" w:rsidR="00A6208E" w:rsidRPr="007F79B9" w:rsidRDefault="00A6208E" w:rsidP="00DF3150">
            <w:pPr>
              <w:spacing w:after="0" w:line="240" w:lineRule="auto"/>
              <w:rPr>
                <w:rFonts w:ascii="Calibri" w:eastAsia="Times New Roman" w:hAnsi="Calibri" w:cs="Times New Roman"/>
                <w:color w:val="000000"/>
                <w:lang w:eastAsia="en-GB"/>
              </w:rPr>
            </w:pPr>
          </w:p>
        </w:tc>
      </w:tr>
      <w:tr w:rsidR="00A6208E" w:rsidRPr="007F79B9" w14:paraId="726B5462" w14:textId="77777777" w:rsidTr="00312157">
        <w:trPr>
          <w:trHeight w:val="300"/>
          <w:jc w:val="center"/>
        </w:trPr>
        <w:tc>
          <w:tcPr>
            <w:tcW w:w="0" w:type="auto"/>
            <w:tcBorders>
              <w:top w:val="nil"/>
              <w:left w:val="nil"/>
              <w:right w:val="nil"/>
            </w:tcBorders>
            <w:shd w:val="clear" w:color="auto" w:fill="auto"/>
            <w:noWrap/>
            <w:vAlign w:val="bottom"/>
            <w:hideMark/>
          </w:tcPr>
          <w:p w14:paraId="53E9C692" w14:textId="77777777" w:rsidR="00A6208E" w:rsidRPr="007F79B9" w:rsidRDefault="00A6208E" w:rsidP="00312157">
            <w:pPr>
              <w:spacing w:after="0" w:line="240" w:lineRule="auto"/>
              <w:rPr>
                <w:rFonts w:ascii="Calibri" w:eastAsia="Times New Roman" w:hAnsi="Calibri" w:cs="Times New Roman"/>
                <w:b/>
                <w:color w:val="000000"/>
                <w:lang w:eastAsia="en-GB"/>
              </w:rPr>
            </w:pPr>
          </w:p>
        </w:tc>
        <w:tc>
          <w:tcPr>
            <w:tcW w:w="0" w:type="auto"/>
            <w:tcBorders>
              <w:top w:val="nil"/>
              <w:left w:val="nil"/>
              <w:right w:val="nil"/>
            </w:tcBorders>
            <w:shd w:val="clear" w:color="auto" w:fill="auto"/>
            <w:noWrap/>
            <w:vAlign w:val="bottom"/>
            <w:hideMark/>
          </w:tcPr>
          <w:p w14:paraId="4A739F06" w14:textId="77777777" w:rsidR="00A6208E" w:rsidRPr="007F79B9" w:rsidRDefault="008706FB" w:rsidP="00312157">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ycassel</w:t>
            </w:r>
          </w:p>
        </w:tc>
        <w:tc>
          <w:tcPr>
            <w:tcW w:w="0" w:type="auto"/>
            <w:tcBorders>
              <w:top w:val="nil"/>
              <w:left w:val="nil"/>
              <w:right w:val="nil"/>
            </w:tcBorders>
            <w:shd w:val="clear" w:color="auto" w:fill="auto"/>
            <w:noWrap/>
            <w:vAlign w:val="bottom"/>
            <w:hideMark/>
          </w:tcPr>
          <w:p w14:paraId="50A89261" w14:textId="77777777" w:rsidR="00A6208E" w:rsidRPr="007F79B9" w:rsidRDefault="008706FB" w:rsidP="00A6208E">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-0.0833</w:t>
            </w:r>
          </w:p>
        </w:tc>
        <w:tc>
          <w:tcPr>
            <w:tcW w:w="0" w:type="auto"/>
            <w:tcBorders>
              <w:top w:val="nil"/>
              <w:left w:val="nil"/>
              <w:right w:val="nil"/>
            </w:tcBorders>
            <w:shd w:val="clear" w:color="auto" w:fill="auto"/>
            <w:noWrap/>
            <w:vAlign w:val="bottom"/>
            <w:hideMark/>
          </w:tcPr>
          <w:p w14:paraId="6E046DF9" w14:textId="77777777" w:rsidR="00A6208E" w:rsidRPr="007F79B9" w:rsidRDefault="008706FB" w:rsidP="00A6208E">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-0.0208</w:t>
            </w:r>
          </w:p>
        </w:tc>
        <w:tc>
          <w:tcPr>
            <w:tcW w:w="0" w:type="auto"/>
            <w:tcBorders>
              <w:top w:val="nil"/>
              <w:left w:val="nil"/>
              <w:right w:val="nil"/>
            </w:tcBorders>
            <w:shd w:val="clear" w:color="auto" w:fill="auto"/>
            <w:noWrap/>
            <w:vAlign w:val="bottom"/>
            <w:hideMark/>
          </w:tcPr>
          <w:p w14:paraId="3AFBE863" w14:textId="77777777" w:rsidR="00A6208E" w:rsidRPr="007F79B9" w:rsidRDefault="008706FB" w:rsidP="00A6208E">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0.1679</w:t>
            </w:r>
          </w:p>
        </w:tc>
        <w:tc>
          <w:tcPr>
            <w:tcW w:w="0" w:type="auto"/>
            <w:tcBorders>
              <w:top w:val="nil"/>
              <w:left w:val="nil"/>
              <w:right w:val="nil"/>
            </w:tcBorders>
            <w:shd w:val="clear" w:color="auto" w:fill="auto"/>
            <w:noWrap/>
            <w:vAlign w:val="bottom"/>
            <w:hideMark/>
          </w:tcPr>
          <w:p w14:paraId="6D0EEC6A" w14:textId="77777777" w:rsidR="00A6208E" w:rsidRPr="007F79B9" w:rsidRDefault="008706FB" w:rsidP="00A6208E">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0.9213***</w:t>
            </w:r>
          </w:p>
        </w:tc>
        <w:tc>
          <w:tcPr>
            <w:tcW w:w="0" w:type="auto"/>
            <w:gridSpan w:val="2"/>
            <w:tcBorders>
              <w:top w:val="nil"/>
              <w:left w:val="nil"/>
              <w:right w:val="nil"/>
            </w:tcBorders>
            <w:shd w:val="clear" w:color="auto" w:fill="auto"/>
            <w:noWrap/>
            <w:vAlign w:val="bottom"/>
            <w:hideMark/>
          </w:tcPr>
          <w:p w14:paraId="70907F2A" w14:textId="77777777" w:rsidR="00A6208E" w:rsidRPr="007F79B9" w:rsidRDefault="008706FB" w:rsidP="00DF315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0.7714***</w:t>
            </w:r>
          </w:p>
        </w:tc>
      </w:tr>
      <w:tr w:rsidR="00A6208E" w:rsidRPr="007F79B9" w14:paraId="585DF192" w14:textId="77777777" w:rsidTr="00312157">
        <w:trPr>
          <w:trHeight w:val="300"/>
          <w:jc w:val="center"/>
        </w:trPr>
        <w:tc>
          <w:tcPr>
            <w:tcW w:w="0" w:type="auto"/>
            <w:tcBorders>
              <w:top w:val="nil"/>
              <w:left w:val="nil"/>
              <w:bottom w:val="single" w:sz="4" w:space="0" w:color="auto"/>
              <w:right w:val="nil"/>
            </w:tcBorders>
            <w:shd w:val="clear" w:color="auto" w:fill="auto"/>
            <w:noWrap/>
            <w:vAlign w:val="bottom"/>
            <w:hideMark/>
          </w:tcPr>
          <w:p w14:paraId="1A91239F" w14:textId="77777777" w:rsidR="00A6208E" w:rsidRPr="007F79B9" w:rsidRDefault="00A6208E" w:rsidP="00312157">
            <w:pPr>
              <w:spacing w:after="0" w:line="240" w:lineRule="auto"/>
              <w:rPr>
                <w:rFonts w:ascii="Calibri" w:eastAsia="Times New Roman" w:hAnsi="Calibri" w:cs="Times New Roman"/>
                <w:b/>
                <w:color w:val="000000"/>
                <w:lang w:eastAsia="en-GB"/>
              </w:rPr>
            </w:pPr>
          </w:p>
        </w:tc>
        <w:tc>
          <w:tcPr>
            <w:tcW w:w="0" w:type="auto"/>
            <w:tcBorders>
              <w:top w:val="nil"/>
              <w:left w:val="nil"/>
              <w:bottom w:val="single" w:sz="4" w:space="0" w:color="auto"/>
              <w:right w:val="nil"/>
            </w:tcBorders>
            <w:shd w:val="clear" w:color="auto" w:fill="auto"/>
            <w:noWrap/>
            <w:vAlign w:val="bottom"/>
            <w:hideMark/>
          </w:tcPr>
          <w:p w14:paraId="4D105384" w14:textId="77777777" w:rsidR="00A6208E" w:rsidRPr="007F79B9" w:rsidRDefault="00A6208E" w:rsidP="00312157">
            <w:pPr>
              <w:spacing w:after="0" w:line="240" w:lineRule="auto"/>
              <w:rPr>
                <w:rFonts w:ascii="Calibri" w:eastAsia="Times New Roman" w:hAnsi="Calibri" w:cs="Times New Roman"/>
                <w:color w:val="000000"/>
                <w:lang w:eastAsia="en-GB"/>
              </w:rPr>
            </w:pPr>
          </w:p>
        </w:tc>
        <w:tc>
          <w:tcPr>
            <w:tcW w:w="0" w:type="auto"/>
            <w:tcBorders>
              <w:top w:val="nil"/>
              <w:left w:val="nil"/>
              <w:bottom w:val="single" w:sz="4" w:space="0" w:color="auto"/>
              <w:right w:val="nil"/>
            </w:tcBorders>
            <w:shd w:val="clear" w:color="auto" w:fill="auto"/>
            <w:noWrap/>
            <w:vAlign w:val="bottom"/>
            <w:hideMark/>
          </w:tcPr>
          <w:p w14:paraId="0660D71B" w14:textId="77777777" w:rsidR="00A6208E" w:rsidRPr="007F79B9" w:rsidRDefault="008706FB" w:rsidP="00A6208E">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(0.1114)</w:t>
            </w:r>
          </w:p>
        </w:tc>
        <w:tc>
          <w:tcPr>
            <w:tcW w:w="0" w:type="auto"/>
            <w:tcBorders>
              <w:top w:val="nil"/>
              <w:left w:val="nil"/>
              <w:bottom w:val="single" w:sz="4" w:space="0" w:color="auto"/>
              <w:right w:val="nil"/>
            </w:tcBorders>
            <w:shd w:val="clear" w:color="auto" w:fill="auto"/>
            <w:noWrap/>
            <w:vAlign w:val="bottom"/>
            <w:hideMark/>
          </w:tcPr>
          <w:p w14:paraId="4C28ECB7" w14:textId="77777777" w:rsidR="00A6208E" w:rsidRPr="007F79B9" w:rsidRDefault="008706FB" w:rsidP="00A6208E">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(0.0697)</w:t>
            </w:r>
          </w:p>
        </w:tc>
        <w:tc>
          <w:tcPr>
            <w:tcW w:w="0" w:type="auto"/>
            <w:tcBorders>
              <w:top w:val="nil"/>
              <w:left w:val="nil"/>
              <w:bottom w:val="single" w:sz="4" w:space="0" w:color="auto"/>
              <w:right w:val="nil"/>
            </w:tcBorders>
            <w:shd w:val="clear" w:color="auto" w:fill="auto"/>
            <w:noWrap/>
            <w:vAlign w:val="bottom"/>
            <w:hideMark/>
          </w:tcPr>
          <w:p w14:paraId="590E1460" w14:textId="77777777" w:rsidR="00A6208E" w:rsidRPr="007F79B9" w:rsidRDefault="008706FB" w:rsidP="00A6208E">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(0.1086)</w:t>
            </w:r>
          </w:p>
        </w:tc>
        <w:tc>
          <w:tcPr>
            <w:tcW w:w="0" w:type="auto"/>
            <w:tcBorders>
              <w:top w:val="nil"/>
              <w:left w:val="nil"/>
              <w:bottom w:val="single" w:sz="4" w:space="0" w:color="auto"/>
              <w:right w:val="nil"/>
            </w:tcBorders>
            <w:shd w:val="clear" w:color="auto" w:fill="auto"/>
            <w:noWrap/>
            <w:vAlign w:val="bottom"/>
            <w:hideMark/>
          </w:tcPr>
          <w:p w14:paraId="0C30964C" w14:textId="77777777" w:rsidR="00A6208E" w:rsidRPr="007F79B9" w:rsidRDefault="008706FB" w:rsidP="00A6208E">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(0.0873)</w:t>
            </w:r>
          </w:p>
        </w:tc>
        <w:tc>
          <w:tcPr>
            <w:tcW w:w="0" w:type="auto"/>
            <w:tcBorders>
              <w:top w:val="nil"/>
              <w:left w:val="nil"/>
              <w:bottom w:val="single" w:sz="4" w:space="0" w:color="auto"/>
              <w:right w:val="nil"/>
            </w:tcBorders>
            <w:shd w:val="clear" w:color="auto" w:fill="auto"/>
            <w:noWrap/>
            <w:vAlign w:val="bottom"/>
            <w:hideMark/>
          </w:tcPr>
          <w:p w14:paraId="3F0298E8" w14:textId="77777777" w:rsidR="00A6208E" w:rsidRPr="007F79B9" w:rsidRDefault="008706FB" w:rsidP="00DF3150">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(0.1294)</w:t>
            </w:r>
          </w:p>
        </w:tc>
        <w:tc>
          <w:tcPr>
            <w:tcW w:w="0" w:type="auto"/>
            <w:tcBorders>
              <w:top w:val="nil"/>
              <w:left w:val="nil"/>
              <w:bottom w:val="single" w:sz="4" w:space="0" w:color="auto"/>
              <w:right w:val="nil"/>
            </w:tcBorders>
            <w:shd w:val="clear" w:color="auto" w:fill="auto"/>
            <w:noWrap/>
            <w:vAlign w:val="bottom"/>
            <w:hideMark/>
          </w:tcPr>
          <w:p w14:paraId="61B0D811" w14:textId="77777777" w:rsidR="00A6208E" w:rsidRPr="007F79B9" w:rsidRDefault="00A6208E" w:rsidP="00DF3150">
            <w:pPr>
              <w:spacing w:after="0" w:line="240" w:lineRule="auto"/>
              <w:rPr>
                <w:rFonts w:ascii="Calibri" w:eastAsia="Times New Roman" w:hAnsi="Calibri" w:cs="Times New Roman"/>
                <w:color w:val="000000"/>
                <w:lang w:eastAsia="en-GB"/>
              </w:rPr>
            </w:pPr>
          </w:p>
        </w:tc>
      </w:tr>
      <w:tr w:rsidR="00CF16A4" w:rsidRPr="007F79B9" w14:paraId="1355E4EB" w14:textId="77777777" w:rsidTr="00312157">
        <w:trPr>
          <w:trHeight w:val="300"/>
          <w:jc w:val="center"/>
        </w:trPr>
        <w:tc>
          <w:tcPr>
            <w:tcW w:w="0" w:type="auto"/>
            <w:tcBorders>
              <w:top w:val="single" w:sz="4" w:space="0" w:color="auto"/>
              <w:left w:val="nil"/>
              <w:bottom w:val="nil"/>
              <w:right w:val="nil"/>
            </w:tcBorders>
            <w:shd w:val="clear" w:color="auto" w:fill="auto"/>
            <w:noWrap/>
            <w:vAlign w:val="bottom"/>
            <w:hideMark/>
          </w:tcPr>
          <w:p w14:paraId="27094F5F" w14:textId="77777777" w:rsidR="00CF16A4" w:rsidRPr="007F79B9" w:rsidRDefault="008706FB" w:rsidP="00312157">
            <w:pPr>
              <w:spacing w:after="0" w:line="240" w:lineRule="auto"/>
              <w:rPr>
                <w:rFonts w:ascii="Calibri" w:eastAsia="Times New Roman" w:hAnsi="Calibri" w:cs="Times New Roman"/>
                <w:b/>
                <w:color w:val="000000"/>
                <w:lang w:eastAsia="en-GB"/>
              </w:rPr>
            </w:pPr>
            <w:r w:rsidRPr="008706FB">
              <w:rPr>
                <w:rFonts w:ascii="Calibri" w:eastAsia="Times New Roman" w:hAnsi="Calibri" w:cs="Times New Roman"/>
                <w:b/>
                <w:color w:val="000000"/>
                <w:lang w:eastAsia="en-GB"/>
              </w:rPr>
              <w:t>Greece</w:t>
            </w:r>
          </w:p>
        </w:tc>
        <w:tc>
          <w:tcPr>
            <w:tcW w:w="0" w:type="auto"/>
            <w:tcBorders>
              <w:top w:val="single" w:sz="4" w:space="0" w:color="auto"/>
              <w:left w:val="nil"/>
              <w:bottom w:val="nil"/>
              <w:right w:val="nil"/>
            </w:tcBorders>
            <w:shd w:val="clear" w:color="auto" w:fill="auto"/>
            <w:noWrap/>
            <w:vAlign w:val="bottom"/>
            <w:hideMark/>
          </w:tcPr>
          <w:p w14:paraId="2B36C77B" w14:textId="77777777" w:rsidR="00CF16A4" w:rsidRPr="007F79B9" w:rsidRDefault="008706FB" w:rsidP="00312157">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ygbr</w:t>
            </w:r>
          </w:p>
        </w:tc>
        <w:tc>
          <w:tcPr>
            <w:tcW w:w="0" w:type="auto"/>
            <w:tcBorders>
              <w:top w:val="single" w:sz="4" w:space="0" w:color="auto"/>
              <w:left w:val="nil"/>
              <w:bottom w:val="nil"/>
              <w:right w:val="nil"/>
            </w:tcBorders>
            <w:shd w:val="clear" w:color="auto" w:fill="auto"/>
            <w:noWrap/>
            <w:vAlign w:val="bottom"/>
            <w:hideMark/>
          </w:tcPr>
          <w:p w14:paraId="6F8F7699"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0.9310***</w:t>
            </w:r>
          </w:p>
        </w:tc>
        <w:tc>
          <w:tcPr>
            <w:tcW w:w="0" w:type="auto"/>
            <w:tcBorders>
              <w:top w:val="single" w:sz="4" w:space="0" w:color="auto"/>
              <w:left w:val="nil"/>
              <w:bottom w:val="nil"/>
              <w:right w:val="nil"/>
            </w:tcBorders>
            <w:shd w:val="clear" w:color="auto" w:fill="auto"/>
            <w:noWrap/>
            <w:vAlign w:val="bottom"/>
            <w:hideMark/>
          </w:tcPr>
          <w:p w14:paraId="6DC5BF45"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0.0141</w:t>
            </w:r>
          </w:p>
        </w:tc>
        <w:tc>
          <w:tcPr>
            <w:tcW w:w="0" w:type="auto"/>
            <w:tcBorders>
              <w:top w:val="single" w:sz="4" w:space="0" w:color="auto"/>
              <w:left w:val="nil"/>
              <w:bottom w:val="nil"/>
              <w:right w:val="nil"/>
            </w:tcBorders>
            <w:shd w:val="clear" w:color="auto" w:fill="auto"/>
            <w:noWrap/>
            <w:vAlign w:val="bottom"/>
            <w:hideMark/>
          </w:tcPr>
          <w:p w14:paraId="5647A54A"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0.0070</w:t>
            </w:r>
          </w:p>
        </w:tc>
        <w:tc>
          <w:tcPr>
            <w:tcW w:w="0" w:type="auto"/>
            <w:tcBorders>
              <w:top w:val="single" w:sz="4" w:space="0" w:color="auto"/>
              <w:left w:val="nil"/>
              <w:bottom w:val="nil"/>
              <w:right w:val="nil"/>
            </w:tcBorders>
            <w:shd w:val="clear" w:color="auto" w:fill="auto"/>
            <w:noWrap/>
            <w:vAlign w:val="bottom"/>
            <w:hideMark/>
          </w:tcPr>
          <w:p w14:paraId="159CDF07"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0.0307</w:t>
            </w:r>
          </w:p>
        </w:tc>
        <w:tc>
          <w:tcPr>
            <w:tcW w:w="0" w:type="auto"/>
            <w:tcBorders>
              <w:top w:val="single" w:sz="4" w:space="0" w:color="auto"/>
              <w:left w:val="nil"/>
              <w:bottom w:val="nil"/>
              <w:right w:val="nil"/>
            </w:tcBorders>
            <w:shd w:val="clear" w:color="auto" w:fill="auto"/>
            <w:noWrap/>
            <w:vAlign w:val="bottom"/>
            <w:hideMark/>
          </w:tcPr>
          <w:p w14:paraId="3E24CC89"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0.0593</w:t>
            </w:r>
          </w:p>
        </w:tc>
        <w:tc>
          <w:tcPr>
            <w:tcW w:w="0" w:type="auto"/>
            <w:tcBorders>
              <w:top w:val="single" w:sz="4" w:space="0" w:color="auto"/>
              <w:left w:val="nil"/>
              <w:bottom w:val="nil"/>
              <w:right w:val="nil"/>
            </w:tcBorders>
            <w:shd w:val="clear" w:color="auto" w:fill="auto"/>
            <w:noWrap/>
            <w:vAlign w:val="bottom"/>
            <w:hideMark/>
          </w:tcPr>
          <w:p w14:paraId="24C77811"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-0.0585</w:t>
            </w:r>
          </w:p>
        </w:tc>
      </w:tr>
      <w:tr w:rsidR="00CF16A4" w:rsidRPr="007F79B9" w14:paraId="15C57992" w14:textId="77777777" w:rsidTr="00312157">
        <w:trPr>
          <w:trHeight w:val="300"/>
          <w:jc w:val="center"/>
        </w:trPr>
        <w:tc>
          <w:tcPr>
            <w:tcW w:w="0" w:type="auto"/>
            <w:tcBorders>
              <w:top w:val="nil"/>
              <w:left w:val="nil"/>
              <w:bottom w:val="nil"/>
              <w:right w:val="nil"/>
            </w:tcBorders>
            <w:shd w:val="clear" w:color="auto" w:fill="auto"/>
            <w:noWrap/>
            <w:vAlign w:val="bottom"/>
            <w:hideMark/>
          </w:tcPr>
          <w:p w14:paraId="613BBC73" w14:textId="77777777" w:rsidR="00CF16A4" w:rsidRPr="007F79B9" w:rsidRDefault="008706FB" w:rsidP="00312157">
            <w:pPr>
              <w:spacing w:after="0" w:line="240" w:lineRule="auto"/>
              <w:rPr>
                <w:rFonts w:ascii="Calibri" w:eastAsia="Times New Roman" w:hAnsi="Calibri" w:cs="Times New Roman"/>
                <w:b/>
                <w:color w:val="000000"/>
                <w:lang w:eastAsia="en-GB"/>
              </w:rPr>
            </w:pPr>
            <w:r w:rsidRPr="008706FB">
              <w:rPr>
                <w:rFonts w:ascii="Calibri" w:eastAsia="Times New Roman" w:hAnsi="Calibri" w:cs="Times New Roman"/>
                <w:b/>
                <w:color w:val="000000"/>
                <w:lang w:eastAsia="en-GB"/>
              </w:rPr>
              <w:t>(N=428)</w:t>
            </w:r>
          </w:p>
        </w:tc>
        <w:tc>
          <w:tcPr>
            <w:tcW w:w="0" w:type="auto"/>
            <w:tcBorders>
              <w:top w:val="nil"/>
              <w:left w:val="nil"/>
              <w:bottom w:val="nil"/>
              <w:right w:val="nil"/>
            </w:tcBorders>
            <w:shd w:val="clear" w:color="auto" w:fill="auto"/>
            <w:noWrap/>
            <w:vAlign w:val="bottom"/>
            <w:hideMark/>
          </w:tcPr>
          <w:p w14:paraId="4BB960A4" w14:textId="77777777" w:rsidR="00CF16A4" w:rsidRPr="007F79B9" w:rsidRDefault="00CF16A4" w:rsidP="00312157">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21BD5DC1"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(0.0690)</w:t>
            </w:r>
          </w:p>
        </w:tc>
        <w:tc>
          <w:tcPr>
            <w:tcW w:w="0" w:type="auto"/>
            <w:tcBorders>
              <w:top w:val="nil"/>
              <w:left w:val="nil"/>
              <w:bottom w:val="nil"/>
              <w:right w:val="nil"/>
            </w:tcBorders>
            <w:shd w:val="clear" w:color="auto" w:fill="auto"/>
            <w:noWrap/>
            <w:vAlign w:val="bottom"/>
            <w:hideMark/>
          </w:tcPr>
          <w:p w14:paraId="78C27759"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(0.0592)</w:t>
            </w:r>
          </w:p>
        </w:tc>
        <w:tc>
          <w:tcPr>
            <w:tcW w:w="0" w:type="auto"/>
            <w:tcBorders>
              <w:top w:val="nil"/>
              <w:left w:val="nil"/>
              <w:bottom w:val="nil"/>
              <w:right w:val="nil"/>
            </w:tcBorders>
            <w:shd w:val="clear" w:color="auto" w:fill="auto"/>
            <w:noWrap/>
            <w:vAlign w:val="bottom"/>
            <w:hideMark/>
          </w:tcPr>
          <w:p w14:paraId="5769810D"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(0.0204)</w:t>
            </w:r>
          </w:p>
        </w:tc>
        <w:tc>
          <w:tcPr>
            <w:tcW w:w="0" w:type="auto"/>
            <w:tcBorders>
              <w:top w:val="nil"/>
              <w:left w:val="nil"/>
              <w:bottom w:val="nil"/>
              <w:right w:val="nil"/>
            </w:tcBorders>
            <w:shd w:val="clear" w:color="auto" w:fill="auto"/>
            <w:noWrap/>
            <w:vAlign w:val="bottom"/>
            <w:hideMark/>
          </w:tcPr>
          <w:p w14:paraId="0588A2F9"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(0.1226)</w:t>
            </w:r>
          </w:p>
        </w:tc>
        <w:tc>
          <w:tcPr>
            <w:tcW w:w="0" w:type="auto"/>
            <w:tcBorders>
              <w:top w:val="nil"/>
              <w:left w:val="nil"/>
              <w:bottom w:val="nil"/>
              <w:right w:val="nil"/>
            </w:tcBorders>
            <w:shd w:val="clear" w:color="auto" w:fill="auto"/>
            <w:noWrap/>
            <w:vAlign w:val="bottom"/>
            <w:hideMark/>
          </w:tcPr>
          <w:p w14:paraId="65E0D65D"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(0.0936)</w:t>
            </w:r>
          </w:p>
        </w:tc>
        <w:tc>
          <w:tcPr>
            <w:tcW w:w="0" w:type="auto"/>
            <w:tcBorders>
              <w:top w:val="nil"/>
              <w:left w:val="nil"/>
              <w:bottom w:val="nil"/>
              <w:right w:val="nil"/>
            </w:tcBorders>
            <w:shd w:val="clear" w:color="auto" w:fill="auto"/>
            <w:noWrap/>
            <w:vAlign w:val="bottom"/>
            <w:hideMark/>
          </w:tcPr>
          <w:p w14:paraId="7D8C988E"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(0.0880)</w:t>
            </w:r>
          </w:p>
        </w:tc>
      </w:tr>
      <w:tr w:rsidR="00CF16A4" w:rsidRPr="007F79B9" w14:paraId="42585EDA" w14:textId="77777777" w:rsidTr="00312157">
        <w:trPr>
          <w:trHeight w:val="300"/>
          <w:jc w:val="center"/>
        </w:trPr>
        <w:tc>
          <w:tcPr>
            <w:tcW w:w="0" w:type="auto"/>
            <w:tcBorders>
              <w:top w:val="nil"/>
              <w:left w:val="nil"/>
              <w:bottom w:val="nil"/>
              <w:right w:val="nil"/>
            </w:tcBorders>
            <w:shd w:val="clear" w:color="auto" w:fill="auto"/>
            <w:noWrap/>
            <w:vAlign w:val="bottom"/>
            <w:hideMark/>
          </w:tcPr>
          <w:p w14:paraId="53D5A4CA" w14:textId="77777777" w:rsidR="00CF16A4" w:rsidRPr="007F79B9" w:rsidRDefault="00CF16A4" w:rsidP="00312157">
            <w:pPr>
              <w:spacing w:after="0" w:line="240" w:lineRule="auto"/>
              <w:rPr>
                <w:rFonts w:ascii="Calibri" w:eastAsia="Times New Roman" w:hAnsi="Calibri" w:cs="Times New Roman"/>
                <w:b/>
                <w:color w:val="000000"/>
                <w:lang w:eastAsia="en-GB"/>
              </w:rPr>
            </w:pPr>
          </w:p>
        </w:tc>
        <w:tc>
          <w:tcPr>
            <w:tcW w:w="0" w:type="auto"/>
            <w:tcBorders>
              <w:top w:val="nil"/>
              <w:left w:val="nil"/>
              <w:bottom w:val="nil"/>
              <w:right w:val="nil"/>
            </w:tcBorders>
            <w:shd w:val="clear" w:color="auto" w:fill="auto"/>
            <w:noWrap/>
            <w:vAlign w:val="bottom"/>
            <w:hideMark/>
          </w:tcPr>
          <w:p w14:paraId="461FAF8D" w14:textId="77777777" w:rsidR="00CF16A4" w:rsidRPr="007F79B9" w:rsidRDefault="008706FB" w:rsidP="00312157">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yfra</w:t>
            </w:r>
          </w:p>
        </w:tc>
        <w:tc>
          <w:tcPr>
            <w:tcW w:w="0" w:type="auto"/>
            <w:tcBorders>
              <w:top w:val="nil"/>
              <w:left w:val="nil"/>
              <w:bottom w:val="nil"/>
              <w:right w:val="nil"/>
            </w:tcBorders>
            <w:shd w:val="clear" w:color="auto" w:fill="auto"/>
            <w:noWrap/>
            <w:vAlign w:val="bottom"/>
            <w:hideMark/>
          </w:tcPr>
          <w:p w14:paraId="489E89B7"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0.0306</w:t>
            </w:r>
          </w:p>
        </w:tc>
        <w:tc>
          <w:tcPr>
            <w:tcW w:w="0" w:type="auto"/>
            <w:tcBorders>
              <w:top w:val="nil"/>
              <w:left w:val="nil"/>
              <w:bottom w:val="nil"/>
              <w:right w:val="nil"/>
            </w:tcBorders>
            <w:shd w:val="clear" w:color="auto" w:fill="auto"/>
            <w:noWrap/>
            <w:vAlign w:val="bottom"/>
            <w:hideMark/>
          </w:tcPr>
          <w:p w14:paraId="051614FD"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1.0145***</w:t>
            </w:r>
          </w:p>
        </w:tc>
        <w:tc>
          <w:tcPr>
            <w:tcW w:w="0" w:type="auto"/>
            <w:tcBorders>
              <w:top w:val="nil"/>
              <w:left w:val="nil"/>
              <w:bottom w:val="nil"/>
              <w:right w:val="nil"/>
            </w:tcBorders>
            <w:shd w:val="clear" w:color="auto" w:fill="auto"/>
            <w:noWrap/>
            <w:vAlign w:val="bottom"/>
            <w:hideMark/>
          </w:tcPr>
          <w:p w14:paraId="3B2FE9C7"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0.0002</w:t>
            </w:r>
          </w:p>
        </w:tc>
        <w:tc>
          <w:tcPr>
            <w:tcW w:w="0" w:type="auto"/>
            <w:tcBorders>
              <w:top w:val="nil"/>
              <w:left w:val="nil"/>
              <w:bottom w:val="nil"/>
              <w:right w:val="nil"/>
            </w:tcBorders>
            <w:shd w:val="clear" w:color="auto" w:fill="auto"/>
            <w:noWrap/>
            <w:vAlign w:val="bottom"/>
            <w:hideMark/>
          </w:tcPr>
          <w:p w14:paraId="38285627"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-0.0587</w:t>
            </w:r>
          </w:p>
        </w:tc>
        <w:tc>
          <w:tcPr>
            <w:tcW w:w="0" w:type="auto"/>
            <w:tcBorders>
              <w:top w:val="nil"/>
              <w:left w:val="nil"/>
              <w:bottom w:val="nil"/>
              <w:right w:val="nil"/>
            </w:tcBorders>
            <w:shd w:val="clear" w:color="auto" w:fill="auto"/>
            <w:noWrap/>
            <w:vAlign w:val="bottom"/>
            <w:hideMark/>
          </w:tcPr>
          <w:p w14:paraId="7E7DEE5B"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-0.0968</w:t>
            </w:r>
          </w:p>
        </w:tc>
        <w:tc>
          <w:tcPr>
            <w:tcW w:w="0" w:type="auto"/>
            <w:tcBorders>
              <w:top w:val="nil"/>
              <w:left w:val="nil"/>
              <w:bottom w:val="nil"/>
              <w:right w:val="nil"/>
            </w:tcBorders>
            <w:shd w:val="clear" w:color="auto" w:fill="auto"/>
            <w:noWrap/>
            <w:vAlign w:val="bottom"/>
            <w:hideMark/>
          </w:tcPr>
          <w:p w14:paraId="402E113E"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0.0944</w:t>
            </w:r>
          </w:p>
        </w:tc>
      </w:tr>
      <w:tr w:rsidR="00CF16A4" w:rsidRPr="007F79B9" w14:paraId="621E768C" w14:textId="77777777" w:rsidTr="00312157">
        <w:trPr>
          <w:trHeight w:val="300"/>
          <w:jc w:val="center"/>
        </w:trPr>
        <w:tc>
          <w:tcPr>
            <w:tcW w:w="0" w:type="auto"/>
            <w:tcBorders>
              <w:top w:val="nil"/>
              <w:left w:val="nil"/>
              <w:bottom w:val="nil"/>
              <w:right w:val="nil"/>
            </w:tcBorders>
            <w:shd w:val="clear" w:color="auto" w:fill="auto"/>
            <w:noWrap/>
            <w:vAlign w:val="bottom"/>
            <w:hideMark/>
          </w:tcPr>
          <w:p w14:paraId="533B972D" w14:textId="77777777" w:rsidR="00CF16A4" w:rsidRPr="007F79B9" w:rsidRDefault="00CF16A4" w:rsidP="00312157">
            <w:pPr>
              <w:spacing w:after="0" w:line="240" w:lineRule="auto"/>
              <w:rPr>
                <w:rFonts w:ascii="Calibri" w:eastAsia="Times New Roman" w:hAnsi="Calibri" w:cs="Times New Roman"/>
                <w:b/>
                <w:color w:val="000000"/>
                <w:lang w:eastAsia="en-GB"/>
              </w:rPr>
            </w:pPr>
          </w:p>
        </w:tc>
        <w:tc>
          <w:tcPr>
            <w:tcW w:w="0" w:type="auto"/>
            <w:tcBorders>
              <w:top w:val="nil"/>
              <w:left w:val="nil"/>
              <w:bottom w:val="nil"/>
              <w:right w:val="nil"/>
            </w:tcBorders>
            <w:shd w:val="clear" w:color="auto" w:fill="auto"/>
            <w:noWrap/>
            <w:vAlign w:val="bottom"/>
            <w:hideMark/>
          </w:tcPr>
          <w:p w14:paraId="30238C37" w14:textId="77777777" w:rsidR="00CF16A4" w:rsidRPr="007F79B9" w:rsidRDefault="00CF16A4" w:rsidP="00312157">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5EC6DEEA"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(0.0341)</w:t>
            </w:r>
          </w:p>
        </w:tc>
        <w:tc>
          <w:tcPr>
            <w:tcW w:w="0" w:type="auto"/>
            <w:tcBorders>
              <w:top w:val="nil"/>
              <w:left w:val="nil"/>
              <w:bottom w:val="nil"/>
              <w:right w:val="nil"/>
            </w:tcBorders>
            <w:shd w:val="clear" w:color="auto" w:fill="auto"/>
            <w:noWrap/>
            <w:vAlign w:val="bottom"/>
            <w:hideMark/>
          </w:tcPr>
          <w:p w14:paraId="0E62950C"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(0.0341)</w:t>
            </w:r>
          </w:p>
        </w:tc>
        <w:tc>
          <w:tcPr>
            <w:tcW w:w="0" w:type="auto"/>
            <w:tcBorders>
              <w:top w:val="nil"/>
              <w:left w:val="nil"/>
              <w:bottom w:val="nil"/>
              <w:right w:val="nil"/>
            </w:tcBorders>
            <w:shd w:val="clear" w:color="auto" w:fill="auto"/>
            <w:noWrap/>
            <w:vAlign w:val="bottom"/>
            <w:hideMark/>
          </w:tcPr>
          <w:p w14:paraId="76FC9F42"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(0.0173)</w:t>
            </w:r>
          </w:p>
        </w:tc>
        <w:tc>
          <w:tcPr>
            <w:tcW w:w="0" w:type="auto"/>
            <w:tcBorders>
              <w:top w:val="nil"/>
              <w:left w:val="nil"/>
              <w:bottom w:val="nil"/>
              <w:right w:val="nil"/>
            </w:tcBorders>
            <w:shd w:val="clear" w:color="auto" w:fill="auto"/>
            <w:noWrap/>
            <w:vAlign w:val="bottom"/>
            <w:hideMark/>
          </w:tcPr>
          <w:p w14:paraId="5476A621"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(0.0550)</w:t>
            </w:r>
          </w:p>
        </w:tc>
        <w:tc>
          <w:tcPr>
            <w:tcW w:w="0" w:type="auto"/>
            <w:tcBorders>
              <w:top w:val="nil"/>
              <w:left w:val="nil"/>
              <w:bottom w:val="nil"/>
              <w:right w:val="nil"/>
            </w:tcBorders>
            <w:shd w:val="clear" w:color="auto" w:fill="auto"/>
            <w:noWrap/>
            <w:vAlign w:val="bottom"/>
            <w:hideMark/>
          </w:tcPr>
          <w:p w14:paraId="66D02344"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(0.0692)</w:t>
            </w:r>
          </w:p>
        </w:tc>
        <w:tc>
          <w:tcPr>
            <w:tcW w:w="0" w:type="auto"/>
            <w:tcBorders>
              <w:top w:val="nil"/>
              <w:left w:val="nil"/>
              <w:bottom w:val="nil"/>
              <w:right w:val="nil"/>
            </w:tcBorders>
            <w:shd w:val="clear" w:color="auto" w:fill="auto"/>
            <w:noWrap/>
            <w:vAlign w:val="bottom"/>
            <w:hideMark/>
          </w:tcPr>
          <w:p w14:paraId="59E5DB64"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(0.0661)</w:t>
            </w:r>
          </w:p>
        </w:tc>
      </w:tr>
      <w:tr w:rsidR="00CF16A4" w:rsidRPr="007F79B9" w14:paraId="6E5190F7" w14:textId="77777777" w:rsidTr="00312157">
        <w:trPr>
          <w:trHeight w:val="300"/>
          <w:jc w:val="center"/>
        </w:trPr>
        <w:tc>
          <w:tcPr>
            <w:tcW w:w="0" w:type="auto"/>
            <w:tcBorders>
              <w:top w:val="nil"/>
              <w:left w:val="nil"/>
              <w:bottom w:val="nil"/>
              <w:right w:val="nil"/>
            </w:tcBorders>
            <w:shd w:val="clear" w:color="auto" w:fill="auto"/>
            <w:noWrap/>
            <w:vAlign w:val="bottom"/>
            <w:hideMark/>
          </w:tcPr>
          <w:p w14:paraId="45B6D64A" w14:textId="77777777" w:rsidR="00CF16A4" w:rsidRPr="007F79B9" w:rsidRDefault="00CF16A4" w:rsidP="00312157">
            <w:pPr>
              <w:spacing w:after="0" w:line="240" w:lineRule="auto"/>
              <w:rPr>
                <w:rFonts w:ascii="Calibri" w:eastAsia="Times New Roman" w:hAnsi="Calibri" w:cs="Times New Roman"/>
                <w:b/>
                <w:color w:val="000000"/>
                <w:lang w:eastAsia="en-GB"/>
              </w:rPr>
            </w:pPr>
          </w:p>
        </w:tc>
        <w:tc>
          <w:tcPr>
            <w:tcW w:w="0" w:type="auto"/>
            <w:tcBorders>
              <w:top w:val="nil"/>
              <w:left w:val="nil"/>
              <w:bottom w:val="nil"/>
              <w:right w:val="nil"/>
            </w:tcBorders>
            <w:shd w:val="clear" w:color="auto" w:fill="auto"/>
            <w:noWrap/>
            <w:vAlign w:val="bottom"/>
            <w:hideMark/>
          </w:tcPr>
          <w:p w14:paraId="1247B146" w14:textId="77777777" w:rsidR="00CF16A4" w:rsidRPr="007F79B9" w:rsidRDefault="008706FB" w:rsidP="00312157">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yrus</w:t>
            </w:r>
          </w:p>
        </w:tc>
        <w:tc>
          <w:tcPr>
            <w:tcW w:w="0" w:type="auto"/>
            <w:tcBorders>
              <w:top w:val="nil"/>
              <w:left w:val="nil"/>
              <w:bottom w:val="nil"/>
              <w:right w:val="nil"/>
            </w:tcBorders>
            <w:shd w:val="clear" w:color="auto" w:fill="auto"/>
            <w:noWrap/>
            <w:vAlign w:val="bottom"/>
            <w:hideMark/>
          </w:tcPr>
          <w:p w14:paraId="63687C7B"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-0.1970</w:t>
            </w:r>
          </w:p>
        </w:tc>
        <w:tc>
          <w:tcPr>
            <w:tcW w:w="0" w:type="auto"/>
            <w:tcBorders>
              <w:top w:val="nil"/>
              <w:left w:val="nil"/>
              <w:bottom w:val="nil"/>
              <w:right w:val="nil"/>
            </w:tcBorders>
            <w:shd w:val="clear" w:color="auto" w:fill="auto"/>
            <w:noWrap/>
            <w:vAlign w:val="bottom"/>
            <w:hideMark/>
          </w:tcPr>
          <w:p w14:paraId="3A7C6169"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-0.1769</w:t>
            </w:r>
          </w:p>
        </w:tc>
        <w:tc>
          <w:tcPr>
            <w:tcW w:w="0" w:type="auto"/>
            <w:tcBorders>
              <w:top w:val="nil"/>
              <w:left w:val="nil"/>
              <w:bottom w:val="nil"/>
              <w:right w:val="nil"/>
            </w:tcBorders>
            <w:shd w:val="clear" w:color="auto" w:fill="auto"/>
            <w:noWrap/>
            <w:vAlign w:val="bottom"/>
            <w:hideMark/>
          </w:tcPr>
          <w:p w14:paraId="50B1D41B"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0.9802***</w:t>
            </w:r>
          </w:p>
        </w:tc>
        <w:tc>
          <w:tcPr>
            <w:tcW w:w="0" w:type="auto"/>
            <w:tcBorders>
              <w:top w:val="nil"/>
              <w:left w:val="nil"/>
              <w:bottom w:val="nil"/>
              <w:right w:val="nil"/>
            </w:tcBorders>
            <w:shd w:val="clear" w:color="auto" w:fill="auto"/>
            <w:noWrap/>
            <w:vAlign w:val="bottom"/>
            <w:hideMark/>
          </w:tcPr>
          <w:p w14:paraId="5122FD47"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0.3765</w:t>
            </w:r>
          </w:p>
        </w:tc>
        <w:tc>
          <w:tcPr>
            <w:tcW w:w="0" w:type="auto"/>
            <w:tcBorders>
              <w:top w:val="nil"/>
              <w:left w:val="nil"/>
              <w:bottom w:val="nil"/>
              <w:right w:val="nil"/>
            </w:tcBorders>
            <w:shd w:val="clear" w:color="auto" w:fill="auto"/>
            <w:noWrap/>
            <w:vAlign w:val="bottom"/>
            <w:hideMark/>
          </w:tcPr>
          <w:p w14:paraId="465B7518"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-0.0965</w:t>
            </w:r>
          </w:p>
        </w:tc>
        <w:tc>
          <w:tcPr>
            <w:tcW w:w="0" w:type="auto"/>
            <w:tcBorders>
              <w:top w:val="nil"/>
              <w:left w:val="nil"/>
              <w:bottom w:val="nil"/>
              <w:right w:val="nil"/>
            </w:tcBorders>
            <w:shd w:val="clear" w:color="auto" w:fill="auto"/>
            <w:noWrap/>
            <w:vAlign w:val="bottom"/>
            <w:hideMark/>
          </w:tcPr>
          <w:p w14:paraId="3DA7ED90"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0.0938</w:t>
            </w:r>
          </w:p>
        </w:tc>
      </w:tr>
      <w:tr w:rsidR="00CF16A4" w:rsidRPr="007F79B9" w14:paraId="7A412A10" w14:textId="77777777" w:rsidTr="00312157">
        <w:trPr>
          <w:trHeight w:val="300"/>
          <w:jc w:val="center"/>
        </w:trPr>
        <w:tc>
          <w:tcPr>
            <w:tcW w:w="0" w:type="auto"/>
            <w:tcBorders>
              <w:top w:val="nil"/>
              <w:left w:val="nil"/>
              <w:bottom w:val="nil"/>
              <w:right w:val="nil"/>
            </w:tcBorders>
            <w:shd w:val="clear" w:color="auto" w:fill="auto"/>
            <w:noWrap/>
            <w:vAlign w:val="bottom"/>
            <w:hideMark/>
          </w:tcPr>
          <w:p w14:paraId="4A3343E6" w14:textId="77777777" w:rsidR="00CF16A4" w:rsidRPr="007F79B9" w:rsidRDefault="00CF16A4" w:rsidP="00312157">
            <w:pPr>
              <w:spacing w:after="0" w:line="240" w:lineRule="auto"/>
              <w:rPr>
                <w:rFonts w:ascii="Calibri" w:eastAsia="Times New Roman" w:hAnsi="Calibri" w:cs="Times New Roman"/>
                <w:b/>
                <w:color w:val="000000"/>
                <w:lang w:eastAsia="en-GB"/>
              </w:rPr>
            </w:pPr>
          </w:p>
        </w:tc>
        <w:tc>
          <w:tcPr>
            <w:tcW w:w="0" w:type="auto"/>
            <w:tcBorders>
              <w:top w:val="nil"/>
              <w:left w:val="nil"/>
              <w:bottom w:val="nil"/>
              <w:right w:val="nil"/>
            </w:tcBorders>
            <w:shd w:val="clear" w:color="auto" w:fill="auto"/>
            <w:noWrap/>
            <w:vAlign w:val="bottom"/>
            <w:hideMark/>
          </w:tcPr>
          <w:p w14:paraId="2BC0A540" w14:textId="77777777" w:rsidR="00CF16A4" w:rsidRPr="007F79B9" w:rsidRDefault="00CF16A4" w:rsidP="00312157">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189041CC"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(0.1301)</w:t>
            </w:r>
          </w:p>
        </w:tc>
        <w:tc>
          <w:tcPr>
            <w:tcW w:w="0" w:type="auto"/>
            <w:tcBorders>
              <w:top w:val="nil"/>
              <w:left w:val="nil"/>
              <w:bottom w:val="nil"/>
              <w:right w:val="nil"/>
            </w:tcBorders>
            <w:shd w:val="clear" w:color="auto" w:fill="auto"/>
            <w:noWrap/>
            <w:vAlign w:val="bottom"/>
            <w:hideMark/>
          </w:tcPr>
          <w:p w14:paraId="7138F5C4"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(0.1370)</w:t>
            </w:r>
          </w:p>
        </w:tc>
        <w:tc>
          <w:tcPr>
            <w:tcW w:w="0" w:type="auto"/>
            <w:tcBorders>
              <w:top w:val="nil"/>
              <w:left w:val="nil"/>
              <w:bottom w:val="nil"/>
              <w:right w:val="nil"/>
            </w:tcBorders>
            <w:shd w:val="clear" w:color="auto" w:fill="auto"/>
            <w:noWrap/>
            <w:vAlign w:val="bottom"/>
            <w:hideMark/>
          </w:tcPr>
          <w:p w14:paraId="3139450F"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(0.0668)</w:t>
            </w:r>
          </w:p>
        </w:tc>
        <w:tc>
          <w:tcPr>
            <w:tcW w:w="0" w:type="auto"/>
            <w:tcBorders>
              <w:top w:val="nil"/>
              <w:left w:val="nil"/>
              <w:bottom w:val="nil"/>
              <w:right w:val="nil"/>
            </w:tcBorders>
            <w:shd w:val="clear" w:color="auto" w:fill="auto"/>
            <w:noWrap/>
            <w:vAlign w:val="bottom"/>
            <w:hideMark/>
          </w:tcPr>
          <w:p w14:paraId="7D1B16CE"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(0.2475)</w:t>
            </w:r>
          </w:p>
        </w:tc>
        <w:tc>
          <w:tcPr>
            <w:tcW w:w="0" w:type="auto"/>
            <w:tcBorders>
              <w:top w:val="nil"/>
              <w:left w:val="nil"/>
              <w:bottom w:val="nil"/>
              <w:right w:val="nil"/>
            </w:tcBorders>
            <w:shd w:val="clear" w:color="auto" w:fill="auto"/>
            <w:noWrap/>
            <w:vAlign w:val="bottom"/>
            <w:hideMark/>
          </w:tcPr>
          <w:p w14:paraId="1346CC2F"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(0.2568)</w:t>
            </w:r>
          </w:p>
        </w:tc>
        <w:tc>
          <w:tcPr>
            <w:tcW w:w="0" w:type="auto"/>
            <w:tcBorders>
              <w:top w:val="nil"/>
              <w:left w:val="nil"/>
              <w:bottom w:val="nil"/>
              <w:right w:val="nil"/>
            </w:tcBorders>
            <w:shd w:val="clear" w:color="auto" w:fill="auto"/>
            <w:noWrap/>
            <w:vAlign w:val="bottom"/>
            <w:hideMark/>
          </w:tcPr>
          <w:p w14:paraId="1E13D78E"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(0.2396)</w:t>
            </w:r>
          </w:p>
        </w:tc>
      </w:tr>
      <w:tr w:rsidR="00CF16A4" w:rsidRPr="007F79B9" w14:paraId="282B3580" w14:textId="77777777" w:rsidTr="00312157">
        <w:trPr>
          <w:trHeight w:val="300"/>
          <w:jc w:val="center"/>
        </w:trPr>
        <w:tc>
          <w:tcPr>
            <w:tcW w:w="0" w:type="auto"/>
            <w:tcBorders>
              <w:top w:val="nil"/>
              <w:left w:val="nil"/>
              <w:bottom w:val="nil"/>
              <w:right w:val="nil"/>
            </w:tcBorders>
            <w:shd w:val="clear" w:color="auto" w:fill="auto"/>
            <w:noWrap/>
            <w:vAlign w:val="bottom"/>
            <w:hideMark/>
          </w:tcPr>
          <w:p w14:paraId="30F7B2F5" w14:textId="77777777" w:rsidR="00CF16A4" w:rsidRPr="007F79B9" w:rsidRDefault="00CF16A4" w:rsidP="00312157">
            <w:pPr>
              <w:spacing w:after="0" w:line="240" w:lineRule="auto"/>
              <w:rPr>
                <w:rFonts w:ascii="Calibri" w:eastAsia="Times New Roman" w:hAnsi="Calibri" w:cs="Times New Roman"/>
                <w:b/>
                <w:color w:val="000000"/>
                <w:lang w:eastAsia="en-GB"/>
              </w:rPr>
            </w:pPr>
          </w:p>
        </w:tc>
        <w:tc>
          <w:tcPr>
            <w:tcW w:w="0" w:type="auto"/>
            <w:tcBorders>
              <w:top w:val="nil"/>
              <w:left w:val="nil"/>
              <w:bottom w:val="nil"/>
              <w:right w:val="nil"/>
            </w:tcBorders>
            <w:shd w:val="clear" w:color="auto" w:fill="auto"/>
            <w:noWrap/>
            <w:vAlign w:val="bottom"/>
            <w:hideMark/>
          </w:tcPr>
          <w:p w14:paraId="29992052" w14:textId="77777777" w:rsidR="00CF16A4" w:rsidRPr="007F79B9" w:rsidRDefault="008706FB" w:rsidP="00312157">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y1898</w:t>
            </w:r>
          </w:p>
        </w:tc>
        <w:tc>
          <w:tcPr>
            <w:tcW w:w="0" w:type="auto"/>
            <w:tcBorders>
              <w:top w:val="nil"/>
              <w:left w:val="nil"/>
              <w:bottom w:val="nil"/>
              <w:right w:val="nil"/>
            </w:tcBorders>
            <w:shd w:val="clear" w:color="auto" w:fill="auto"/>
            <w:noWrap/>
            <w:vAlign w:val="bottom"/>
            <w:hideMark/>
          </w:tcPr>
          <w:p w14:paraId="7279AFEB"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0.1877***</w:t>
            </w:r>
          </w:p>
        </w:tc>
        <w:tc>
          <w:tcPr>
            <w:tcW w:w="0" w:type="auto"/>
            <w:tcBorders>
              <w:top w:val="nil"/>
              <w:left w:val="nil"/>
              <w:bottom w:val="nil"/>
              <w:right w:val="nil"/>
            </w:tcBorders>
            <w:shd w:val="clear" w:color="auto" w:fill="auto"/>
            <w:noWrap/>
            <w:vAlign w:val="bottom"/>
            <w:hideMark/>
          </w:tcPr>
          <w:p w14:paraId="415ECB2C"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0.1829***</w:t>
            </w:r>
          </w:p>
        </w:tc>
        <w:tc>
          <w:tcPr>
            <w:tcW w:w="0" w:type="auto"/>
            <w:tcBorders>
              <w:top w:val="nil"/>
              <w:left w:val="nil"/>
              <w:bottom w:val="nil"/>
              <w:right w:val="nil"/>
            </w:tcBorders>
            <w:shd w:val="clear" w:color="auto" w:fill="auto"/>
            <w:noWrap/>
            <w:vAlign w:val="bottom"/>
            <w:hideMark/>
          </w:tcPr>
          <w:p w14:paraId="6CA53A1D"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0.0426***</w:t>
            </w:r>
          </w:p>
        </w:tc>
        <w:tc>
          <w:tcPr>
            <w:tcW w:w="0" w:type="auto"/>
            <w:tcBorders>
              <w:top w:val="nil"/>
              <w:left w:val="nil"/>
              <w:bottom w:val="nil"/>
              <w:right w:val="nil"/>
            </w:tcBorders>
            <w:shd w:val="clear" w:color="auto" w:fill="auto"/>
            <w:noWrap/>
            <w:vAlign w:val="bottom"/>
            <w:hideMark/>
          </w:tcPr>
          <w:p w14:paraId="19B3504A"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0.5506***</w:t>
            </w:r>
          </w:p>
        </w:tc>
        <w:tc>
          <w:tcPr>
            <w:tcW w:w="0" w:type="auto"/>
            <w:tcBorders>
              <w:top w:val="nil"/>
              <w:left w:val="nil"/>
              <w:bottom w:val="nil"/>
              <w:right w:val="nil"/>
            </w:tcBorders>
            <w:shd w:val="clear" w:color="auto" w:fill="auto"/>
            <w:noWrap/>
            <w:vAlign w:val="bottom"/>
            <w:hideMark/>
          </w:tcPr>
          <w:p w14:paraId="0F1BF423"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0.0250</w:t>
            </w:r>
          </w:p>
        </w:tc>
        <w:tc>
          <w:tcPr>
            <w:tcW w:w="0" w:type="auto"/>
            <w:tcBorders>
              <w:top w:val="nil"/>
              <w:left w:val="nil"/>
              <w:bottom w:val="nil"/>
              <w:right w:val="nil"/>
            </w:tcBorders>
            <w:shd w:val="clear" w:color="auto" w:fill="auto"/>
            <w:noWrap/>
            <w:vAlign w:val="bottom"/>
            <w:hideMark/>
          </w:tcPr>
          <w:p w14:paraId="3E71A09B"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-0.0058</w:t>
            </w:r>
          </w:p>
        </w:tc>
      </w:tr>
      <w:tr w:rsidR="00CF16A4" w:rsidRPr="007F79B9" w14:paraId="360A25AE" w14:textId="77777777" w:rsidTr="00312157">
        <w:trPr>
          <w:trHeight w:val="300"/>
          <w:jc w:val="center"/>
        </w:trPr>
        <w:tc>
          <w:tcPr>
            <w:tcW w:w="0" w:type="auto"/>
            <w:tcBorders>
              <w:top w:val="nil"/>
              <w:left w:val="nil"/>
              <w:bottom w:val="nil"/>
              <w:right w:val="nil"/>
            </w:tcBorders>
            <w:shd w:val="clear" w:color="auto" w:fill="auto"/>
            <w:noWrap/>
            <w:vAlign w:val="bottom"/>
            <w:hideMark/>
          </w:tcPr>
          <w:p w14:paraId="1CB02527" w14:textId="77777777" w:rsidR="00CF16A4" w:rsidRPr="007F79B9" w:rsidRDefault="00CF16A4" w:rsidP="00312157">
            <w:pPr>
              <w:spacing w:after="0" w:line="240" w:lineRule="auto"/>
              <w:rPr>
                <w:rFonts w:ascii="Calibri" w:eastAsia="Times New Roman" w:hAnsi="Calibri" w:cs="Times New Roman"/>
                <w:b/>
                <w:color w:val="000000"/>
                <w:lang w:eastAsia="en-GB"/>
              </w:rPr>
            </w:pPr>
          </w:p>
        </w:tc>
        <w:tc>
          <w:tcPr>
            <w:tcW w:w="0" w:type="auto"/>
            <w:tcBorders>
              <w:top w:val="nil"/>
              <w:left w:val="nil"/>
              <w:bottom w:val="nil"/>
              <w:right w:val="nil"/>
            </w:tcBorders>
            <w:shd w:val="clear" w:color="auto" w:fill="auto"/>
            <w:noWrap/>
            <w:vAlign w:val="bottom"/>
            <w:hideMark/>
          </w:tcPr>
          <w:p w14:paraId="2C8DFEBE" w14:textId="77777777" w:rsidR="00CF16A4" w:rsidRPr="007F79B9" w:rsidRDefault="00CF16A4" w:rsidP="00312157">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5E7293FE"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(0.0447)</w:t>
            </w:r>
          </w:p>
        </w:tc>
        <w:tc>
          <w:tcPr>
            <w:tcW w:w="0" w:type="auto"/>
            <w:tcBorders>
              <w:top w:val="nil"/>
              <w:left w:val="nil"/>
              <w:bottom w:val="nil"/>
              <w:right w:val="nil"/>
            </w:tcBorders>
            <w:shd w:val="clear" w:color="auto" w:fill="auto"/>
            <w:noWrap/>
            <w:vAlign w:val="bottom"/>
            <w:hideMark/>
          </w:tcPr>
          <w:p w14:paraId="6CA4505C"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(0.0474)</w:t>
            </w:r>
          </w:p>
        </w:tc>
        <w:tc>
          <w:tcPr>
            <w:tcW w:w="0" w:type="auto"/>
            <w:tcBorders>
              <w:top w:val="nil"/>
              <w:left w:val="nil"/>
              <w:bottom w:val="nil"/>
              <w:right w:val="nil"/>
            </w:tcBorders>
            <w:shd w:val="clear" w:color="auto" w:fill="auto"/>
            <w:noWrap/>
            <w:vAlign w:val="bottom"/>
            <w:hideMark/>
          </w:tcPr>
          <w:p w14:paraId="76ABD87F"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(0.0212)</w:t>
            </w:r>
          </w:p>
        </w:tc>
        <w:tc>
          <w:tcPr>
            <w:tcW w:w="0" w:type="auto"/>
            <w:tcBorders>
              <w:top w:val="nil"/>
              <w:left w:val="nil"/>
              <w:bottom w:val="nil"/>
              <w:right w:val="nil"/>
            </w:tcBorders>
            <w:shd w:val="clear" w:color="auto" w:fill="auto"/>
            <w:noWrap/>
            <w:vAlign w:val="bottom"/>
            <w:hideMark/>
          </w:tcPr>
          <w:p w14:paraId="399D82BD"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(0.0720)</w:t>
            </w:r>
          </w:p>
        </w:tc>
        <w:tc>
          <w:tcPr>
            <w:tcW w:w="0" w:type="auto"/>
            <w:tcBorders>
              <w:top w:val="nil"/>
              <w:left w:val="nil"/>
              <w:bottom w:val="nil"/>
              <w:right w:val="nil"/>
            </w:tcBorders>
            <w:shd w:val="clear" w:color="auto" w:fill="auto"/>
            <w:noWrap/>
            <w:vAlign w:val="bottom"/>
            <w:hideMark/>
          </w:tcPr>
          <w:p w14:paraId="6AAD5736"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(0.0994)</w:t>
            </w:r>
          </w:p>
        </w:tc>
        <w:tc>
          <w:tcPr>
            <w:tcW w:w="0" w:type="auto"/>
            <w:tcBorders>
              <w:top w:val="nil"/>
              <w:left w:val="nil"/>
              <w:bottom w:val="nil"/>
              <w:right w:val="nil"/>
            </w:tcBorders>
            <w:shd w:val="clear" w:color="auto" w:fill="auto"/>
            <w:noWrap/>
            <w:vAlign w:val="bottom"/>
            <w:hideMark/>
          </w:tcPr>
          <w:p w14:paraId="16F7A88F"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(0.0968)</w:t>
            </w:r>
          </w:p>
        </w:tc>
      </w:tr>
      <w:tr w:rsidR="00CF16A4" w:rsidRPr="007F79B9" w14:paraId="3DCF2E7F" w14:textId="77777777" w:rsidTr="00312157">
        <w:trPr>
          <w:trHeight w:val="300"/>
          <w:jc w:val="center"/>
        </w:trPr>
        <w:tc>
          <w:tcPr>
            <w:tcW w:w="0" w:type="auto"/>
            <w:tcBorders>
              <w:top w:val="nil"/>
              <w:left w:val="nil"/>
              <w:bottom w:val="nil"/>
              <w:right w:val="nil"/>
            </w:tcBorders>
            <w:shd w:val="clear" w:color="auto" w:fill="auto"/>
            <w:noWrap/>
            <w:vAlign w:val="bottom"/>
            <w:hideMark/>
          </w:tcPr>
          <w:p w14:paraId="3E5452BC" w14:textId="77777777" w:rsidR="00CF16A4" w:rsidRPr="007F79B9" w:rsidRDefault="00CF16A4" w:rsidP="00312157">
            <w:pPr>
              <w:spacing w:after="0" w:line="240" w:lineRule="auto"/>
              <w:rPr>
                <w:rFonts w:ascii="Calibri" w:eastAsia="Times New Roman" w:hAnsi="Calibri" w:cs="Times New Roman"/>
                <w:b/>
                <w:color w:val="000000"/>
                <w:lang w:eastAsia="en-GB"/>
              </w:rPr>
            </w:pPr>
          </w:p>
        </w:tc>
        <w:tc>
          <w:tcPr>
            <w:tcW w:w="0" w:type="auto"/>
            <w:tcBorders>
              <w:top w:val="nil"/>
              <w:left w:val="nil"/>
              <w:bottom w:val="nil"/>
              <w:right w:val="nil"/>
            </w:tcBorders>
            <w:shd w:val="clear" w:color="auto" w:fill="auto"/>
            <w:noWrap/>
            <w:vAlign w:val="bottom"/>
            <w:hideMark/>
          </w:tcPr>
          <w:p w14:paraId="43F6DDEC" w14:textId="77777777" w:rsidR="00CF16A4" w:rsidRPr="007F79B9" w:rsidRDefault="008706FB" w:rsidP="00312157">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y1881</w:t>
            </w:r>
          </w:p>
        </w:tc>
        <w:tc>
          <w:tcPr>
            <w:tcW w:w="0" w:type="auto"/>
            <w:tcBorders>
              <w:top w:val="nil"/>
              <w:left w:val="nil"/>
              <w:bottom w:val="nil"/>
              <w:right w:val="nil"/>
            </w:tcBorders>
            <w:shd w:val="clear" w:color="auto" w:fill="auto"/>
            <w:noWrap/>
            <w:vAlign w:val="bottom"/>
            <w:hideMark/>
          </w:tcPr>
          <w:p w14:paraId="70AC8897"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0.0123</w:t>
            </w:r>
          </w:p>
        </w:tc>
        <w:tc>
          <w:tcPr>
            <w:tcW w:w="0" w:type="auto"/>
            <w:tcBorders>
              <w:top w:val="nil"/>
              <w:left w:val="nil"/>
              <w:bottom w:val="nil"/>
              <w:right w:val="nil"/>
            </w:tcBorders>
            <w:shd w:val="clear" w:color="auto" w:fill="auto"/>
            <w:noWrap/>
            <w:vAlign w:val="bottom"/>
            <w:hideMark/>
          </w:tcPr>
          <w:p w14:paraId="2600EB3D"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-0.0696</w:t>
            </w:r>
          </w:p>
        </w:tc>
        <w:tc>
          <w:tcPr>
            <w:tcW w:w="0" w:type="auto"/>
            <w:tcBorders>
              <w:top w:val="nil"/>
              <w:left w:val="nil"/>
              <w:bottom w:val="nil"/>
              <w:right w:val="nil"/>
            </w:tcBorders>
            <w:shd w:val="clear" w:color="auto" w:fill="auto"/>
            <w:noWrap/>
            <w:vAlign w:val="bottom"/>
            <w:hideMark/>
          </w:tcPr>
          <w:p w14:paraId="0C4D49AC"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-0.0530</w:t>
            </w:r>
          </w:p>
        </w:tc>
        <w:tc>
          <w:tcPr>
            <w:tcW w:w="0" w:type="auto"/>
            <w:tcBorders>
              <w:top w:val="nil"/>
              <w:left w:val="nil"/>
              <w:bottom w:val="nil"/>
              <w:right w:val="nil"/>
            </w:tcBorders>
            <w:shd w:val="clear" w:color="auto" w:fill="auto"/>
            <w:noWrap/>
            <w:vAlign w:val="bottom"/>
            <w:hideMark/>
          </w:tcPr>
          <w:p w14:paraId="0C0FFC0B"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0.1266</w:t>
            </w:r>
          </w:p>
        </w:tc>
        <w:tc>
          <w:tcPr>
            <w:tcW w:w="0" w:type="auto"/>
            <w:tcBorders>
              <w:top w:val="nil"/>
              <w:left w:val="nil"/>
              <w:bottom w:val="nil"/>
              <w:right w:val="nil"/>
            </w:tcBorders>
            <w:shd w:val="clear" w:color="auto" w:fill="auto"/>
            <w:noWrap/>
            <w:vAlign w:val="bottom"/>
            <w:hideMark/>
          </w:tcPr>
          <w:p w14:paraId="5C44DA15"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0.3465</w:t>
            </w:r>
          </w:p>
        </w:tc>
        <w:tc>
          <w:tcPr>
            <w:tcW w:w="0" w:type="auto"/>
            <w:tcBorders>
              <w:top w:val="nil"/>
              <w:left w:val="nil"/>
              <w:bottom w:val="nil"/>
              <w:right w:val="nil"/>
            </w:tcBorders>
            <w:shd w:val="clear" w:color="auto" w:fill="auto"/>
            <w:noWrap/>
            <w:vAlign w:val="bottom"/>
            <w:hideMark/>
          </w:tcPr>
          <w:p w14:paraId="586F3849"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0.6192*</w:t>
            </w:r>
          </w:p>
        </w:tc>
      </w:tr>
      <w:tr w:rsidR="00CF16A4" w:rsidRPr="007F79B9" w14:paraId="7C7F1BA6" w14:textId="77777777" w:rsidTr="00312157">
        <w:trPr>
          <w:trHeight w:val="300"/>
          <w:jc w:val="center"/>
        </w:trPr>
        <w:tc>
          <w:tcPr>
            <w:tcW w:w="0" w:type="auto"/>
            <w:tcBorders>
              <w:top w:val="nil"/>
              <w:left w:val="nil"/>
              <w:bottom w:val="nil"/>
              <w:right w:val="nil"/>
            </w:tcBorders>
            <w:shd w:val="clear" w:color="auto" w:fill="auto"/>
            <w:noWrap/>
            <w:vAlign w:val="bottom"/>
            <w:hideMark/>
          </w:tcPr>
          <w:p w14:paraId="5037A024" w14:textId="77777777" w:rsidR="00CF16A4" w:rsidRPr="007F79B9" w:rsidRDefault="00CF16A4" w:rsidP="00312157">
            <w:pPr>
              <w:spacing w:after="0" w:line="240" w:lineRule="auto"/>
              <w:rPr>
                <w:rFonts w:ascii="Calibri" w:eastAsia="Times New Roman" w:hAnsi="Calibri" w:cs="Times New Roman"/>
                <w:b/>
                <w:color w:val="000000"/>
                <w:lang w:eastAsia="en-GB"/>
              </w:rPr>
            </w:pPr>
          </w:p>
        </w:tc>
        <w:tc>
          <w:tcPr>
            <w:tcW w:w="0" w:type="auto"/>
            <w:tcBorders>
              <w:top w:val="nil"/>
              <w:left w:val="nil"/>
              <w:bottom w:val="nil"/>
              <w:right w:val="nil"/>
            </w:tcBorders>
            <w:shd w:val="clear" w:color="auto" w:fill="auto"/>
            <w:noWrap/>
            <w:vAlign w:val="bottom"/>
            <w:hideMark/>
          </w:tcPr>
          <w:p w14:paraId="01077566" w14:textId="77777777" w:rsidR="00CF16A4" w:rsidRPr="007F79B9" w:rsidRDefault="00CF16A4" w:rsidP="00312157">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14:paraId="162F8840"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(0.1536)</w:t>
            </w:r>
          </w:p>
        </w:tc>
        <w:tc>
          <w:tcPr>
            <w:tcW w:w="0" w:type="auto"/>
            <w:tcBorders>
              <w:top w:val="nil"/>
              <w:left w:val="nil"/>
              <w:bottom w:val="nil"/>
              <w:right w:val="nil"/>
            </w:tcBorders>
            <w:shd w:val="clear" w:color="auto" w:fill="auto"/>
            <w:noWrap/>
            <w:vAlign w:val="bottom"/>
            <w:hideMark/>
          </w:tcPr>
          <w:p w14:paraId="388AA996"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(0.1781)</w:t>
            </w:r>
          </w:p>
        </w:tc>
        <w:tc>
          <w:tcPr>
            <w:tcW w:w="0" w:type="auto"/>
            <w:tcBorders>
              <w:top w:val="nil"/>
              <w:left w:val="nil"/>
              <w:bottom w:val="nil"/>
              <w:right w:val="nil"/>
            </w:tcBorders>
            <w:shd w:val="clear" w:color="auto" w:fill="auto"/>
            <w:noWrap/>
            <w:vAlign w:val="bottom"/>
            <w:hideMark/>
          </w:tcPr>
          <w:p w14:paraId="3A98B686"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(0.0645)</w:t>
            </w:r>
          </w:p>
        </w:tc>
        <w:tc>
          <w:tcPr>
            <w:tcW w:w="0" w:type="auto"/>
            <w:tcBorders>
              <w:top w:val="nil"/>
              <w:left w:val="nil"/>
              <w:bottom w:val="nil"/>
              <w:right w:val="nil"/>
            </w:tcBorders>
            <w:shd w:val="clear" w:color="auto" w:fill="auto"/>
            <w:noWrap/>
            <w:vAlign w:val="bottom"/>
            <w:hideMark/>
          </w:tcPr>
          <w:p w14:paraId="0F9EF85E"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(0.3174)</w:t>
            </w:r>
          </w:p>
        </w:tc>
        <w:tc>
          <w:tcPr>
            <w:tcW w:w="0" w:type="auto"/>
            <w:tcBorders>
              <w:top w:val="nil"/>
              <w:left w:val="nil"/>
              <w:bottom w:val="nil"/>
              <w:right w:val="nil"/>
            </w:tcBorders>
            <w:shd w:val="clear" w:color="auto" w:fill="auto"/>
            <w:noWrap/>
            <w:vAlign w:val="bottom"/>
            <w:hideMark/>
          </w:tcPr>
          <w:p w14:paraId="60AADEC6"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(0.3808)</w:t>
            </w:r>
          </w:p>
        </w:tc>
        <w:tc>
          <w:tcPr>
            <w:tcW w:w="0" w:type="auto"/>
            <w:tcBorders>
              <w:top w:val="nil"/>
              <w:left w:val="nil"/>
              <w:bottom w:val="nil"/>
              <w:right w:val="nil"/>
            </w:tcBorders>
            <w:shd w:val="clear" w:color="auto" w:fill="auto"/>
            <w:noWrap/>
            <w:vAlign w:val="bottom"/>
            <w:hideMark/>
          </w:tcPr>
          <w:p w14:paraId="16314DB7"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(0.3726)</w:t>
            </w:r>
          </w:p>
        </w:tc>
      </w:tr>
      <w:tr w:rsidR="00CF16A4" w:rsidRPr="007F79B9" w14:paraId="674E1743" w14:textId="77777777" w:rsidTr="00312157">
        <w:trPr>
          <w:trHeight w:val="300"/>
          <w:jc w:val="center"/>
        </w:trPr>
        <w:tc>
          <w:tcPr>
            <w:tcW w:w="0" w:type="auto"/>
            <w:tcBorders>
              <w:top w:val="nil"/>
              <w:left w:val="nil"/>
              <w:right w:val="nil"/>
            </w:tcBorders>
            <w:shd w:val="clear" w:color="auto" w:fill="auto"/>
            <w:noWrap/>
            <w:vAlign w:val="bottom"/>
            <w:hideMark/>
          </w:tcPr>
          <w:p w14:paraId="3354BC05" w14:textId="77777777" w:rsidR="00CF16A4" w:rsidRPr="007F79B9" w:rsidRDefault="00CF16A4" w:rsidP="00312157">
            <w:pPr>
              <w:spacing w:after="0" w:line="240" w:lineRule="auto"/>
              <w:rPr>
                <w:rFonts w:ascii="Calibri" w:eastAsia="Times New Roman" w:hAnsi="Calibri" w:cs="Times New Roman"/>
                <w:b/>
                <w:color w:val="000000"/>
                <w:lang w:eastAsia="en-GB"/>
              </w:rPr>
            </w:pPr>
          </w:p>
        </w:tc>
        <w:tc>
          <w:tcPr>
            <w:tcW w:w="0" w:type="auto"/>
            <w:tcBorders>
              <w:top w:val="nil"/>
              <w:left w:val="nil"/>
              <w:right w:val="nil"/>
            </w:tcBorders>
            <w:shd w:val="clear" w:color="auto" w:fill="auto"/>
            <w:noWrap/>
            <w:vAlign w:val="bottom"/>
            <w:hideMark/>
          </w:tcPr>
          <w:p w14:paraId="54BDEA73" w14:textId="77777777" w:rsidR="00CF16A4" w:rsidRPr="007F79B9" w:rsidRDefault="008706FB" w:rsidP="00312157">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y1884</w:t>
            </w:r>
          </w:p>
        </w:tc>
        <w:tc>
          <w:tcPr>
            <w:tcW w:w="0" w:type="auto"/>
            <w:tcBorders>
              <w:top w:val="nil"/>
              <w:left w:val="nil"/>
              <w:right w:val="nil"/>
            </w:tcBorders>
            <w:shd w:val="clear" w:color="auto" w:fill="auto"/>
            <w:noWrap/>
            <w:vAlign w:val="bottom"/>
            <w:hideMark/>
          </w:tcPr>
          <w:p w14:paraId="14D8276E"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0.0019</w:t>
            </w:r>
          </w:p>
        </w:tc>
        <w:tc>
          <w:tcPr>
            <w:tcW w:w="0" w:type="auto"/>
            <w:tcBorders>
              <w:top w:val="nil"/>
              <w:left w:val="nil"/>
              <w:right w:val="nil"/>
            </w:tcBorders>
            <w:shd w:val="clear" w:color="auto" w:fill="auto"/>
            <w:noWrap/>
            <w:vAlign w:val="bottom"/>
            <w:hideMark/>
          </w:tcPr>
          <w:p w14:paraId="436D5EC8"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-0.0037</w:t>
            </w:r>
          </w:p>
        </w:tc>
        <w:tc>
          <w:tcPr>
            <w:tcW w:w="0" w:type="auto"/>
            <w:tcBorders>
              <w:top w:val="nil"/>
              <w:left w:val="nil"/>
              <w:right w:val="nil"/>
            </w:tcBorders>
            <w:shd w:val="clear" w:color="auto" w:fill="auto"/>
            <w:noWrap/>
            <w:vAlign w:val="bottom"/>
            <w:hideMark/>
          </w:tcPr>
          <w:p w14:paraId="55DA04DC"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-0.0049</w:t>
            </w:r>
          </w:p>
        </w:tc>
        <w:tc>
          <w:tcPr>
            <w:tcW w:w="0" w:type="auto"/>
            <w:tcBorders>
              <w:top w:val="nil"/>
              <w:left w:val="nil"/>
              <w:right w:val="nil"/>
            </w:tcBorders>
            <w:shd w:val="clear" w:color="auto" w:fill="auto"/>
            <w:noWrap/>
            <w:vAlign w:val="bottom"/>
            <w:hideMark/>
          </w:tcPr>
          <w:p w14:paraId="27F93C79"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0.0110</w:t>
            </w:r>
          </w:p>
        </w:tc>
        <w:tc>
          <w:tcPr>
            <w:tcW w:w="0" w:type="auto"/>
            <w:tcBorders>
              <w:top w:val="nil"/>
              <w:left w:val="nil"/>
              <w:right w:val="nil"/>
            </w:tcBorders>
            <w:shd w:val="clear" w:color="auto" w:fill="auto"/>
            <w:noWrap/>
            <w:vAlign w:val="bottom"/>
            <w:hideMark/>
          </w:tcPr>
          <w:p w14:paraId="1F91AB8D"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0.0220</w:t>
            </w:r>
          </w:p>
        </w:tc>
        <w:tc>
          <w:tcPr>
            <w:tcW w:w="0" w:type="auto"/>
            <w:tcBorders>
              <w:top w:val="nil"/>
              <w:left w:val="nil"/>
              <w:right w:val="nil"/>
            </w:tcBorders>
            <w:shd w:val="clear" w:color="auto" w:fill="auto"/>
            <w:noWrap/>
            <w:vAlign w:val="bottom"/>
            <w:hideMark/>
          </w:tcPr>
          <w:p w14:paraId="326EFF8A"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0.9550**</w:t>
            </w:r>
          </w:p>
        </w:tc>
      </w:tr>
      <w:tr w:rsidR="00CF16A4" w:rsidRPr="007F79B9" w14:paraId="12FDEB02" w14:textId="77777777" w:rsidTr="00312157">
        <w:trPr>
          <w:trHeight w:val="300"/>
          <w:jc w:val="center"/>
        </w:trPr>
        <w:tc>
          <w:tcPr>
            <w:tcW w:w="0" w:type="auto"/>
            <w:tcBorders>
              <w:top w:val="nil"/>
              <w:left w:val="nil"/>
              <w:bottom w:val="single" w:sz="4" w:space="0" w:color="auto"/>
              <w:right w:val="nil"/>
            </w:tcBorders>
            <w:shd w:val="clear" w:color="auto" w:fill="auto"/>
            <w:noWrap/>
            <w:vAlign w:val="bottom"/>
            <w:hideMark/>
          </w:tcPr>
          <w:p w14:paraId="39DF6624" w14:textId="77777777" w:rsidR="00CF16A4" w:rsidRPr="007F79B9" w:rsidRDefault="00CF16A4" w:rsidP="00312157">
            <w:pPr>
              <w:spacing w:after="0" w:line="240" w:lineRule="auto"/>
              <w:rPr>
                <w:rFonts w:ascii="Calibri" w:eastAsia="Times New Roman" w:hAnsi="Calibri" w:cs="Times New Roman"/>
                <w:b/>
                <w:color w:val="000000"/>
                <w:lang w:eastAsia="en-GB"/>
              </w:rPr>
            </w:pPr>
          </w:p>
        </w:tc>
        <w:tc>
          <w:tcPr>
            <w:tcW w:w="0" w:type="auto"/>
            <w:tcBorders>
              <w:top w:val="nil"/>
              <w:left w:val="nil"/>
              <w:bottom w:val="single" w:sz="4" w:space="0" w:color="auto"/>
              <w:right w:val="nil"/>
            </w:tcBorders>
            <w:shd w:val="clear" w:color="auto" w:fill="auto"/>
            <w:noWrap/>
            <w:vAlign w:val="bottom"/>
            <w:hideMark/>
          </w:tcPr>
          <w:p w14:paraId="4A5E5622" w14:textId="77777777" w:rsidR="00CF16A4" w:rsidRPr="007F79B9" w:rsidRDefault="00CF16A4" w:rsidP="00312157">
            <w:pPr>
              <w:spacing w:after="0" w:line="240" w:lineRule="auto"/>
              <w:rPr>
                <w:rFonts w:ascii="Calibri" w:eastAsia="Times New Roman" w:hAnsi="Calibri" w:cs="Times New Roman"/>
                <w:color w:val="000000"/>
                <w:lang w:eastAsia="en-GB"/>
              </w:rPr>
            </w:pPr>
          </w:p>
        </w:tc>
        <w:tc>
          <w:tcPr>
            <w:tcW w:w="0" w:type="auto"/>
            <w:tcBorders>
              <w:top w:val="nil"/>
              <w:left w:val="nil"/>
              <w:bottom w:val="single" w:sz="4" w:space="0" w:color="auto"/>
              <w:right w:val="nil"/>
            </w:tcBorders>
            <w:shd w:val="clear" w:color="auto" w:fill="auto"/>
            <w:noWrap/>
            <w:vAlign w:val="bottom"/>
            <w:hideMark/>
          </w:tcPr>
          <w:p w14:paraId="201B3523"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(0.1527)</w:t>
            </w:r>
          </w:p>
        </w:tc>
        <w:tc>
          <w:tcPr>
            <w:tcW w:w="0" w:type="auto"/>
            <w:tcBorders>
              <w:top w:val="nil"/>
              <w:left w:val="nil"/>
              <w:bottom w:val="single" w:sz="4" w:space="0" w:color="auto"/>
              <w:right w:val="nil"/>
            </w:tcBorders>
            <w:shd w:val="clear" w:color="auto" w:fill="auto"/>
            <w:noWrap/>
            <w:vAlign w:val="bottom"/>
            <w:hideMark/>
          </w:tcPr>
          <w:p w14:paraId="4ED250F0"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(0.1715)</w:t>
            </w:r>
          </w:p>
        </w:tc>
        <w:tc>
          <w:tcPr>
            <w:tcW w:w="0" w:type="auto"/>
            <w:tcBorders>
              <w:top w:val="nil"/>
              <w:left w:val="nil"/>
              <w:bottom w:val="single" w:sz="4" w:space="0" w:color="auto"/>
              <w:right w:val="nil"/>
            </w:tcBorders>
            <w:shd w:val="clear" w:color="auto" w:fill="auto"/>
            <w:noWrap/>
            <w:vAlign w:val="bottom"/>
            <w:hideMark/>
          </w:tcPr>
          <w:p w14:paraId="7577DD21"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(0.0634)</w:t>
            </w:r>
          </w:p>
        </w:tc>
        <w:tc>
          <w:tcPr>
            <w:tcW w:w="0" w:type="auto"/>
            <w:tcBorders>
              <w:top w:val="nil"/>
              <w:left w:val="nil"/>
              <w:bottom w:val="single" w:sz="4" w:space="0" w:color="auto"/>
              <w:right w:val="nil"/>
            </w:tcBorders>
            <w:shd w:val="clear" w:color="auto" w:fill="auto"/>
            <w:noWrap/>
            <w:vAlign w:val="bottom"/>
            <w:hideMark/>
          </w:tcPr>
          <w:p w14:paraId="126B21F1"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(0.3092)</w:t>
            </w:r>
          </w:p>
        </w:tc>
        <w:tc>
          <w:tcPr>
            <w:tcW w:w="0" w:type="auto"/>
            <w:tcBorders>
              <w:top w:val="nil"/>
              <w:left w:val="nil"/>
              <w:bottom w:val="single" w:sz="4" w:space="0" w:color="auto"/>
              <w:right w:val="nil"/>
            </w:tcBorders>
            <w:shd w:val="clear" w:color="auto" w:fill="auto"/>
            <w:noWrap/>
            <w:vAlign w:val="bottom"/>
            <w:hideMark/>
          </w:tcPr>
          <w:p w14:paraId="3301E435"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(0.3866)</w:t>
            </w:r>
          </w:p>
        </w:tc>
        <w:tc>
          <w:tcPr>
            <w:tcW w:w="0" w:type="auto"/>
            <w:tcBorders>
              <w:top w:val="nil"/>
              <w:left w:val="nil"/>
              <w:bottom w:val="single" w:sz="4" w:space="0" w:color="auto"/>
              <w:right w:val="nil"/>
            </w:tcBorders>
            <w:shd w:val="clear" w:color="auto" w:fill="auto"/>
            <w:noWrap/>
            <w:vAlign w:val="bottom"/>
            <w:hideMark/>
          </w:tcPr>
          <w:p w14:paraId="6A9C8DEF" w14:textId="77777777" w:rsidR="00CF16A4" w:rsidRPr="007F79B9" w:rsidRDefault="008706FB" w:rsidP="00CF16A4">
            <w:pPr>
              <w:spacing w:after="0" w:line="24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(0.3802)</w:t>
            </w:r>
          </w:p>
        </w:tc>
      </w:tr>
    </w:tbl>
    <w:p w14:paraId="322D75C2" w14:textId="77777777" w:rsidR="00EE11C4" w:rsidRPr="007F79B9" w:rsidRDefault="008706FB" w:rsidP="00DF3150">
      <w:pPr>
        <w:pStyle w:val="ListParagraph"/>
        <w:spacing w:after="0" w:line="240" w:lineRule="auto"/>
        <w:ind w:left="0"/>
        <w:contextualSpacing w:val="0"/>
        <w:jc w:val="both"/>
        <w:rPr>
          <w:sz w:val="28"/>
        </w:rPr>
      </w:pPr>
      <w:r w:rsidRPr="008706FB">
        <w:rPr>
          <w:sz w:val="20"/>
          <w:szCs w:val="16"/>
        </w:rPr>
        <w:t>y</w:t>
      </w:r>
      <w:r>
        <w:rPr>
          <w:sz w:val="20"/>
          <w:szCs w:val="16"/>
          <w:vertAlign w:val="subscript"/>
        </w:rPr>
        <w:t>g</w:t>
      </w:r>
      <w:r w:rsidRPr="008706FB">
        <w:rPr>
          <w:sz w:val="20"/>
          <w:szCs w:val="16"/>
        </w:rPr>
        <w:t xml:space="preserve"> represents the yields of the guaranteed bonds in each case; y</w:t>
      </w:r>
      <w:r>
        <w:rPr>
          <w:sz w:val="20"/>
          <w:szCs w:val="16"/>
          <w:vertAlign w:val="subscript"/>
        </w:rPr>
        <w:t>o1</w:t>
      </w:r>
      <w:r w:rsidRPr="008706FB">
        <w:rPr>
          <w:sz w:val="20"/>
          <w:szCs w:val="16"/>
        </w:rPr>
        <w:t xml:space="preserve"> and y</w:t>
      </w:r>
      <w:r>
        <w:rPr>
          <w:sz w:val="20"/>
          <w:szCs w:val="16"/>
          <w:vertAlign w:val="subscript"/>
        </w:rPr>
        <w:t>o2</w:t>
      </w:r>
      <w:r w:rsidRPr="008706FB">
        <w:rPr>
          <w:sz w:val="20"/>
          <w:szCs w:val="16"/>
        </w:rPr>
        <w:t xml:space="preserve"> stand for the first and second non-guaranteed bond in each case. Standard errors in parenthesis. ***, ** and * denote significant coefficients, respectively at the 1, 5 and 10 % confidence levels.</w:t>
      </w:r>
    </w:p>
    <w:p w14:paraId="150B58A3" w14:textId="77777777" w:rsidR="00734CFC" w:rsidRPr="007F79B9" w:rsidRDefault="008706FB">
      <w:pPr>
        <w:rPr>
          <w:b/>
          <w:sz w:val="24"/>
        </w:rPr>
      </w:pPr>
      <w:r w:rsidRPr="008706FB">
        <w:rPr>
          <w:b/>
          <w:sz w:val="24"/>
        </w:rPr>
        <w:br w:type="page"/>
      </w:r>
    </w:p>
    <w:p w14:paraId="6F5431CA" w14:textId="003636D3" w:rsidR="00734CFC" w:rsidRPr="007F79B9" w:rsidRDefault="008706FB" w:rsidP="00734CFC">
      <w:pPr>
        <w:jc w:val="center"/>
        <w:rPr>
          <w:b/>
        </w:rPr>
      </w:pPr>
      <w:r w:rsidRPr="008706FB">
        <w:rPr>
          <w:b/>
        </w:rPr>
        <w:lastRenderedPageBreak/>
        <w:t xml:space="preserve">Table </w:t>
      </w:r>
      <w:r w:rsidR="00045423">
        <w:rPr>
          <w:b/>
        </w:rPr>
        <w:t>A.3</w:t>
      </w:r>
      <w:r w:rsidRPr="008706FB">
        <w:rPr>
          <w:b/>
        </w:rPr>
        <w:t>: Variance decomposition of Turkish bonds</w:t>
      </w:r>
    </w:p>
    <w:tbl>
      <w:tblPr>
        <w:tblpPr w:leftFromText="180" w:rightFromText="180" w:vertAnchor="text" w:tblpXSpec="center" w:tblpY="1"/>
        <w:tblOverlap w:val="never"/>
        <w:tblW w:w="0" w:type="auto"/>
        <w:tblLook w:val="04A0" w:firstRow="1" w:lastRow="0" w:firstColumn="1" w:lastColumn="0" w:noHBand="0" w:noVBand="1"/>
      </w:tblPr>
      <w:tblGrid>
        <w:gridCol w:w="762"/>
        <w:gridCol w:w="830"/>
        <w:gridCol w:w="830"/>
        <w:gridCol w:w="830"/>
        <w:gridCol w:w="830"/>
      </w:tblGrid>
      <w:tr w:rsidR="00734CFC" w:rsidRPr="007F79B9" w14:paraId="55D68CCB" w14:textId="77777777" w:rsidTr="00C423F3">
        <w:trPr>
          <w:trHeight w:val="300"/>
        </w:trPr>
        <w:tc>
          <w:tcPr>
            <w:tcW w:w="0" w:type="auto"/>
            <w:tcBorders>
              <w:top w:val="single" w:sz="4" w:space="0" w:color="auto"/>
              <w:left w:val="nil"/>
              <w:bottom w:val="double" w:sz="4" w:space="0" w:color="auto"/>
              <w:right w:val="nil"/>
            </w:tcBorders>
            <w:shd w:val="clear" w:color="auto" w:fill="auto"/>
            <w:noWrap/>
            <w:vAlign w:val="bottom"/>
            <w:hideMark/>
          </w:tcPr>
          <w:p w14:paraId="0C0704A7" w14:textId="77777777" w:rsidR="00734CFC" w:rsidRPr="007F79B9" w:rsidRDefault="00734CFC" w:rsidP="00C423F3">
            <w:pPr>
              <w:spacing w:after="0" w:line="360" w:lineRule="auto"/>
              <w:rPr>
                <w:rFonts w:ascii="Calibri" w:eastAsia="Times New Roman" w:hAnsi="Calibri" w:cs="Times New Roman"/>
                <w:b/>
                <w:color w:val="000000"/>
                <w:lang w:eastAsia="en-GB"/>
              </w:rPr>
            </w:pPr>
          </w:p>
        </w:tc>
        <w:tc>
          <w:tcPr>
            <w:tcW w:w="0" w:type="auto"/>
            <w:tcBorders>
              <w:top w:val="single" w:sz="4" w:space="0" w:color="auto"/>
              <w:left w:val="nil"/>
              <w:bottom w:val="double" w:sz="4" w:space="0" w:color="auto"/>
              <w:right w:val="nil"/>
            </w:tcBorders>
            <w:shd w:val="clear" w:color="auto" w:fill="auto"/>
            <w:noWrap/>
            <w:vAlign w:val="bottom"/>
            <w:hideMark/>
          </w:tcPr>
          <w:p w14:paraId="044A2E4C" w14:textId="77777777" w:rsidR="00734CFC" w:rsidRPr="007F79B9" w:rsidRDefault="008706FB" w:rsidP="00C423F3">
            <w:pPr>
              <w:spacing w:after="0" w:line="360" w:lineRule="auto"/>
              <w:rPr>
                <w:rFonts w:ascii="Calibri" w:eastAsia="Times New Roman" w:hAnsi="Calibri" w:cs="Times New Roman"/>
                <w:b/>
                <w:color w:val="000000"/>
                <w:lang w:eastAsia="en-GB"/>
              </w:rPr>
            </w:pPr>
            <w:r w:rsidRPr="008706FB">
              <w:rPr>
                <w:rFonts w:ascii="Calibri" w:eastAsia="Times New Roman" w:hAnsi="Calibri" w:cs="Times New Roman"/>
                <w:b/>
                <w:color w:val="000000"/>
                <w:lang w:eastAsia="en-GB"/>
              </w:rPr>
              <w:t>ygbr</w:t>
            </w:r>
          </w:p>
        </w:tc>
        <w:tc>
          <w:tcPr>
            <w:tcW w:w="0" w:type="auto"/>
            <w:tcBorders>
              <w:top w:val="single" w:sz="4" w:space="0" w:color="auto"/>
              <w:left w:val="nil"/>
              <w:bottom w:val="double" w:sz="4" w:space="0" w:color="auto"/>
              <w:right w:val="nil"/>
            </w:tcBorders>
            <w:shd w:val="clear" w:color="auto" w:fill="auto"/>
            <w:noWrap/>
            <w:vAlign w:val="bottom"/>
            <w:hideMark/>
          </w:tcPr>
          <w:p w14:paraId="2CDED2DB" w14:textId="77777777" w:rsidR="00734CFC" w:rsidRPr="007F79B9" w:rsidRDefault="008706FB" w:rsidP="00C423F3">
            <w:pPr>
              <w:spacing w:after="0" w:line="360" w:lineRule="auto"/>
              <w:rPr>
                <w:rFonts w:ascii="Calibri" w:eastAsia="Times New Roman" w:hAnsi="Calibri" w:cs="Times New Roman"/>
                <w:b/>
                <w:color w:val="000000"/>
                <w:lang w:eastAsia="en-GB"/>
              </w:rPr>
            </w:pPr>
            <w:r w:rsidRPr="008706FB">
              <w:rPr>
                <w:rFonts w:ascii="Calibri" w:eastAsia="Times New Roman" w:hAnsi="Calibri" w:cs="Times New Roman"/>
                <w:b/>
                <w:color w:val="000000"/>
                <w:lang w:eastAsia="en-GB"/>
              </w:rPr>
              <w:t>yfra</w:t>
            </w:r>
          </w:p>
        </w:tc>
        <w:tc>
          <w:tcPr>
            <w:tcW w:w="0" w:type="auto"/>
            <w:tcBorders>
              <w:top w:val="single" w:sz="4" w:space="0" w:color="auto"/>
              <w:left w:val="nil"/>
              <w:bottom w:val="double" w:sz="4" w:space="0" w:color="auto"/>
              <w:right w:val="nil"/>
            </w:tcBorders>
            <w:shd w:val="clear" w:color="auto" w:fill="auto"/>
            <w:noWrap/>
            <w:vAlign w:val="bottom"/>
            <w:hideMark/>
          </w:tcPr>
          <w:p w14:paraId="7B4BECB4" w14:textId="77777777" w:rsidR="00734CFC" w:rsidRPr="007F79B9" w:rsidRDefault="008706FB" w:rsidP="00C423F3">
            <w:pPr>
              <w:spacing w:after="0" w:line="360" w:lineRule="auto"/>
              <w:rPr>
                <w:rFonts w:ascii="Calibri" w:eastAsia="Times New Roman" w:hAnsi="Calibri" w:cs="Times New Roman"/>
                <w:b/>
                <w:color w:val="000000"/>
                <w:lang w:eastAsia="en-GB"/>
              </w:rPr>
            </w:pPr>
            <w:r w:rsidRPr="008706FB">
              <w:rPr>
                <w:rFonts w:ascii="Calibri" w:eastAsia="Times New Roman" w:hAnsi="Calibri" w:cs="Times New Roman"/>
                <w:b/>
                <w:color w:val="000000"/>
                <w:lang w:eastAsia="en-GB"/>
              </w:rPr>
              <w:t>y1855</w:t>
            </w:r>
          </w:p>
        </w:tc>
        <w:tc>
          <w:tcPr>
            <w:tcW w:w="0" w:type="auto"/>
            <w:tcBorders>
              <w:top w:val="single" w:sz="4" w:space="0" w:color="auto"/>
              <w:left w:val="nil"/>
              <w:bottom w:val="double" w:sz="4" w:space="0" w:color="auto"/>
              <w:right w:val="nil"/>
            </w:tcBorders>
            <w:shd w:val="clear" w:color="auto" w:fill="auto"/>
            <w:noWrap/>
            <w:vAlign w:val="bottom"/>
            <w:hideMark/>
          </w:tcPr>
          <w:p w14:paraId="2AC4AABB" w14:textId="77777777" w:rsidR="00734CFC" w:rsidRPr="007F79B9" w:rsidRDefault="008706FB" w:rsidP="00C423F3">
            <w:pPr>
              <w:spacing w:after="0" w:line="360" w:lineRule="auto"/>
              <w:rPr>
                <w:rFonts w:ascii="Calibri" w:eastAsia="Times New Roman" w:hAnsi="Calibri" w:cs="Times New Roman"/>
                <w:b/>
                <w:color w:val="000000"/>
                <w:lang w:eastAsia="en-GB"/>
              </w:rPr>
            </w:pPr>
            <w:r w:rsidRPr="008706FB">
              <w:rPr>
                <w:rFonts w:ascii="Calibri" w:eastAsia="Times New Roman" w:hAnsi="Calibri" w:cs="Times New Roman"/>
                <w:b/>
                <w:color w:val="000000"/>
                <w:lang w:eastAsia="en-GB"/>
              </w:rPr>
              <w:t>y1854</w:t>
            </w:r>
          </w:p>
        </w:tc>
      </w:tr>
      <w:tr w:rsidR="00E42269" w:rsidRPr="007F79B9" w14:paraId="2665897C" w14:textId="77777777" w:rsidTr="00C423F3">
        <w:trPr>
          <w:trHeight w:val="300"/>
        </w:trPr>
        <w:tc>
          <w:tcPr>
            <w:tcW w:w="0" w:type="auto"/>
            <w:tcBorders>
              <w:top w:val="double" w:sz="4" w:space="0" w:color="auto"/>
              <w:left w:val="nil"/>
              <w:bottom w:val="nil"/>
              <w:right w:val="nil"/>
            </w:tcBorders>
            <w:shd w:val="clear" w:color="auto" w:fill="auto"/>
            <w:noWrap/>
            <w:vAlign w:val="bottom"/>
            <w:hideMark/>
          </w:tcPr>
          <w:p w14:paraId="22E41ED1" w14:textId="77777777" w:rsidR="00E42269" w:rsidRPr="007F79B9" w:rsidRDefault="008706FB" w:rsidP="00C423F3">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ygbr</w:t>
            </w:r>
          </w:p>
        </w:tc>
        <w:tc>
          <w:tcPr>
            <w:tcW w:w="0" w:type="auto"/>
            <w:tcBorders>
              <w:top w:val="double" w:sz="4" w:space="0" w:color="auto"/>
              <w:left w:val="nil"/>
              <w:bottom w:val="nil"/>
              <w:right w:val="nil"/>
            </w:tcBorders>
            <w:shd w:val="clear" w:color="auto" w:fill="auto"/>
            <w:noWrap/>
            <w:vAlign w:val="bottom"/>
            <w:hideMark/>
          </w:tcPr>
          <w:p w14:paraId="247EEDF3" w14:textId="77777777" w:rsidR="00E42269" w:rsidRPr="007F79B9" w:rsidRDefault="008706FB" w:rsidP="00E42269">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0.9083</w:t>
            </w:r>
          </w:p>
        </w:tc>
        <w:tc>
          <w:tcPr>
            <w:tcW w:w="0" w:type="auto"/>
            <w:tcBorders>
              <w:top w:val="double" w:sz="4" w:space="0" w:color="auto"/>
              <w:left w:val="nil"/>
              <w:bottom w:val="nil"/>
              <w:right w:val="nil"/>
            </w:tcBorders>
            <w:shd w:val="clear" w:color="auto" w:fill="auto"/>
            <w:noWrap/>
            <w:vAlign w:val="bottom"/>
            <w:hideMark/>
          </w:tcPr>
          <w:p w14:paraId="347B5BB2" w14:textId="77777777" w:rsidR="00E42269" w:rsidRPr="007F79B9" w:rsidRDefault="008706FB" w:rsidP="00E42269">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0.0210</w:t>
            </w:r>
          </w:p>
        </w:tc>
        <w:tc>
          <w:tcPr>
            <w:tcW w:w="0" w:type="auto"/>
            <w:tcBorders>
              <w:top w:val="double" w:sz="4" w:space="0" w:color="auto"/>
              <w:left w:val="nil"/>
              <w:bottom w:val="nil"/>
              <w:right w:val="nil"/>
            </w:tcBorders>
            <w:shd w:val="clear" w:color="auto" w:fill="auto"/>
            <w:noWrap/>
            <w:vAlign w:val="bottom"/>
            <w:hideMark/>
          </w:tcPr>
          <w:p w14:paraId="7B797C06" w14:textId="77777777" w:rsidR="00E42269" w:rsidRPr="007F79B9" w:rsidRDefault="008706FB" w:rsidP="00E42269">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0.0695</w:t>
            </w:r>
          </w:p>
        </w:tc>
        <w:tc>
          <w:tcPr>
            <w:tcW w:w="0" w:type="auto"/>
            <w:tcBorders>
              <w:top w:val="double" w:sz="4" w:space="0" w:color="auto"/>
              <w:left w:val="nil"/>
              <w:bottom w:val="nil"/>
              <w:right w:val="nil"/>
            </w:tcBorders>
            <w:shd w:val="clear" w:color="auto" w:fill="auto"/>
            <w:noWrap/>
            <w:vAlign w:val="bottom"/>
            <w:hideMark/>
          </w:tcPr>
          <w:p w14:paraId="7E97F381" w14:textId="77777777" w:rsidR="00E42269" w:rsidRPr="007F79B9" w:rsidRDefault="008706FB" w:rsidP="00E42269">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0.0013</w:t>
            </w:r>
          </w:p>
        </w:tc>
      </w:tr>
      <w:tr w:rsidR="00E42269" w:rsidRPr="007F79B9" w14:paraId="15F49C66" w14:textId="77777777" w:rsidTr="00C423F3">
        <w:trPr>
          <w:trHeight w:val="300"/>
        </w:trPr>
        <w:tc>
          <w:tcPr>
            <w:tcW w:w="0" w:type="auto"/>
            <w:tcBorders>
              <w:top w:val="nil"/>
              <w:left w:val="nil"/>
              <w:bottom w:val="nil"/>
              <w:right w:val="nil"/>
            </w:tcBorders>
            <w:shd w:val="clear" w:color="auto" w:fill="auto"/>
            <w:noWrap/>
            <w:vAlign w:val="bottom"/>
            <w:hideMark/>
          </w:tcPr>
          <w:p w14:paraId="205829FF" w14:textId="77777777" w:rsidR="00E42269" w:rsidRPr="007F79B9" w:rsidRDefault="008706FB" w:rsidP="00C423F3">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yfra</w:t>
            </w:r>
          </w:p>
        </w:tc>
        <w:tc>
          <w:tcPr>
            <w:tcW w:w="0" w:type="auto"/>
            <w:tcBorders>
              <w:top w:val="nil"/>
              <w:left w:val="nil"/>
              <w:bottom w:val="nil"/>
              <w:right w:val="nil"/>
            </w:tcBorders>
            <w:shd w:val="clear" w:color="auto" w:fill="auto"/>
            <w:noWrap/>
            <w:vAlign w:val="bottom"/>
            <w:hideMark/>
          </w:tcPr>
          <w:p w14:paraId="714FEE34" w14:textId="77777777" w:rsidR="00E42269" w:rsidRPr="007F79B9" w:rsidRDefault="008706FB" w:rsidP="00E42269">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0.5033</w:t>
            </w:r>
          </w:p>
        </w:tc>
        <w:tc>
          <w:tcPr>
            <w:tcW w:w="0" w:type="auto"/>
            <w:tcBorders>
              <w:top w:val="nil"/>
              <w:left w:val="nil"/>
              <w:bottom w:val="nil"/>
              <w:right w:val="nil"/>
            </w:tcBorders>
            <w:shd w:val="clear" w:color="auto" w:fill="auto"/>
            <w:noWrap/>
            <w:vAlign w:val="bottom"/>
            <w:hideMark/>
          </w:tcPr>
          <w:p w14:paraId="2272478A" w14:textId="77777777" w:rsidR="00E42269" w:rsidRPr="007F79B9" w:rsidRDefault="008706FB" w:rsidP="00E42269">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0.4321</w:t>
            </w:r>
          </w:p>
        </w:tc>
        <w:tc>
          <w:tcPr>
            <w:tcW w:w="0" w:type="auto"/>
            <w:tcBorders>
              <w:top w:val="nil"/>
              <w:left w:val="nil"/>
              <w:bottom w:val="nil"/>
              <w:right w:val="nil"/>
            </w:tcBorders>
            <w:shd w:val="clear" w:color="auto" w:fill="auto"/>
            <w:noWrap/>
            <w:vAlign w:val="bottom"/>
            <w:hideMark/>
          </w:tcPr>
          <w:p w14:paraId="152F3C59" w14:textId="77777777" w:rsidR="00E42269" w:rsidRPr="007F79B9" w:rsidRDefault="008706FB" w:rsidP="00E42269">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0.0602</w:t>
            </w:r>
          </w:p>
        </w:tc>
        <w:tc>
          <w:tcPr>
            <w:tcW w:w="0" w:type="auto"/>
            <w:tcBorders>
              <w:top w:val="nil"/>
              <w:left w:val="nil"/>
              <w:bottom w:val="nil"/>
              <w:right w:val="nil"/>
            </w:tcBorders>
            <w:shd w:val="clear" w:color="auto" w:fill="auto"/>
            <w:noWrap/>
            <w:vAlign w:val="bottom"/>
            <w:hideMark/>
          </w:tcPr>
          <w:p w14:paraId="502AD32F" w14:textId="77777777" w:rsidR="00E42269" w:rsidRPr="007F79B9" w:rsidRDefault="008706FB" w:rsidP="00E42269">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0.0044</w:t>
            </w:r>
          </w:p>
        </w:tc>
      </w:tr>
      <w:tr w:rsidR="00E42269" w:rsidRPr="007F79B9" w14:paraId="70CCD3F2" w14:textId="77777777" w:rsidTr="00C423F3">
        <w:trPr>
          <w:trHeight w:val="300"/>
        </w:trPr>
        <w:tc>
          <w:tcPr>
            <w:tcW w:w="0" w:type="auto"/>
            <w:tcBorders>
              <w:top w:val="nil"/>
              <w:left w:val="nil"/>
              <w:right w:val="nil"/>
            </w:tcBorders>
            <w:shd w:val="clear" w:color="auto" w:fill="auto"/>
            <w:noWrap/>
            <w:vAlign w:val="bottom"/>
            <w:hideMark/>
          </w:tcPr>
          <w:p w14:paraId="6420C53A" w14:textId="77777777" w:rsidR="00E42269" w:rsidRPr="007F79B9" w:rsidRDefault="008706FB" w:rsidP="00C423F3">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y1855</w:t>
            </w:r>
          </w:p>
        </w:tc>
        <w:tc>
          <w:tcPr>
            <w:tcW w:w="0" w:type="auto"/>
            <w:tcBorders>
              <w:top w:val="nil"/>
              <w:left w:val="nil"/>
              <w:right w:val="nil"/>
            </w:tcBorders>
            <w:shd w:val="clear" w:color="auto" w:fill="auto"/>
            <w:noWrap/>
            <w:vAlign w:val="bottom"/>
            <w:hideMark/>
          </w:tcPr>
          <w:p w14:paraId="583B298C" w14:textId="77777777" w:rsidR="00E42269" w:rsidRPr="007F79B9" w:rsidRDefault="008706FB" w:rsidP="00E42269">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0.0658</w:t>
            </w:r>
          </w:p>
        </w:tc>
        <w:tc>
          <w:tcPr>
            <w:tcW w:w="0" w:type="auto"/>
            <w:tcBorders>
              <w:top w:val="nil"/>
              <w:left w:val="nil"/>
              <w:right w:val="nil"/>
            </w:tcBorders>
            <w:shd w:val="clear" w:color="auto" w:fill="auto"/>
            <w:noWrap/>
            <w:vAlign w:val="bottom"/>
            <w:hideMark/>
          </w:tcPr>
          <w:p w14:paraId="70B5B3C7" w14:textId="77777777" w:rsidR="00E42269" w:rsidRPr="007F79B9" w:rsidRDefault="008706FB" w:rsidP="00E42269">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0.0016</w:t>
            </w:r>
          </w:p>
        </w:tc>
        <w:tc>
          <w:tcPr>
            <w:tcW w:w="0" w:type="auto"/>
            <w:tcBorders>
              <w:top w:val="nil"/>
              <w:left w:val="nil"/>
              <w:right w:val="nil"/>
            </w:tcBorders>
            <w:shd w:val="clear" w:color="auto" w:fill="auto"/>
            <w:noWrap/>
            <w:vAlign w:val="bottom"/>
            <w:hideMark/>
          </w:tcPr>
          <w:p w14:paraId="05BEC3EB" w14:textId="77777777" w:rsidR="00E42269" w:rsidRPr="007F79B9" w:rsidRDefault="008706FB" w:rsidP="00E42269">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0.9296</w:t>
            </w:r>
          </w:p>
        </w:tc>
        <w:tc>
          <w:tcPr>
            <w:tcW w:w="0" w:type="auto"/>
            <w:tcBorders>
              <w:top w:val="nil"/>
              <w:left w:val="nil"/>
              <w:right w:val="nil"/>
            </w:tcBorders>
            <w:shd w:val="clear" w:color="auto" w:fill="auto"/>
            <w:noWrap/>
            <w:vAlign w:val="bottom"/>
            <w:hideMark/>
          </w:tcPr>
          <w:p w14:paraId="026ED422" w14:textId="77777777" w:rsidR="00E42269" w:rsidRPr="007F79B9" w:rsidRDefault="008706FB" w:rsidP="00E42269">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0.0030</w:t>
            </w:r>
          </w:p>
        </w:tc>
      </w:tr>
      <w:tr w:rsidR="00E42269" w:rsidRPr="007F79B9" w14:paraId="6B9EDB9E" w14:textId="77777777" w:rsidTr="00C423F3">
        <w:trPr>
          <w:trHeight w:val="300"/>
        </w:trPr>
        <w:tc>
          <w:tcPr>
            <w:tcW w:w="0" w:type="auto"/>
            <w:tcBorders>
              <w:top w:val="nil"/>
              <w:left w:val="nil"/>
              <w:bottom w:val="single" w:sz="4" w:space="0" w:color="auto"/>
              <w:right w:val="nil"/>
            </w:tcBorders>
            <w:shd w:val="clear" w:color="auto" w:fill="auto"/>
            <w:noWrap/>
            <w:vAlign w:val="bottom"/>
            <w:hideMark/>
          </w:tcPr>
          <w:p w14:paraId="7CEBE293" w14:textId="77777777" w:rsidR="00E42269" w:rsidRPr="007F79B9" w:rsidRDefault="008706FB" w:rsidP="00C423F3">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y1854</w:t>
            </w:r>
          </w:p>
        </w:tc>
        <w:tc>
          <w:tcPr>
            <w:tcW w:w="0" w:type="auto"/>
            <w:tcBorders>
              <w:top w:val="nil"/>
              <w:left w:val="nil"/>
              <w:bottom w:val="single" w:sz="4" w:space="0" w:color="auto"/>
              <w:right w:val="nil"/>
            </w:tcBorders>
            <w:shd w:val="clear" w:color="auto" w:fill="auto"/>
            <w:noWrap/>
            <w:vAlign w:val="bottom"/>
            <w:hideMark/>
          </w:tcPr>
          <w:p w14:paraId="00601552" w14:textId="77777777" w:rsidR="00E42269" w:rsidRPr="007F79B9" w:rsidRDefault="008706FB" w:rsidP="00E42269">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0.0233</w:t>
            </w:r>
          </w:p>
        </w:tc>
        <w:tc>
          <w:tcPr>
            <w:tcW w:w="0" w:type="auto"/>
            <w:tcBorders>
              <w:top w:val="nil"/>
              <w:left w:val="nil"/>
              <w:bottom w:val="single" w:sz="4" w:space="0" w:color="auto"/>
              <w:right w:val="nil"/>
            </w:tcBorders>
            <w:shd w:val="clear" w:color="auto" w:fill="auto"/>
            <w:noWrap/>
            <w:vAlign w:val="bottom"/>
            <w:hideMark/>
          </w:tcPr>
          <w:p w14:paraId="011E9E45" w14:textId="77777777" w:rsidR="00E42269" w:rsidRPr="007F79B9" w:rsidRDefault="008706FB" w:rsidP="00E42269">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0.0362</w:t>
            </w:r>
          </w:p>
        </w:tc>
        <w:tc>
          <w:tcPr>
            <w:tcW w:w="0" w:type="auto"/>
            <w:tcBorders>
              <w:top w:val="nil"/>
              <w:left w:val="nil"/>
              <w:bottom w:val="single" w:sz="4" w:space="0" w:color="auto"/>
              <w:right w:val="nil"/>
            </w:tcBorders>
            <w:shd w:val="clear" w:color="auto" w:fill="auto"/>
            <w:noWrap/>
            <w:vAlign w:val="bottom"/>
            <w:hideMark/>
          </w:tcPr>
          <w:p w14:paraId="0EAA6861" w14:textId="77777777" w:rsidR="00E42269" w:rsidRPr="007F79B9" w:rsidRDefault="008706FB" w:rsidP="00E42269">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0.0047</w:t>
            </w:r>
          </w:p>
        </w:tc>
        <w:tc>
          <w:tcPr>
            <w:tcW w:w="0" w:type="auto"/>
            <w:tcBorders>
              <w:top w:val="nil"/>
              <w:left w:val="nil"/>
              <w:bottom w:val="single" w:sz="4" w:space="0" w:color="auto"/>
              <w:right w:val="nil"/>
            </w:tcBorders>
            <w:shd w:val="clear" w:color="auto" w:fill="auto"/>
            <w:noWrap/>
            <w:vAlign w:val="bottom"/>
            <w:hideMark/>
          </w:tcPr>
          <w:p w14:paraId="3A7312A3" w14:textId="77777777" w:rsidR="00E42269" w:rsidRPr="007F79B9" w:rsidRDefault="008706FB" w:rsidP="00E42269">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0.9359</w:t>
            </w:r>
          </w:p>
        </w:tc>
      </w:tr>
    </w:tbl>
    <w:p w14:paraId="485C2586" w14:textId="77777777" w:rsidR="00734CFC" w:rsidRPr="007F79B9" w:rsidRDefault="008706FB" w:rsidP="00C423F3">
      <w:pPr>
        <w:ind w:left="2410"/>
        <w:rPr>
          <w:sz w:val="20"/>
        </w:rPr>
      </w:pPr>
      <w:r w:rsidRPr="008706FB">
        <w:rPr>
          <w:b/>
        </w:rPr>
        <w:br w:type="textWrapping" w:clear="all"/>
      </w:r>
      <w:r w:rsidRPr="008706FB">
        <w:rPr>
          <w:sz w:val="20"/>
        </w:rPr>
        <w:t>Decomposition for 10 periods ahead.</w:t>
      </w:r>
    </w:p>
    <w:p w14:paraId="12185987" w14:textId="3AE1FB71" w:rsidR="00C423F3" w:rsidRPr="007F79B9" w:rsidRDefault="008706FB" w:rsidP="00734CFC">
      <w:pPr>
        <w:jc w:val="center"/>
        <w:rPr>
          <w:b/>
        </w:rPr>
      </w:pPr>
      <w:r w:rsidRPr="008706FB">
        <w:rPr>
          <w:b/>
        </w:rPr>
        <w:t xml:space="preserve">Table </w:t>
      </w:r>
      <w:r w:rsidR="00045423">
        <w:rPr>
          <w:b/>
        </w:rPr>
        <w:t>A.4</w:t>
      </w:r>
      <w:r w:rsidRPr="008706FB">
        <w:rPr>
          <w:b/>
        </w:rPr>
        <w:t>: Variance decomposition of Egyptian bonds</w:t>
      </w:r>
    </w:p>
    <w:tbl>
      <w:tblPr>
        <w:tblW w:w="0" w:type="auto"/>
        <w:jc w:val="center"/>
        <w:tblLook w:val="04A0" w:firstRow="1" w:lastRow="0" w:firstColumn="1" w:lastColumn="0" w:noHBand="0" w:noVBand="1"/>
      </w:tblPr>
      <w:tblGrid>
        <w:gridCol w:w="764"/>
        <w:gridCol w:w="830"/>
        <w:gridCol w:w="830"/>
        <w:gridCol w:w="830"/>
        <w:gridCol w:w="830"/>
        <w:gridCol w:w="830"/>
      </w:tblGrid>
      <w:tr w:rsidR="00C423F3" w:rsidRPr="007F79B9" w14:paraId="76040477" w14:textId="77777777" w:rsidTr="00C423F3">
        <w:trPr>
          <w:trHeight w:val="300"/>
          <w:jc w:val="center"/>
        </w:trPr>
        <w:tc>
          <w:tcPr>
            <w:tcW w:w="0" w:type="auto"/>
            <w:tcBorders>
              <w:top w:val="single" w:sz="4" w:space="0" w:color="auto"/>
              <w:left w:val="nil"/>
              <w:bottom w:val="double" w:sz="4" w:space="0" w:color="auto"/>
              <w:right w:val="nil"/>
            </w:tcBorders>
            <w:shd w:val="clear" w:color="auto" w:fill="auto"/>
            <w:noWrap/>
            <w:vAlign w:val="bottom"/>
            <w:hideMark/>
          </w:tcPr>
          <w:p w14:paraId="4B2F4D55" w14:textId="77777777" w:rsidR="00C423F3" w:rsidRPr="007F79B9" w:rsidRDefault="00C423F3" w:rsidP="00C423F3">
            <w:pPr>
              <w:spacing w:after="0" w:line="360" w:lineRule="auto"/>
              <w:rPr>
                <w:rFonts w:ascii="Calibri" w:eastAsia="Times New Roman" w:hAnsi="Calibri" w:cs="Times New Roman"/>
                <w:b/>
                <w:color w:val="000000"/>
                <w:lang w:eastAsia="en-GB"/>
              </w:rPr>
            </w:pPr>
          </w:p>
        </w:tc>
        <w:tc>
          <w:tcPr>
            <w:tcW w:w="0" w:type="auto"/>
            <w:tcBorders>
              <w:top w:val="single" w:sz="4" w:space="0" w:color="auto"/>
              <w:left w:val="nil"/>
              <w:bottom w:val="double" w:sz="4" w:space="0" w:color="auto"/>
              <w:right w:val="nil"/>
            </w:tcBorders>
            <w:shd w:val="clear" w:color="auto" w:fill="auto"/>
            <w:noWrap/>
            <w:vAlign w:val="bottom"/>
            <w:hideMark/>
          </w:tcPr>
          <w:p w14:paraId="70B6A60B" w14:textId="77777777" w:rsidR="00C423F3" w:rsidRPr="007F79B9" w:rsidRDefault="008706FB" w:rsidP="00C423F3">
            <w:pPr>
              <w:spacing w:after="0" w:line="360" w:lineRule="auto"/>
              <w:rPr>
                <w:rFonts w:ascii="Calibri" w:eastAsia="Times New Roman" w:hAnsi="Calibri" w:cs="Times New Roman"/>
                <w:b/>
                <w:color w:val="000000"/>
                <w:lang w:eastAsia="en-GB"/>
              </w:rPr>
            </w:pPr>
            <w:r w:rsidRPr="008706FB">
              <w:rPr>
                <w:rFonts w:ascii="Calibri" w:eastAsia="Times New Roman" w:hAnsi="Calibri" w:cs="Times New Roman"/>
                <w:b/>
                <w:color w:val="000000"/>
                <w:lang w:eastAsia="en-GB"/>
              </w:rPr>
              <w:t>ygbr</w:t>
            </w:r>
          </w:p>
        </w:tc>
        <w:tc>
          <w:tcPr>
            <w:tcW w:w="0" w:type="auto"/>
            <w:tcBorders>
              <w:top w:val="single" w:sz="4" w:space="0" w:color="auto"/>
              <w:left w:val="nil"/>
              <w:bottom w:val="double" w:sz="4" w:space="0" w:color="auto"/>
              <w:right w:val="nil"/>
            </w:tcBorders>
            <w:shd w:val="clear" w:color="auto" w:fill="auto"/>
            <w:noWrap/>
            <w:vAlign w:val="bottom"/>
            <w:hideMark/>
          </w:tcPr>
          <w:p w14:paraId="2A0CF0FA" w14:textId="77777777" w:rsidR="00C423F3" w:rsidRPr="007F79B9" w:rsidRDefault="008706FB" w:rsidP="00C423F3">
            <w:pPr>
              <w:spacing w:after="0" w:line="360" w:lineRule="auto"/>
              <w:rPr>
                <w:rFonts w:ascii="Calibri" w:eastAsia="Times New Roman" w:hAnsi="Calibri" w:cs="Times New Roman"/>
                <w:b/>
                <w:color w:val="000000"/>
                <w:lang w:eastAsia="en-GB"/>
              </w:rPr>
            </w:pPr>
            <w:r w:rsidRPr="008706FB">
              <w:rPr>
                <w:rFonts w:ascii="Calibri" w:eastAsia="Times New Roman" w:hAnsi="Calibri" w:cs="Times New Roman"/>
                <w:b/>
                <w:color w:val="000000"/>
                <w:lang w:eastAsia="en-GB"/>
              </w:rPr>
              <w:t>yfra</w:t>
            </w:r>
          </w:p>
        </w:tc>
        <w:tc>
          <w:tcPr>
            <w:tcW w:w="0" w:type="auto"/>
            <w:tcBorders>
              <w:top w:val="single" w:sz="4" w:space="0" w:color="auto"/>
              <w:left w:val="nil"/>
              <w:bottom w:val="double" w:sz="4" w:space="0" w:color="auto"/>
              <w:right w:val="nil"/>
            </w:tcBorders>
            <w:shd w:val="clear" w:color="auto" w:fill="auto"/>
            <w:noWrap/>
            <w:vAlign w:val="bottom"/>
            <w:hideMark/>
          </w:tcPr>
          <w:p w14:paraId="4D857FC2" w14:textId="77777777" w:rsidR="00C423F3" w:rsidRPr="007F79B9" w:rsidRDefault="008706FB" w:rsidP="00C423F3">
            <w:pPr>
              <w:spacing w:after="0" w:line="360" w:lineRule="auto"/>
              <w:rPr>
                <w:rFonts w:ascii="Calibri" w:eastAsia="Times New Roman" w:hAnsi="Calibri" w:cs="Times New Roman"/>
                <w:b/>
                <w:color w:val="000000"/>
                <w:lang w:eastAsia="en-GB"/>
              </w:rPr>
            </w:pPr>
            <w:r w:rsidRPr="008706FB">
              <w:rPr>
                <w:rFonts w:ascii="Calibri" w:eastAsia="Times New Roman" w:hAnsi="Calibri" w:cs="Times New Roman"/>
                <w:b/>
                <w:color w:val="000000"/>
                <w:lang w:eastAsia="en-GB"/>
              </w:rPr>
              <w:t>y1885</w:t>
            </w:r>
          </w:p>
        </w:tc>
        <w:tc>
          <w:tcPr>
            <w:tcW w:w="0" w:type="auto"/>
            <w:tcBorders>
              <w:top w:val="single" w:sz="4" w:space="0" w:color="auto"/>
              <w:left w:val="nil"/>
              <w:bottom w:val="double" w:sz="4" w:space="0" w:color="auto"/>
              <w:right w:val="nil"/>
            </w:tcBorders>
            <w:shd w:val="clear" w:color="auto" w:fill="auto"/>
            <w:noWrap/>
            <w:vAlign w:val="bottom"/>
            <w:hideMark/>
          </w:tcPr>
          <w:p w14:paraId="1583269F" w14:textId="77777777" w:rsidR="00C423F3" w:rsidRPr="007F79B9" w:rsidRDefault="008706FB" w:rsidP="00C423F3">
            <w:pPr>
              <w:spacing w:after="0" w:line="360" w:lineRule="auto"/>
              <w:rPr>
                <w:rFonts w:ascii="Calibri" w:eastAsia="Times New Roman" w:hAnsi="Calibri" w:cs="Times New Roman"/>
                <w:b/>
                <w:color w:val="000000"/>
                <w:lang w:eastAsia="en-GB"/>
              </w:rPr>
            </w:pPr>
            <w:r w:rsidRPr="008706FB">
              <w:rPr>
                <w:rFonts w:ascii="Calibri" w:eastAsia="Times New Roman" w:hAnsi="Calibri" w:cs="Times New Roman"/>
                <w:b/>
                <w:color w:val="000000"/>
                <w:lang w:eastAsia="en-GB"/>
              </w:rPr>
              <w:t>ystate</w:t>
            </w:r>
          </w:p>
        </w:tc>
        <w:tc>
          <w:tcPr>
            <w:tcW w:w="0" w:type="auto"/>
            <w:tcBorders>
              <w:top w:val="single" w:sz="4" w:space="0" w:color="auto"/>
              <w:left w:val="nil"/>
              <w:bottom w:val="double" w:sz="4" w:space="0" w:color="auto"/>
              <w:right w:val="nil"/>
            </w:tcBorders>
            <w:shd w:val="clear" w:color="auto" w:fill="auto"/>
            <w:noWrap/>
            <w:vAlign w:val="bottom"/>
            <w:hideMark/>
          </w:tcPr>
          <w:p w14:paraId="636D5FE0" w14:textId="77777777" w:rsidR="00C423F3" w:rsidRPr="007F79B9" w:rsidRDefault="008706FB" w:rsidP="00C423F3">
            <w:pPr>
              <w:spacing w:after="0" w:line="360" w:lineRule="auto"/>
              <w:rPr>
                <w:rFonts w:ascii="Calibri" w:eastAsia="Times New Roman" w:hAnsi="Calibri" w:cs="Times New Roman"/>
                <w:b/>
                <w:color w:val="000000"/>
                <w:lang w:eastAsia="en-GB"/>
              </w:rPr>
            </w:pPr>
            <w:r w:rsidRPr="008706FB">
              <w:rPr>
                <w:rFonts w:ascii="Calibri" w:eastAsia="Times New Roman" w:hAnsi="Calibri" w:cs="Times New Roman"/>
                <w:b/>
                <w:color w:val="000000"/>
                <w:lang w:eastAsia="en-GB"/>
              </w:rPr>
              <w:t>yunif</w:t>
            </w:r>
          </w:p>
        </w:tc>
      </w:tr>
      <w:tr w:rsidR="00CF16A4" w:rsidRPr="007F79B9" w14:paraId="7521FBE0" w14:textId="77777777" w:rsidTr="00C423F3">
        <w:trPr>
          <w:trHeight w:val="300"/>
          <w:jc w:val="center"/>
        </w:trPr>
        <w:tc>
          <w:tcPr>
            <w:tcW w:w="0" w:type="auto"/>
            <w:tcBorders>
              <w:top w:val="double" w:sz="4" w:space="0" w:color="auto"/>
              <w:left w:val="nil"/>
              <w:bottom w:val="nil"/>
              <w:right w:val="nil"/>
            </w:tcBorders>
            <w:shd w:val="clear" w:color="auto" w:fill="auto"/>
            <w:noWrap/>
            <w:vAlign w:val="bottom"/>
            <w:hideMark/>
          </w:tcPr>
          <w:p w14:paraId="132C3F3F" w14:textId="77777777" w:rsidR="00CF16A4" w:rsidRPr="007F79B9" w:rsidRDefault="008706FB" w:rsidP="00C423F3">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ygbr</w:t>
            </w:r>
          </w:p>
        </w:tc>
        <w:tc>
          <w:tcPr>
            <w:tcW w:w="0" w:type="auto"/>
            <w:tcBorders>
              <w:top w:val="double" w:sz="4" w:space="0" w:color="auto"/>
              <w:left w:val="nil"/>
              <w:bottom w:val="nil"/>
              <w:right w:val="nil"/>
            </w:tcBorders>
            <w:shd w:val="clear" w:color="auto" w:fill="auto"/>
            <w:noWrap/>
            <w:vAlign w:val="bottom"/>
            <w:hideMark/>
          </w:tcPr>
          <w:p w14:paraId="23830AA9"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0.8804</w:t>
            </w:r>
          </w:p>
        </w:tc>
        <w:tc>
          <w:tcPr>
            <w:tcW w:w="0" w:type="auto"/>
            <w:tcBorders>
              <w:top w:val="double" w:sz="4" w:space="0" w:color="auto"/>
              <w:left w:val="nil"/>
              <w:bottom w:val="nil"/>
              <w:right w:val="nil"/>
            </w:tcBorders>
            <w:shd w:val="clear" w:color="auto" w:fill="auto"/>
            <w:noWrap/>
            <w:vAlign w:val="bottom"/>
            <w:hideMark/>
          </w:tcPr>
          <w:p w14:paraId="753CC6C4"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0.0253</w:t>
            </w:r>
          </w:p>
        </w:tc>
        <w:tc>
          <w:tcPr>
            <w:tcW w:w="0" w:type="auto"/>
            <w:tcBorders>
              <w:top w:val="double" w:sz="4" w:space="0" w:color="auto"/>
              <w:left w:val="nil"/>
              <w:bottom w:val="nil"/>
              <w:right w:val="nil"/>
            </w:tcBorders>
            <w:shd w:val="clear" w:color="auto" w:fill="auto"/>
            <w:noWrap/>
            <w:vAlign w:val="bottom"/>
            <w:hideMark/>
          </w:tcPr>
          <w:p w14:paraId="37A23115"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0.0888</w:t>
            </w:r>
          </w:p>
        </w:tc>
        <w:tc>
          <w:tcPr>
            <w:tcW w:w="0" w:type="auto"/>
            <w:tcBorders>
              <w:top w:val="double" w:sz="4" w:space="0" w:color="auto"/>
              <w:left w:val="nil"/>
              <w:bottom w:val="nil"/>
              <w:right w:val="nil"/>
            </w:tcBorders>
            <w:shd w:val="clear" w:color="auto" w:fill="auto"/>
            <w:noWrap/>
            <w:vAlign w:val="bottom"/>
            <w:hideMark/>
          </w:tcPr>
          <w:p w14:paraId="6441D169"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0.0039</w:t>
            </w:r>
          </w:p>
        </w:tc>
        <w:tc>
          <w:tcPr>
            <w:tcW w:w="0" w:type="auto"/>
            <w:tcBorders>
              <w:top w:val="double" w:sz="4" w:space="0" w:color="auto"/>
              <w:left w:val="nil"/>
              <w:bottom w:val="nil"/>
              <w:right w:val="nil"/>
            </w:tcBorders>
            <w:shd w:val="clear" w:color="auto" w:fill="auto"/>
            <w:noWrap/>
            <w:vAlign w:val="bottom"/>
            <w:hideMark/>
          </w:tcPr>
          <w:p w14:paraId="4C0BA0BB"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0.0016</w:t>
            </w:r>
          </w:p>
        </w:tc>
      </w:tr>
      <w:tr w:rsidR="00CF16A4" w:rsidRPr="007F79B9" w14:paraId="5E45A875" w14:textId="77777777" w:rsidTr="00C423F3">
        <w:trPr>
          <w:trHeight w:val="300"/>
          <w:jc w:val="center"/>
        </w:trPr>
        <w:tc>
          <w:tcPr>
            <w:tcW w:w="0" w:type="auto"/>
            <w:tcBorders>
              <w:top w:val="nil"/>
              <w:left w:val="nil"/>
              <w:bottom w:val="nil"/>
              <w:right w:val="nil"/>
            </w:tcBorders>
            <w:shd w:val="clear" w:color="auto" w:fill="auto"/>
            <w:noWrap/>
            <w:vAlign w:val="bottom"/>
            <w:hideMark/>
          </w:tcPr>
          <w:p w14:paraId="33C8A754" w14:textId="77777777" w:rsidR="00CF16A4" w:rsidRPr="007F79B9" w:rsidRDefault="008706FB" w:rsidP="00C423F3">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yfra</w:t>
            </w:r>
          </w:p>
        </w:tc>
        <w:tc>
          <w:tcPr>
            <w:tcW w:w="0" w:type="auto"/>
            <w:tcBorders>
              <w:top w:val="nil"/>
              <w:left w:val="nil"/>
              <w:bottom w:val="nil"/>
              <w:right w:val="nil"/>
            </w:tcBorders>
            <w:shd w:val="clear" w:color="auto" w:fill="auto"/>
            <w:noWrap/>
            <w:vAlign w:val="bottom"/>
            <w:hideMark/>
          </w:tcPr>
          <w:p w14:paraId="33C80B2C"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0.6663</w:t>
            </w:r>
          </w:p>
        </w:tc>
        <w:tc>
          <w:tcPr>
            <w:tcW w:w="0" w:type="auto"/>
            <w:tcBorders>
              <w:top w:val="nil"/>
              <w:left w:val="nil"/>
              <w:bottom w:val="nil"/>
              <w:right w:val="nil"/>
            </w:tcBorders>
            <w:shd w:val="clear" w:color="auto" w:fill="auto"/>
            <w:noWrap/>
            <w:vAlign w:val="bottom"/>
            <w:hideMark/>
          </w:tcPr>
          <w:p w14:paraId="1C615FAB"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0.1946</w:t>
            </w:r>
          </w:p>
        </w:tc>
        <w:tc>
          <w:tcPr>
            <w:tcW w:w="0" w:type="auto"/>
            <w:tcBorders>
              <w:top w:val="nil"/>
              <w:left w:val="nil"/>
              <w:bottom w:val="nil"/>
              <w:right w:val="nil"/>
            </w:tcBorders>
            <w:shd w:val="clear" w:color="auto" w:fill="auto"/>
            <w:noWrap/>
            <w:vAlign w:val="bottom"/>
            <w:hideMark/>
          </w:tcPr>
          <w:p w14:paraId="5E9FDDF0"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0.1253</w:t>
            </w:r>
          </w:p>
        </w:tc>
        <w:tc>
          <w:tcPr>
            <w:tcW w:w="0" w:type="auto"/>
            <w:tcBorders>
              <w:top w:val="nil"/>
              <w:left w:val="nil"/>
              <w:bottom w:val="nil"/>
              <w:right w:val="nil"/>
            </w:tcBorders>
            <w:shd w:val="clear" w:color="auto" w:fill="auto"/>
            <w:noWrap/>
            <w:vAlign w:val="bottom"/>
            <w:hideMark/>
          </w:tcPr>
          <w:p w14:paraId="36123095"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0.0131</w:t>
            </w:r>
          </w:p>
        </w:tc>
        <w:tc>
          <w:tcPr>
            <w:tcW w:w="0" w:type="auto"/>
            <w:tcBorders>
              <w:top w:val="nil"/>
              <w:left w:val="nil"/>
              <w:bottom w:val="nil"/>
              <w:right w:val="nil"/>
            </w:tcBorders>
            <w:shd w:val="clear" w:color="auto" w:fill="auto"/>
            <w:noWrap/>
            <w:vAlign w:val="bottom"/>
            <w:hideMark/>
          </w:tcPr>
          <w:p w14:paraId="72DE8949"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0.0006</w:t>
            </w:r>
          </w:p>
        </w:tc>
      </w:tr>
      <w:tr w:rsidR="00CF16A4" w:rsidRPr="007F79B9" w14:paraId="268F2BE4" w14:textId="77777777" w:rsidTr="00C423F3">
        <w:trPr>
          <w:trHeight w:val="300"/>
          <w:jc w:val="center"/>
        </w:trPr>
        <w:tc>
          <w:tcPr>
            <w:tcW w:w="0" w:type="auto"/>
            <w:tcBorders>
              <w:top w:val="nil"/>
              <w:left w:val="nil"/>
              <w:bottom w:val="nil"/>
              <w:right w:val="nil"/>
            </w:tcBorders>
            <w:shd w:val="clear" w:color="auto" w:fill="auto"/>
            <w:noWrap/>
            <w:vAlign w:val="bottom"/>
            <w:hideMark/>
          </w:tcPr>
          <w:p w14:paraId="315C82EC" w14:textId="77777777" w:rsidR="00CF16A4" w:rsidRPr="007F79B9" w:rsidRDefault="008706FB" w:rsidP="00C423F3">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y1885</w:t>
            </w:r>
          </w:p>
        </w:tc>
        <w:tc>
          <w:tcPr>
            <w:tcW w:w="0" w:type="auto"/>
            <w:tcBorders>
              <w:top w:val="nil"/>
              <w:left w:val="nil"/>
              <w:bottom w:val="nil"/>
              <w:right w:val="nil"/>
            </w:tcBorders>
            <w:shd w:val="clear" w:color="auto" w:fill="auto"/>
            <w:noWrap/>
            <w:vAlign w:val="bottom"/>
            <w:hideMark/>
          </w:tcPr>
          <w:p w14:paraId="45175939"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0.7269</w:t>
            </w:r>
          </w:p>
        </w:tc>
        <w:tc>
          <w:tcPr>
            <w:tcW w:w="0" w:type="auto"/>
            <w:tcBorders>
              <w:top w:val="nil"/>
              <w:left w:val="nil"/>
              <w:bottom w:val="nil"/>
              <w:right w:val="nil"/>
            </w:tcBorders>
            <w:shd w:val="clear" w:color="auto" w:fill="auto"/>
            <w:noWrap/>
            <w:vAlign w:val="bottom"/>
            <w:hideMark/>
          </w:tcPr>
          <w:p w14:paraId="2BC6B01B"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0.0616</w:t>
            </w:r>
          </w:p>
        </w:tc>
        <w:tc>
          <w:tcPr>
            <w:tcW w:w="0" w:type="auto"/>
            <w:tcBorders>
              <w:top w:val="nil"/>
              <w:left w:val="nil"/>
              <w:bottom w:val="nil"/>
              <w:right w:val="nil"/>
            </w:tcBorders>
            <w:shd w:val="clear" w:color="auto" w:fill="auto"/>
            <w:noWrap/>
            <w:vAlign w:val="bottom"/>
            <w:hideMark/>
          </w:tcPr>
          <w:p w14:paraId="005ED1D5"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0.1975</w:t>
            </w:r>
          </w:p>
        </w:tc>
        <w:tc>
          <w:tcPr>
            <w:tcW w:w="0" w:type="auto"/>
            <w:tcBorders>
              <w:top w:val="nil"/>
              <w:left w:val="nil"/>
              <w:bottom w:val="nil"/>
              <w:right w:val="nil"/>
            </w:tcBorders>
            <w:shd w:val="clear" w:color="auto" w:fill="auto"/>
            <w:noWrap/>
            <w:vAlign w:val="bottom"/>
            <w:hideMark/>
          </w:tcPr>
          <w:p w14:paraId="50A47992"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0.0067</w:t>
            </w:r>
          </w:p>
        </w:tc>
        <w:tc>
          <w:tcPr>
            <w:tcW w:w="0" w:type="auto"/>
            <w:tcBorders>
              <w:top w:val="nil"/>
              <w:left w:val="nil"/>
              <w:bottom w:val="nil"/>
              <w:right w:val="nil"/>
            </w:tcBorders>
            <w:shd w:val="clear" w:color="auto" w:fill="auto"/>
            <w:noWrap/>
            <w:vAlign w:val="bottom"/>
            <w:hideMark/>
          </w:tcPr>
          <w:p w14:paraId="50D8C1C9"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0.0073</w:t>
            </w:r>
          </w:p>
        </w:tc>
      </w:tr>
      <w:tr w:rsidR="00CF16A4" w:rsidRPr="007F79B9" w14:paraId="7E4B7E24" w14:textId="77777777" w:rsidTr="00C423F3">
        <w:trPr>
          <w:trHeight w:val="300"/>
          <w:jc w:val="center"/>
        </w:trPr>
        <w:tc>
          <w:tcPr>
            <w:tcW w:w="0" w:type="auto"/>
            <w:tcBorders>
              <w:top w:val="nil"/>
              <w:left w:val="nil"/>
              <w:right w:val="nil"/>
            </w:tcBorders>
            <w:shd w:val="clear" w:color="auto" w:fill="auto"/>
            <w:noWrap/>
            <w:vAlign w:val="bottom"/>
            <w:hideMark/>
          </w:tcPr>
          <w:p w14:paraId="5D938492" w14:textId="77777777" w:rsidR="00CF16A4" w:rsidRPr="007F79B9" w:rsidRDefault="008706FB" w:rsidP="00C423F3">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ystate</w:t>
            </w:r>
          </w:p>
        </w:tc>
        <w:tc>
          <w:tcPr>
            <w:tcW w:w="0" w:type="auto"/>
            <w:tcBorders>
              <w:top w:val="nil"/>
              <w:left w:val="nil"/>
              <w:right w:val="nil"/>
            </w:tcBorders>
            <w:shd w:val="clear" w:color="auto" w:fill="auto"/>
            <w:noWrap/>
            <w:vAlign w:val="bottom"/>
            <w:hideMark/>
          </w:tcPr>
          <w:p w14:paraId="7F51BE76"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0.4593</w:t>
            </w:r>
          </w:p>
        </w:tc>
        <w:tc>
          <w:tcPr>
            <w:tcW w:w="0" w:type="auto"/>
            <w:tcBorders>
              <w:top w:val="nil"/>
              <w:left w:val="nil"/>
              <w:right w:val="nil"/>
            </w:tcBorders>
            <w:shd w:val="clear" w:color="auto" w:fill="auto"/>
            <w:noWrap/>
            <w:vAlign w:val="bottom"/>
            <w:hideMark/>
          </w:tcPr>
          <w:p w14:paraId="7E04A482"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0.0556</w:t>
            </w:r>
          </w:p>
        </w:tc>
        <w:tc>
          <w:tcPr>
            <w:tcW w:w="0" w:type="auto"/>
            <w:tcBorders>
              <w:top w:val="nil"/>
              <w:left w:val="nil"/>
              <w:right w:val="nil"/>
            </w:tcBorders>
            <w:shd w:val="clear" w:color="auto" w:fill="auto"/>
            <w:noWrap/>
            <w:vAlign w:val="bottom"/>
            <w:hideMark/>
          </w:tcPr>
          <w:p w14:paraId="132801F2"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0.1166</w:t>
            </w:r>
          </w:p>
        </w:tc>
        <w:tc>
          <w:tcPr>
            <w:tcW w:w="0" w:type="auto"/>
            <w:tcBorders>
              <w:top w:val="nil"/>
              <w:left w:val="nil"/>
              <w:right w:val="nil"/>
            </w:tcBorders>
            <w:shd w:val="clear" w:color="auto" w:fill="auto"/>
            <w:noWrap/>
            <w:vAlign w:val="bottom"/>
            <w:hideMark/>
          </w:tcPr>
          <w:p w14:paraId="00DF57FE"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0.3643</w:t>
            </w:r>
          </w:p>
        </w:tc>
        <w:tc>
          <w:tcPr>
            <w:tcW w:w="0" w:type="auto"/>
            <w:tcBorders>
              <w:top w:val="nil"/>
              <w:left w:val="nil"/>
              <w:right w:val="nil"/>
            </w:tcBorders>
            <w:shd w:val="clear" w:color="auto" w:fill="auto"/>
            <w:noWrap/>
            <w:vAlign w:val="bottom"/>
            <w:hideMark/>
          </w:tcPr>
          <w:p w14:paraId="133F4BCC"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0.0043</w:t>
            </w:r>
          </w:p>
        </w:tc>
      </w:tr>
      <w:tr w:rsidR="00CF16A4" w:rsidRPr="007F79B9" w14:paraId="0EEC997D" w14:textId="77777777" w:rsidTr="00C423F3">
        <w:trPr>
          <w:trHeight w:val="300"/>
          <w:jc w:val="center"/>
        </w:trPr>
        <w:tc>
          <w:tcPr>
            <w:tcW w:w="0" w:type="auto"/>
            <w:tcBorders>
              <w:top w:val="nil"/>
              <w:left w:val="nil"/>
              <w:bottom w:val="single" w:sz="4" w:space="0" w:color="auto"/>
              <w:right w:val="nil"/>
            </w:tcBorders>
            <w:shd w:val="clear" w:color="auto" w:fill="auto"/>
            <w:noWrap/>
            <w:vAlign w:val="bottom"/>
            <w:hideMark/>
          </w:tcPr>
          <w:p w14:paraId="313316CA" w14:textId="77777777" w:rsidR="00CF16A4" w:rsidRPr="007F79B9" w:rsidRDefault="008706FB" w:rsidP="00C423F3">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yunif</w:t>
            </w:r>
          </w:p>
        </w:tc>
        <w:tc>
          <w:tcPr>
            <w:tcW w:w="0" w:type="auto"/>
            <w:tcBorders>
              <w:top w:val="nil"/>
              <w:left w:val="nil"/>
              <w:bottom w:val="single" w:sz="4" w:space="0" w:color="auto"/>
              <w:right w:val="nil"/>
            </w:tcBorders>
            <w:shd w:val="clear" w:color="auto" w:fill="auto"/>
            <w:noWrap/>
            <w:vAlign w:val="bottom"/>
            <w:hideMark/>
          </w:tcPr>
          <w:p w14:paraId="0FFE0E3D"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0.6791</w:t>
            </w:r>
          </w:p>
        </w:tc>
        <w:tc>
          <w:tcPr>
            <w:tcW w:w="0" w:type="auto"/>
            <w:tcBorders>
              <w:top w:val="nil"/>
              <w:left w:val="nil"/>
              <w:bottom w:val="single" w:sz="4" w:space="0" w:color="auto"/>
              <w:right w:val="nil"/>
            </w:tcBorders>
            <w:shd w:val="clear" w:color="auto" w:fill="auto"/>
            <w:noWrap/>
            <w:vAlign w:val="bottom"/>
            <w:hideMark/>
          </w:tcPr>
          <w:p w14:paraId="2074FF3F"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0.1066</w:t>
            </w:r>
          </w:p>
        </w:tc>
        <w:tc>
          <w:tcPr>
            <w:tcW w:w="0" w:type="auto"/>
            <w:tcBorders>
              <w:top w:val="nil"/>
              <w:left w:val="nil"/>
              <w:bottom w:val="single" w:sz="4" w:space="0" w:color="auto"/>
              <w:right w:val="nil"/>
            </w:tcBorders>
            <w:shd w:val="clear" w:color="auto" w:fill="auto"/>
            <w:noWrap/>
            <w:vAlign w:val="bottom"/>
            <w:hideMark/>
          </w:tcPr>
          <w:p w14:paraId="4370D97F"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0.0617</w:t>
            </w:r>
          </w:p>
        </w:tc>
        <w:tc>
          <w:tcPr>
            <w:tcW w:w="0" w:type="auto"/>
            <w:tcBorders>
              <w:top w:val="nil"/>
              <w:left w:val="nil"/>
              <w:bottom w:val="single" w:sz="4" w:space="0" w:color="auto"/>
              <w:right w:val="nil"/>
            </w:tcBorders>
            <w:shd w:val="clear" w:color="auto" w:fill="auto"/>
            <w:noWrap/>
            <w:vAlign w:val="bottom"/>
            <w:hideMark/>
          </w:tcPr>
          <w:p w14:paraId="5B54AD29"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0.0662</w:t>
            </w:r>
          </w:p>
        </w:tc>
        <w:tc>
          <w:tcPr>
            <w:tcW w:w="0" w:type="auto"/>
            <w:tcBorders>
              <w:top w:val="nil"/>
              <w:left w:val="nil"/>
              <w:bottom w:val="single" w:sz="4" w:space="0" w:color="auto"/>
              <w:right w:val="nil"/>
            </w:tcBorders>
            <w:shd w:val="clear" w:color="auto" w:fill="auto"/>
            <w:noWrap/>
            <w:vAlign w:val="bottom"/>
            <w:hideMark/>
          </w:tcPr>
          <w:p w14:paraId="5A83D76F"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0.0865</w:t>
            </w:r>
          </w:p>
        </w:tc>
      </w:tr>
    </w:tbl>
    <w:p w14:paraId="25C913EC" w14:textId="77777777" w:rsidR="00C423F3" w:rsidRPr="007F79B9" w:rsidRDefault="008706FB" w:rsidP="00C423F3">
      <w:pPr>
        <w:ind w:left="2127"/>
        <w:rPr>
          <w:sz w:val="20"/>
        </w:rPr>
      </w:pPr>
      <w:r w:rsidRPr="008706FB">
        <w:rPr>
          <w:sz w:val="20"/>
        </w:rPr>
        <w:t>Decomposition for 10 periods ahead.</w:t>
      </w:r>
    </w:p>
    <w:p w14:paraId="2E0E1176" w14:textId="0A780023" w:rsidR="00C423F3" w:rsidRPr="007F79B9" w:rsidRDefault="008706FB" w:rsidP="00C423F3">
      <w:pPr>
        <w:jc w:val="center"/>
        <w:rPr>
          <w:b/>
        </w:rPr>
      </w:pPr>
      <w:r w:rsidRPr="008706FB">
        <w:rPr>
          <w:b/>
        </w:rPr>
        <w:t xml:space="preserve">Table </w:t>
      </w:r>
      <w:r w:rsidR="00045423">
        <w:rPr>
          <w:b/>
        </w:rPr>
        <w:t>A.5</w:t>
      </w:r>
      <w:r w:rsidRPr="008706FB">
        <w:rPr>
          <w:b/>
        </w:rPr>
        <w:t>: Variance decomposition of Chinese bonds</w:t>
      </w:r>
    </w:p>
    <w:tbl>
      <w:tblPr>
        <w:tblW w:w="0" w:type="auto"/>
        <w:jc w:val="center"/>
        <w:tblLook w:val="04A0" w:firstRow="1" w:lastRow="0" w:firstColumn="1" w:lastColumn="0" w:noHBand="0" w:noVBand="1"/>
      </w:tblPr>
      <w:tblGrid>
        <w:gridCol w:w="847"/>
        <w:gridCol w:w="830"/>
        <w:gridCol w:w="830"/>
        <w:gridCol w:w="830"/>
        <w:gridCol w:w="862"/>
      </w:tblGrid>
      <w:tr w:rsidR="00C423F3" w:rsidRPr="007F79B9" w14:paraId="0DD3B9FB" w14:textId="77777777" w:rsidTr="00C423F3">
        <w:trPr>
          <w:trHeight w:val="300"/>
          <w:jc w:val="center"/>
        </w:trPr>
        <w:tc>
          <w:tcPr>
            <w:tcW w:w="0" w:type="auto"/>
            <w:tcBorders>
              <w:top w:val="single" w:sz="4" w:space="0" w:color="auto"/>
              <w:left w:val="nil"/>
              <w:bottom w:val="double" w:sz="4" w:space="0" w:color="auto"/>
              <w:right w:val="nil"/>
            </w:tcBorders>
            <w:shd w:val="clear" w:color="auto" w:fill="auto"/>
            <w:noWrap/>
            <w:vAlign w:val="bottom"/>
            <w:hideMark/>
          </w:tcPr>
          <w:p w14:paraId="6CC0B5B4" w14:textId="77777777" w:rsidR="00C423F3" w:rsidRPr="007F79B9" w:rsidRDefault="00C423F3" w:rsidP="00C423F3">
            <w:pPr>
              <w:spacing w:after="0" w:line="360" w:lineRule="auto"/>
              <w:rPr>
                <w:rFonts w:ascii="Calibri" w:eastAsia="Times New Roman" w:hAnsi="Calibri" w:cs="Times New Roman"/>
                <w:b/>
                <w:color w:val="000000"/>
                <w:lang w:eastAsia="en-GB"/>
              </w:rPr>
            </w:pPr>
          </w:p>
        </w:tc>
        <w:tc>
          <w:tcPr>
            <w:tcW w:w="0" w:type="auto"/>
            <w:tcBorders>
              <w:top w:val="single" w:sz="4" w:space="0" w:color="auto"/>
              <w:left w:val="nil"/>
              <w:bottom w:val="double" w:sz="4" w:space="0" w:color="auto"/>
              <w:right w:val="nil"/>
            </w:tcBorders>
            <w:shd w:val="clear" w:color="auto" w:fill="auto"/>
            <w:noWrap/>
            <w:vAlign w:val="bottom"/>
            <w:hideMark/>
          </w:tcPr>
          <w:p w14:paraId="3807B26D" w14:textId="77777777" w:rsidR="00C423F3" w:rsidRPr="007F79B9" w:rsidRDefault="008706FB" w:rsidP="00C423F3">
            <w:pPr>
              <w:spacing w:after="0" w:line="360" w:lineRule="auto"/>
              <w:rPr>
                <w:rFonts w:ascii="Calibri" w:eastAsia="Times New Roman" w:hAnsi="Calibri" w:cs="Times New Roman"/>
                <w:b/>
                <w:color w:val="000000"/>
                <w:lang w:eastAsia="en-GB"/>
              </w:rPr>
            </w:pPr>
            <w:r w:rsidRPr="008706FB">
              <w:rPr>
                <w:rFonts w:ascii="Calibri" w:eastAsia="Times New Roman" w:hAnsi="Calibri" w:cs="Times New Roman"/>
                <w:b/>
                <w:color w:val="000000"/>
                <w:lang w:eastAsia="en-GB"/>
              </w:rPr>
              <w:t>ygbr</w:t>
            </w:r>
          </w:p>
        </w:tc>
        <w:tc>
          <w:tcPr>
            <w:tcW w:w="0" w:type="auto"/>
            <w:tcBorders>
              <w:top w:val="single" w:sz="4" w:space="0" w:color="auto"/>
              <w:left w:val="nil"/>
              <w:bottom w:val="double" w:sz="4" w:space="0" w:color="auto"/>
              <w:right w:val="nil"/>
            </w:tcBorders>
            <w:shd w:val="clear" w:color="auto" w:fill="auto"/>
            <w:noWrap/>
            <w:vAlign w:val="bottom"/>
            <w:hideMark/>
          </w:tcPr>
          <w:p w14:paraId="1A54D924" w14:textId="77777777" w:rsidR="00C423F3" w:rsidRPr="007F79B9" w:rsidRDefault="008706FB" w:rsidP="00C423F3">
            <w:pPr>
              <w:spacing w:after="0" w:line="360" w:lineRule="auto"/>
              <w:rPr>
                <w:rFonts w:ascii="Calibri" w:eastAsia="Times New Roman" w:hAnsi="Calibri" w:cs="Times New Roman"/>
                <w:b/>
                <w:color w:val="000000"/>
                <w:lang w:eastAsia="en-GB"/>
              </w:rPr>
            </w:pPr>
            <w:r w:rsidRPr="008706FB">
              <w:rPr>
                <w:rFonts w:ascii="Calibri" w:eastAsia="Times New Roman" w:hAnsi="Calibri" w:cs="Times New Roman"/>
                <w:b/>
                <w:color w:val="000000"/>
                <w:lang w:eastAsia="en-GB"/>
              </w:rPr>
              <w:t>yrus</w:t>
            </w:r>
          </w:p>
        </w:tc>
        <w:tc>
          <w:tcPr>
            <w:tcW w:w="0" w:type="auto"/>
            <w:tcBorders>
              <w:top w:val="single" w:sz="4" w:space="0" w:color="auto"/>
              <w:left w:val="nil"/>
              <w:bottom w:val="double" w:sz="4" w:space="0" w:color="auto"/>
              <w:right w:val="nil"/>
            </w:tcBorders>
            <w:shd w:val="clear" w:color="auto" w:fill="auto"/>
            <w:noWrap/>
            <w:vAlign w:val="bottom"/>
            <w:hideMark/>
          </w:tcPr>
          <w:p w14:paraId="441AEFE0" w14:textId="77777777" w:rsidR="00C423F3" w:rsidRPr="007F79B9" w:rsidRDefault="008706FB" w:rsidP="00C423F3">
            <w:pPr>
              <w:spacing w:after="0" w:line="360" w:lineRule="auto"/>
              <w:rPr>
                <w:rFonts w:ascii="Calibri" w:eastAsia="Times New Roman" w:hAnsi="Calibri" w:cs="Times New Roman"/>
                <w:b/>
                <w:color w:val="000000"/>
                <w:lang w:eastAsia="en-GB"/>
              </w:rPr>
            </w:pPr>
            <w:r w:rsidRPr="008706FB">
              <w:rPr>
                <w:rFonts w:ascii="Calibri" w:eastAsia="Times New Roman" w:hAnsi="Calibri" w:cs="Times New Roman"/>
                <w:b/>
                <w:color w:val="000000"/>
                <w:lang w:eastAsia="en-GB"/>
              </w:rPr>
              <w:t>y1895</w:t>
            </w:r>
          </w:p>
        </w:tc>
        <w:tc>
          <w:tcPr>
            <w:tcW w:w="0" w:type="auto"/>
            <w:tcBorders>
              <w:top w:val="single" w:sz="4" w:space="0" w:color="auto"/>
              <w:left w:val="nil"/>
              <w:bottom w:val="double" w:sz="4" w:space="0" w:color="auto"/>
              <w:right w:val="nil"/>
            </w:tcBorders>
            <w:shd w:val="clear" w:color="auto" w:fill="auto"/>
            <w:noWrap/>
            <w:vAlign w:val="bottom"/>
            <w:hideMark/>
          </w:tcPr>
          <w:p w14:paraId="58714E3F" w14:textId="77777777" w:rsidR="00C423F3" w:rsidRPr="007F79B9" w:rsidRDefault="008706FB" w:rsidP="00C423F3">
            <w:pPr>
              <w:spacing w:after="0" w:line="360" w:lineRule="auto"/>
              <w:rPr>
                <w:rFonts w:ascii="Calibri" w:eastAsia="Times New Roman" w:hAnsi="Calibri" w:cs="Times New Roman"/>
                <w:b/>
                <w:color w:val="000000"/>
                <w:lang w:eastAsia="en-GB"/>
              </w:rPr>
            </w:pPr>
            <w:r w:rsidRPr="008706FB">
              <w:rPr>
                <w:rFonts w:ascii="Calibri" w:eastAsia="Times New Roman" w:hAnsi="Calibri" w:cs="Times New Roman"/>
                <w:b/>
                <w:color w:val="000000"/>
                <w:lang w:eastAsia="en-GB"/>
              </w:rPr>
              <w:t>ycassel</w:t>
            </w:r>
          </w:p>
        </w:tc>
      </w:tr>
      <w:tr w:rsidR="00A6208E" w:rsidRPr="007F79B9" w14:paraId="3707CE76" w14:textId="77777777" w:rsidTr="00C423F3">
        <w:trPr>
          <w:trHeight w:val="300"/>
          <w:jc w:val="center"/>
        </w:trPr>
        <w:tc>
          <w:tcPr>
            <w:tcW w:w="0" w:type="auto"/>
            <w:tcBorders>
              <w:top w:val="double" w:sz="4" w:space="0" w:color="auto"/>
              <w:left w:val="nil"/>
              <w:bottom w:val="nil"/>
              <w:right w:val="nil"/>
            </w:tcBorders>
            <w:shd w:val="clear" w:color="auto" w:fill="auto"/>
            <w:noWrap/>
            <w:vAlign w:val="bottom"/>
            <w:hideMark/>
          </w:tcPr>
          <w:p w14:paraId="0E9285AA" w14:textId="77777777" w:rsidR="00A6208E" w:rsidRPr="007F79B9" w:rsidRDefault="008706FB" w:rsidP="00C423F3">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ygbr</w:t>
            </w:r>
          </w:p>
        </w:tc>
        <w:tc>
          <w:tcPr>
            <w:tcW w:w="0" w:type="auto"/>
            <w:tcBorders>
              <w:top w:val="double" w:sz="4" w:space="0" w:color="auto"/>
              <w:left w:val="nil"/>
              <w:bottom w:val="nil"/>
              <w:right w:val="nil"/>
            </w:tcBorders>
            <w:shd w:val="clear" w:color="auto" w:fill="auto"/>
            <w:noWrap/>
            <w:vAlign w:val="bottom"/>
            <w:hideMark/>
          </w:tcPr>
          <w:p w14:paraId="261E7611" w14:textId="77777777" w:rsidR="00A6208E" w:rsidRPr="007F79B9" w:rsidRDefault="008706FB" w:rsidP="00A6208E">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0.9983</w:t>
            </w:r>
          </w:p>
        </w:tc>
        <w:tc>
          <w:tcPr>
            <w:tcW w:w="0" w:type="auto"/>
            <w:tcBorders>
              <w:top w:val="double" w:sz="4" w:space="0" w:color="auto"/>
              <w:left w:val="nil"/>
              <w:bottom w:val="nil"/>
              <w:right w:val="nil"/>
            </w:tcBorders>
            <w:shd w:val="clear" w:color="auto" w:fill="auto"/>
            <w:noWrap/>
            <w:vAlign w:val="bottom"/>
            <w:hideMark/>
          </w:tcPr>
          <w:p w14:paraId="79A44390" w14:textId="77777777" w:rsidR="00A6208E" w:rsidRPr="007F79B9" w:rsidRDefault="008706FB" w:rsidP="00A6208E">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0.0011</w:t>
            </w:r>
          </w:p>
        </w:tc>
        <w:tc>
          <w:tcPr>
            <w:tcW w:w="0" w:type="auto"/>
            <w:tcBorders>
              <w:top w:val="double" w:sz="4" w:space="0" w:color="auto"/>
              <w:left w:val="nil"/>
              <w:bottom w:val="nil"/>
              <w:right w:val="nil"/>
            </w:tcBorders>
            <w:shd w:val="clear" w:color="auto" w:fill="auto"/>
            <w:noWrap/>
            <w:vAlign w:val="bottom"/>
            <w:hideMark/>
          </w:tcPr>
          <w:p w14:paraId="2DC0DFE7" w14:textId="77777777" w:rsidR="00A6208E" w:rsidRPr="007F79B9" w:rsidRDefault="008706FB" w:rsidP="00A6208E">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0.0001</w:t>
            </w:r>
          </w:p>
        </w:tc>
        <w:tc>
          <w:tcPr>
            <w:tcW w:w="0" w:type="auto"/>
            <w:tcBorders>
              <w:top w:val="double" w:sz="4" w:space="0" w:color="auto"/>
              <w:left w:val="nil"/>
              <w:bottom w:val="nil"/>
              <w:right w:val="nil"/>
            </w:tcBorders>
            <w:shd w:val="clear" w:color="auto" w:fill="auto"/>
            <w:noWrap/>
            <w:vAlign w:val="bottom"/>
            <w:hideMark/>
          </w:tcPr>
          <w:p w14:paraId="5B5A6CAB" w14:textId="77777777" w:rsidR="00A6208E" w:rsidRPr="007F79B9" w:rsidRDefault="008706FB" w:rsidP="00A6208E">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0.0004</w:t>
            </w:r>
          </w:p>
        </w:tc>
      </w:tr>
      <w:tr w:rsidR="00A6208E" w:rsidRPr="007F79B9" w14:paraId="17BB1FC7" w14:textId="77777777" w:rsidTr="00C423F3">
        <w:trPr>
          <w:trHeight w:val="300"/>
          <w:jc w:val="center"/>
        </w:trPr>
        <w:tc>
          <w:tcPr>
            <w:tcW w:w="0" w:type="auto"/>
            <w:tcBorders>
              <w:top w:val="nil"/>
              <w:left w:val="nil"/>
              <w:bottom w:val="nil"/>
              <w:right w:val="nil"/>
            </w:tcBorders>
            <w:shd w:val="clear" w:color="auto" w:fill="auto"/>
            <w:noWrap/>
            <w:vAlign w:val="bottom"/>
            <w:hideMark/>
          </w:tcPr>
          <w:p w14:paraId="418865C0" w14:textId="77777777" w:rsidR="00A6208E" w:rsidRPr="007F79B9" w:rsidRDefault="008706FB" w:rsidP="00C423F3">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yrus</w:t>
            </w:r>
          </w:p>
        </w:tc>
        <w:tc>
          <w:tcPr>
            <w:tcW w:w="0" w:type="auto"/>
            <w:tcBorders>
              <w:top w:val="nil"/>
              <w:left w:val="nil"/>
              <w:bottom w:val="nil"/>
              <w:right w:val="nil"/>
            </w:tcBorders>
            <w:shd w:val="clear" w:color="auto" w:fill="auto"/>
            <w:noWrap/>
            <w:vAlign w:val="bottom"/>
            <w:hideMark/>
          </w:tcPr>
          <w:p w14:paraId="28B44B45" w14:textId="77777777" w:rsidR="00A6208E" w:rsidRPr="007F79B9" w:rsidRDefault="008706FB" w:rsidP="00A6208E">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0.5150</w:t>
            </w:r>
          </w:p>
        </w:tc>
        <w:tc>
          <w:tcPr>
            <w:tcW w:w="0" w:type="auto"/>
            <w:tcBorders>
              <w:top w:val="nil"/>
              <w:left w:val="nil"/>
              <w:bottom w:val="nil"/>
              <w:right w:val="nil"/>
            </w:tcBorders>
            <w:shd w:val="clear" w:color="auto" w:fill="auto"/>
            <w:noWrap/>
            <w:vAlign w:val="bottom"/>
            <w:hideMark/>
          </w:tcPr>
          <w:p w14:paraId="27B86BB6" w14:textId="77777777" w:rsidR="00A6208E" w:rsidRPr="007F79B9" w:rsidRDefault="008706FB" w:rsidP="00A6208E">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0.4637</w:t>
            </w:r>
          </w:p>
        </w:tc>
        <w:tc>
          <w:tcPr>
            <w:tcW w:w="0" w:type="auto"/>
            <w:tcBorders>
              <w:top w:val="nil"/>
              <w:left w:val="nil"/>
              <w:bottom w:val="nil"/>
              <w:right w:val="nil"/>
            </w:tcBorders>
            <w:shd w:val="clear" w:color="auto" w:fill="auto"/>
            <w:noWrap/>
            <w:vAlign w:val="bottom"/>
            <w:hideMark/>
          </w:tcPr>
          <w:p w14:paraId="6908F031" w14:textId="77777777" w:rsidR="00A6208E" w:rsidRPr="007F79B9" w:rsidRDefault="008706FB" w:rsidP="00A6208E">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0.0212</w:t>
            </w:r>
          </w:p>
        </w:tc>
        <w:tc>
          <w:tcPr>
            <w:tcW w:w="0" w:type="auto"/>
            <w:tcBorders>
              <w:top w:val="nil"/>
              <w:left w:val="nil"/>
              <w:bottom w:val="nil"/>
              <w:right w:val="nil"/>
            </w:tcBorders>
            <w:shd w:val="clear" w:color="auto" w:fill="auto"/>
            <w:noWrap/>
            <w:vAlign w:val="bottom"/>
            <w:hideMark/>
          </w:tcPr>
          <w:p w14:paraId="16F38828" w14:textId="77777777" w:rsidR="00A6208E" w:rsidRPr="007F79B9" w:rsidRDefault="008706FB" w:rsidP="00A6208E">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0.0001</w:t>
            </w:r>
          </w:p>
        </w:tc>
      </w:tr>
      <w:tr w:rsidR="00A6208E" w:rsidRPr="007F79B9" w14:paraId="0A9A277B" w14:textId="77777777" w:rsidTr="00C423F3">
        <w:trPr>
          <w:trHeight w:val="300"/>
          <w:jc w:val="center"/>
        </w:trPr>
        <w:tc>
          <w:tcPr>
            <w:tcW w:w="0" w:type="auto"/>
            <w:tcBorders>
              <w:top w:val="nil"/>
              <w:left w:val="nil"/>
              <w:right w:val="nil"/>
            </w:tcBorders>
            <w:shd w:val="clear" w:color="auto" w:fill="auto"/>
            <w:noWrap/>
            <w:vAlign w:val="bottom"/>
            <w:hideMark/>
          </w:tcPr>
          <w:p w14:paraId="00BEE672" w14:textId="77777777" w:rsidR="00A6208E" w:rsidRPr="007F79B9" w:rsidRDefault="008706FB" w:rsidP="00C423F3">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y1895</w:t>
            </w:r>
          </w:p>
        </w:tc>
        <w:tc>
          <w:tcPr>
            <w:tcW w:w="0" w:type="auto"/>
            <w:tcBorders>
              <w:top w:val="nil"/>
              <w:left w:val="nil"/>
              <w:right w:val="nil"/>
            </w:tcBorders>
            <w:shd w:val="clear" w:color="auto" w:fill="auto"/>
            <w:noWrap/>
            <w:vAlign w:val="bottom"/>
            <w:hideMark/>
          </w:tcPr>
          <w:p w14:paraId="369B4C07" w14:textId="77777777" w:rsidR="00A6208E" w:rsidRPr="007F79B9" w:rsidRDefault="008706FB" w:rsidP="00A6208E">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0.7469</w:t>
            </w:r>
          </w:p>
        </w:tc>
        <w:tc>
          <w:tcPr>
            <w:tcW w:w="0" w:type="auto"/>
            <w:tcBorders>
              <w:top w:val="nil"/>
              <w:left w:val="nil"/>
              <w:right w:val="nil"/>
            </w:tcBorders>
            <w:shd w:val="clear" w:color="auto" w:fill="auto"/>
            <w:noWrap/>
            <w:vAlign w:val="bottom"/>
            <w:hideMark/>
          </w:tcPr>
          <w:p w14:paraId="7EC06D40" w14:textId="77777777" w:rsidR="00A6208E" w:rsidRPr="007F79B9" w:rsidRDefault="008706FB" w:rsidP="00A6208E">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0.0611</w:t>
            </w:r>
          </w:p>
        </w:tc>
        <w:tc>
          <w:tcPr>
            <w:tcW w:w="0" w:type="auto"/>
            <w:tcBorders>
              <w:top w:val="nil"/>
              <w:left w:val="nil"/>
              <w:right w:val="nil"/>
            </w:tcBorders>
            <w:shd w:val="clear" w:color="auto" w:fill="auto"/>
            <w:noWrap/>
            <w:vAlign w:val="bottom"/>
            <w:hideMark/>
          </w:tcPr>
          <w:p w14:paraId="372C2B35" w14:textId="77777777" w:rsidR="00A6208E" w:rsidRPr="007F79B9" w:rsidRDefault="008706FB" w:rsidP="00A6208E">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0.1664</w:t>
            </w:r>
          </w:p>
        </w:tc>
        <w:tc>
          <w:tcPr>
            <w:tcW w:w="0" w:type="auto"/>
            <w:tcBorders>
              <w:top w:val="nil"/>
              <w:left w:val="nil"/>
              <w:right w:val="nil"/>
            </w:tcBorders>
            <w:shd w:val="clear" w:color="auto" w:fill="auto"/>
            <w:noWrap/>
            <w:vAlign w:val="bottom"/>
            <w:hideMark/>
          </w:tcPr>
          <w:p w14:paraId="34826CF1" w14:textId="77777777" w:rsidR="00A6208E" w:rsidRPr="007F79B9" w:rsidRDefault="008706FB" w:rsidP="00A6208E">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0.0256</w:t>
            </w:r>
          </w:p>
        </w:tc>
      </w:tr>
      <w:tr w:rsidR="00A6208E" w:rsidRPr="007F79B9" w14:paraId="6FB40B74" w14:textId="77777777" w:rsidTr="00C423F3">
        <w:trPr>
          <w:trHeight w:val="300"/>
          <w:jc w:val="center"/>
        </w:trPr>
        <w:tc>
          <w:tcPr>
            <w:tcW w:w="0" w:type="auto"/>
            <w:tcBorders>
              <w:top w:val="nil"/>
              <w:left w:val="nil"/>
              <w:bottom w:val="single" w:sz="4" w:space="0" w:color="auto"/>
              <w:right w:val="nil"/>
            </w:tcBorders>
            <w:shd w:val="clear" w:color="auto" w:fill="auto"/>
            <w:noWrap/>
            <w:vAlign w:val="bottom"/>
            <w:hideMark/>
          </w:tcPr>
          <w:p w14:paraId="56E94990" w14:textId="77777777" w:rsidR="00A6208E" w:rsidRPr="007F79B9" w:rsidRDefault="008706FB" w:rsidP="00C423F3">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ycassel</w:t>
            </w:r>
          </w:p>
        </w:tc>
        <w:tc>
          <w:tcPr>
            <w:tcW w:w="0" w:type="auto"/>
            <w:tcBorders>
              <w:top w:val="nil"/>
              <w:left w:val="nil"/>
              <w:bottom w:val="single" w:sz="4" w:space="0" w:color="auto"/>
              <w:right w:val="nil"/>
            </w:tcBorders>
            <w:shd w:val="clear" w:color="auto" w:fill="auto"/>
            <w:noWrap/>
            <w:vAlign w:val="bottom"/>
            <w:hideMark/>
          </w:tcPr>
          <w:p w14:paraId="4EB7F5C6" w14:textId="77777777" w:rsidR="00A6208E" w:rsidRPr="007F79B9" w:rsidRDefault="008706FB" w:rsidP="00A6208E">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0.3964</w:t>
            </w:r>
          </w:p>
        </w:tc>
        <w:tc>
          <w:tcPr>
            <w:tcW w:w="0" w:type="auto"/>
            <w:tcBorders>
              <w:top w:val="nil"/>
              <w:left w:val="nil"/>
              <w:bottom w:val="single" w:sz="4" w:space="0" w:color="auto"/>
              <w:right w:val="nil"/>
            </w:tcBorders>
            <w:shd w:val="clear" w:color="auto" w:fill="auto"/>
            <w:noWrap/>
            <w:vAlign w:val="bottom"/>
            <w:hideMark/>
          </w:tcPr>
          <w:p w14:paraId="025C8C51" w14:textId="77777777" w:rsidR="00A6208E" w:rsidRPr="007F79B9" w:rsidRDefault="008706FB" w:rsidP="00A6208E">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0.0601</w:t>
            </w:r>
          </w:p>
        </w:tc>
        <w:tc>
          <w:tcPr>
            <w:tcW w:w="0" w:type="auto"/>
            <w:tcBorders>
              <w:top w:val="nil"/>
              <w:left w:val="nil"/>
              <w:bottom w:val="single" w:sz="4" w:space="0" w:color="auto"/>
              <w:right w:val="nil"/>
            </w:tcBorders>
            <w:shd w:val="clear" w:color="auto" w:fill="auto"/>
            <w:noWrap/>
            <w:vAlign w:val="bottom"/>
            <w:hideMark/>
          </w:tcPr>
          <w:p w14:paraId="337FBBAB" w14:textId="77777777" w:rsidR="00A6208E" w:rsidRPr="007F79B9" w:rsidRDefault="008706FB" w:rsidP="00A6208E">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0.0526</w:t>
            </w:r>
          </w:p>
        </w:tc>
        <w:tc>
          <w:tcPr>
            <w:tcW w:w="0" w:type="auto"/>
            <w:tcBorders>
              <w:top w:val="nil"/>
              <w:left w:val="nil"/>
              <w:bottom w:val="single" w:sz="4" w:space="0" w:color="auto"/>
              <w:right w:val="nil"/>
            </w:tcBorders>
            <w:shd w:val="clear" w:color="auto" w:fill="auto"/>
            <w:noWrap/>
            <w:vAlign w:val="bottom"/>
            <w:hideMark/>
          </w:tcPr>
          <w:p w14:paraId="464F6A76" w14:textId="77777777" w:rsidR="00A6208E" w:rsidRPr="007F79B9" w:rsidRDefault="008706FB" w:rsidP="00A6208E">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0.4908</w:t>
            </w:r>
          </w:p>
        </w:tc>
      </w:tr>
    </w:tbl>
    <w:p w14:paraId="69285221" w14:textId="77777777" w:rsidR="00C423F3" w:rsidRPr="007F79B9" w:rsidRDefault="008706FB" w:rsidP="00C423F3">
      <w:pPr>
        <w:ind w:left="2410"/>
        <w:rPr>
          <w:b/>
        </w:rPr>
      </w:pPr>
      <w:r w:rsidRPr="008706FB">
        <w:rPr>
          <w:sz w:val="20"/>
        </w:rPr>
        <w:t>Decomposition for 10 periods ahead.</w:t>
      </w:r>
    </w:p>
    <w:p w14:paraId="4AE3B8E5" w14:textId="38A9F7A9" w:rsidR="00C423F3" w:rsidRPr="007F79B9" w:rsidRDefault="008706FB" w:rsidP="00C423F3">
      <w:pPr>
        <w:jc w:val="center"/>
        <w:rPr>
          <w:b/>
        </w:rPr>
      </w:pPr>
      <w:r w:rsidRPr="008706FB">
        <w:rPr>
          <w:b/>
        </w:rPr>
        <w:t xml:space="preserve">Table </w:t>
      </w:r>
      <w:r w:rsidR="00045423">
        <w:rPr>
          <w:b/>
        </w:rPr>
        <w:t>A.6</w:t>
      </w:r>
      <w:r w:rsidRPr="008706FB">
        <w:rPr>
          <w:b/>
        </w:rPr>
        <w:t>: Variance decomposition of Greek bonds</w:t>
      </w:r>
    </w:p>
    <w:tbl>
      <w:tblPr>
        <w:tblW w:w="0" w:type="auto"/>
        <w:jc w:val="center"/>
        <w:tblLook w:val="04A0" w:firstRow="1" w:lastRow="0" w:firstColumn="1" w:lastColumn="0" w:noHBand="0" w:noVBand="1"/>
      </w:tblPr>
      <w:tblGrid>
        <w:gridCol w:w="762"/>
        <w:gridCol w:w="830"/>
        <w:gridCol w:w="830"/>
        <w:gridCol w:w="830"/>
        <w:gridCol w:w="830"/>
        <w:gridCol w:w="830"/>
        <w:gridCol w:w="830"/>
      </w:tblGrid>
      <w:tr w:rsidR="00C423F3" w:rsidRPr="007F79B9" w14:paraId="36ABCBEB" w14:textId="77777777" w:rsidTr="00C423F3">
        <w:trPr>
          <w:trHeight w:val="300"/>
          <w:jc w:val="center"/>
        </w:trPr>
        <w:tc>
          <w:tcPr>
            <w:tcW w:w="0" w:type="auto"/>
            <w:tcBorders>
              <w:top w:val="single" w:sz="4" w:space="0" w:color="auto"/>
              <w:left w:val="nil"/>
              <w:bottom w:val="double" w:sz="4" w:space="0" w:color="auto"/>
              <w:right w:val="nil"/>
            </w:tcBorders>
            <w:shd w:val="clear" w:color="auto" w:fill="auto"/>
            <w:noWrap/>
            <w:vAlign w:val="bottom"/>
            <w:hideMark/>
          </w:tcPr>
          <w:p w14:paraId="1D38FB2A" w14:textId="77777777" w:rsidR="00C423F3" w:rsidRPr="007F79B9" w:rsidRDefault="00C423F3" w:rsidP="00C423F3">
            <w:pPr>
              <w:spacing w:after="0" w:line="360" w:lineRule="auto"/>
              <w:rPr>
                <w:rFonts w:ascii="Calibri" w:eastAsia="Times New Roman" w:hAnsi="Calibri" w:cs="Times New Roman"/>
                <w:b/>
                <w:color w:val="000000"/>
                <w:lang w:eastAsia="en-GB"/>
              </w:rPr>
            </w:pPr>
          </w:p>
        </w:tc>
        <w:tc>
          <w:tcPr>
            <w:tcW w:w="0" w:type="auto"/>
            <w:tcBorders>
              <w:top w:val="single" w:sz="4" w:space="0" w:color="auto"/>
              <w:left w:val="nil"/>
              <w:bottom w:val="double" w:sz="4" w:space="0" w:color="auto"/>
              <w:right w:val="nil"/>
            </w:tcBorders>
            <w:shd w:val="clear" w:color="auto" w:fill="auto"/>
            <w:noWrap/>
            <w:vAlign w:val="bottom"/>
            <w:hideMark/>
          </w:tcPr>
          <w:p w14:paraId="2E084929" w14:textId="77777777" w:rsidR="00C423F3" w:rsidRPr="007F79B9" w:rsidRDefault="008706FB" w:rsidP="00C423F3">
            <w:pPr>
              <w:spacing w:after="0" w:line="360" w:lineRule="auto"/>
              <w:rPr>
                <w:rFonts w:ascii="Calibri" w:eastAsia="Times New Roman" w:hAnsi="Calibri" w:cs="Times New Roman"/>
                <w:b/>
                <w:color w:val="000000"/>
                <w:lang w:eastAsia="en-GB"/>
              </w:rPr>
            </w:pPr>
            <w:r w:rsidRPr="008706FB">
              <w:rPr>
                <w:rFonts w:ascii="Calibri" w:eastAsia="Times New Roman" w:hAnsi="Calibri" w:cs="Times New Roman"/>
                <w:b/>
                <w:color w:val="000000"/>
                <w:lang w:eastAsia="en-GB"/>
              </w:rPr>
              <w:t>ygbr</w:t>
            </w:r>
          </w:p>
        </w:tc>
        <w:tc>
          <w:tcPr>
            <w:tcW w:w="0" w:type="auto"/>
            <w:tcBorders>
              <w:top w:val="single" w:sz="4" w:space="0" w:color="auto"/>
              <w:left w:val="nil"/>
              <w:bottom w:val="double" w:sz="4" w:space="0" w:color="auto"/>
              <w:right w:val="nil"/>
            </w:tcBorders>
            <w:shd w:val="clear" w:color="auto" w:fill="auto"/>
            <w:noWrap/>
            <w:vAlign w:val="bottom"/>
            <w:hideMark/>
          </w:tcPr>
          <w:p w14:paraId="0EEB67A4" w14:textId="77777777" w:rsidR="00C423F3" w:rsidRPr="007F79B9" w:rsidRDefault="008706FB" w:rsidP="00C423F3">
            <w:pPr>
              <w:spacing w:after="0" w:line="360" w:lineRule="auto"/>
              <w:rPr>
                <w:rFonts w:ascii="Calibri" w:eastAsia="Times New Roman" w:hAnsi="Calibri" w:cs="Times New Roman"/>
                <w:b/>
                <w:color w:val="000000"/>
                <w:lang w:eastAsia="en-GB"/>
              </w:rPr>
            </w:pPr>
            <w:r w:rsidRPr="008706FB">
              <w:rPr>
                <w:rFonts w:ascii="Calibri" w:eastAsia="Times New Roman" w:hAnsi="Calibri" w:cs="Times New Roman"/>
                <w:b/>
                <w:color w:val="000000"/>
                <w:lang w:eastAsia="en-GB"/>
              </w:rPr>
              <w:t>yfra</w:t>
            </w:r>
          </w:p>
        </w:tc>
        <w:tc>
          <w:tcPr>
            <w:tcW w:w="0" w:type="auto"/>
            <w:tcBorders>
              <w:top w:val="single" w:sz="4" w:space="0" w:color="auto"/>
              <w:left w:val="nil"/>
              <w:bottom w:val="double" w:sz="4" w:space="0" w:color="auto"/>
              <w:right w:val="nil"/>
            </w:tcBorders>
            <w:shd w:val="clear" w:color="auto" w:fill="auto"/>
            <w:noWrap/>
            <w:vAlign w:val="bottom"/>
            <w:hideMark/>
          </w:tcPr>
          <w:p w14:paraId="77F3A576" w14:textId="77777777" w:rsidR="00C423F3" w:rsidRPr="007F79B9" w:rsidRDefault="008706FB" w:rsidP="00C423F3">
            <w:pPr>
              <w:spacing w:after="0" w:line="360" w:lineRule="auto"/>
              <w:rPr>
                <w:rFonts w:ascii="Calibri" w:eastAsia="Times New Roman" w:hAnsi="Calibri" w:cs="Times New Roman"/>
                <w:b/>
                <w:color w:val="000000"/>
                <w:lang w:eastAsia="en-GB"/>
              </w:rPr>
            </w:pPr>
            <w:r w:rsidRPr="008706FB">
              <w:rPr>
                <w:rFonts w:ascii="Calibri" w:eastAsia="Times New Roman" w:hAnsi="Calibri" w:cs="Times New Roman"/>
                <w:b/>
                <w:color w:val="000000"/>
                <w:lang w:eastAsia="en-GB"/>
              </w:rPr>
              <w:t>yrus</w:t>
            </w:r>
          </w:p>
        </w:tc>
        <w:tc>
          <w:tcPr>
            <w:tcW w:w="0" w:type="auto"/>
            <w:tcBorders>
              <w:top w:val="single" w:sz="4" w:space="0" w:color="auto"/>
              <w:left w:val="nil"/>
              <w:bottom w:val="double" w:sz="4" w:space="0" w:color="auto"/>
              <w:right w:val="nil"/>
            </w:tcBorders>
            <w:shd w:val="clear" w:color="auto" w:fill="auto"/>
            <w:noWrap/>
            <w:vAlign w:val="bottom"/>
            <w:hideMark/>
          </w:tcPr>
          <w:p w14:paraId="591FAA7C" w14:textId="77777777" w:rsidR="00C423F3" w:rsidRPr="007F79B9" w:rsidRDefault="008706FB" w:rsidP="00C423F3">
            <w:pPr>
              <w:spacing w:after="0" w:line="360" w:lineRule="auto"/>
              <w:rPr>
                <w:rFonts w:ascii="Calibri" w:eastAsia="Times New Roman" w:hAnsi="Calibri" w:cs="Times New Roman"/>
                <w:b/>
                <w:color w:val="000000"/>
                <w:lang w:eastAsia="en-GB"/>
              </w:rPr>
            </w:pPr>
            <w:r w:rsidRPr="008706FB">
              <w:rPr>
                <w:rFonts w:ascii="Calibri" w:eastAsia="Times New Roman" w:hAnsi="Calibri" w:cs="Times New Roman"/>
                <w:b/>
                <w:color w:val="000000"/>
                <w:lang w:eastAsia="en-GB"/>
              </w:rPr>
              <w:t>y1898</w:t>
            </w:r>
          </w:p>
        </w:tc>
        <w:tc>
          <w:tcPr>
            <w:tcW w:w="0" w:type="auto"/>
            <w:tcBorders>
              <w:top w:val="single" w:sz="4" w:space="0" w:color="auto"/>
              <w:left w:val="nil"/>
              <w:bottom w:val="double" w:sz="4" w:space="0" w:color="auto"/>
              <w:right w:val="nil"/>
            </w:tcBorders>
            <w:shd w:val="clear" w:color="auto" w:fill="auto"/>
            <w:noWrap/>
            <w:vAlign w:val="bottom"/>
            <w:hideMark/>
          </w:tcPr>
          <w:p w14:paraId="2EDC3263" w14:textId="77777777" w:rsidR="00C423F3" w:rsidRPr="007F79B9" w:rsidRDefault="008706FB" w:rsidP="00C423F3">
            <w:pPr>
              <w:spacing w:after="0" w:line="360" w:lineRule="auto"/>
              <w:rPr>
                <w:rFonts w:ascii="Calibri" w:eastAsia="Times New Roman" w:hAnsi="Calibri" w:cs="Times New Roman"/>
                <w:b/>
                <w:color w:val="000000"/>
                <w:lang w:eastAsia="en-GB"/>
              </w:rPr>
            </w:pPr>
            <w:r w:rsidRPr="008706FB">
              <w:rPr>
                <w:rFonts w:ascii="Calibri" w:eastAsia="Times New Roman" w:hAnsi="Calibri" w:cs="Times New Roman"/>
                <w:b/>
                <w:color w:val="000000"/>
                <w:lang w:eastAsia="en-GB"/>
              </w:rPr>
              <w:t>y1881</w:t>
            </w:r>
          </w:p>
        </w:tc>
        <w:tc>
          <w:tcPr>
            <w:tcW w:w="0" w:type="auto"/>
            <w:tcBorders>
              <w:top w:val="single" w:sz="4" w:space="0" w:color="auto"/>
              <w:left w:val="nil"/>
              <w:bottom w:val="double" w:sz="4" w:space="0" w:color="auto"/>
              <w:right w:val="nil"/>
            </w:tcBorders>
            <w:shd w:val="clear" w:color="auto" w:fill="auto"/>
            <w:noWrap/>
            <w:vAlign w:val="bottom"/>
            <w:hideMark/>
          </w:tcPr>
          <w:p w14:paraId="5085C38D" w14:textId="77777777" w:rsidR="00C423F3" w:rsidRPr="007F79B9" w:rsidRDefault="008706FB" w:rsidP="00C423F3">
            <w:pPr>
              <w:spacing w:after="0" w:line="360" w:lineRule="auto"/>
              <w:rPr>
                <w:rFonts w:ascii="Calibri" w:eastAsia="Times New Roman" w:hAnsi="Calibri" w:cs="Times New Roman"/>
                <w:b/>
                <w:color w:val="000000"/>
                <w:lang w:eastAsia="en-GB"/>
              </w:rPr>
            </w:pPr>
            <w:r w:rsidRPr="008706FB">
              <w:rPr>
                <w:rFonts w:ascii="Calibri" w:eastAsia="Times New Roman" w:hAnsi="Calibri" w:cs="Times New Roman"/>
                <w:b/>
                <w:color w:val="000000"/>
                <w:lang w:eastAsia="en-GB"/>
              </w:rPr>
              <w:t>y1884</w:t>
            </w:r>
          </w:p>
        </w:tc>
      </w:tr>
      <w:tr w:rsidR="00CF16A4" w:rsidRPr="007F79B9" w14:paraId="4224A861" w14:textId="77777777" w:rsidTr="00C423F3">
        <w:trPr>
          <w:trHeight w:val="300"/>
          <w:jc w:val="center"/>
        </w:trPr>
        <w:tc>
          <w:tcPr>
            <w:tcW w:w="0" w:type="auto"/>
            <w:tcBorders>
              <w:top w:val="double" w:sz="4" w:space="0" w:color="auto"/>
              <w:left w:val="nil"/>
              <w:bottom w:val="nil"/>
              <w:right w:val="nil"/>
            </w:tcBorders>
            <w:shd w:val="clear" w:color="auto" w:fill="auto"/>
            <w:noWrap/>
            <w:vAlign w:val="bottom"/>
            <w:hideMark/>
          </w:tcPr>
          <w:p w14:paraId="77BACC16" w14:textId="77777777" w:rsidR="00CF16A4" w:rsidRPr="007F79B9" w:rsidRDefault="008706FB" w:rsidP="00C423F3">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ygbr</w:t>
            </w:r>
          </w:p>
        </w:tc>
        <w:tc>
          <w:tcPr>
            <w:tcW w:w="0" w:type="auto"/>
            <w:tcBorders>
              <w:top w:val="double" w:sz="4" w:space="0" w:color="auto"/>
              <w:left w:val="nil"/>
              <w:bottom w:val="nil"/>
              <w:right w:val="nil"/>
            </w:tcBorders>
            <w:shd w:val="clear" w:color="auto" w:fill="auto"/>
            <w:noWrap/>
            <w:vAlign w:val="bottom"/>
            <w:hideMark/>
          </w:tcPr>
          <w:p w14:paraId="54346067"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0.9959</w:t>
            </w:r>
          </w:p>
        </w:tc>
        <w:tc>
          <w:tcPr>
            <w:tcW w:w="0" w:type="auto"/>
            <w:tcBorders>
              <w:top w:val="double" w:sz="4" w:space="0" w:color="auto"/>
              <w:left w:val="nil"/>
              <w:bottom w:val="nil"/>
              <w:right w:val="nil"/>
            </w:tcBorders>
            <w:shd w:val="clear" w:color="auto" w:fill="auto"/>
            <w:noWrap/>
            <w:vAlign w:val="bottom"/>
            <w:hideMark/>
          </w:tcPr>
          <w:p w14:paraId="7863255C"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0.0029</w:t>
            </w:r>
          </w:p>
        </w:tc>
        <w:tc>
          <w:tcPr>
            <w:tcW w:w="0" w:type="auto"/>
            <w:tcBorders>
              <w:top w:val="double" w:sz="4" w:space="0" w:color="auto"/>
              <w:left w:val="nil"/>
              <w:bottom w:val="nil"/>
              <w:right w:val="nil"/>
            </w:tcBorders>
            <w:shd w:val="clear" w:color="auto" w:fill="auto"/>
            <w:noWrap/>
            <w:vAlign w:val="bottom"/>
            <w:hideMark/>
          </w:tcPr>
          <w:p w14:paraId="0E9D2160"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0.0006</w:t>
            </w:r>
          </w:p>
        </w:tc>
        <w:tc>
          <w:tcPr>
            <w:tcW w:w="0" w:type="auto"/>
            <w:tcBorders>
              <w:top w:val="double" w:sz="4" w:space="0" w:color="auto"/>
              <w:left w:val="nil"/>
              <w:bottom w:val="nil"/>
              <w:right w:val="nil"/>
            </w:tcBorders>
            <w:shd w:val="clear" w:color="auto" w:fill="auto"/>
            <w:noWrap/>
            <w:vAlign w:val="bottom"/>
            <w:hideMark/>
          </w:tcPr>
          <w:p w14:paraId="3D162988"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0.0004</w:t>
            </w:r>
          </w:p>
        </w:tc>
        <w:tc>
          <w:tcPr>
            <w:tcW w:w="0" w:type="auto"/>
            <w:tcBorders>
              <w:top w:val="double" w:sz="4" w:space="0" w:color="auto"/>
              <w:left w:val="nil"/>
              <w:bottom w:val="nil"/>
              <w:right w:val="nil"/>
            </w:tcBorders>
            <w:shd w:val="clear" w:color="auto" w:fill="auto"/>
            <w:noWrap/>
            <w:vAlign w:val="bottom"/>
            <w:hideMark/>
          </w:tcPr>
          <w:p w14:paraId="16440F17"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0.0000</w:t>
            </w:r>
          </w:p>
        </w:tc>
        <w:tc>
          <w:tcPr>
            <w:tcW w:w="0" w:type="auto"/>
            <w:tcBorders>
              <w:top w:val="double" w:sz="4" w:space="0" w:color="auto"/>
              <w:left w:val="nil"/>
              <w:bottom w:val="nil"/>
              <w:right w:val="nil"/>
            </w:tcBorders>
            <w:shd w:val="clear" w:color="auto" w:fill="auto"/>
            <w:noWrap/>
            <w:vAlign w:val="bottom"/>
            <w:hideMark/>
          </w:tcPr>
          <w:p w14:paraId="4C03A02C"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0.0002</w:t>
            </w:r>
          </w:p>
        </w:tc>
      </w:tr>
      <w:tr w:rsidR="00CF16A4" w:rsidRPr="007F79B9" w14:paraId="46A9B358" w14:textId="77777777" w:rsidTr="00C423F3">
        <w:trPr>
          <w:trHeight w:val="300"/>
          <w:jc w:val="center"/>
        </w:trPr>
        <w:tc>
          <w:tcPr>
            <w:tcW w:w="0" w:type="auto"/>
            <w:tcBorders>
              <w:top w:val="nil"/>
              <w:left w:val="nil"/>
              <w:bottom w:val="nil"/>
              <w:right w:val="nil"/>
            </w:tcBorders>
            <w:shd w:val="clear" w:color="auto" w:fill="auto"/>
            <w:noWrap/>
            <w:vAlign w:val="bottom"/>
            <w:hideMark/>
          </w:tcPr>
          <w:p w14:paraId="135C5666" w14:textId="77777777" w:rsidR="00CF16A4" w:rsidRPr="007F79B9" w:rsidRDefault="008706FB" w:rsidP="00C423F3">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yfra</w:t>
            </w:r>
          </w:p>
        </w:tc>
        <w:tc>
          <w:tcPr>
            <w:tcW w:w="0" w:type="auto"/>
            <w:tcBorders>
              <w:top w:val="nil"/>
              <w:left w:val="nil"/>
              <w:bottom w:val="nil"/>
              <w:right w:val="nil"/>
            </w:tcBorders>
            <w:shd w:val="clear" w:color="auto" w:fill="auto"/>
            <w:noWrap/>
            <w:vAlign w:val="bottom"/>
            <w:hideMark/>
          </w:tcPr>
          <w:p w14:paraId="586B53A1"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0.8766</w:t>
            </w:r>
          </w:p>
        </w:tc>
        <w:tc>
          <w:tcPr>
            <w:tcW w:w="0" w:type="auto"/>
            <w:tcBorders>
              <w:top w:val="nil"/>
              <w:left w:val="nil"/>
              <w:bottom w:val="nil"/>
              <w:right w:val="nil"/>
            </w:tcBorders>
            <w:shd w:val="clear" w:color="auto" w:fill="auto"/>
            <w:noWrap/>
            <w:vAlign w:val="bottom"/>
            <w:hideMark/>
          </w:tcPr>
          <w:p w14:paraId="287439C1"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0.1202</w:t>
            </w:r>
          </w:p>
        </w:tc>
        <w:tc>
          <w:tcPr>
            <w:tcW w:w="0" w:type="auto"/>
            <w:tcBorders>
              <w:top w:val="nil"/>
              <w:left w:val="nil"/>
              <w:bottom w:val="nil"/>
              <w:right w:val="nil"/>
            </w:tcBorders>
            <w:shd w:val="clear" w:color="auto" w:fill="auto"/>
            <w:noWrap/>
            <w:vAlign w:val="bottom"/>
            <w:hideMark/>
          </w:tcPr>
          <w:p w14:paraId="0DD87B08"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0.0000</w:t>
            </w:r>
          </w:p>
        </w:tc>
        <w:tc>
          <w:tcPr>
            <w:tcW w:w="0" w:type="auto"/>
            <w:tcBorders>
              <w:top w:val="nil"/>
              <w:left w:val="nil"/>
              <w:bottom w:val="nil"/>
              <w:right w:val="nil"/>
            </w:tcBorders>
            <w:shd w:val="clear" w:color="auto" w:fill="auto"/>
            <w:noWrap/>
            <w:vAlign w:val="bottom"/>
            <w:hideMark/>
          </w:tcPr>
          <w:p w14:paraId="44F4942F"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0.0014</w:t>
            </w:r>
          </w:p>
        </w:tc>
        <w:tc>
          <w:tcPr>
            <w:tcW w:w="0" w:type="auto"/>
            <w:tcBorders>
              <w:top w:val="nil"/>
              <w:left w:val="nil"/>
              <w:bottom w:val="nil"/>
              <w:right w:val="nil"/>
            </w:tcBorders>
            <w:shd w:val="clear" w:color="auto" w:fill="auto"/>
            <w:noWrap/>
            <w:vAlign w:val="bottom"/>
            <w:hideMark/>
          </w:tcPr>
          <w:p w14:paraId="75E5A457"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0.0005</w:t>
            </w:r>
          </w:p>
        </w:tc>
        <w:tc>
          <w:tcPr>
            <w:tcW w:w="0" w:type="auto"/>
            <w:tcBorders>
              <w:top w:val="nil"/>
              <w:left w:val="nil"/>
              <w:bottom w:val="nil"/>
              <w:right w:val="nil"/>
            </w:tcBorders>
            <w:shd w:val="clear" w:color="auto" w:fill="auto"/>
            <w:noWrap/>
            <w:vAlign w:val="bottom"/>
            <w:hideMark/>
          </w:tcPr>
          <w:p w14:paraId="05DE9293"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0.0013</w:t>
            </w:r>
          </w:p>
        </w:tc>
      </w:tr>
      <w:tr w:rsidR="00CF16A4" w:rsidRPr="007F79B9" w14:paraId="51A2A424" w14:textId="77777777" w:rsidTr="00C423F3">
        <w:trPr>
          <w:trHeight w:val="300"/>
          <w:jc w:val="center"/>
        </w:trPr>
        <w:tc>
          <w:tcPr>
            <w:tcW w:w="0" w:type="auto"/>
            <w:tcBorders>
              <w:top w:val="nil"/>
              <w:left w:val="nil"/>
              <w:bottom w:val="nil"/>
              <w:right w:val="nil"/>
            </w:tcBorders>
            <w:shd w:val="clear" w:color="auto" w:fill="auto"/>
            <w:noWrap/>
            <w:vAlign w:val="bottom"/>
            <w:hideMark/>
          </w:tcPr>
          <w:p w14:paraId="77521BAB" w14:textId="77777777" w:rsidR="00CF16A4" w:rsidRPr="007F79B9" w:rsidRDefault="008706FB" w:rsidP="00C423F3">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yrus</w:t>
            </w:r>
          </w:p>
        </w:tc>
        <w:tc>
          <w:tcPr>
            <w:tcW w:w="0" w:type="auto"/>
            <w:tcBorders>
              <w:top w:val="nil"/>
              <w:left w:val="nil"/>
              <w:bottom w:val="nil"/>
              <w:right w:val="nil"/>
            </w:tcBorders>
            <w:shd w:val="clear" w:color="auto" w:fill="auto"/>
            <w:noWrap/>
            <w:vAlign w:val="bottom"/>
            <w:hideMark/>
          </w:tcPr>
          <w:p w14:paraId="23FC741F"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0.5079</w:t>
            </w:r>
          </w:p>
        </w:tc>
        <w:tc>
          <w:tcPr>
            <w:tcW w:w="0" w:type="auto"/>
            <w:tcBorders>
              <w:top w:val="nil"/>
              <w:left w:val="nil"/>
              <w:bottom w:val="nil"/>
              <w:right w:val="nil"/>
            </w:tcBorders>
            <w:shd w:val="clear" w:color="auto" w:fill="auto"/>
            <w:noWrap/>
            <w:vAlign w:val="bottom"/>
            <w:hideMark/>
          </w:tcPr>
          <w:p w14:paraId="26FF8CA0"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0.0490</w:t>
            </w:r>
          </w:p>
        </w:tc>
        <w:tc>
          <w:tcPr>
            <w:tcW w:w="0" w:type="auto"/>
            <w:tcBorders>
              <w:top w:val="nil"/>
              <w:left w:val="nil"/>
              <w:bottom w:val="nil"/>
              <w:right w:val="nil"/>
            </w:tcBorders>
            <w:shd w:val="clear" w:color="auto" w:fill="auto"/>
            <w:noWrap/>
            <w:vAlign w:val="bottom"/>
            <w:hideMark/>
          </w:tcPr>
          <w:p w14:paraId="34C294EA"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0.4069</w:t>
            </w:r>
          </w:p>
        </w:tc>
        <w:tc>
          <w:tcPr>
            <w:tcW w:w="0" w:type="auto"/>
            <w:tcBorders>
              <w:top w:val="nil"/>
              <w:left w:val="nil"/>
              <w:bottom w:val="nil"/>
              <w:right w:val="nil"/>
            </w:tcBorders>
            <w:shd w:val="clear" w:color="auto" w:fill="auto"/>
            <w:noWrap/>
            <w:vAlign w:val="bottom"/>
            <w:hideMark/>
          </w:tcPr>
          <w:p w14:paraId="27D7B717"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0.0342</w:t>
            </w:r>
          </w:p>
        </w:tc>
        <w:tc>
          <w:tcPr>
            <w:tcW w:w="0" w:type="auto"/>
            <w:tcBorders>
              <w:top w:val="nil"/>
              <w:left w:val="nil"/>
              <w:bottom w:val="nil"/>
              <w:right w:val="nil"/>
            </w:tcBorders>
            <w:shd w:val="clear" w:color="auto" w:fill="auto"/>
            <w:noWrap/>
            <w:vAlign w:val="bottom"/>
            <w:hideMark/>
          </w:tcPr>
          <w:p w14:paraId="1997BE48"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0.0010</w:t>
            </w:r>
          </w:p>
        </w:tc>
        <w:tc>
          <w:tcPr>
            <w:tcW w:w="0" w:type="auto"/>
            <w:tcBorders>
              <w:top w:val="nil"/>
              <w:left w:val="nil"/>
              <w:bottom w:val="nil"/>
              <w:right w:val="nil"/>
            </w:tcBorders>
            <w:shd w:val="clear" w:color="auto" w:fill="auto"/>
            <w:noWrap/>
            <w:vAlign w:val="bottom"/>
            <w:hideMark/>
          </w:tcPr>
          <w:p w14:paraId="6D6B8A39"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0.0010</w:t>
            </w:r>
          </w:p>
        </w:tc>
      </w:tr>
      <w:tr w:rsidR="00CF16A4" w:rsidRPr="007F79B9" w14:paraId="4EE96E76" w14:textId="77777777" w:rsidTr="00C423F3">
        <w:trPr>
          <w:trHeight w:val="300"/>
          <w:jc w:val="center"/>
        </w:trPr>
        <w:tc>
          <w:tcPr>
            <w:tcW w:w="0" w:type="auto"/>
            <w:tcBorders>
              <w:top w:val="nil"/>
              <w:left w:val="nil"/>
              <w:bottom w:val="nil"/>
              <w:right w:val="nil"/>
            </w:tcBorders>
            <w:shd w:val="clear" w:color="auto" w:fill="auto"/>
            <w:noWrap/>
            <w:vAlign w:val="bottom"/>
            <w:hideMark/>
          </w:tcPr>
          <w:p w14:paraId="677FE798" w14:textId="77777777" w:rsidR="00CF16A4" w:rsidRPr="007F79B9" w:rsidRDefault="008706FB" w:rsidP="00C423F3">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y1898</w:t>
            </w:r>
          </w:p>
        </w:tc>
        <w:tc>
          <w:tcPr>
            <w:tcW w:w="0" w:type="auto"/>
            <w:tcBorders>
              <w:top w:val="nil"/>
              <w:left w:val="nil"/>
              <w:bottom w:val="nil"/>
              <w:right w:val="nil"/>
            </w:tcBorders>
            <w:shd w:val="clear" w:color="auto" w:fill="auto"/>
            <w:noWrap/>
            <w:vAlign w:val="bottom"/>
            <w:hideMark/>
          </w:tcPr>
          <w:p w14:paraId="30E4AF5A"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0.9368</w:t>
            </w:r>
          </w:p>
        </w:tc>
        <w:tc>
          <w:tcPr>
            <w:tcW w:w="0" w:type="auto"/>
            <w:tcBorders>
              <w:top w:val="nil"/>
              <w:left w:val="nil"/>
              <w:bottom w:val="nil"/>
              <w:right w:val="nil"/>
            </w:tcBorders>
            <w:shd w:val="clear" w:color="auto" w:fill="auto"/>
            <w:noWrap/>
            <w:vAlign w:val="bottom"/>
            <w:hideMark/>
          </w:tcPr>
          <w:p w14:paraId="5027D035"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0.0397</w:t>
            </w:r>
          </w:p>
        </w:tc>
        <w:tc>
          <w:tcPr>
            <w:tcW w:w="0" w:type="auto"/>
            <w:tcBorders>
              <w:top w:val="nil"/>
              <w:left w:val="nil"/>
              <w:bottom w:val="nil"/>
              <w:right w:val="nil"/>
            </w:tcBorders>
            <w:shd w:val="clear" w:color="auto" w:fill="auto"/>
            <w:noWrap/>
            <w:vAlign w:val="bottom"/>
            <w:hideMark/>
          </w:tcPr>
          <w:p w14:paraId="226B6A28"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0.0062</w:t>
            </w:r>
          </w:p>
        </w:tc>
        <w:tc>
          <w:tcPr>
            <w:tcW w:w="0" w:type="auto"/>
            <w:tcBorders>
              <w:top w:val="nil"/>
              <w:left w:val="nil"/>
              <w:bottom w:val="nil"/>
              <w:right w:val="nil"/>
            </w:tcBorders>
            <w:shd w:val="clear" w:color="auto" w:fill="auto"/>
            <w:noWrap/>
            <w:vAlign w:val="bottom"/>
            <w:hideMark/>
          </w:tcPr>
          <w:p w14:paraId="0DD43F66"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0.0163</w:t>
            </w:r>
          </w:p>
        </w:tc>
        <w:tc>
          <w:tcPr>
            <w:tcW w:w="0" w:type="auto"/>
            <w:tcBorders>
              <w:top w:val="nil"/>
              <w:left w:val="nil"/>
              <w:bottom w:val="nil"/>
              <w:right w:val="nil"/>
            </w:tcBorders>
            <w:shd w:val="clear" w:color="auto" w:fill="auto"/>
            <w:noWrap/>
            <w:vAlign w:val="bottom"/>
            <w:hideMark/>
          </w:tcPr>
          <w:p w14:paraId="2290EEBE"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0.0007</w:t>
            </w:r>
          </w:p>
        </w:tc>
        <w:tc>
          <w:tcPr>
            <w:tcW w:w="0" w:type="auto"/>
            <w:tcBorders>
              <w:top w:val="nil"/>
              <w:left w:val="nil"/>
              <w:bottom w:val="nil"/>
              <w:right w:val="nil"/>
            </w:tcBorders>
            <w:shd w:val="clear" w:color="auto" w:fill="auto"/>
            <w:noWrap/>
            <w:vAlign w:val="bottom"/>
            <w:hideMark/>
          </w:tcPr>
          <w:p w14:paraId="2D23BBD4"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0.0003</w:t>
            </w:r>
          </w:p>
        </w:tc>
      </w:tr>
      <w:tr w:rsidR="00CF16A4" w:rsidRPr="007F79B9" w14:paraId="25812BC1" w14:textId="77777777" w:rsidTr="00C423F3">
        <w:trPr>
          <w:trHeight w:val="300"/>
          <w:jc w:val="center"/>
        </w:trPr>
        <w:tc>
          <w:tcPr>
            <w:tcW w:w="0" w:type="auto"/>
            <w:tcBorders>
              <w:top w:val="nil"/>
              <w:left w:val="nil"/>
              <w:right w:val="nil"/>
            </w:tcBorders>
            <w:shd w:val="clear" w:color="auto" w:fill="auto"/>
            <w:noWrap/>
            <w:vAlign w:val="bottom"/>
            <w:hideMark/>
          </w:tcPr>
          <w:p w14:paraId="6C3F726A" w14:textId="77777777" w:rsidR="00CF16A4" w:rsidRPr="007F79B9" w:rsidRDefault="008706FB" w:rsidP="00C423F3">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y1881</w:t>
            </w:r>
          </w:p>
        </w:tc>
        <w:tc>
          <w:tcPr>
            <w:tcW w:w="0" w:type="auto"/>
            <w:tcBorders>
              <w:top w:val="nil"/>
              <w:left w:val="nil"/>
              <w:right w:val="nil"/>
            </w:tcBorders>
            <w:shd w:val="clear" w:color="auto" w:fill="auto"/>
            <w:noWrap/>
            <w:vAlign w:val="bottom"/>
            <w:hideMark/>
          </w:tcPr>
          <w:p w14:paraId="59154CA2"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0.6142</w:t>
            </w:r>
          </w:p>
        </w:tc>
        <w:tc>
          <w:tcPr>
            <w:tcW w:w="0" w:type="auto"/>
            <w:tcBorders>
              <w:top w:val="nil"/>
              <w:left w:val="nil"/>
              <w:right w:val="nil"/>
            </w:tcBorders>
            <w:shd w:val="clear" w:color="auto" w:fill="auto"/>
            <w:noWrap/>
            <w:vAlign w:val="bottom"/>
            <w:hideMark/>
          </w:tcPr>
          <w:p w14:paraId="2129D412"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0.0003</w:t>
            </w:r>
          </w:p>
        </w:tc>
        <w:tc>
          <w:tcPr>
            <w:tcW w:w="0" w:type="auto"/>
            <w:tcBorders>
              <w:top w:val="nil"/>
              <w:left w:val="nil"/>
              <w:right w:val="nil"/>
            </w:tcBorders>
            <w:shd w:val="clear" w:color="auto" w:fill="auto"/>
            <w:noWrap/>
            <w:vAlign w:val="bottom"/>
            <w:hideMark/>
          </w:tcPr>
          <w:p w14:paraId="5CB97B9F"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0.0004</w:t>
            </w:r>
          </w:p>
        </w:tc>
        <w:tc>
          <w:tcPr>
            <w:tcW w:w="0" w:type="auto"/>
            <w:tcBorders>
              <w:top w:val="nil"/>
              <w:left w:val="nil"/>
              <w:right w:val="nil"/>
            </w:tcBorders>
            <w:shd w:val="clear" w:color="auto" w:fill="auto"/>
            <w:noWrap/>
            <w:vAlign w:val="bottom"/>
            <w:hideMark/>
          </w:tcPr>
          <w:p w14:paraId="52C86EBC"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0.0064</w:t>
            </w:r>
          </w:p>
        </w:tc>
        <w:tc>
          <w:tcPr>
            <w:tcW w:w="0" w:type="auto"/>
            <w:tcBorders>
              <w:top w:val="nil"/>
              <w:left w:val="nil"/>
              <w:right w:val="nil"/>
            </w:tcBorders>
            <w:shd w:val="clear" w:color="auto" w:fill="auto"/>
            <w:noWrap/>
            <w:vAlign w:val="bottom"/>
            <w:hideMark/>
          </w:tcPr>
          <w:p w14:paraId="6E4CF251"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0.3514</w:t>
            </w:r>
          </w:p>
        </w:tc>
        <w:tc>
          <w:tcPr>
            <w:tcW w:w="0" w:type="auto"/>
            <w:tcBorders>
              <w:top w:val="nil"/>
              <w:left w:val="nil"/>
              <w:right w:val="nil"/>
            </w:tcBorders>
            <w:shd w:val="clear" w:color="auto" w:fill="auto"/>
            <w:noWrap/>
            <w:vAlign w:val="bottom"/>
            <w:hideMark/>
          </w:tcPr>
          <w:p w14:paraId="18F90D55"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0.0272</w:t>
            </w:r>
          </w:p>
        </w:tc>
      </w:tr>
      <w:tr w:rsidR="00CF16A4" w:rsidRPr="007F79B9" w14:paraId="4CF71BF7" w14:textId="77777777" w:rsidTr="00C423F3">
        <w:trPr>
          <w:trHeight w:val="300"/>
          <w:jc w:val="center"/>
        </w:trPr>
        <w:tc>
          <w:tcPr>
            <w:tcW w:w="0" w:type="auto"/>
            <w:tcBorders>
              <w:top w:val="nil"/>
              <w:left w:val="nil"/>
              <w:bottom w:val="single" w:sz="4" w:space="0" w:color="auto"/>
              <w:right w:val="nil"/>
            </w:tcBorders>
            <w:shd w:val="clear" w:color="auto" w:fill="auto"/>
            <w:noWrap/>
            <w:vAlign w:val="bottom"/>
            <w:hideMark/>
          </w:tcPr>
          <w:p w14:paraId="67785597" w14:textId="77777777" w:rsidR="00CF16A4" w:rsidRPr="007F79B9" w:rsidRDefault="008706FB" w:rsidP="00C423F3">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y1884</w:t>
            </w:r>
          </w:p>
        </w:tc>
        <w:tc>
          <w:tcPr>
            <w:tcW w:w="0" w:type="auto"/>
            <w:tcBorders>
              <w:top w:val="nil"/>
              <w:left w:val="nil"/>
              <w:bottom w:val="single" w:sz="4" w:space="0" w:color="auto"/>
              <w:right w:val="nil"/>
            </w:tcBorders>
            <w:shd w:val="clear" w:color="auto" w:fill="auto"/>
            <w:noWrap/>
            <w:vAlign w:val="bottom"/>
            <w:hideMark/>
          </w:tcPr>
          <w:p w14:paraId="0E7870D4"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0.6058</w:t>
            </w:r>
          </w:p>
        </w:tc>
        <w:tc>
          <w:tcPr>
            <w:tcW w:w="0" w:type="auto"/>
            <w:tcBorders>
              <w:top w:val="nil"/>
              <w:left w:val="nil"/>
              <w:bottom w:val="single" w:sz="4" w:space="0" w:color="auto"/>
              <w:right w:val="nil"/>
            </w:tcBorders>
            <w:shd w:val="clear" w:color="auto" w:fill="auto"/>
            <w:noWrap/>
            <w:vAlign w:val="bottom"/>
            <w:hideMark/>
          </w:tcPr>
          <w:p w14:paraId="3D8D28DE"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0.0000</w:t>
            </w:r>
          </w:p>
        </w:tc>
        <w:tc>
          <w:tcPr>
            <w:tcW w:w="0" w:type="auto"/>
            <w:tcBorders>
              <w:top w:val="nil"/>
              <w:left w:val="nil"/>
              <w:bottom w:val="single" w:sz="4" w:space="0" w:color="auto"/>
              <w:right w:val="nil"/>
            </w:tcBorders>
            <w:shd w:val="clear" w:color="auto" w:fill="auto"/>
            <w:noWrap/>
            <w:vAlign w:val="bottom"/>
            <w:hideMark/>
          </w:tcPr>
          <w:p w14:paraId="6B659ACC"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0.0019</w:t>
            </w:r>
          </w:p>
        </w:tc>
        <w:tc>
          <w:tcPr>
            <w:tcW w:w="0" w:type="auto"/>
            <w:tcBorders>
              <w:top w:val="nil"/>
              <w:left w:val="nil"/>
              <w:bottom w:val="single" w:sz="4" w:space="0" w:color="auto"/>
              <w:right w:val="nil"/>
            </w:tcBorders>
            <w:shd w:val="clear" w:color="auto" w:fill="auto"/>
            <w:noWrap/>
            <w:vAlign w:val="bottom"/>
            <w:hideMark/>
          </w:tcPr>
          <w:p w14:paraId="33F06F42"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0.0061</w:t>
            </w:r>
          </w:p>
        </w:tc>
        <w:tc>
          <w:tcPr>
            <w:tcW w:w="0" w:type="auto"/>
            <w:tcBorders>
              <w:top w:val="nil"/>
              <w:left w:val="nil"/>
              <w:bottom w:val="single" w:sz="4" w:space="0" w:color="auto"/>
              <w:right w:val="nil"/>
            </w:tcBorders>
            <w:shd w:val="clear" w:color="auto" w:fill="auto"/>
            <w:noWrap/>
            <w:vAlign w:val="bottom"/>
            <w:hideMark/>
          </w:tcPr>
          <w:p w14:paraId="29E9073A"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0.3484</w:t>
            </w:r>
          </w:p>
        </w:tc>
        <w:tc>
          <w:tcPr>
            <w:tcW w:w="0" w:type="auto"/>
            <w:tcBorders>
              <w:top w:val="nil"/>
              <w:left w:val="nil"/>
              <w:bottom w:val="single" w:sz="4" w:space="0" w:color="auto"/>
              <w:right w:val="nil"/>
            </w:tcBorders>
            <w:shd w:val="clear" w:color="auto" w:fill="auto"/>
            <w:noWrap/>
            <w:vAlign w:val="bottom"/>
            <w:hideMark/>
          </w:tcPr>
          <w:p w14:paraId="6BC70426" w14:textId="77777777" w:rsidR="00CF16A4" w:rsidRPr="007F79B9" w:rsidRDefault="008706FB" w:rsidP="00CF16A4">
            <w:pPr>
              <w:spacing w:after="0" w:line="360" w:lineRule="auto"/>
              <w:rPr>
                <w:rFonts w:ascii="Calibri" w:eastAsia="Times New Roman" w:hAnsi="Calibri" w:cs="Times New Roman"/>
                <w:color w:val="000000"/>
                <w:lang w:eastAsia="en-GB"/>
              </w:rPr>
            </w:pPr>
            <w:r w:rsidRPr="008706FB">
              <w:rPr>
                <w:rFonts w:ascii="Calibri" w:eastAsia="Times New Roman" w:hAnsi="Calibri" w:cs="Times New Roman"/>
                <w:color w:val="000000"/>
                <w:lang w:eastAsia="en-GB"/>
              </w:rPr>
              <w:t>0.0378</w:t>
            </w:r>
          </w:p>
        </w:tc>
      </w:tr>
    </w:tbl>
    <w:p w14:paraId="3EF8BDCE" w14:textId="77777777" w:rsidR="00C423F3" w:rsidRPr="007F79B9" w:rsidRDefault="008706FB" w:rsidP="00C423F3">
      <w:pPr>
        <w:ind w:left="1701"/>
        <w:rPr>
          <w:b/>
        </w:rPr>
      </w:pPr>
      <w:r w:rsidRPr="008706FB">
        <w:rPr>
          <w:sz w:val="20"/>
        </w:rPr>
        <w:t>Decomposition for 10 periods ahead.</w:t>
      </w:r>
    </w:p>
    <w:p w14:paraId="679650F7" w14:textId="77777777" w:rsidR="00734CFC" w:rsidRPr="007F79B9" w:rsidRDefault="008706FB">
      <w:pPr>
        <w:rPr>
          <w:b/>
          <w:sz w:val="24"/>
        </w:rPr>
      </w:pPr>
      <w:r w:rsidRPr="008706FB">
        <w:rPr>
          <w:b/>
          <w:sz w:val="24"/>
        </w:rPr>
        <w:br w:type="page"/>
      </w:r>
    </w:p>
    <w:p w14:paraId="5A0B48CC" w14:textId="77777777" w:rsidR="007800BF" w:rsidRPr="007F79B9" w:rsidRDefault="007800BF" w:rsidP="007800BF">
      <w:pPr>
        <w:jc w:val="center"/>
        <w:rPr>
          <w:b/>
        </w:rPr>
      </w:pPr>
      <w:r w:rsidRPr="008706FB">
        <w:rPr>
          <w:b/>
        </w:rPr>
        <w:lastRenderedPageBreak/>
        <w:t>Figure A.1: Alternative yields of Egyptian 3% guaranteed bond of 1885</w:t>
      </w:r>
    </w:p>
    <w:p w14:paraId="7DF4ADB8" w14:textId="77777777" w:rsidR="007800BF" w:rsidRPr="007F79B9" w:rsidRDefault="007800BF" w:rsidP="007800BF">
      <w:pPr>
        <w:jc w:val="center"/>
        <w:rPr>
          <w:b/>
        </w:rPr>
      </w:pPr>
      <w:r>
        <w:rPr>
          <w:b/>
          <w:noProof/>
          <w:lang w:val="en-US" w:eastAsia="zh-CN"/>
        </w:rPr>
        <w:drawing>
          <wp:inline distT="0" distB="0" distL="0" distR="0" wp14:anchorId="2EB97676" wp14:editId="1C02680F">
            <wp:extent cx="5731510" cy="41681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comp.wmf"/>
                    <pic:cNvPicPr/>
                  </pic:nvPicPr>
                  <pic:blipFill>
                    <a:blip r:embed="rId11">
                      <a:extLst>
                        <a:ext uri="{28A0092B-C50C-407E-A947-70E740481C1C}">
                          <a14:useLocalDpi xmlns:a14="http://schemas.microsoft.com/office/drawing/2010/main" val="0"/>
                        </a:ext>
                      </a:extLst>
                    </a:blip>
                    <a:stretch>
                      <a:fillRect/>
                    </a:stretch>
                  </pic:blipFill>
                  <pic:spPr>
                    <a:xfrm>
                      <a:off x="0" y="0"/>
                      <a:ext cx="5731510" cy="4168140"/>
                    </a:xfrm>
                    <a:prstGeom prst="rect">
                      <a:avLst/>
                    </a:prstGeom>
                  </pic:spPr>
                </pic:pic>
              </a:graphicData>
            </a:graphic>
          </wp:inline>
        </w:drawing>
      </w:r>
    </w:p>
    <w:p w14:paraId="74CB136B" w14:textId="067E1250" w:rsidR="003924DB" w:rsidRPr="007F79B9" w:rsidRDefault="008706FB" w:rsidP="003E664A">
      <w:pPr>
        <w:jc w:val="center"/>
        <w:rPr>
          <w:b/>
        </w:rPr>
      </w:pPr>
      <w:r w:rsidRPr="008706FB">
        <w:rPr>
          <w:b/>
        </w:rPr>
        <w:t xml:space="preserve">Figure </w:t>
      </w:r>
      <w:r w:rsidR="00045423">
        <w:rPr>
          <w:b/>
        </w:rPr>
        <w:t>A</w:t>
      </w:r>
      <w:r w:rsidR="007800BF">
        <w:rPr>
          <w:b/>
        </w:rPr>
        <w:t>.2</w:t>
      </w:r>
      <w:r w:rsidRPr="008706FB">
        <w:rPr>
          <w:b/>
        </w:rPr>
        <w:t>: Impulse Response Functions for Turkey 1855</w:t>
      </w:r>
    </w:p>
    <w:p w14:paraId="2DB4DD0B" w14:textId="77777777" w:rsidR="003924DB" w:rsidRDefault="008D1C9D">
      <w:pPr>
        <w:rPr>
          <w:b/>
          <w:sz w:val="24"/>
        </w:rPr>
      </w:pPr>
      <w:r>
        <w:rPr>
          <w:b/>
          <w:noProof/>
          <w:sz w:val="24"/>
          <w:lang w:val="en-US" w:eastAsia="zh-CN"/>
        </w:rPr>
        <w:drawing>
          <wp:inline distT="0" distB="0" distL="0" distR="0" wp14:anchorId="49785116" wp14:editId="27CBA304">
            <wp:extent cx="5490666" cy="3660905"/>
            <wp:effectExtent l="19050" t="0" r="0" b="0"/>
            <wp:docPr id="18" name="Picture 17" descr="tur_grh_tm.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r_grh_tm.emf"/>
                    <pic:cNvPicPr/>
                  </pic:nvPicPr>
                  <pic:blipFill>
                    <a:blip r:embed="rId12"/>
                    <a:stretch>
                      <a:fillRect/>
                    </a:stretch>
                  </pic:blipFill>
                  <pic:spPr>
                    <a:xfrm>
                      <a:off x="0" y="0"/>
                      <a:ext cx="5490666" cy="3660905"/>
                    </a:xfrm>
                    <a:prstGeom prst="rect">
                      <a:avLst/>
                    </a:prstGeom>
                  </pic:spPr>
                </pic:pic>
              </a:graphicData>
            </a:graphic>
          </wp:inline>
        </w:drawing>
      </w:r>
    </w:p>
    <w:p w14:paraId="027C9A5D" w14:textId="77777777" w:rsidR="003E664A" w:rsidRPr="007F79B9" w:rsidRDefault="003E664A" w:rsidP="000E7558">
      <w:pPr>
        <w:jc w:val="center"/>
        <w:rPr>
          <w:b/>
          <w:sz w:val="24"/>
        </w:rPr>
        <w:sectPr w:rsidR="003E664A" w:rsidRPr="007F79B9" w:rsidSect="00F17C59">
          <w:pgSz w:w="11906" w:h="16838"/>
          <w:pgMar w:top="1440" w:right="1440" w:bottom="1440" w:left="1440" w:header="708" w:footer="708" w:gutter="0"/>
          <w:cols w:space="708"/>
          <w:docGrid w:linePitch="360"/>
        </w:sectPr>
      </w:pPr>
    </w:p>
    <w:p w14:paraId="013A93B1" w14:textId="03608B2B" w:rsidR="003E664A" w:rsidRPr="007F79B9" w:rsidRDefault="008706FB" w:rsidP="003E664A">
      <w:pPr>
        <w:jc w:val="center"/>
        <w:rPr>
          <w:b/>
        </w:rPr>
      </w:pPr>
      <w:r w:rsidRPr="008706FB">
        <w:rPr>
          <w:b/>
        </w:rPr>
        <w:lastRenderedPageBreak/>
        <w:t xml:space="preserve">Figure </w:t>
      </w:r>
      <w:r w:rsidR="00045423">
        <w:rPr>
          <w:b/>
        </w:rPr>
        <w:t>A.</w:t>
      </w:r>
      <w:r w:rsidR="00F421E0">
        <w:rPr>
          <w:b/>
        </w:rPr>
        <w:t>3</w:t>
      </w:r>
      <w:r w:rsidRPr="008706FB">
        <w:rPr>
          <w:b/>
        </w:rPr>
        <w:t>: Impulse Response Functions for Egypt 1885</w:t>
      </w:r>
    </w:p>
    <w:p w14:paraId="3F409FBB" w14:textId="77777777" w:rsidR="003E664A" w:rsidRPr="007F79B9" w:rsidRDefault="008D1C9D" w:rsidP="003E664A">
      <w:pPr>
        <w:jc w:val="center"/>
        <w:rPr>
          <w:b/>
          <w:sz w:val="24"/>
        </w:rPr>
      </w:pPr>
      <w:r>
        <w:rPr>
          <w:b/>
          <w:noProof/>
          <w:sz w:val="24"/>
          <w:lang w:val="en-US" w:eastAsia="zh-CN"/>
        </w:rPr>
        <w:drawing>
          <wp:inline distT="0" distB="0" distL="0" distR="0" wp14:anchorId="71D02D8E" wp14:editId="5A70994B">
            <wp:extent cx="7686932" cy="5125267"/>
            <wp:effectExtent l="19050" t="0" r="9268" b="0"/>
            <wp:docPr id="12" name="Picture 11" descr="egy_grh_tm.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y_grh_tm.emf"/>
                    <pic:cNvPicPr/>
                  </pic:nvPicPr>
                  <pic:blipFill>
                    <a:blip r:embed="rId13"/>
                    <a:stretch>
                      <a:fillRect/>
                    </a:stretch>
                  </pic:blipFill>
                  <pic:spPr>
                    <a:xfrm>
                      <a:off x="0" y="0"/>
                      <a:ext cx="7686932" cy="5125267"/>
                    </a:xfrm>
                    <a:prstGeom prst="rect">
                      <a:avLst/>
                    </a:prstGeom>
                  </pic:spPr>
                </pic:pic>
              </a:graphicData>
            </a:graphic>
          </wp:inline>
        </w:drawing>
      </w:r>
    </w:p>
    <w:p w14:paraId="2D3C9CC6" w14:textId="29C7A1DA" w:rsidR="003E664A" w:rsidRPr="007F79B9" w:rsidRDefault="008706FB" w:rsidP="003E664A">
      <w:pPr>
        <w:jc w:val="center"/>
        <w:rPr>
          <w:b/>
        </w:rPr>
      </w:pPr>
      <w:r w:rsidRPr="008706FB">
        <w:rPr>
          <w:b/>
        </w:rPr>
        <w:lastRenderedPageBreak/>
        <w:t xml:space="preserve">Figure </w:t>
      </w:r>
      <w:r w:rsidR="00045423">
        <w:rPr>
          <w:b/>
        </w:rPr>
        <w:t>A.</w:t>
      </w:r>
      <w:r w:rsidR="00F421E0">
        <w:rPr>
          <w:b/>
        </w:rPr>
        <w:t>4</w:t>
      </w:r>
      <w:r w:rsidRPr="008706FB">
        <w:rPr>
          <w:b/>
        </w:rPr>
        <w:t>: Impulse Response Functions for Greece 1898</w:t>
      </w:r>
    </w:p>
    <w:p w14:paraId="0957287B" w14:textId="77777777" w:rsidR="003E664A" w:rsidRPr="007F79B9" w:rsidRDefault="008D1C9D" w:rsidP="003E664A">
      <w:pPr>
        <w:jc w:val="center"/>
        <w:rPr>
          <w:b/>
          <w:sz w:val="24"/>
        </w:rPr>
      </w:pPr>
      <w:r>
        <w:rPr>
          <w:b/>
          <w:noProof/>
          <w:sz w:val="24"/>
          <w:lang w:val="en-US" w:eastAsia="zh-CN"/>
        </w:rPr>
        <w:drawing>
          <wp:inline distT="0" distB="0" distL="0" distR="0" wp14:anchorId="2CB5C410" wp14:editId="542F7047">
            <wp:extent cx="7686932" cy="5125267"/>
            <wp:effectExtent l="19050" t="0" r="9268" b="0"/>
            <wp:docPr id="11" name="Picture 10" descr="grc_grh_tm.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c_grh_tm.emf"/>
                    <pic:cNvPicPr/>
                  </pic:nvPicPr>
                  <pic:blipFill>
                    <a:blip r:embed="rId14"/>
                    <a:stretch>
                      <a:fillRect/>
                    </a:stretch>
                  </pic:blipFill>
                  <pic:spPr>
                    <a:xfrm>
                      <a:off x="0" y="0"/>
                      <a:ext cx="7686932" cy="5125267"/>
                    </a:xfrm>
                    <a:prstGeom prst="rect">
                      <a:avLst/>
                    </a:prstGeom>
                  </pic:spPr>
                </pic:pic>
              </a:graphicData>
            </a:graphic>
          </wp:inline>
        </w:drawing>
      </w:r>
    </w:p>
    <w:p w14:paraId="6FB8B446" w14:textId="77777777" w:rsidR="003E664A" w:rsidRPr="007F79B9" w:rsidRDefault="003E664A">
      <w:pPr>
        <w:rPr>
          <w:b/>
          <w:sz w:val="24"/>
        </w:rPr>
        <w:sectPr w:rsidR="003E664A" w:rsidRPr="007F79B9" w:rsidSect="003E664A">
          <w:pgSz w:w="16838" w:h="11906" w:orient="landscape"/>
          <w:pgMar w:top="1440" w:right="1440" w:bottom="1440" w:left="1440" w:header="708" w:footer="708" w:gutter="0"/>
          <w:cols w:space="708"/>
          <w:docGrid w:linePitch="360"/>
        </w:sectPr>
      </w:pPr>
    </w:p>
    <w:p w14:paraId="4D8ACAB4" w14:textId="77777777" w:rsidR="00F421E0" w:rsidRPr="007F79B9" w:rsidRDefault="00F421E0" w:rsidP="00F421E0">
      <w:pPr>
        <w:rPr>
          <w:b/>
          <w:sz w:val="24"/>
        </w:rPr>
      </w:pPr>
    </w:p>
    <w:p w14:paraId="608F2F75" w14:textId="4F96E819" w:rsidR="00F421E0" w:rsidRPr="007F79B9" w:rsidRDefault="00F421E0" w:rsidP="00F421E0">
      <w:pPr>
        <w:jc w:val="center"/>
        <w:rPr>
          <w:b/>
        </w:rPr>
      </w:pPr>
      <w:r w:rsidRPr="008706FB">
        <w:rPr>
          <w:b/>
        </w:rPr>
        <w:t xml:space="preserve">Figure </w:t>
      </w:r>
      <w:r>
        <w:rPr>
          <w:b/>
        </w:rPr>
        <w:t>A.5</w:t>
      </w:r>
      <w:r w:rsidRPr="008706FB">
        <w:rPr>
          <w:b/>
        </w:rPr>
        <w:t>: Impulse Response Functions for China 1895</w:t>
      </w:r>
    </w:p>
    <w:p w14:paraId="1B785F1E" w14:textId="6A98E8A2" w:rsidR="00F421E0" w:rsidRDefault="00F421E0" w:rsidP="000E7558">
      <w:pPr>
        <w:rPr>
          <w:b/>
          <w:sz w:val="24"/>
        </w:rPr>
      </w:pPr>
      <w:r>
        <w:rPr>
          <w:b/>
          <w:noProof/>
          <w:sz w:val="24"/>
          <w:lang w:val="en-US" w:eastAsia="zh-CN"/>
        </w:rPr>
        <w:drawing>
          <wp:inline distT="0" distB="0" distL="0" distR="0" wp14:anchorId="13690D9F" wp14:editId="403C3E24">
            <wp:extent cx="5490666" cy="3660905"/>
            <wp:effectExtent l="19050" t="0" r="0" b="0"/>
            <wp:docPr id="1" name="Picture 13" descr="ch_grh_tm.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_grh_tm.emf"/>
                    <pic:cNvPicPr/>
                  </pic:nvPicPr>
                  <pic:blipFill>
                    <a:blip r:embed="rId15"/>
                    <a:stretch>
                      <a:fillRect/>
                    </a:stretch>
                  </pic:blipFill>
                  <pic:spPr>
                    <a:xfrm>
                      <a:off x="0" y="0"/>
                      <a:ext cx="5490666" cy="3660905"/>
                    </a:xfrm>
                    <a:prstGeom prst="rect">
                      <a:avLst/>
                    </a:prstGeom>
                  </pic:spPr>
                </pic:pic>
              </a:graphicData>
            </a:graphic>
          </wp:inline>
        </w:drawing>
      </w:r>
    </w:p>
    <w:p w14:paraId="49F16A60" w14:textId="77777777" w:rsidR="00F421E0" w:rsidRPr="000E7558" w:rsidRDefault="00F421E0">
      <w:pPr>
        <w:rPr>
          <w:b/>
          <w:sz w:val="24"/>
        </w:rPr>
      </w:pPr>
    </w:p>
    <w:p w14:paraId="4145B5E0" w14:textId="77777777" w:rsidR="00504E9E" w:rsidRPr="007F79B9" w:rsidRDefault="008706FB" w:rsidP="000E7558">
      <w:pPr>
        <w:pStyle w:val="ListParagraph"/>
        <w:numPr>
          <w:ilvl w:val="0"/>
          <w:numId w:val="1"/>
        </w:numPr>
        <w:ind w:left="0" w:firstLine="0"/>
      </w:pPr>
      <w:r w:rsidRPr="000E7558">
        <w:rPr>
          <w:b/>
          <w:sz w:val="24"/>
        </w:rPr>
        <w:t>References</w:t>
      </w:r>
    </w:p>
    <w:p w14:paraId="1857F341" w14:textId="77777777" w:rsidR="00742929" w:rsidRPr="007F79B9" w:rsidRDefault="008706FB" w:rsidP="004700D2">
      <w:pPr>
        <w:widowControl w:val="0"/>
        <w:autoSpaceDE w:val="0"/>
        <w:autoSpaceDN w:val="0"/>
        <w:adjustRightInd w:val="0"/>
        <w:spacing w:after="0"/>
        <w:ind w:left="284" w:hanging="284"/>
        <w:jc w:val="both"/>
      </w:pPr>
      <w:r w:rsidRPr="008706FB">
        <w:t xml:space="preserve">Arellano, M. and S. Bond. (1991) “Some tests of specification for panel data: Monte Carlo evidence and an application to employment equations,” </w:t>
      </w:r>
      <w:r w:rsidRPr="008706FB">
        <w:rPr>
          <w:i/>
        </w:rPr>
        <w:t>Review of Economic Studies</w:t>
      </w:r>
      <w:r w:rsidRPr="008706FB">
        <w:t>, 58(2): 277-297.</w:t>
      </w:r>
    </w:p>
    <w:p w14:paraId="011BC7FA" w14:textId="77777777" w:rsidR="00742929" w:rsidRPr="007F79B9" w:rsidRDefault="008706FB" w:rsidP="004700D2">
      <w:pPr>
        <w:widowControl w:val="0"/>
        <w:autoSpaceDE w:val="0"/>
        <w:autoSpaceDN w:val="0"/>
        <w:adjustRightInd w:val="0"/>
        <w:spacing w:after="0"/>
        <w:ind w:left="284" w:hanging="284"/>
        <w:jc w:val="both"/>
      </w:pPr>
      <w:r w:rsidRPr="008706FB">
        <w:t xml:space="preserve">Arellano, M. and O. Bover (1995) “Another look at the instrumental variable estimation error component models,” </w:t>
      </w:r>
      <w:r w:rsidRPr="008706FB">
        <w:rPr>
          <w:i/>
        </w:rPr>
        <w:t>Journal of Econometrics</w:t>
      </w:r>
      <w:r w:rsidRPr="008706FB">
        <w:t>, 68(10): 29-51.</w:t>
      </w:r>
    </w:p>
    <w:p w14:paraId="713A9907" w14:textId="1DCF4159" w:rsidR="004143E4" w:rsidRPr="007F79B9" w:rsidRDefault="004143E4" w:rsidP="00942DF3">
      <w:pPr>
        <w:spacing w:after="0"/>
        <w:ind w:left="284" w:hanging="284"/>
        <w:jc w:val="both"/>
      </w:pPr>
      <w:r>
        <w:t xml:space="preserve">Campbell, J., A. Lo and A. MacKinlay (1997) </w:t>
      </w:r>
      <w:r>
        <w:rPr>
          <w:i/>
        </w:rPr>
        <w:t>The Econometrics of Financial Markets</w:t>
      </w:r>
      <w:r>
        <w:t>, Princeton: Princeton University Press</w:t>
      </w:r>
      <w:r w:rsidR="006212DF">
        <w:t>.</w:t>
      </w:r>
    </w:p>
    <w:p w14:paraId="1568BA64" w14:textId="77777777" w:rsidR="004B05CD" w:rsidRPr="007F79B9" w:rsidRDefault="008706FB" w:rsidP="004700D2">
      <w:pPr>
        <w:widowControl w:val="0"/>
        <w:autoSpaceDE w:val="0"/>
        <w:autoSpaceDN w:val="0"/>
        <w:adjustRightInd w:val="0"/>
        <w:spacing w:after="0"/>
        <w:ind w:left="284" w:hanging="284"/>
        <w:jc w:val="both"/>
      </w:pPr>
      <w:r w:rsidRPr="008706FB">
        <w:t xml:space="preserve">Choi, I. (2001) “Unit root tests for panel data,” </w:t>
      </w:r>
      <w:r w:rsidRPr="008706FB">
        <w:rPr>
          <w:i/>
        </w:rPr>
        <w:t>Journal of International Money and Finance</w:t>
      </w:r>
      <w:r w:rsidRPr="008706FB">
        <w:t>, 20: 249-272.</w:t>
      </w:r>
    </w:p>
    <w:p w14:paraId="29D52F97" w14:textId="77777777" w:rsidR="00523ED7" w:rsidRDefault="008706FB" w:rsidP="004700D2">
      <w:pPr>
        <w:widowControl w:val="0"/>
        <w:autoSpaceDE w:val="0"/>
        <w:autoSpaceDN w:val="0"/>
        <w:adjustRightInd w:val="0"/>
        <w:spacing w:after="0"/>
        <w:ind w:left="284" w:hanging="284"/>
        <w:jc w:val="both"/>
      </w:pPr>
      <w:r w:rsidRPr="008706FB">
        <w:t xml:space="preserve">Eichengreen, B. and A. Mody (2000) “Lending Booms, Reserves, and the Sustainability of Short-Term Debt: Inferences from the Pricing of Syndicated Bank Loans,” </w:t>
      </w:r>
      <w:r w:rsidRPr="008706FB">
        <w:rPr>
          <w:i/>
        </w:rPr>
        <w:t>Journal of Development Economics</w:t>
      </w:r>
      <w:r w:rsidRPr="008706FB">
        <w:t>, 63(1): 5-44.</w:t>
      </w:r>
    </w:p>
    <w:p w14:paraId="210348CA" w14:textId="7A73526B" w:rsidR="007800BF" w:rsidRPr="007F79B9" w:rsidRDefault="007800BF" w:rsidP="004700D2">
      <w:pPr>
        <w:widowControl w:val="0"/>
        <w:autoSpaceDE w:val="0"/>
        <w:autoSpaceDN w:val="0"/>
        <w:adjustRightInd w:val="0"/>
        <w:spacing w:after="0"/>
        <w:ind w:left="284" w:hanging="284"/>
        <w:jc w:val="both"/>
      </w:pPr>
      <w:r w:rsidRPr="007800BF">
        <w:t xml:space="preserve">Flandreau, M. And F. Zumer (2004) </w:t>
      </w:r>
      <w:r w:rsidRPr="000E7558">
        <w:rPr>
          <w:i/>
        </w:rPr>
        <w:t>The Making of Global Finance, 1880-1913</w:t>
      </w:r>
      <w:r w:rsidRPr="007800BF">
        <w:t>, Paris: OECD.</w:t>
      </w:r>
    </w:p>
    <w:p w14:paraId="2CDAE923" w14:textId="77777777" w:rsidR="00523ED7" w:rsidRPr="007F79B9" w:rsidRDefault="008706FB" w:rsidP="004700D2">
      <w:pPr>
        <w:widowControl w:val="0"/>
        <w:autoSpaceDE w:val="0"/>
        <w:autoSpaceDN w:val="0"/>
        <w:adjustRightInd w:val="0"/>
        <w:spacing w:after="0"/>
        <w:ind w:left="284" w:hanging="284"/>
        <w:jc w:val="both"/>
      </w:pPr>
      <w:r w:rsidRPr="008706FB">
        <w:t xml:space="preserve">Uribe, M. and V. Yue (2006) “Country Spreads and Emerging Countries: Who Drives Whom?” </w:t>
      </w:r>
      <w:r w:rsidRPr="008706FB">
        <w:rPr>
          <w:i/>
        </w:rPr>
        <w:t>Journal of International Economics</w:t>
      </w:r>
      <w:r w:rsidRPr="008706FB">
        <w:t xml:space="preserve"> 69(1): 6-36.</w:t>
      </w:r>
    </w:p>
    <w:p w14:paraId="7D06C8E6" w14:textId="4CEA99CC" w:rsidR="00E05F98" w:rsidRPr="007F79B9" w:rsidRDefault="00E05F98" w:rsidP="004700D2">
      <w:pPr>
        <w:widowControl w:val="0"/>
        <w:autoSpaceDE w:val="0"/>
        <w:autoSpaceDN w:val="0"/>
        <w:adjustRightInd w:val="0"/>
        <w:spacing w:after="0"/>
        <w:ind w:left="284" w:hanging="284"/>
        <w:jc w:val="both"/>
      </w:pPr>
    </w:p>
    <w:sectPr w:rsidR="00E05F98" w:rsidRPr="007F79B9" w:rsidSect="00F17C59">
      <w:footerReference w:type="defaul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4484A2" w14:textId="77777777" w:rsidR="0013293B" w:rsidRDefault="0013293B" w:rsidP="006C57B4">
      <w:pPr>
        <w:spacing w:after="0" w:line="240" w:lineRule="auto"/>
      </w:pPr>
      <w:r>
        <w:separator/>
      </w:r>
    </w:p>
  </w:endnote>
  <w:endnote w:type="continuationSeparator" w:id="0">
    <w:p w14:paraId="4A5961DD" w14:textId="77777777" w:rsidR="0013293B" w:rsidRDefault="0013293B" w:rsidP="006C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C7E2C" w14:textId="77777777" w:rsidR="006212DF" w:rsidRDefault="006212DF" w:rsidP="00894F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055F0E" w14:textId="77777777" w:rsidR="006212DF" w:rsidRDefault="006212DF" w:rsidP="00942D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F7AC7" w14:textId="21363017" w:rsidR="006212DF" w:rsidRDefault="006212DF" w:rsidP="00894F7B">
    <w:pPr>
      <w:pStyle w:val="Footer"/>
      <w:framePr w:wrap="around" w:vAnchor="text" w:hAnchor="margin" w:xAlign="right" w:y="1"/>
      <w:rPr>
        <w:rStyle w:val="PageNumber"/>
      </w:rPr>
    </w:pPr>
    <w:r>
      <w:rPr>
        <w:rStyle w:val="PageNumber"/>
      </w:rPr>
      <w:t>A.</w:t>
    </w:r>
    <w:r>
      <w:rPr>
        <w:rStyle w:val="PageNumber"/>
      </w:rPr>
      <w:fldChar w:fldCharType="begin"/>
    </w:r>
    <w:r>
      <w:rPr>
        <w:rStyle w:val="PageNumber"/>
      </w:rPr>
      <w:instrText xml:space="preserve">PAGE  </w:instrText>
    </w:r>
    <w:r>
      <w:rPr>
        <w:rStyle w:val="PageNumber"/>
      </w:rPr>
      <w:fldChar w:fldCharType="separate"/>
    </w:r>
    <w:r w:rsidR="00D870ED">
      <w:rPr>
        <w:rStyle w:val="PageNumber"/>
        <w:noProof/>
      </w:rPr>
      <w:t>12</w:t>
    </w:r>
    <w:r>
      <w:rPr>
        <w:rStyle w:val="PageNumber"/>
      </w:rPr>
      <w:fldChar w:fldCharType="end"/>
    </w:r>
  </w:p>
  <w:p w14:paraId="5D294469" w14:textId="0AC8CF82" w:rsidR="006212DF" w:rsidRDefault="006212DF" w:rsidP="00942DF3">
    <w:pPr>
      <w:pStyle w:val="Footer"/>
      <w:ind w:right="360"/>
      <w:jc w:val="right"/>
    </w:pPr>
  </w:p>
  <w:p w14:paraId="133266C2" w14:textId="77777777" w:rsidR="006212DF" w:rsidRDefault="006212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285C0" w14:textId="77777777" w:rsidR="006212DF" w:rsidRDefault="006212DF">
    <w:pPr>
      <w:pStyle w:val="Footer"/>
      <w:jc w:val="right"/>
    </w:pPr>
  </w:p>
  <w:p w14:paraId="3D21DB63" w14:textId="77777777" w:rsidR="006212DF" w:rsidRDefault="006212D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5B374" w14:textId="2893C8D6" w:rsidR="006212DF" w:rsidRDefault="006212DF">
    <w:pPr>
      <w:pStyle w:val="Footer"/>
      <w:jc w:val="right"/>
    </w:pPr>
    <w:r>
      <w:t>A.</w:t>
    </w:r>
    <w:sdt>
      <w:sdtPr>
        <w:id w:val="20916566"/>
        <w:docPartObj>
          <w:docPartGallery w:val="Page Numbers (Bottom of Page)"/>
          <w:docPartUnique/>
        </w:docPartObj>
      </w:sdtPr>
      <w:sdtEndPr/>
      <w:sdtContent>
        <w:r>
          <w:fldChar w:fldCharType="begin"/>
        </w:r>
        <w:r>
          <w:instrText>PAGE   \* MERGEFORMAT</w:instrText>
        </w:r>
        <w:r>
          <w:fldChar w:fldCharType="separate"/>
        </w:r>
        <w:r w:rsidR="00D870ED" w:rsidRPr="00D870ED">
          <w:rPr>
            <w:noProof/>
            <w:lang w:val="pt-PT"/>
          </w:rPr>
          <w:t>13</w:t>
        </w:r>
        <w:r>
          <w:rPr>
            <w:noProof/>
            <w:lang w:val="pt-PT"/>
          </w:rPr>
          <w:fldChar w:fldCharType="end"/>
        </w:r>
      </w:sdtContent>
    </w:sdt>
  </w:p>
  <w:p w14:paraId="40E21948" w14:textId="77777777" w:rsidR="006212DF" w:rsidRDefault="006212D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242C1" w14:textId="77777777" w:rsidR="006212DF" w:rsidRDefault="006212DF">
    <w:pPr>
      <w:pStyle w:val="Footer"/>
      <w:jc w:val="right"/>
    </w:pPr>
  </w:p>
  <w:p w14:paraId="6C67D9BA" w14:textId="77777777" w:rsidR="006212DF" w:rsidRDefault="006212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74DAF" w14:textId="77777777" w:rsidR="0013293B" w:rsidRDefault="0013293B" w:rsidP="006C57B4">
      <w:pPr>
        <w:spacing w:after="0" w:line="240" w:lineRule="auto"/>
      </w:pPr>
      <w:r>
        <w:separator/>
      </w:r>
    </w:p>
  </w:footnote>
  <w:footnote w:type="continuationSeparator" w:id="0">
    <w:p w14:paraId="655CB0F5" w14:textId="77777777" w:rsidR="0013293B" w:rsidRDefault="0013293B" w:rsidP="006C57B4">
      <w:pPr>
        <w:spacing w:after="0" w:line="240" w:lineRule="auto"/>
      </w:pPr>
      <w:r>
        <w:continuationSeparator/>
      </w:r>
    </w:p>
  </w:footnote>
  <w:footnote w:id="1">
    <w:p w14:paraId="1F9164BC" w14:textId="77CE030A" w:rsidR="006212DF" w:rsidRPr="00942DF3" w:rsidRDefault="006212DF">
      <w:pPr>
        <w:pStyle w:val="FootnoteText"/>
        <w:rPr>
          <w:lang w:val="en-US"/>
        </w:rPr>
      </w:pPr>
      <w:r>
        <w:rPr>
          <w:rStyle w:val="FootnoteReference"/>
        </w:rPr>
        <w:footnoteRef/>
      </w:r>
      <w:r>
        <w:t xml:space="preserve"> </w:t>
      </w:r>
      <w:r>
        <w:rPr>
          <w:lang w:val="en-US"/>
        </w:rPr>
        <w:t>Details in Campbell, Lo and MacKinlay (1997).</w:t>
      </w:r>
    </w:p>
  </w:footnote>
  <w:footnote w:id="2">
    <w:p w14:paraId="1C500495" w14:textId="0304F305" w:rsidR="006212DF" w:rsidRPr="00942DF3" w:rsidRDefault="006212DF" w:rsidP="00942DF3">
      <w:pPr>
        <w:pStyle w:val="FootnoteText"/>
        <w:jc w:val="both"/>
        <w:rPr>
          <w:lang w:val="en-US"/>
        </w:rPr>
      </w:pPr>
      <w:r>
        <w:rPr>
          <w:rStyle w:val="FootnoteReference"/>
        </w:rPr>
        <w:footnoteRef/>
      </w:r>
      <w:r>
        <w:t xml:space="preserve"> </w:t>
      </w:r>
      <w:r>
        <w:rPr>
          <w:lang w:val="en-US"/>
        </w:rPr>
        <w:t>I.e., the ‘before’ statistics are based on estimates 15, 20, or 30 days before the event, whereas the ‘bilateral’ values use estimates from windows 15, 20 or 30 days before and after the event.</w:t>
      </w:r>
    </w:p>
  </w:footnote>
  <w:footnote w:id="3">
    <w:p w14:paraId="13235390" w14:textId="39517D77" w:rsidR="006212DF" w:rsidRPr="00942DF3" w:rsidRDefault="006212DF" w:rsidP="00942DF3">
      <w:pPr>
        <w:pStyle w:val="FootnoteText"/>
        <w:jc w:val="both"/>
        <w:rPr>
          <w:lang w:val="en-US"/>
        </w:rPr>
      </w:pPr>
      <w:r>
        <w:rPr>
          <w:rStyle w:val="FootnoteReference"/>
        </w:rPr>
        <w:footnoteRef/>
      </w:r>
      <w:r>
        <w:t xml:space="preserve"> </w:t>
      </w:r>
      <w:r>
        <w:rPr>
          <w:lang w:val="en-US"/>
        </w:rPr>
        <w:t xml:space="preserve">Contrary to the studies with short event studies, the variance during the events is now higher than in the estimation windows, such that the </w:t>
      </w:r>
      <w:r>
        <w:rPr>
          <w:rFonts w:eastAsiaTheme="minorEastAsia"/>
        </w:rPr>
        <w:t>J</w:t>
      </w:r>
      <w:r w:rsidRPr="00D57A2F">
        <w:rPr>
          <w:rFonts w:eastAsiaTheme="minorEastAsia"/>
          <w:vertAlign w:val="subscript"/>
        </w:rPr>
        <w:t>1</w:t>
      </w:r>
      <w:r>
        <w:rPr>
          <w:rFonts w:eastAsiaTheme="minorEastAsia"/>
          <w:vertAlign w:val="subscript"/>
        </w:rPr>
        <w:t>cs</w:t>
      </w:r>
      <w:r>
        <w:rPr>
          <w:rFonts w:eastAsiaTheme="minorEastAsia"/>
        </w:rPr>
        <w:t xml:space="preserve"> and J</w:t>
      </w:r>
      <w:r w:rsidRPr="00D57A2F">
        <w:rPr>
          <w:rFonts w:eastAsiaTheme="minorEastAsia"/>
          <w:vertAlign w:val="subscript"/>
        </w:rPr>
        <w:t>2</w:t>
      </w:r>
      <w:r>
        <w:rPr>
          <w:rFonts w:eastAsiaTheme="minorEastAsia"/>
          <w:vertAlign w:val="subscript"/>
        </w:rPr>
        <w:t>cs</w:t>
      </w:r>
      <w:r>
        <w:rPr>
          <w:lang w:val="en-US"/>
        </w:rPr>
        <w:t xml:space="preserve"> are now smaller than </w:t>
      </w:r>
      <w:r>
        <w:rPr>
          <w:rFonts w:eastAsiaTheme="minorEastAsia"/>
        </w:rPr>
        <w:t>J</w:t>
      </w:r>
      <w:r w:rsidRPr="00D57A2F">
        <w:rPr>
          <w:rFonts w:eastAsiaTheme="minorEastAsia"/>
          <w:vertAlign w:val="subscript"/>
        </w:rPr>
        <w:t>1</w:t>
      </w:r>
      <w:r>
        <w:rPr>
          <w:rFonts w:eastAsiaTheme="minorEastAsia"/>
        </w:rPr>
        <w:t xml:space="preserve"> and J</w:t>
      </w:r>
      <w:r w:rsidRPr="00D57A2F">
        <w:rPr>
          <w:rFonts w:eastAsiaTheme="minorEastAsia"/>
          <w:vertAlign w:val="subscript"/>
        </w:rPr>
        <w:t>2</w:t>
      </w:r>
      <w:r>
        <w:rPr>
          <w:lang w:val="en-US"/>
        </w:rPr>
        <w:t>, respectively.</w:t>
      </w:r>
    </w:p>
  </w:footnote>
  <w:footnote w:id="4">
    <w:p w14:paraId="51B9F32E" w14:textId="569616A8" w:rsidR="006212DF" w:rsidRPr="00942DF3" w:rsidRDefault="006212DF" w:rsidP="00942DF3">
      <w:pPr>
        <w:pStyle w:val="FootnoteText"/>
        <w:jc w:val="both"/>
        <w:rPr>
          <w:lang w:val="en-US"/>
        </w:rPr>
      </w:pPr>
      <w:r>
        <w:rPr>
          <w:rStyle w:val="FootnoteReference"/>
        </w:rPr>
        <w:footnoteRef/>
      </w:r>
      <w:r>
        <w:t xml:space="preserve"> </w:t>
      </w:r>
      <w:r>
        <w:rPr>
          <w:lang w:val="en-US"/>
        </w:rPr>
        <w:t>The corresponding windows for the other events have 14 days (Turkey), 32 (Egypt), 43 (China) and 42 (second Greek bond).</w:t>
      </w:r>
    </w:p>
  </w:footnote>
  <w:footnote w:id="5">
    <w:p w14:paraId="58C157C1" w14:textId="77777777" w:rsidR="005B6E2B" w:rsidRDefault="006212DF" w:rsidP="00892CE0">
      <w:pPr>
        <w:pStyle w:val="FootnoteText"/>
        <w:jc w:val="both"/>
      </w:pPr>
      <w:r w:rsidRPr="00D4104B">
        <w:rPr>
          <w:rStyle w:val="FootnoteReference"/>
        </w:rPr>
        <w:footnoteRef/>
      </w:r>
      <w:r w:rsidRPr="00D4104B">
        <w:t xml:space="preserve"> That is, for bond </w:t>
      </w:r>
      <w:r w:rsidRPr="00D4104B">
        <w:rPr>
          <w:i/>
        </w:rPr>
        <w:t>i</w:t>
      </w:r>
      <w:r w:rsidRPr="00D4104B">
        <w:t xml:space="preserve"> and time </w:t>
      </w:r>
      <w:r w:rsidRPr="00D4104B">
        <w:rPr>
          <w:i/>
        </w:rPr>
        <w:t>t</w:t>
      </w:r>
      <w:r w:rsidRPr="00D4104B">
        <w:t>, the Helmert transformation is given by</w:t>
      </w:r>
      <w:r w:rsidR="005B6E2B">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it</m:t>
            </m:r>
          </m:sub>
        </m:sSub>
        <m:r>
          <w:rPr>
            <w:rFonts w:ascii="Cambria Math" w:eastAsiaTheme="minorEastAsia" w:hAnsi="Cambria Math"/>
          </w:rPr>
          <m:t xml:space="preserve">= </m:t>
        </m:r>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i</m:t>
                        </m:r>
                      </m:sub>
                    </m:sSub>
                    <m:r>
                      <w:rPr>
                        <w:rFonts w:ascii="Cambria Math" w:eastAsiaTheme="minorEastAsia" w:hAnsi="Cambria Math"/>
                      </w:rPr>
                      <m:t>-t</m:t>
                    </m:r>
                  </m:num>
                  <m:den>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i</m:t>
                        </m:r>
                      </m:sub>
                    </m:sSub>
                    <m:r>
                      <w:rPr>
                        <w:rFonts w:ascii="Cambria Math" w:eastAsiaTheme="minorEastAsia" w:hAnsi="Cambria Math"/>
                      </w:rPr>
                      <m:t>-t+1</m:t>
                    </m:r>
                  </m:den>
                </m:f>
              </m:e>
            </m:d>
          </m:e>
          <m:sup>
            <m:f>
              <m:fPr>
                <m:type m:val="lin"/>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up>
        </m:sSup>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it</m:t>
                </m:r>
              </m:sub>
            </m:sSub>
            <m:r>
              <w:rPr>
                <w:rFonts w:ascii="Cambria Math" w:eastAsiaTheme="minorEastAsia" w:hAnsi="Cambria Math"/>
              </w:rPr>
              <m:t>-</m:t>
            </m:r>
            <m:f>
              <m:fPr>
                <m:ctrlPr>
                  <w:rPr>
                    <w:rFonts w:ascii="Cambria Math" w:eastAsiaTheme="minorEastAsia" w:hAnsi="Cambria Math"/>
                    <w:i/>
                  </w:rPr>
                </m:ctrlPr>
              </m:fPr>
              <m:num>
                <m:nary>
                  <m:naryPr>
                    <m:chr m:val="∑"/>
                    <m:limLoc m:val="undOvr"/>
                    <m:ctrlPr>
                      <w:rPr>
                        <w:rFonts w:ascii="Cambria Math" w:eastAsiaTheme="minorEastAsia" w:hAnsi="Cambria Math"/>
                        <w:i/>
                      </w:rPr>
                    </m:ctrlPr>
                  </m:naryPr>
                  <m:sub>
                    <m:r>
                      <w:rPr>
                        <w:rFonts w:ascii="Cambria Math" w:eastAsiaTheme="minorEastAsia" w:hAnsi="Cambria Math"/>
                      </w:rPr>
                      <m:t>τ=t+1</m:t>
                    </m:r>
                  </m:sub>
                  <m:sup>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i</m:t>
                        </m:r>
                      </m:sub>
                    </m:sSub>
                  </m:sup>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iτ</m:t>
                        </m:r>
                      </m:sub>
                    </m:sSub>
                  </m:e>
                </m:nary>
              </m:num>
              <m:den>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i</m:t>
                    </m:r>
                  </m:sub>
                </m:sSub>
                <m:r>
                  <w:rPr>
                    <w:rFonts w:ascii="Cambria Math" w:eastAsiaTheme="minorEastAsia" w:hAnsi="Cambria Math"/>
                  </w:rPr>
                  <m:t>-τ</m:t>
                </m:r>
              </m:den>
            </m:f>
          </m:e>
        </m:d>
      </m:oMath>
      <w:r w:rsidR="005B6E2B">
        <w:t>.</w:t>
      </w:r>
    </w:p>
    <w:p w14:paraId="022818DA" w14:textId="301E190A" w:rsidR="006212DF" w:rsidRPr="00D4104B" w:rsidRDefault="006212DF" w:rsidP="00892CE0">
      <w:pPr>
        <w:pStyle w:val="FootnoteText"/>
        <w:jc w:val="both"/>
      </w:pPr>
      <w:r w:rsidRPr="00D4104B">
        <w:t>We also tried simply time-differencing the yields and the results were similar.</w:t>
      </w:r>
    </w:p>
  </w:footnote>
  <w:footnote w:id="6">
    <w:p w14:paraId="574E1E63" w14:textId="77777777" w:rsidR="006212DF" w:rsidRPr="00D4104B" w:rsidRDefault="006212DF" w:rsidP="00E312CE">
      <w:pPr>
        <w:pStyle w:val="FootnoteText"/>
        <w:jc w:val="both"/>
      </w:pPr>
      <w:r w:rsidRPr="00D4104B">
        <w:rPr>
          <w:rStyle w:val="FootnoteReference"/>
        </w:rPr>
        <w:footnoteRef/>
      </w:r>
      <w:r w:rsidRPr="00D4104B">
        <w:t xml:space="preserve"> This would be consistent with Uribe and Yue’s (2006) model of overshooting spreads.</w:t>
      </w:r>
    </w:p>
  </w:footnote>
  <w:footnote w:id="7">
    <w:p w14:paraId="6AF0A8D6" w14:textId="77777777" w:rsidR="006212DF" w:rsidRPr="00D4104B" w:rsidRDefault="006212DF" w:rsidP="000447E0">
      <w:pPr>
        <w:pStyle w:val="FootnoteText"/>
        <w:jc w:val="both"/>
      </w:pPr>
      <w:r w:rsidRPr="00D4104B">
        <w:rPr>
          <w:rStyle w:val="FootnoteReference"/>
        </w:rPr>
        <w:footnoteRef/>
      </w:r>
      <w:r w:rsidRPr="00D4104B">
        <w:t xml:space="preserve"> The exception is the IRFs of the Egyptian 1885 guaranteed bon</w:t>
      </w:r>
      <w:r>
        <w:t>d to the unified debt (Figure 10</w:t>
      </w:r>
      <w:r w:rsidRPr="00D4104B">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50557"/>
    <w:multiLevelType w:val="hybridMultilevel"/>
    <w:tmpl w:val="EEA0F4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A7B6336"/>
    <w:multiLevelType w:val="hybridMultilevel"/>
    <w:tmpl w:val="D294225E"/>
    <w:lvl w:ilvl="0" w:tplc="900A33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0EF1027"/>
    <w:multiLevelType w:val="hybridMultilevel"/>
    <w:tmpl w:val="89EA68D6"/>
    <w:lvl w:ilvl="0" w:tplc="B6E60BA2">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73E4C3D"/>
    <w:multiLevelType w:val="multilevel"/>
    <w:tmpl w:val="C6EA76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8293486"/>
    <w:multiLevelType w:val="multilevel"/>
    <w:tmpl w:val="CC38FD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8BB0ECD"/>
    <w:multiLevelType w:val="hybridMultilevel"/>
    <w:tmpl w:val="99E2F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7913E5"/>
    <w:multiLevelType w:val="hybridMultilevel"/>
    <w:tmpl w:val="C8061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2"/>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697DF7"/>
    <w:rsid w:val="000102E4"/>
    <w:rsid w:val="0001490F"/>
    <w:rsid w:val="00014E30"/>
    <w:rsid w:val="00017767"/>
    <w:rsid w:val="000217C2"/>
    <w:rsid w:val="00022857"/>
    <w:rsid w:val="00022C9F"/>
    <w:rsid w:val="00024D50"/>
    <w:rsid w:val="00024F28"/>
    <w:rsid w:val="0002594F"/>
    <w:rsid w:val="000305DC"/>
    <w:rsid w:val="00030864"/>
    <w:rsid w:val="00030E13"/>
    <w:rsid w:val="000334C3"/>
    <w:rsid w:val="00034EF9"/>
    <w:rsid w:val="000426F2"/>
    <w:rsid w:val="000447E0"/>
    <w:rsid w:val="00045423"/>
    <w:rsid w:val="00052A07"/>
    <w:rsid w:val="00052AE0"/>
    <w:rsid w:val="00054E6E"/>
    <w:rsid w:val="00061367"/>
    <w:rsid w:val="00065B96"/>
    <w:rsid w:val="00066095"/>
    <w:rsid w:val="000707FF"/>
    <w:rsid w:val="00074A8E"/>
    <w:rsid w:val="00075B71"/>
    <w:rsid w:val="00075FD6"/>
    <w:rsid w:val="0007622B"/>
    <w:rsid w:val="00076BFA"/>
    <w:rsid w:val="000840B4"/>
    <w:rsid w:val="000843D5"/>
    <w:rsid w:val="00086FB6"/>
    <w:rsid w:val="00087082"/>
    <w:rsid w:val="000877DF"/>
    <w:rsid w:val="000943C0"/>
    <w:rsid w:val="00096EF8"/>
    <w:rsid w:val="000A1727"/>
    <w:rsid w:val="000A44F3"/>
    <w:rsid w:val="000A4546"/>
    <w:rsid w:val="000A598E"/>
    <w:rsid w:val="000A6599"/>
    <w:rsid w:val="000A66F0"/>
    <w:rsid w:val="000B334C"/>
    <w:rsid w:val="000B597C"/>
    <w:rsid w:val="000B704D"/>
    <w:rsid w:val="000C23FF"/>
    <w:rsid w:val="000D069A"/>
    <w:rsid w:val="000D211B"/>
    <w:rsid w:val="000E011C"/>
    <w:rsid w:val="000E151C"/>
    <w:rsid w:val="000E7558"/>
    <w:rsid w:val="000F2F9E"/>
    <w:rsid w:val="000F45FC"/>
    <w:rsid w:val="000F50A2"/>
    <w:rsid w:val="000F7413"/>
    <w:rsid w:val="001004EE"/>
    <w:rsid w:val="00101335"/>
    <w:rsid w:val="0010427A"/>
    <w:rsid w:val="00104DA7"/>
    <w:rsid w:val="0011176F"/>
    <w:rsid w:val="00111AF0"/>
    <w:rsid w:val="00113802"/>
    <w:rsid w:val="00113F81"/>
    <w:rsid w:val="001158A5"/>
    <w:rsid w:val="00123004"/>
    <w:rsid w:val="00127801"/>
    <w:rsid w:val="0013293B"/>
    <w:rsid w:val="00132A7E"/>
    <w:rsid w:val="00147B90"/>
    <w:rsid w:val="00154F16"/>
    <w:rsid w:val="00160640"/>
    <w:rsid w:val="001648F1"/>
    <w:rsid w:val="001749B3"/>
    <w:rsid w:val="001765B8"/>
    <w:rsid w:val="0018575D"/>
    <w:rsid w:val="00191C1B"/>
    <w:rsid w:val="001938F1"/>
    <w:rsid w:val="0019552B"/>
    <w:rsid w:val="00195F21"/>
    <w:rsid w:val="00196EAC"/>
    <w:rsid w:val="001A0FB9"/>
    <w:rsid w:val="001A6D31"/>
    <w:rsid w:val="001A75DB"/>
    <w:rsid w:val="001A7FDC"/>
    <w:rsid w:val="001B3F85"/>
    <w:rsid w:val="001B54DE"/>
    <w:rsid w:val="001B5E76"/>
    <w:rsid w:val="001B72FA"/>
    <w:rsid w:val="001C1829"/>
    <w:rsid w:val="001C2B28"/>
    <w:rsid w:val="001C5595"/>
    <w:rsid w:val="001D0B2F"/>
    <w:rsid w:val="001D5E60"/>
    <w:rsid w:val="001D7775"/>
    <w:rsid w:val="001E1190"/>
    <w:rsid w:val="001E2C20"/>
    <w:rsid w:val="001E32A0"/>
    <w:rsid w:val="001E55EA"/>
    <w:rsid w:val="001F2378"/>
    <w:rsid w:val="001F57B8"/>
    <w:rsid w:val="001F6B18"/>
    <w:rsid w:val="00207C8D"/>
    <w:rsid w:val="002118DF"/>
    <w:rsid w:val="002133A0"/>
    <w:rsid w:val="002156EE"/>
    <w:rsid w:val="002210AE"/>
    <w:rsid w:val="00221166"/>
    <w:rsid w:val="00222060"/>
    <w:rsid w:val="0022334E"/>
    <w:rsid w:val="0022408E"/>
    <w:rsid w:val="002315AB"/>
    <w:rsid w:val="0023426A"/>
    <w:rsid w:val="002477F6"/>
    <w:rsid w:val="00247B9E"/>
    <w:rsid w:val="00251497"/>
    <w:rsid w:val="002531BD"/>
    <w:rsid w:val="00260B06"/>
    <w:rsid w:val="00263EBD"/>
    <w:rsid w:val="002708AE"/>
    <w:rsid w:val="002742B8"/>
    <w:rsid w:val="00277B92"/>
    <w:rsid w:val="002801F9"/>
    <w:rsid w:val="00281859"/>
    <w:rsid w:val="00292A07"/>
    <w:rsid w:val="00294BCB"/>
    <w:rsid w:val="0029548B"/>
    <w:rsid w:val="00297333"/>
    <w:rsid w:val="002A15C7"/>
    <w:rsid w:val="002A3D66"/>
    <w:rsid w:val="002A44FD"/>
    <w:rsid w:val="002A4C74"/>
    <w:rsid w:val="002B1372"/>
    <w:rsid w:val="002B24F2"/>
    <w:rsid w:val="002B28AC"/>
    <w:rsid w:val="002B4CA7"/>
    <w:rsid w:val="002B6FF0"/>
    <w:rsid w:val="002C1F67"/>
    <w:rsid w:val="002C62E0"/>
    <w:rsid w:val="002D2B95"/>
    <w:rsid w:val="002D424C"/>
    <w:rsid w:val="002D49BC"/>
    <w:rsid w:val="002E3EBD"/>
    <w:rsid w:val="002E6F98"/>
    <w:rsid w:val="002E7BA6"/>
    <w:rsid w:val="002E7D1B"/>
    <w:rsid w:val="002F1E8A"/>
    <w:rsid w:val="002F5F76"/>
    <w:rsid w:val="00301207"/>
    <w:rsid w:val="00303ABE"/>
    <w:rsid w:val="00303CC7"/>
    <w:rsid w:val="00305555"/>
    <w:rsid w:val="00312157"/>
    <w:rsid w:val="003130CC"/>
    <w:rsid w:val="0031357D"/>
    <w:rsid w:val="00322157"/>
    <w:rsid w:val="00322F81"/>
    <w:rsid w:val="00324199"/>
    <w:rsid w:val="003241B2"/>
    <w:rsid w:val="00333F3B"/>
    <w:rsid w:val="0033528C"/>
    <w:rsid w:val="003428E7"/>
    <w:rsid w:val="003429EC"/>
    <w:rsid w:val="00342DF8"/>
    <w:rsid w:val="003450AC"/>
    <w:rsid w:val="00346F6A"/>
    <w:rsid w:val="00347619"/>
    <w:rsid w:val="00354765"/>
    <w:rsid w:val="00354F91"/>
    <w:rsid w:val="00357DE2"/>
    <w:rsid w:val="00360664"/>
    <w:rsid w:val="0036095B"/>
    <w:rsid w:val="00362A28"/>
    <w:rsid w:val="003710F6"/>
    <w:rsid w:val="00377BBA"/>
    <w:rsid w:val="0038311A"/>
    <w:rsid w:val="00384699"/>
    <w:rsid w:val="00390EFF"/>
    <w:rsid w:val="003912E5"/>
    <w:rsid w:val="003924DB"/>
    <w:rsid w:val="00392984"/>
    <w:rsid w:val="00395DB8"/>
    <w:rsid w:val="003A40E2"/>
    <w:rsid w:val="003A6F76"/>
    <w:rsid w:val="003B67D3"/>
    <w:rsid w:val="003B74DE"/>
    <w:rsid w:val="003C0880"/>
    <w:rsid w:val="003C3421"/>
    <w:rsid w:val="003C68FB"/>
    <w:rsid w:val="003C6C19"/>
    <w:rsid w:val="003D086A"/>
    <w:rsid w:val="003D0D0C"/>
    <w:rsid w:val="003D5F2C"/>
    <w:rsid w:val="003D705C"/>
    <w:rsid w:val="003D70F0"/>
    <w:rsid w:val="003E664A"/>
    <w:rsid w:val="003F38A6"/>
    <w:rsid w:val="003F59F0"/>
    <w:rsid w:val="00402769"/>
    <w:rsid w:val="00406E20"/>
    <w:rsid w:val="004073F4"/>
    <w:rsid w:val="00412704"/>
    <w:rsid w:val="004131EF"/>
    <w:rsid w:val="004143E4"/>
    <w:rsid w:val="00415E13"/>
    <w:rsid w:val="00420D91"/>
    <w:rsid w:val="00421379"/>
    <w:rsid w:val="00425791"/>
    <w:rsid w:val="00426ED6"/>
    <w:rsid w:val="00436578"/>
    <w:rsid w:val="00440A07"/>
    <w:rsid w:val="00444EB1"/>
    <w:rsid w:val="00447B7A"/>
    <w:rsid w:val="00454067"/>
    <w:rsid w:val="00456FE1"/>
    <w:rsid w:val="004579FF"/>
    <w:rsid w:val="00464115"/>
    <w:rsid w:val="004700D2"/>
    <w:rsid w:val="0047406A"/>
    <w:rsid w:val="00475AEC"/>
    <w:rsid w:val="00477A02"/>
    <w:rsid w:val="00480047"/>
    <w:rsid w:val="00481286"/>
    <w:rsid w:val="0048318B"/>
    <w:rsid w:val="00483D35"/>
    <w:rsid w:val="0048633D"/>
    <w:rsid w:val="004879EF"/>
    <w:rsid w:val="00487F7A"/>
    <w:rsid w:val="00491844"/>
    <w:rsid w:val="004946CA"/>
    <w:rsid w:val="004966F9"/>
    <w:rsid w:val="004A0B96"/>
    <w:rsid w:val="004A20FF"/>
    <w:rsid w:val="004A22B5"/>
    <w:rsid w:val="004B05CD"/>
    <w:rsid w:val="004B081F"/>
    <w:rsid w:val="004C01A5"/>
    <w:rsid w:val="004C0803"/>
    <w:rsid w:val="004C0CA7"/>
    <w:rsid w:val="004C0CF7"/>
    <w:rsid w:val="004D2B78"/>
    <w:rsid w:val="004D4CAD"/>
    <w:rsid w:val="004E2E50"/>
    <w:rsid w:val="004E4F0D"/>
    <w:rsid w:val="004E6BAD"/>
    <w:rsid w:val="004F1C39"/>
    <w:rsid w:val="004F2172"/>
    <w:rsid w:val="004F27D6"/>
    <w:rsid w:val="004F6A46"/>
    <w:rsid w:val="00502F00"/>
    <w:rsid w:val="00503085"/>
    <w:rsid w:val="00503EBC"/>
    <w:rsid w:val="00504CD1"/>
    <w:rsid w:val="00504E9E"/>
    <w:rsid w:val="005050BF"/>
    <w:rsid w:val="005066EC"/>
    <w:rsid w:val="00507AE3"/>
    <w:rsid w:val="00511939"/>
    <w:rsid w:val="00520C67"/>
    <w:rsid w:val="00523E22"/>
    <w:rsid w:val="00523ED7"/>
    <w:rsid w:val="005249ED"/>
    <w:rsid w:val="00526C91"/>
    <w:rsid w:val="00541555"/>
    <w:rsid w:val="00542E80"/>
    <w:rsid w:val="0054333D"/>
    <w:rsid w:val="00550C6F"/>
    <w:rsid w:val="005525D3"/>
    <w:rsid w:val="005557FA"/>
    <w:rsid w:val="0057002D"/>
    <w:rsid w:val="00570F25"/>
    <w:rsid w:val="00573E29"/>
    <w:rsid w:val="00575931"/>
    <w:rsid w:val="00581697"/>
    <w:rsid w:val="0058239C"/>
    <w:rsid w:val="00586A03"/>
    <w:rsid w:val="00590E6E"/>
    <w:rsid w:val="005A1876"/>
    <w:rsid w:val="005A5533"/>
    <w:rsid w:val="005A64FC"/>
    <w:rsid w:val="005A6BD4"/>
    <w:rsid w:val="005B6E2B"/>
    <w:rsid w:val="005C2467"/>
    <w:rsid w:val="005C36E7"/>
    <w:rsid w:val="005C3C98"/>
    <w:rsid w:val="005C5532"/>
    <w:rsid w:val="005C565D"/>
    <w:rsid w:val="005C658D"/>
    <w:rsid w:val="005F4678"/>
    <w:rsid w:val="00602788"/>
    <w:rsid w:val="0061146F"/>
    <w:rsid w:val="0061400D"/>
    <w:rsid w:val="0061462A"/>
    <w:rsid w:val="00620B12"/>
    <w:rsid w:val="006212DF"/>
    <w:rsid w:val="006254F0"/>
    <w:rsid w:val="00627FCB"/>
    <w:rsid w:val="0063050B"/>
    <w:rsid w:val="00634AC3"/>
    <w:rsid w:val="00636A28"/>
    <w:rsid w:val="0064104E"/>
    <w:rsid w:val="00641FBD"/>
    <w:rsid w:val="00643248"/>
    <w:rsid w:val="00644F07"/>
    <w:rsid w:val="00646226"/>
    <w:rsid w:val="00652A1D"/>
    <w:rsid w:val="00657FF6"/>
    <w:rsid w:val="0066126B"/>
    <w:rsid w:val="0066238A"/>
    <w:rsid w:val="00663024"/>
    <w:rsid w:val="00663DC9"/>
    <w:rsid w:val="0066444A"/>
    <w:rsid w:val="00664881"/>
    <w:rsid w:val="00665A71"/>
    <w:rsid w:val="00666136"/>
    <w:rsid w:val="00676D54"/>
    <w:rsid w:val="0068036A"/>
    <w:rsid w:val="00681844"/>
    <w:rsid w:val="00685C9D"/>
    <w:rsid w:val="0069098D"/>
    <w:rsid w:val="0069361D"/>
    <w:rsid w:val="0069432A"/>
    <w:rsid w:val="00697BA5"/>
    <w:rsid w:val="00697DF7"/>
    <w:rsid w:val="006A1CCE"/>
    <w:rsid w:val="006A2010"/>
    <w:rsid w:val="006A61BC"/>
    <w:rsid w:val="006A64C9"/>
    <w:rsid w:val="006A796E"/>
    <w:rsid w:val="006B0AE2"/>
    <w:rsid w:val="006C24E1"/>
    <w:rsid w:val="006C2A85"/>
    <w:rsid w:val="006C57B4"/>
    <w:rsid w:val="006C6A99"/>
    <w:rsid w:val="006D01EE"/>
    <w:rsid w:val="006D0E51"/>
    <w:rsid w:val="006D2CE2"/>
    <w:rsid w:val="006D39FF"/>
    <w:rsid w:val="006D4910"/>
    <w:rsid w:val="006D61DD"/>
    <w:rsid w:val="006F1C8F"/>
    <w:rsid w:val="006F3F9B"/>
    <w:rsid w:val="006F4EED"/>
    <w:rsid w:val="006F68AB"/>
    <w:rsid w:val="00700D27"/>
    <w:rsid w:val="00700F6A"/>
    <w:rsid w:val="00704522"/>
    <w:rsid w:val="00704D37"/>
    <w:rsid w:val="00705F84"/>
    <w:rsid w:val="00716A7F"/>
    <w:rsid w:val="007203E4"/>
    <w:rsid w:val="007205A8"/>
    <w:rsid w:val="00723298"/>
    <w:rsid w:val="00723589"/>
    <w:rsid w:val="0072521E"/>
    <w:rsid w:val="007311DE"/>
    <w:rsid w:val="0073245F"/>
    <w:rsid w:val="00734CFC"/>
    <w:rsid w:val="00741E14"/>
    <w:rsid w:val="00742929"/>
    <w:rsid w:val="007517B1"/>
    <w:rsid w:val="00753D45"/>
    <w:rsid w:val="00756743"/>
    <w:rsid w:val="00761D87"/>
    <w:rsid w:val="00764F8B"/>
    <w:rsid w:val="00765AF9"/>
    <w:rsid w:val="007730CE"/>
    <w:rsid w:val="0077388B"/>
    <w:rsid w:val="00775BC0"/>
    <w:rsid w:val="0077652B"/>
    <w:rsid w:val="00776F3E"/>
    <w:rsid w:val="007800BF"/>
    <w:rsid w:val="00781C96"/>
    <w:rsid w:val="00786FA2"/>
    <w:rsid w:val="0079364B"/>
    <w:rsid w:val="00794D6E"/>
    <w:rsid w:val="007A4207"/>
    <w:rsid w:val="007A561F"/>
    <w:rsid w:val="007A6CEE"/>
    <w:rsid w:val="007B30CB"/>
    <w:rsid w:val="007B4FF3"/>
    <w:rsid w:val="007B56BB"/>
    <w:rsid w:val="007C1847"/>
    <w:rsid w:val="007C1D06"/>
    <w:rsid w:val="007C1D40"/>
    <w:rsid w:val="007C49AD"/>
    <w:rsid w:val="007C60AB"/>
    <w:rsid w:val="007C711A"/>
    <w:rsid w:val="007E3DB3"/>
    <w:rsid w:val="007E7731"/>
    <w:rsid w:val="007F2169"/>
    <w:rsid w:val="007F2846"/>
    <w:rsid w:val="007F5AC5"/>
    <w:rsid w:val="007F7975"/>
    <w:rsid w:val="007F79B9"/>
    <w:rsid w:val="00800A0B"/>
    <w:rsid w:val="008046AA"/>
    <w:rsid w:val="00804DA5"/>
    <w:rsid w:val="00810322"/>
    <w:rsid w:val="00812FF0"/>
    <w:rsid w:val="00815E2B"/>
    <w:rsid w:val="008201A5"/>
    <w:rsid w:val="00825BBF"/>
    <w:rsid w:val="0082646B"/>
    <w:rsid w:val="00826788"/>
    <w:rsid w:val="00832178"/>
    <w:rsid w:val="008323A0"/>
    <w:rsid w:val="00832FAC"/>
    <w:rsid w:val="008341CB"/>
    <w:rsid w:val="00834A7E"/>
    <w:rsid w:val="008469A8"/>
    <w:rsid w:val="00850E56"/>
    <w:rsid w:val="00852207"/>
    <w:rsid w:val="00854DA8"/>
    <w:rsid w:val="00864AE2"/>
    <w:rsid w:val="0087040E"/>
    <w:rsid w:val="008706FB"/>
    <w:rsid w:val="00870B74"/>
    <w:rsid w:val="00876855"/>
    <w:rsid w:val="008808FC"/>
    <w:rsid w:val="00892144"/>
    <w:rsid w:val="00892CE0"/>
    <w:rsid w:val="00894F7B"/>
    <w:rsid w:val="008A1836"/>
    <w:rsid w:val="008A2804"/>
    <w:rsid w:val="008A3407"/>
    <w:rsid w:val="008A42AF"/>
    <w:rsid w:val="008A4528"/>
    <w:rsid w:val="008B286F"/>
    <w:rsid w:val="008C428D"/>
    <w:rsid w:val="008C5727"/>
    <w:rsid w:val="008C713D"/>
    <w:rsid w:val="008D1C9D"/>
    <w:rsid w:val="008D60B3"/>
    <w:rsid w:val="008E3610"/>
    <w:rsid w:val="008F077A"/>
    <w:rsid w:val="009038E1"/>
    <w:rsid w:val="00912ED8"/>
    <w:rsid w:val="00914319"/>
    <w:rsid w:val="00917F34"/>
    <w:rsid w:val="00923DA4"/>
    <w:rsid w:val="00927C98"/>
    <w:rsid w:val="00942DF3"/>
    <w:rsid w:val="00944E98"/>
    <w:rsid w:val="00954D65"/>
    <w:rsid w:val="009566F9"/>
    <w:rsid w:val="0096590D"/>
    <w:rsid w:val="00966126"/>
    <w:rsid w:val="0096641E"/>
    <w:rsid w:val="00966E1C"/>
    <w:rsid w:val="00973A10"/>
    <w:rsid w:val="00975836"/>
    <w:rsid w:val="0098344C"/>
    <w:rsid w:val="009877D0"/>
    <w:rsid w:val="00993318"/>
    <w:rsid w:val="00996B70"/>
    <w:rsid w:val="009A095F"/>
    <w:rsid w:val="009A1E4C"/>
    <w:rsid w:val="009A2562"/>
    <w:rsid w:val="009A4175"/>
    <w:rsid w:val="009A7A48"/>
    <w:rsid w:val="009B4F4A"/>
    <w:rsid w:val="009B6C5E"/>
    <w:rsid w:val="009C042D"/>
    <w:rsid w:val="009C45CA"/>
    <w:rsid w:val="009C5B3A"/>
    <w:rsid w:val="009C7125"/>
    <w:rsid w:val="009D23B1"/>
    <w:rsid w:val="009D4CF3"/>
    <w:rsid w:val="009D59C4"/>
    <w:rsid w:val="009D634E"/>
    <w:rsid w:val="009E1264"/>
    <w:rsid w:val="009E669B"/>
    <w:rsid w:val="009F1347"/>
    <w:rsid w:val="009F33E6"/>
    <w:rsid w:val="009F7C06"/>
    <w:rsid w:val="00A01D45"/>
    <w:rsid w:val="00A02666"/>
    <w:rsid w:val="00A03F8B"/>
    <w:rsid w:val="00A056DA"/>
    <w:rsid w:val="00A06B18"/>
    <w:rsid w:val="00A1297C"/>
    <w:rsid w:val="00A1319C"/>
    <w:rsid w:val="00A15B41"/>
    <w:rsid w:val="00A16B38"/>
    <w:rsid w:val="00A16F1B"/>
    <w:rsid w:val="00A17753"/>
    <w:rsid w:val="00A17D33"/>
    <w:rsid w:val="00A2066C"/>
    <w:rsid w:val="00A20A07"/>
    <w:rsid w:val="00A2297F"/>
    <w:rsid w:val="00A235DC"/>
    <w:rsid w:val="00A262FF"/>
    <w:rsid w:val="00A27150"/>
    <w:rsid w:val="00A32442"/>
    <w:rsid w:val="00A356B9"/>
    <w:rsid w:val="00A419EA"/>
    <w:rsid w:val="00A437EC"/>
    <w:rsid w:val="00A4712D"/>
    <w:rsid w:val="00A512E4"/>
    <w:rsid w:val="00A6208E"/>
    <w:rsid w:val="00A8025C"/>
    <w:rsid w:val="00A816A3"/>
    <w:rsid w:val="00A81B93"/>
    <w:rsid w:val="00A81FCC"/>
    <w:rsid w:val="00A8232F"/>
    <w:rsid w:val="00A829D5"/>
    <w:rsid w:val="00A853BA"/>
    <w:rsid w:val="00A8657D"/>
    <w:rsid w:val="00A86E72"/>
    <w:rsid w:val="00A91FBD"/>
    <w:rsid w:val="00A92CC6"/>
    <w:rsid w:val="00A96FC4"/>
    <w:rsid w:val="00A97565"/>
    <w:rsid w:val="00A979BD"/>
    <w:rsid w:val="00AA0D38"/>
    <w:rsid w:val="00AA4DA5"/>
    <w:rsid w:val="00AA70DA"/>
    <w:rsid w:val="00AB7129"/>
    <w:rsid w:val="00AC043C"/>
    <w:rsid w:val="00AC17D6"/>
    <w:rsid w:val="00AC4C3A"/>
    <w:rsid w:val="00AC53FA"/>
    <w:rsid w:val="00AC5C9D"/>
    <w:rsid w:val="00AC648F"/>
    <w:rsid w:val="00AD2081"/>
    <w:rsid w:val="00AD3B72"/>
    <w:rsid w:val="00AD634F"/>
    <w:rsid w:val="00AD75DC"/>
    <w:rsid w:val="00AE3F2A"/>
    <w:rsid w:val="00AE5FD2"/>
    <w:rsid w:val="00AF00D7"/>
    <w:rsid w:val="00AF7D19"/>
    <w:rsid w:val="00B052C3"/>
    <w:rsid w:val="00B05B09"/>
    <w:rsid w:val="00B05EB9"/>
    <w:rsid w:val="00B10247"/>
    <w:rsid w:val="00B209EA"/>
    <w:rsid w:val="00B216A9"/>
    <w:rsid w:val="00B21AF5"/>
    <w:rsid w:val="00B23426"/>
    <w:rsid w:val="00B2445D"/>
    <w:rsid w:val="00B24BFD"/>
    <w:rsid w:val="00B26805"/>
    <w:rsid w:val="00B331F8"/>
    <w:rsid w:val="00B33E2D"/>
    <w:rsid w:val="00B368B2"/>
    <w:rsid w:val="00B37DC7"/>
    <w:rsid w:val="00B43BC2"/>
    <w:rsid w:val="00B4698E"/>
    <w:rsid w:val="00B53CB4"/>
    <w:rsid w:val="00B64076"/>
    <w:rsid w:val="00B64102"/>
    <w:rsid w:val="00B648BD"/>
    <w:rsid w:val="00B6732B"/>
    <w:rsid w:val="00B675D7"/>
    <w:rsid w:val="00B708B9"/>
    <w:rsid w:val="00B71E0C"/>
    <w:rsid w:val="00B76AE2"/>
    <w:rsid w:val="00B776DA"/>
    <w:rsid w:val="00B77EC7"/>
    <w:rsid w:val="00B8357F"/>
    <w:rsid w:val="00B850F3"/>
    <w:rsid w:val="00BA0CB5"/>
    <w:rsid w:val="00BA14A5"/>
    <w:rsid w:val="00BB5D27"/>
    <w:rsid w:val="00BB5D31"/>
    <w:rsid w:val="00BB66C1"/>
    <w:rsid w:val="00BB74E7"/>
    <w:rsid w:val="00BD35DE"/>
    <w:rsid w:val="00BD3C0B"/>
    <w:rsid w:val="00BE4E06"/>
    <w:rsid w:val="00BF0F5E"/>
    <w:rsid w:val="00BF2683"/>
    <w:rsid w:val="00BF2FE5"/>
    <w:rsid w:val="00C02565"/>
    <w:rsid w:val="00C04E31"/>
    <w:rsid w:val="00C06E46"/>
    <w:rsid w:val="00C1380B"/>
    <w:rsid w:val="00C16565"/>
    <w:rsid w:val="00C22DA3"/>
    <w:rsid w:val="00C25B2E"/>
    <w:rsid w:val="00C27FF1"/>
    <w:rsid w:val="00C41E6B"/>
    <w:rsid w:val="00C423F3"/>
    <w:rsid w:val="00C42ACE"/>
    <w:rsid w:val="00C43AE8"/>
    <w:rsid w:val="00C44718"/>
    <w:rsid w:val="00C44ECD"/>
    <w:rsid w:val="00C46B43"/>
    <w:rsid w:val="00C56510"/>
    <w:rsid w:val="00C60BED"/>
    <w:rsid w:val="00C64447"/>
    <w:rsid w:val="00C66E89"/>
    <w:rsid w:val="00C670CB"/>
    <w:rsid w:val="00C74EDF"/>
    <w:rsid w:val="00C7558B"/>
    <w:rsid w:val="00C84A2B"/>
    <w:rsid w:val="00C87404"/>
    <w:rsid w:val="00C94F96"/>
    <w:rsid w:val="00C97421"/>
    <w:rsid w:val="00C97E76"/>
    <w:rsid w:val="00CA409F"/>
    <w:rsid w:val="00CA4DD5"/>
    <w:rsid w:val="00CA68B7"/>
    <w:rsid w:val="00CC0518"/>
    <w:rsid w:val="00CC1A77"/>
    <w:rsid w:val="00CD3CEA"/>
    <w:rsid w:val="00CE127F"/>
    <w:rsid w:val="00CE6A92"/>
    <w:rsid w:val="00CF16A4"/>
    <w:rsid w:val="00CF3860"/>
    <w:rsid w:val="00CF40DC"/>
    <w:rsid w:val="00CF4A7C"/>
    <w:rsid w:val="00CF5C7B"/>
    <w:rsid w:val="00CF7E0B"/>
    <w:rsid w:val="00D02EA9"/>
    <w:rsid w:val="00D0343F"/>
    <w:rsid w:val="00D034FF"/>
    <w:rsid w:val="00D04A2E"/>
    <w:rsid w:val="00D05FC6"/>
    <w:rsid w:val="00D07425"/>
    <w:rsid w:val="00D15A13"/>
    <w:rsid w:val="00D2406B"/>
    <w:rsid w:val="00D24080"/>
    <w:rsid w:val="00D250B7"/>
    <w:rsid w:val="00D2634D"/>
    <w:rsid w:val="00D26B93"/>
    <w:rsid w:val="00D27469"/>
    <w:rsid w:val="00D303A0"/>
    <w:rsid w:val="00D34D1E"/>
    <w:rsid w:val="00D4104B"/>
    <w:rsid w:val="00D4133C"/>
    <w:rsid w:val="00D426F5"/>
    <w:rsid w:val="00D43E67"/>
    <w:rsid w:val="00D51D5B"/>
    <w:rsid w:val="00D52BA0"/>
    <w:rsid w:val="00D5445B"/>
    <w:rsid w:val="00D56F35"/>
    <w:rsid w:val="00D6046F"/>
    <w:rsid w:val="00D613EE"/>
    <w:rsid w:val="00D65E14"/>
    <w:rsid w:val="00D721C1"/>
    <w:rsid w:val="00D72562"/>
    <w:rsid w:val="00D77192"/>
    <w:rsid w:val="00D80468"/>
    <w:rsid w:val="00D810D4"/>
    <w:rsid w:val="00D849F3"/>
    <w:rsid w:val="00D852BF"/>
    <w:rsid w:val="00D85A8F"/>
    <w:rsid w:val="00D870ED"/>
    <w:rsid w:val="00D8745B"/>
    <w:rsid w:val="00D9027D"/>
    <w:rsid w:val="00D95EF5"/>
    <w:rsid w:val="00D963C6"/>
    <w:rsid w:val="00D96633"/>
    <w:rsid w:val="00DA2A86"/>
    <w:rsid w:val="00DA2F4D"/>
    <w:rsid w:val="00DA412A"/>
    <w:rsid w:val="00DA48B2"/>
    <w:rsid w:val="00DA6B20"/>
    <w:rsid w:val="00DB111D"/>
    <w:rsid w:val="00DB1A85"/>
    <w:rsid w:val="00DC49B3"/>
    <w:rsid w:val="00DC5E10"/>
    <w:rsid w:val="00DC749A"/>
    <w:rsid w:val="00DD385A"/>
    <w:rsid w:val="00DD5F22"/>
    <w:rsid w:val="00DD6508"/>
    <w:rsid w:val="00DD6553"/>
    <w:rsid w:val="00DE131C"/>
    <w:rsid w:val="00DF0033"/>
    <w:rsid w:val="00DF3150"/>
    <w:rsid w:val="00DF6097"/>
    <w:rsid w:val="00E05F98"/>
    <w:rsid w:val="00E06348"/>
    <w:rsid w:val="00E1039B"/>
    <w:rsid w:val="00E1079F"/>
    <w:rsid w:val="00E11121"/>
    <w:rsid w:val="00E11911"/>
    <w:rsid w:val="00E1291F"/>
    <w:rsid w:val="00E22420"/>
    <w:rsid w:val="00E23400"/>
    <w:rsid w:val="00E312CE"/>
    <w:rsid w:val="00E3198F"/>
    <w:rsid w:val="00E34577"/>
    <w:rsid w:val="00E42269"/>
    <w:rsid w:val="00E515D2"/>
    <w:rsid w:val="00E52A68"/>
    <w:rsid w:val="00E52F50"/>
    <w:rsid w:val="00E564D3"/>
    <w:rsid w:val="00E56B38"/>
    <w:rsid w:val="00E56FEF"/>
    <w:rsid w:val="00E6044E"/>
    <w:rsid w:val="00E6286C"/>
    <w:rsid w:val="00E6357A"/>
    <w:rsid w:val="00E649CA"/>
    <w:rsid w:val="00E652CC"/>
    <w:rsid w:val="00E66CB6"/>
    <w:rsid w:val="00E744C7"/>
    <w:rsid w:val="00E83513"/>
    <w:rsid w:val="00E836CB"/>
    <w:rsid w:val="00E86D20"/>
    <w:rsid w:val="00E91F4B"/>
    <w:rsid w:val="00E93F12"/>
    <w:rsid w:val="00E94B2C"/>
    <w:rsid w:val="00E95F15"/>
    <w:rsid w:val="00EA10A8"/>
    <w:rsid w:val="00EA2AEB"/>
    <w:rsid w:val="00EA3DB8"/>
    <w:rsid w:val="00EA5BF2"/>
    <w:rsid w:val="00EA6AD6"/>
    <w:rsid w:val="00EA71B9"/>
    <w:rsid w:val="00EB02E8"/>
    <w:rsid w:val="00EB0877"/>
    <w:rsid w:val="00EB1B73"/>
    <w:rsid w:val="00EB21FA"/>
    <w:rsid w:val="00EB6113"/>
    <w:rsid w:val="00EB775E"/>
    <w:rsid w:val="00EC18BE"/>
    <w:rsid w:val="00ED214F"/>
    <w:rsid w:val="00EE11C4"/>
    <w:rsid w:val="00EE1A23"/>
    <w:rsid w:val="00EE76F4"/>
    <w:rsid w:val="00EE7905"/>
    <w:rsid w:val="00EE7A1F"/>
    <w:rsid w:val="00EF0865"/>
    <w:rsid w:val="00EF4D5A"/>
    <w:rsid w:val="00EF679A"/>
    <w:rsid w:val="00F063F3"/>
    <w:rsid w:val="00F076C1"/>
    <w:rsid w:val="00F113AA"/>
    <w:rsid w:val="00F1475C"/>
    <w:rsid w:val="00F17C59"/>
    <w:rsid w:val="00F25847"/>
    <w:rsid w:val="00F30827"/>
    <w:rsid w:val="00F33687"/>
    <w:rsid w:val="00F36D43"/>
    <w:rsid w:val="00F421E0"/>
    <w:rsid w:val="00F423E5"/>
    <w:rsid w:val="00F45874"/>
    <w:rsid w:val="00F5247C"/>
    <w:rsid w:val="00F52AF3"/>
    <w:rsid w:val="00F53034"/>
    <w:rsid w:val="00F541AB"/>
    <w:rsid w:val="00F542C3"/>
    <w:rsid w:val="00F61D8D"/>
    <w:rsid w:val="00F62192"/>
    <w:rsid w:val="00F62CA6"/>
    <w:rsid w:val="00F67C03"/>
    <w:rsid w:val="00F70120"/>
    <w:rsid w:val="00F70CDA"/>
    <w:rsid w:val="00F73FCD"/>
    <w:rsid w:val="00F76B5B"/>
    <w:rsid w:val="00F83143"/>
    <w:rsid w:val="00F857CD"/>
    <w:rsid w:val="00F90207"/>
    <w:rsid w:val="00F91074"/>
    <w:rsid w:val="00F9447C"/>
    <w:rsid w:val="00F973F4"/>
    <w:rsid w:val="00FA5AEA"/>
    <w:rsid w:val="00FA5F70"/>
    <w:rsid w:val="00FB3F91"/>
    <w:rsid w:val="00FB7731"/>
    <w:rsid w:val="00FC0ABB"/>
    <w:rsid w:val="00FC595B"/>
    <w:rsid w:val="00FC6B61"/>
    <w:rsid w:val="00FE44CE"/>
    <w:rsid w:val="00FE49FA"/>
    <w:rsid w:val="00FF0B26"/>
    <w:rsid w:val="00FF3825"/>
    <w:rsid w:val="00FF4166"/>
    <w:rsid w:val="00FF79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EBD4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C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DF7"/>
    <w:pPr>
      <w:ind w:left="720"/>
      <w:contextualSpacing/>
    </w:pPr>
  </w:style>
  <w:style w:type="paragraph" w:styleId="EndnoteText">
    <w:name w:val="endnote text"/>
    <w:basedOn w:val="Normal"/>
    <w:link w:val="EndnoteTextChar"/>
    <w:uiPriority w:val="99"/>
    <w:semiHidden/>
    <w:unhideWhenUsed/>
    <w:rsid w:val="006C57B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C57B4"/>
    <w:rPr>
      <w:sz w:val="20"/>
      <w:szCs w:val="20"/>
    </w:rPr>
  </w:style>
  <w:style w:type="character" w:styleId="EndnoteReference">
    <w:name w:val="endnote reference"/>
    <w:basedOn w:val="DefaultParagraphFont"/>
    <w:uiPriority w:val="99"/>
    <w:semiHidden/>
    <w:unhideWhenUsed/>
    <w:rsid w:val="006C57B4"/>
    <w:rPr>
      <w:vertAlign w:val="superscript"/>
    </w:rPr>
  </w:style>
  <w:style w:type="paragraph" w:styleId="FootnoteText">
    <w:name w:val="footnote text"/>
    <w:basedOn w:val="Normal"/>
    <w:link w:val="FootnoteTextChar"/>
    <w:uiPriority w:val="99"/>
    <w:unhideWhenUsed/>
    <w:rsid w:val="006C57B4"/>
    <w:pPr>
      <w:spacing w:after="0" w:line="240" w:lineRule="auto"/>
    </w:pPr>
    <w:rPr>
      <w:sz w:val="20"/>
      <w:szCs w:val="20"/>
    </w:rPr>
  </w:style>
  <w:style w:type="character" w:customStyle="1" w:styleId="FootnoteTextChar">
    <w:name w:val="Footnote Text Char"/>
    <w:basedOn w:val="DefaultParagraphFont"/>
    <w:link w:val="FootnoteText"/>
    <w:uiPriority w:val="99"/>
    <w:rsid w:val="006C57B4"/>
    <w:rPr>
      <w:sz w:val="20"/>
      <w:szCs w:val="20"/>
    </w:rPr>
  </w:style>
  <w:style w:type="character" w:styleId="FootnoteReference">
    <w:name w:val="footnote reference"/>
    <w:basedOn w:val="DefaultParagraphFont"/>
    <w:uiPriority w:val="99"/>
    <w:unhideWhenUsed/>
    <w:rsid w:val="006C57B4"/>
    <w:rPr>
      <w:vertAlign w:val="superscript"/>
    </w:rPr>
  </w:style>
  <w:style w:type="character" w:styleId="Hyperlink">
    <w:name w:val="Hyperlink"/>
    <w:basedOn w:val="DefaultParagraphFont"/>
    <w:uiPriority w:val="99"/>
    <w:unhideWhenUsed/>
    <w:rsid w:val="003D705C"/>
    <w:rPr>
      <w:color w:val="0000FF"/>
      <w:u w:val="single"/>
    </w:rPr>
  </w:style>
  <w:style w:type="paragraph" w:styleId="BalloonText">
    <w:name w:val="Balloon Text"/>
    <w:basedOn w:val="Normal"/>
    <w:link w:val="BalloonTextChar"/>
    <w:uiPriority w:val="99"/>
    <w:semiHidden/>
    <w:unhideWhenUsed/>
    <w:rsid w:val="00F33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687"/>
    <w:rPr>
      <w:rFonts w:ascii="Tahoma" w:hAnsi="Tahoma" w:cs="Tahoma"/>
      <w:sz w:val="16"/>
      <w:szCs w:val="16"/>
    </w:rPr>
  </w:style>
  <w:style w:type="paragraph" w:styleId="Header">
    <w:name w:val="header"/>
    <w:basedOn w:val="Normal"/>
    <w:link w:val="HeaderChar"/>
    <w:uiPriority w:val="99"/>
    <w:unhideWhenUsed/>
    <w:rsid w:val="00A802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025C"/>
  </w:style>
  <w:style w:type="paragraph" w:styleId="Footer">
    <w:name w:val="footer"/>
    <w:basedOn w:val="Normal"/>
    <w:link w:val="FooterChar"/>
    <w:uiPriority w:val="99"/>
    <w:unhideWhenUsed/>
    <w:rsid w:val="00A802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25C"/>
  </w:style>
  <w:style w:type="table" w:styleId="TableGrid">
    <w:name w:val="Table Grid"/>
    <w:basedOn w:val="TableNormal"/>
    <w:uiPriority w:val="59"/>
    <w:rsid w:val="00AA4D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52AF3"/>
    <w:pPr>
      <w:spacing w:after="0" w:line="240" w:lineRule="auto"/>
    </w:pPr>
  </w:style>
  <w:style w:type="character" w:styleId="CommentReference">
    <w:name w:val="annotation reference"/>
    <w:basedOn w:val="DefaultParagraphFont"/>
    <w:uiPriority w:val="99"/>
    <w:semiHidden/>
    <w:unhideWhenUsed/>
    <w:rsid w:val="002B4CA7"/>
    <w:rPr>
      <w:sz w:val="18"/>
      <w:szCs w:val="18"/>
    </w:rPr>
  </w:style>
  <w:style w:type="paragraph" w:styleId="CommentText">
    <w:name w:val="annotation text"/>
    <w:basedOn w:val="Normal"/>
    <w:link w:val="CommentTextChar"/>
    <w:uiPriority w:val="99"/>
    <w:semiHidden/>
    <w:unhideWhenUsed/>
    <w:rsid w:val="002B4CA7"/>
    <w:pPr>
      <w:spacing w:line="240" w:lineRule="auto"/>
    </w:pPr>
    <w:rPr>
      <w:sz w:val="24"/>
      <w:szCs w:val="24"/>
    </w:rPr>
  </w:style>
  <w:style w:type="character" w:customStyle="1" w:styleId="CommentTextChar">
    <w:name w:val="Comment Text Char"/>
    <w:basedOn w:val="DefaultParagraphFont"/>
    <w:link w:val="CommentText"/>
    <w:uiPriority w:val="99"/>
    <w:semiHidden/>
    <w:rsid w:val="002B4CA7"/>
    <w:rPr>
      <w:sz w:val="24"/>
      <w:szCs w:val="24"/>
    </w:rPr>
  </w:style>
  <w:style w:type="paragraph" w:styleId="CommentSubject">
    <w:name w:val="annotation subject"/>
    <w:basedOn w:val="CommentText"/>
    <w:next w:val="CommentText"/>
    <w:link w:val="CommentSubjectChar"/>
    <w:uiPriority w:val="99"/>
    <w:semiHidden/>
    <w:unhideWhenUsed/>
    <w:rsid w:val="002B4CA7"/>
    <w:rPr>
      <w:b/>
      <w:bCs/>
      <w:sz w:val="20"/>
      <w:szCs w:val="20"/>
    </w:rPr>
  </w:style>
  <w:style w:type="character" w:customStyle="1" w:styleId="CommentSubjectChar">
    <w:name w:val="Comment Subject Char"/>
    <w:basedOn w:val="CommentTextChar"/>
    <w:link w:val="CommentSubject"/>
    <w:uiPriority w:val="99"/>
    <w:semiHidden/>
    <w:rsid w:val="002B4CA7"/>
    <w:rPr>
      <w:b/>
      <w:bCs/>
      <w:sz w:val="20"/>
      <w:szCs w:val="20"/>
    </w:rPr>
  </w:style>
  <w:style w:type="paragraph" w:styleId="NormalWeb">
    <w:name w:val="Normal (Web)"/>
    <w:basedOn w:val="Normal"/>
    <w:uiPriority w:val="99"/>
    <w:semiHidden/>
    <w:unhideWhenUsed/>
    <w:rsid w:val="00E649C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PlaceholderText">
    <w:name w:val="Placeholder Text"/>
    <w:basedOn w:val="DefaultParagraphFont"/>
    <w:uiPriority w:val="99"/>
    <w:semiHidden/>
    <w:rsid w:val="00A4712D"/>
    <w:rPr>
      <w:color w:val="808080"/>
    </w:rPr>
  </w:style>
  <w:style w:type="character" w:styleId="PageNumber">
    <w:name w:val="page number"/>
    <w:basedOn w:val="DefaultParagraphFont"/>
    <w:uiPriority w:val="99"/>
    <w:semiHidden/>
    <w:unhideWhenUsed/>
    <w:rsid w:val="00894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0187">
      <w:bodyDiv w:val="1"/>
      <w:marLeft w:val="0"/>
      <w:marRight w:val="0"/>
      <w:marTop w:val="0"/>
      <w:marBottom w:val="0"/>
      <w:divBdr>
        <w:top w:val="none" w:sz="0" w:space="0" w:color="auto"/>
        <w:left w:val="none" w:sz="0" w:space="0" w:color="auto"/>
        <w:bottom w:val="none" w:sz="0" w:space="0" w:color="auto"/>
        <w:right w:val="none" w:sz="0" w:space="0" w:color="auto"/>
      </w:divBdr>
    </w:div>
    <w:div w:id="53085399">
      <w:bodyDiv w:val="1"/>
      <w:marLeft w:val="0"/>
      <w:marRight w:val="0"/>
      <w:marTop w:val="0"/>
      <w:marBottom w:val="0"/>
      <w:divBdr>
        <w:top w:val="none" w:sz="0" w:space="0" w:color="auto"/>
        <w:left w:val="none" w:sz="0" w:space="0" w:color="auto"/>
        <w:bottom w:val="none" w:sz="0" w:space="0" w:color="auto"/>
        <w:right w:val="none" w:sz="0" w:space="0" w:color="auto"/>
      </w:divBdr>
    </w:div>
    <w:div w:id="284389044">
      <w:bodyDiv w:val="1"/>
      <w:marLeft w:val="0"/>
      <w:marRight w:val="0"/>
      <w:marTop w:val="0"/>
      <w:marBottom w:val="0"/>
      <w:divBdr>
        <w:top w:val="none" w:sz="0" w:space="0" w:color="auto"/>
        <w:left w:val="none" w:sz="0" w:space="0" w:color="auto"/>
        <w:bottom w:val="none" w:sz="0" w:space="0" w:color="auto"/>
        <w:right w:val="none" w:sz="0" w:space="0" w:color="auto"/>
      </w:divBdr>
    </w:div>
    <w:div w:id="308095744">
      <w:bodyDiv w:val="1"/>
      <w:marLeft w:val="0"/>
      <w:marRight w:val="0"/>
      <w:marTop w:val="0"/>
      <w:marBottom w:val="0"/>
      <w:divBdr>
        <w:top w:val="none" w:sz="0" w:space="0" w:color="auto"/>
        <w:left w:val="none" w:sz="0" w:space="0" w:color="auto"/>
        <w:bottom w:val="none" w:sz="0" w:space="0" w:color="auto"/>
        <w:right w:val="none" w:sz="0" w:space="0" w:color="auto"/>
      </w:divBdr>
      <w:divsChild>
        <w:div w:id="804397903">
          <w:marLeft w:val="0"/>
          <w:marRight w:val="0"/>
          <w:marTop w:val="0"/>
          <w:marBottom w:val="0"/>
          <w:divBdr>
            <w:top w:val="none" w:sz="0" w:space="0" w:color="auto"/>
            <w:left w:val="none" w:sz="0" w:space="0" w:color="auto"/>
            <w:bottom w:val="none" w:sz="0" w:space="0" w:color="auto"/>
            <w:right w:val="none" w:sz="0" w:space="0" w:color="auto"/>
          </w:divBdr>
        </w:div>
        <w:div w:id="222523320">
          <w:marLeft w:val="0"/>
          <w:marRight w:val="0"/>
          <w:marTop w:val="0"/>
          <w:marBottom w:val="0"/>
          <w:divBdr>
            <w:top w:val="none" w:sz="0" w:space="0" w:color="auto"/>
            <w:left w:val="none" w:sz="0" w:space="0" w:color="auto"/>
            <w:bottom w:val="none" w:sz="0" w:space="0" w:color="auto"/>
            <w:right w:val="none" w:sz="0" w:space="0" w:color="auto"/>
          </w:divBdr>
        </w:div>
        <w:div w:id="119425308">
          <w:marLeft w:val="0"/>
          <w:marRight w:val="0"/>
          <w:marTop w:val="0"/>
          <w:marBottom w:val="0"/>
          <w:divBdr>
            <w:top w:val="none" w:sz="0" w:space="0" w:color="auto"/>
            <w:left w:val="none" w:sz="0" w:space="0" w:color="auto"/>
            <w:bottom w:val="none" w:sz="0" w:space="0" w:color="auto"/>
            <w:right w:val="none" w:sz="0" w:space="0" w:color="auto"/>
          </w:divBdr>
        </w:div>
        <w:div w:id="1202940634">
          <w:marLeft w:val="0"/>
          <w:marRight w:val="0"/>
          <w:marTop w:val="0"/>
          <w:marBottom w:val="0"/>
          <w:divBdr>
            <w:top w:val="none" w:sz="0" w:space="0" w:color="auto"/>
            <w:left w:val="none" w:sz="0" w:space="0" w:color="auto"/>
            <w:bottom w:val="none" w:sz="0" w:space="0" w:color="auto"/>
            <w:right w:val="none" w:sz="0" w:space="0" w:color="auto"/>
          </w:divBdr>
        </w:div>
        <w:div w:id="1585188574">
          <w:marLeft w:val="0"/>
          <w:marRight w:val="0"/>
          <w:marTop w:val="0"/>
          <w:marBottom w:val="0"/>
          <w:divBdr>
            <w:top w:val="none" w:sz="0" w:space="0" w:color="auto"/>
            <w:left w:val="none" w:sz="0" w:space="0" w:color="auto"/>
            <w:bottom w:val="none" w:sz="0" w:space="0" w:color="auto"/>
            <w:right w:val="none" w:sz="0" w:space="0" w:color="auto"/>
          </w:divBdr>
        </w:div>
        <w:div w:id="2034456148">
          <w:marLeft w:val="0"/>
          <w:marRight w:val="0"/>
          <w:marTop w:val="0"/>
          <w:marBottom w:val="0"/>
          <w:divBdr>
            <w:top w:val="none" w:sz="0" w:space="0" w:color="auto"/>
            <w:left w:val="none" w:sz="0" w:space="0" w:color="auto"/>
            <w:bottom w:val="none" w:sz="0" w:space="0" w:color="auto"/>
            <w:right w:val="none" w:sz="0" w:space="0" w:color="auto"/>
          </w:divBdr>
        </w:div>
        <w:div w:id="3217159">
          <w:marLeft w:val="0"/>
          <w:marRight w:val="0"/>
          <w:marTop w:val="0"/>
          <w:marBottom w:val="0"/>
          <w:divBdr>
            <w:top w:val="none" w:sz="0" w:space="0" w:color="auto"/>
            <w:left w:val="none" w:sz="0" w:space="0" w:color="auto"/>
            <w:bottom w:val="none" w:sz="0" w:space="0" w:color="auto"/>
            <w:right w:val="none" w:sz="0" w:space="0" w:color="auto"/>
          </w:divBdr>
        </w:div>
        <w:div w:id="1804344939">
          <w:marLeft w:val="0"/>
          <w:marRight w:val="0"/>
          <w:marTop w:val="0"/>
          <w:marBottom w:val="0"/>
          <w:divBdr>
            <w:top w:val="none" w:sz="0" w:space="0" w:color="auto"/>
            <w:left w:val="none" w:sz="0" w:space="0" w:color="auto"/>
            <w:bottom w:val="none" w:sz="0" w:space="0" w:color="auto"/>
            <w:right w:val="none" w:sz="0" w:space="0" w:color="auto"/>
          </w:divBdr>
        </w:div>
        <w:div w:id="278342230">
          <w:marLeft w:val="0"/>
          <w:marRight w:val="0"/>
          <w:marTop w:val="0"/>
          <w:marBottom w:val="0"/>
          <w:divBdr>
            <w:top w:val="none" w:sz="0" w:space="0" w:color="auto"/>
            <w:left w:val="none" w:sz="0" w:space="0" w:color="auto"/>
            <w:bottom w:val="none" w:sz="0" w:space="0" w:color="auto"/>
            <w:right w:val="none" w:sz="0" w:space="0" w:color="auto"/>
          </w:divBdr>
        </w:div>
        <w:div w:id="737441480">
          <w:marLeft w:val="0"/>
          <w:marRight w:val="0"/>
          <w:marTop w:val="0"/>
          <w:marBottom w:val="0"/>
          <w:divBdr>
            <w:top w:val="none" w:sz="0" w:space="0" w:color="auto"/>
            <w:left w:val="none" w:sz="0" w:space="0" w:color="auto"/>
            <w:bottom w:val="none" w:sz="0" w:space="0" w:color="auto"/>
            <w:right w:val="none" w:sz="0" w:space="0" w:color="auto"/>
          </w:divBdr>
        </w:div>
        <w:div w:id="1995714010">
          <w:marLeft w:val="0"/>
          <w:marRight w:val="0"/>
          <w:marTop w:val="0"/>
          <w:marBottom w:val="0"/>
          <w:divBdr>
            <w:top w:val="none" w:sz="0" w:space="0" w:color="auto"/>
            <w:left w:val="none" w:sz="0" w:space="0" w:color="auto"/>
            <w:bottom w:val="none" w:sz="0" w:space="0" w:color="auto"/>
            <w:right w:val="none" w:sz="0" w:space="0" w:color="auto"/>
          </w:divBdr>
        </w:div>
        <w:div w:id="507867095">
          <w:marLeft w:val="0"/>
          <w:marRight w:val="0"/>
          <w:marTop w:val="0"/>
          <w:marBottom w:val="0"/>
          <w:divBdr>
            <w:top w:val="none" w:sz="0" w:space="0" w:color="auto"/>
            <w:left w:val="none" w:sz="0" w:space="0" w:color="auto"/>
            <w:bottom w:val="none" w:sz="0" w:space="0" w:color="auto"/>
            <w:right w:val="none" w:sz="0" w:space="0" w:color="auto"/>
          </w:divBdr>
        </w:div>
        <w:div w:id="668681555">
          <w:marLeft w:val="0"/>
          <w:marRight w:val="0"/>
          <w:marTop w:val="0"/>
          <w:marBottom w:val="0"/>
          <w:divBdr>
            <w:top w:val="none" w:sz="0" w:space="0" w:color="auto"/>
            <w:left w:val="none" w:sz="0" w:space="0" w:color="auto"/>
            <w:bottom w:val="none" w:sz="0" w:space="0" w:color="auto"/>
            <w:right w:val="none" w:sz="0" w:space="0" w:color="auto"/>
          </w:divBdr>
        </w:div>
        <w:div w:id="793907689">
          <w:marLeft w:val="0"/>
          <w:marRight w:val="0"/>
          <w:marTop w:val="0"/>
          <w:marBottom w:val="0"/>
          <w:divBdr>
            <w:top w:val="none" w:sz="0" w:space="0" w:color="auto"/>
            <w:left w:val="none" w:sz="0" w:space="0" w:color="auto"/>
            <w:bottom w:val="none" w:sz="0" w:space="0" w:color="auto"/>
            <w:right w:val="none" w:sz="0" w:space="0" w:color="auto"/>
          </w:divBdr>
        </w:div>
        <w:div w:id="396127075">
          <w:marLeft w:val="0"/>
          <w:marRight w:val="0"/>
          <w:marTop w:val="0"/>
          <w:marBottom w:val="0"/>
          <w:divBdr>
            <w:top w:val="none" w:sz="0" w:space="0" w:color="auto"/>
            <w:left w:val="none" w:sz="0" w:space="0" w:color="auto"/>
            <w:bottom w:val="none" w:sz="0" w:space="0" w:color="auto"/>
            <w:right w:val="none" w:sz="0" w:space="0" w:color="auto"/>
          </w:divBdr>
        </w:div>
        <w:div w:id="1573853266">
          <w:marLeft w:val="0"/>
          <w:marRight w:val="0"/>
          <w:marTop w:val="0"/>
          <w:marBottom w:val="0"/>
          <w:divBdr>
            <w:top w:val="none" w:sz="0" w:space="0" w:color="auto"/>
            <w:left w:val="none" w:sz="0" w:space="0" w:color="auto"/>
            <w:bottom w:val="none" w:sz="0" w:space="0" w:color="auto"/>
            <w:right w:val="none" w:sz="0" w:space="0" w:color="auto"/>
          </w:divBdr>
        </w:div>
        <w:div w:id="85276075">
          <w:marLeft w:val="0"/>
          <w:marRight w:val="0"/>
          <w:marTop w:val="0"/>
          <w:marBottom w:val="0"/>
          <w:divBdr>
            <w:top w:val="none" w:sz="0" w:space="0" w:color="auto"/>
            <w:left w:val="none" w:sz="0" w:space="0" w:color="auto"/>
            <w:bottom w:val="none" w:sz="0" w:space="0" w:color="auto"/>
            <w:right w:val="none" w:sz="0" w:space="0" w:color="auto"/>
          </w:divBdr>
        </w:div>
        <w:div w:id="1840147085">
          <w:marLeft w:val="0"/>
          <w:marRight w:val="0"/>
          <w:marTop w:val="0"/>
          <w:marBottom w:val="0"/>
          <w:divBdr>
            <w:top w:val="none" w:sz="0" w:space="0" w:color="auto"/>
            <w:left w:val="none" w:sz="0" w:space="0" w:color="auto"/>
            <w:bottom w:val="none" w:sz="0" w:space="0" w:color="auto"/>
            <w:right w:val="none" w:sz="0" w:space="0" w:color="auto"/>
          </w:divBdr>
        </w:div>
        <w:div w:id="1265309660">
          <w:marLeft w:val="0"/>
          <w:marRight w:val="0"/>
          <w:marTop w:val="0"/>
          <w:marBottom w:val="0"/>
          <w:divBdr>
            <w:top w:val="none" w:sz="0" w:space="0" w:color="auto"/>
            <w:left w:val="none" w:sz="0" w:space="0" w:color="auto"/>
            <w:bottom w:val="none" w:sz="0" w:space="0" w:color="auto"/>
            <w:right w:val="none" w:sz="0" w:space="0" w:color="auto"/>
          </w:divBdr>
        </w:div>
        <w:div w:id="1688559959">
          <w:marLeft w:val="0"/>
          <w:marRight w:val="0"/>
          <w:marTop w:val="0"/>
          <w:marBottom w:val="0"/>
          <w:divBdr>
            <w:top w:val="none" w:sz="0" w:space="0" w:color="auto"/>
            <w:left w:val="none" w:sz="0" w:space="0" w:color="auto"/>
            <w:bottom w:val="none" w:sz="0" w:space="0" w:color="auto"/>
            <w:right w:val="none" w:sz="0" w:space="0" w:color="auto"/>
          </w:divBdr>
        </w:div>
        <w:div w:id="1641300822">
          <w:marLeft w:val="0"/>
          <w:marRight w:val="0"/>
          <w:marTop w:val="0"/>
          <w:marBottom w:val="0"/>
          <w:divBdr>
            <w:top w:val="none" w:sz="0" w:space="0" w:color="auto"/>
            <w:left w:val="none" w:sz="0" w:space="0" w:color="auto"/>
            <w:bottom w:val="none" w:sz="0" w:space="0" w:color="auto"/>
            <w:right w:val="none" w:sz="0" w:space="0" w:color="auto"/>
          </w:divBdr>
        </w:div>
        <w:div w:id="1397044734">
          <w:marLeft w:val="0"/>
          <w:marRight w:val="0"/>
          <w:marTop w:val="0"/>
          <w:marBottom w:val="0"/>
          <w:divBdr>
            <w:top w:val="none" w:sz="0" w:space="0" w:color="auto"/>
            <w:left w:val="none" w:sz="0" w:space="0" w:color="auto"/>
            <w:bottom w:val="none" w:sz="0" w:space="0" w:color="auto"/>
            <w:right w:val="none" w:sz="0" w:space="0" w:color="auto"/>
          </w:divBdr>
        </w:div>
        <w:div w:id="1900552326">
          <w:marLeft w:val="0"/>
          <w:marRight w:val="0"/>
          <w:marTop w:val="0"/>
          <w:marBottom w:val="0"/>
          <w:divBdr>
            <w:top w:val="none" w:sz="0" w:space="0" w:color="auto"/>
            <w:left w:val="none" w:sz="0" w:space="0" w:color="auto"/>
            <w:bottom w:val="none" w:sz="0" w:space="0" w:color="auto"/>
            <w:right w:val="none" w:sz="0" w:space="0" w:color="auto"/>
          </w:divBdr>
        </w:div>
        <w:div w:id="1170948204">
          <w:marLeft w:val="0"/>
          <w:marRight w:val="0"/>
          <w:marTop w:val="0"/>
          <w:marBottom w:val="0"/>
          <w:divBdr>
            <w:top w:val="none" w:sz="0" w:space="0" w:color="auto"/>
            <w:left w:val="none" w:sz="0" w:space="0" w:color="auto"/>
            <w:bottom w:val="none" w:sz="0" w:space="0" w:color="auto"/>
            <w:right w:val="none" w:sz="0" w:space="0" w:color="auto"/>
          </w:divBdr>
        </w:div>
        <w:div w:id="2137986332">
          <w:marLeft w:val="0"/>
          <w:marRight w:val="0"/>
          <w:marTop w:val="0"/>
          <w:marBottom w:val="0"/>
          <w:divBdr>
            <w:top w:val="none" w:sz="0" w:space="0" w:color="auto"/>
            <w:left w:val="none" w:sz="0" w:space="0" w:color="auto"/>
            <w:bottom w:val="none" w:sz="0" w:space="0" w:color="auto"/>
            <w:right w:val="none" w:sz="0" w:space="0" w:color="auto"/>
          </w:divBdr>
        </w:div>
        <w:div w:id="1723868164">
          <w:marLeft w:val="0"/>
          <w:marRight w:val="0"/>
          <w:marTop w:val="0"/>
          <w:marBottom w:val="0"/>
          <w:divBdr>
            <w:top w:val="none" w:sz="0" w:space="0" w:color="auto"/>
            <w:left w:val="none" w:sz="0" w:space="0" w:color="auto"/>
            <w:bottom w:val="none" w:sz="0" w:space="0" w:color="auto"/>
            <w:right w:val="none" w:sz="0" w:space="0" w:color="auto"/>
          </w:divBdr>
        </w:div>
        <w:div w:id="925310844">
          <w:marLeft w:val="0"/>
          <w:marRight w:val="0"/>
          <w:marTop w:val="0"/>
          <w:marBottom w:val="0"/>
          <w:divBdr>
            <w:top w:val="none" w:sz="0" w:space="0" w:color="auto"/>
            <w:left w:val="none" w:sz="0" w:space="0" w:color="auto"/>
            <w:bottom w:val="none" w:sz="0" w:space="0" w:color="auto"/>
            <w:right w:val="none" w:sz="0" w:space="0" w:color="auto"/>
          </w:divBdr>
        </w:div>
        <w:div w:id="1620526299">
          <w:marLeft w:val="0"/>
          <w:marRight w:val="0"/>
          <w:marTop w:val="0"/>
          <w:marBottom w:val="0"/>
          <w:divBdr>
            <w:top w:val="none" w:sz="0" w:space="0" w:color="auto"/>
            <w:left w:val="none" w:sz="0" w:space="0" w:color="auto"/>
            <w:bottom w:val="none" w:sz="0" w:space="0" w:color="auto"/>
            <w:right w:val="none" w:sz="0" w:space="0" w:color="auto"/>
          </w:divBdr>
        </w:div>
        <w:div w:id="892230591">
          <w:marLeft w:val="0"/>
          <w:marRight w:val="0"/>
          <w:marTop w:val="0"/>
          <w:marBottom w:val="0"/>
          <w:divBdr>
            <w:top w:val="none" w:sz="0" w:space="0" w:color="auto"/>
            <w:left w:val="none" w:sz="0" w:space="0" w:color="auto"/>
            <w:bottom w:val="none" w:sz="0" w:space="0" w:color="auto"/>
            <w:right w:val="none" w:sz="0" w:space="0" w:color="auto"/>
          </w:divBdr>
        </w:div>
        <w:div w:id="1269041404">
          <w:marLeft w:val="0"/>
          <w:marRight w:val="0"/>
          <w:marTop w:val="0"/>
          <w:marBottom w:val="0"/>
          <w:divBdr>
            <w:top w:val="none" w:sz="0" w:space="0" w:color="auto"/>
            <w:left w:val="none" w:sz="0" w:space="0" w:color="auto"/>
            <w:bottom w:val="none" w:sz="0" w:space="0" w:color="auto"/>
            <w:right w:val="none" w:sz="0" w:space="0" w:color="auto"/>
          </w:divBdr>
        </w:div>
        <w:div w:id="811674370">
          <w:marLeft w:val="0"/>
          <w:marRight w:val="0"/>
          <w:marTop w:val="0"/>
          <w:marBottom w:val="0"/>
          <w:divBdr>
            <w:top w:val="none" w:sz="0" w:space="0" w:color="auto"/>
            <w:left w:val="none" w:sz="0" w:space="0" w:color="auto"/>
            <w:bottom w:val="none" w:sz="0" w:space="0" w:color="auto"/>
            <w:right w:val="none" w:sz="0" w:space="0" w:color="auto"/>
          </w:divBdr>
        </w:div>
      </w:divsChild>
    </w:div>
    <w:div w:id="326638177">
      <w:bodyDiv w:val="1"/>
      <w:marLeft w:val="0"/>
      <w:marRight w:val="0"/>
      <w:marTop w:val="0"/>
      <w:marBottom w:val="0"/>
      <w:divBdr>
        <w:top w:val="none" w:sz="0" w:space="0" w:color="auto"/>
        <w:left w:val="none" w:sz="0" w:space="0" w:color="auto"/>
        <w:bottom w:val="none" w:sz="0" w:space="0" w:color="auto"/>
        <w:right w:val="none" w:sz="0" w:space="0" w:color="auto"/>
      </w:divBdr>
    </w:div>
    <w:div w:id="350227648">
      <w:bodyDiv w:val="1"/>
      <w:marLeft w:val="0"/>
      <w:marRight w:val="0"/>
      <w:marTop w:val="0"/>
      <w:marBottom w:val="0"/>
      <w:divBdr>
        <w:top w:val="none" w:sz="0" w:space="0" w:color="auto"/>
        <w:left w:val="none" w:sz="0" w:space="0" w:color="auto"/>
        <w:bottom w:val="none" w:sz="0" w:space="0" w:color="auto"/>
        <w:right w:val="none" w:sz="0" w:space="0" w:color="auto"/>
      </w:divBdr>
    </w:div>
    <w:div w:id="390541742">
      <w:bodyDiv w:val="1"/>
      <w:marLeft w:val="0"/>
      <w:marRight w:val="0"/>
      <w:marTop w:val="0"/>
      <w:marBottom w:val="0"/>
      <w:divBdr>
        <w:top w:val="none" w:sz="0" w:space="0" w:color="auto"/>
        <w:left w:val="none" w:sz="0" w:space="0" w:color="auto"/>
        <w:bottom w:val="none" w:sz="0" w:space="0" w:color="auto"/>
        <w:right w:val="none" w:sz="0" w:space="0" w:color="auto"/>
      </w:divBdr>
    </w:div>
    <w:div w:id="430248535">
      <w:bodyDiv w:val="1"/>
      <w:marLeft w:val="0"/>
      <w:marRight w:val="0"/>
      <w:marTop w:val="0"/>
      <w:marBottom w:val="0"/>
      <w:divBdr>
        <w:top w:val="none" w:sz="0" w:space="0" w:color="auto"/>
        <w:left w:val="none" w:sz="0" w:space="0" w:color="auto"/>
        <w:bottom w:val="none" w:sz="0" w:space="0" w:color="auto"/>
        <w:right w:val="none" w:sz="0" w:space="0" w:color="auto"/>
      </w:divBdr>
    </w:div>
    <w:div w:id="595361653">
      <w:bodyDiv w:val="1"/>
      <w:marLeft w:val="0"/>
      <w:marRight w:val="0"/>
      <w:marTop w:val="0"/>
      <w:marBottom w:val="0"/>
      <w:divBdr>
        <w:top w:val="none" w:sz="0" w:space="0" w:color="auto"/>
        <w:left w:val="none" w:sz="0" w:space="0" w:color="auto"/>
        <w:bottom w:val="none" w:sz="0" w:space="0" w:color="auto"/>
        <w:right w:val="none" w:sz="0" w:space="0" w:color="auto"/>
      </w:divBdr>
    </w:div>
    <w:div w:id="625815454">
      <w:bodyDiv w:val="1"/>
      <w:marLeft w:val="0"/>
      <w:marRight w:val="0"/>
      <w:marTop w:val="0"/>
      <w:marBottom w:val="0"/>
      <w:divBdr>
        <w:top w:val="none" w:sz="0" w:space="0" w:color="auto"/>
        <w:left w:val="none" w:sz="0" w:space="0" w:color="auto"/>
        <w:bottom w:val="none" w:sz="0" w:space="0" w:color="auto"/>
        <w:right w:val="none" w:sz="0" w:space="0" w:color="auto"/>
      </w:divBdr>
    </w:div>
    <w:div w:id="962660525">
      <w:bodyDiv w:val="1"/>
      <w:marLeft w:val="0"/>
      <w:marRight w:val="0"/>
      <w:marTop w:val="0"/>
      <w:marBottom w:val="0"/>
      <w:divBdr>
        <w:top w:val="none" w:sz="0" w:space="0" w:color="auto"/>
        <w:left w:val="none" w:sz="0" w:space="0" w:color="auto"/>
        <w:bottom w:val="none" w:sz="0" w:space="0" w:color="auto"/>
        <w:right w:val="none" w:sz="0" w:space="0" w:color="auto"/>
      </w:divBdr>
    </w:div>
    <w:div w:id="1037852368">
      <w:bodyDiv w:val="1"/>
      <w:marLeft w:val="0"/>
      <w:marRight w:val="0"/>
      <w:marTop w:val="0"/>
      <w:marBottom w:val="0"/>
      <w:divBdr>
        <w:top w:val="none" w:sz="0" w:space="0" w:color="auto"/>
        <w:left w:val="none" w:sz="0" w:space="0" w:color="auto"/>
        <w:bottom w:val="none" w:sz="0" w:space="0" w:color="auto"/>
        <w:right w:val="none" w:sz="0" w:space="0" w:color="auto"/>
      </w:divBdr>
    </w:div>
    <w:div w:id="1042561378">
      <w:bodyDiv w:val="1"/>
      <w:marLeft w:val="0"/>
      <w:marRight w:val="0"/>
      <w:marTop w:val="0"/>
      <w:marBottom w:val="0"/>
      <w:divBdr>
        <w:top w:val="none" w:sz="0" w:space="0" w:color="auto"/>
        <w:left w:val="none" w:sz="0" w:space="0" w:color="auto"/>
        <w:bottom w:val="none" w:sz="0" w:space="0" w:color="auto"/>
        <w:right w:val="none" w:sz="0" w:space="0" w:color="auto"/>
      </w:divBdr>
    </w:div>
    <w:div w:id="1096944445">
      <w:bodyDiv w:val="1"/>
      <w:marLeft w:val="0"/>
      <w:marRight w:val="0"/>
      <w:marTop w:val="0"/>
      <w:marBottom w:val="0"/>
      <w:divBdr>
        <w:top w:val="none" w:sz="0" w:space="0" w:color="auto"/>
        <w:left w:val="none" w:sz="0" w:space="0" w:color="auto"/>
        <w:bottom w:val="none" w:sz="0" w:space="0" w:color="auto"/>
        <w:right w:val="none" w:sz="0" w:space="0" w:color="auto"/>
      </w:divBdr>
    </w:div>
    <w:div w:id="1127509488">
      <w:bodyDiv w:val="1"/>
      <w:marLeft w:val="0"/>
      <w:marRight w:val="0"/>
      <w:marTop w:val="0"/>
      <w:marBottom w:val="0"/>
      <w:divBdr>
        <w:top w:val="none" w:sz="0" w:space="0" w:color="auto"/>
        <w:left w:val="none" w:sz="0" w:space="0" w:color="auto"/>
        <w:bottom w:val="none" w:sz="0" w:space="0" w:color="auto"/>
        <w:right w:val="none" w:sz="0" w:space="0" w:color="auto"/>
      </w:divBdr>
    </w:div>
    <w:div w:id="1199273323">
      <w:bodyDiv w:val="1"/>
      <w:marLeft w:val="0"/>
      <w:marRight w:val="0"/>
      <w:marTop w:val="0"/>
      <w:marBottom w:val="0"/>
      <w:divBdr>
        <w:top w:val="none" w:sz="0" w:space="0" w:color="auto"/>
        <w:left w:val="none" w:sz="0" w:space="0" w:color="auto"/>
        <w:bottom w:val="none" w:sz="0" w:space="0" w:color="auto"/>
        <w:right w:val="none" w:sz="0" w:space="0" w:color="auto"/>
      </w:divBdr>
      <w:divsChild>
        <w:div w:id="2137946655">
          <w:marLeft w:val="0"/>
          <w:marRight w:val="0"/>
          <w:marTop w:val="0"/>
          <w:marBottom w:val="0"/>
          <w:divBdr>
            <w:top w:val="none" w:sz="0" w:space="0" w:color="auto"/>
            <w:left w:val="none" w:sz="0" w:space="0" w:color="auto"/>
            <w:bottom w:val="none" w:sz="0" w:space="0" w:color="auto"/>
            <w:right w:val="none" w:sz="0" w:space="0" w:color="auto"/>
          </w:divBdr>
        </w:div>
        <w:div w:id="619461729">
          <w:marLeft w:val="0"/>
          <w:marRight w:val="0"/>
          <w:marTop w:val="0"/>
          <w:marBottom w:val="0"/>
          <w:divBdr>
            <w:top w:val="none" w:sz="0" w:space="0" w:color="auto"/>
            <w:left w:val="none" w:sz="0" w:space="0" w:color="auto"/>
            <w:bottom w:val="none" w:sz="0" w:space="0" w:color="auto"/>
            <w:right w:val="none" w:sz="0" w:space="0" w:color="auto"/>
          </w:divBdr>
        </w:div>
        <w:div w:id="1774587316">
          <w:marLeft w:val="0"/>
          <w:marRight w:val="0"/>
          <w:marTop w:val="0"/>
          <w:marBottom w:val="0"/>
          <w:divBdr>
            <w:top w:val="none" w:sz="0" w:space="0" w:color="auto"/>
            <w:left w:val="none" w:sz="0" w:space="0" w:color="auto"/>
            <w:bottom w:val="none" w:sz="0" w:space="0" w:color="auto"/>
            <w:right w:val="none" w:sz="0" w:space="0" w:color="auto"/>
          </w:divBdr>
        </w:div>
        <w:div w:id="772091387">
          <w:marLeft w:val="0"/>
          <w:marRight w:val="0"/>
          <w:marTop w:val="0"/>
          <w:marBottom w:val="0"/>
          <w:divBdr>
            <w:top w:val="none" w:sz="0" w:space="0" w:color="auto"/>
            <w:left w:val="none" w:sz="0" w:space="0" w:color="auto"/>
            <w:bottom w:val="none" w:sz="0" w:space="0" w:color="auto"/>
            <w:right w:val="none" w:sz="0" w:space="0" w:color="auto"/>
          </w:divBdr>
        </w:div>
        <w:div w:id="343437975">
          <w:marLeft w:val="0"/>
          <w:marRight w:val="0"/>
          <w:marTop w:val="0"/>
          <w:marBottom w:val="0"/>
          <w:divBdr>
            <w:top w:val="none" w:sz="0" w:space="0" w:color="auto"/>
            <w:left w:val="none" w:sz="0" w:space="0" w:color="auto"/>
            <w:bottom w:val="none" w:sz="0" w:space="0" w:color="auto"/>
            <w:right w:val="none" w:sz="0" w:space="0" w:color="auto"/>
          </w:divBdr>
        </w:div>
        <w:div w:id="659387499">
          <w:marLeft w:val="0"/>
          <w:marRight w:val="0"/>
          <w:marTop w:val="0"/>
          <w:marBottom w:val="0"/>
          <w:divBdr>
            <w:top w:val="none" w:sz="0" w:space="0" w:color="auto"/>
            <w:left w:val="none" w:sz="0" w:space="0" w:color="auto"/>
            <w:bottom w:val="none" w:sz="0" w:space="0" w:color="auto"/>
            <w:right w:val="none" w:sz="0" w:space="0" w:color="auto"/>
          </w:divBdr>
        </w:div>
        <w:div w:id="1316102687">
          <w:marLeft w:val="0"/>
          <w:marRight w:val="0"/>
          <w:marTop w:val="0"/>
          <w:marBottom w:val="0"/>
          <w:divBdr>
            <w:top w:val="none" w:sz="0" w:space="0" w:color="auto"/>
            <w:left w:val="none" w:sz="0" w:space="0" w:color="auto"/>
            <w:bottom w:val="none" w:sz="0" w:space="0" w:color="auto"/>
            <w:right w:val="none" w:sz="0" w:space="0" w:color="auto"/>
          </w:divBdr>
        </w:div>
        <w:div w:id="494222551">
          <w:marLeft w:val="0"/>
          <w:marRight w:val="0"/>
          <w:marTop w:val="0"/>
          <w:marBottom w:val="0"/>
          <w:divBdr>
            <w:top w:val="none" w:sz="0" w:space="0" w:color="auto"/>
            <w:left w:val="none" w:sz="0" w:space="0" w:color="auto"/>
            <w:bottom w:val="none" w:sz="0" w:space="0" w:color="auto"/>
            <w:right w:val="none" w:sz="0" w:space="0" w:color="auto"/>
          </w:divBdr>
        </w:div>
        <w:div w:id="573510991">
          <w:marLeft w:val="0"/>
          <w:marRight w:val="0"/>
          <w:marTop w:val="0"/>
          <w:marBottom w:val="0"/>
          <w:divBdr>
            <w:top w:val="none" w:sz="0" w:space="0" w:color="auto"/>
            <w:left w:val="none" w:sz="0" w:space="0" w:color="auto"/>
            <w:bottom w:val="none" w:sz="0" w:space="0" w:color="auto"/>
            <w:right w:val="none" w:sz="0" w:space="0" w:color="auto"/>
          </w:divBdr>
        </w:div>
        <w:div w:id="2068450040">
          <w:marLeft w:val="0"/>
          <w:marRight w:val="0"/>
          <w:marTop w:val="0"/>
          <w:marBottom w:val="0"/>
          <w:divBdr>
            <w:top w:val="none" w:sz="0" w:space="0" w:color="auto"/>
            <w:left w:val="none" w:sz="0" w:space="0" w:color="auto"/>
            <w:bottom w:val="none" w:sz="0" w:space="0" w:color="auto"/>
            <w:right w:val="none" w:sz="0" w:space="0" w:color="auto"/>
          </w:divBdr>
        </w:div>
      </w:divsChild>
    </w:div>
    <w:div w:id="1206674753">
      <w:bodyDiv w:val="1"/>
      <w:marLeft w:val="0"/>
      <w:marRight w:val="0"/>
      <w:marTop w:val="0"/>
      <w:marBottom w:val="0"/>
      <w:divBdr>
        <w:top w:val="none" w:sz="0" w:space="0" w:color="auto"/>
        <w:left w:val="none" w:sz="0" w:space="0" w:color="auto"/>
        <w:bottom w:val="none" w:sz="0" w:space="0" w:color="auto"/>
        <w:right w:val="none" w:sz="0" w:space="0" w:color="auto"/>
      </w:divBdr>
      <w:divsChild>
        <w:div w:id="272636835">
          <w:marLeft w:val="0"/>
          <w:marRight w:val="0"/>
          <w:marTop w:val="0"/>
          <w:marBottom w:val="0"/>
          <w:divBdr>
            <w:top w:val="none" w:sz="0" w:space="0" w:color="auto"/>
            <w:left w:val="none" w:sz="0" w:space="0" w:color="auto"/>
            <w:bottom w:val="none" w:sz="0" w:space="0" w:color="auto"/>
            <w:right w:val="none" w:sz="0" w:space="0" w:color="auto"/>
          </w:divBdr>
          <w:divsChild>
            <w:div w:id="923879513">
              <w:marLeft w:val="0"/>
              <w:marRight w:val="0"/>
              <w:marTop w:val="0"/>
              <w:marBottom w:val="0"/>
              <w:divBdr>
                <w:top w:val="none" w:sz="0" w:space="0" w:color="auto"/>
                <w:left w:val="none" w:sz="0" w:space="0" w:color="auto"/>
                <w:bottom w:val="none" w:sz="0" w:space="0" w:color="auto"/>
                <w:right w:val="none" w:sz="0" w:space="0" w:color="auto"/>
              </w:divBdr>
              <w:divsChild>
                <w:div w:id="1974091638">
                  <w:marLeft w:val="0"/>
                  <w:marRight w:val="0"/>
                  <w:marTop w:val="0"/>
                  <w:marBottom w:val="0"/>
                  <w:divBdr>
                    <w:top w:val="none" w:sz="0" w:space="0" w:color="auto"/>
                    <w:left w:val="none" w:sz="0" w:space="0" w:color="auto"/>
                    <w:bottom w:val="none" w:sz="0" w:space="0" w:color="auto"/>
                    <w:right w:val="none" w:sz="0" w:space="0" w:color="auto"/>
                  </w:divBdr>
                  <w:divsChild>
                    <w:div w:id="455028919">
                      <w:marLeft w:val="0"/>
                      <w:marRight w:val="0"/>
                      <w:marTop w:val="0"/>
                      <w:marBottom w:val="0"/>
                      <w:divBdr>
                        <w:top w:val="none" w:sz="0" w:space="0" w:color="auto"/>
                        <w:left w:val="none" w:sz="0" w:space="0" w:color="auto"/>
                        <w:bottom w:val="none" w:sz="0" w:space="0" w:color="auto"/>
                        <w:right w:val="none" w:sz="0" w:space="0" w:color="auto"/>
                      </w:divBdr>
                      <w:divsChild>
                        <w:div w:id="390349889">
                          <w:marLeft w:val="0"/>
                          <w:marRight w:val="0"/>
                          <w:marTop w:val="15"/>
                          <w:marBottom w:val="0"/>
                          <w:divBdr>
                            <w:top w:val="none" w:sz="0" w:space="0" w:color="auto"/>
                            <w:left w:val="none" w:sz="0" w:space="0" w:color="auto"/>
                            <w:bottom w:val="none" w:sz="0" w:space="0" w:color="auto"/>
                            <w:right w:val="none" w:sz="0" w:space="0" w:color="auto"/>
                          </w:divBdr>
                          <w:divsChild>
                            <w:div w:id="1967662607">
                              <w:marLeft w:val="0"/>
                              <w:marRight w:val="0"/>
                              <w:marTop w:val="0"/>
                              <w:marBottom w:val="0"/>
                              <w:divBdr>
                                <w:top w:val="none" w:sz="0" w:space="0" w:color="auto"/>
                                <w:left w:val="none" w:sz="0" w:space="0" w:color="auto"/>
                                <w:bottom w:val="none" w:sz="0" w:space="0" w:color="auto"/>
                                <w:right w:val="none" w:sz="0" w:space="0" w:color="auto"/>
                              </w:divBdr>
                              <w:divsChild>
                                <w:div w:id="875002559">
                                  <w:marLeft w:val="0"/>
                                  <w:marRight w:val="0"/>
                                  <w:marTop w:val="0"/>
                                  <w:marBottom w:val="0"/>
                                  <w:divBdr>
                                    <w:top w:val="none" w:sz="0" w:space="0" w:color="auto"/>
                                    <w:left w:val="none" w:sz="0" w:space="0" w:color="auto"/>
                                    <w:bottom w:val="none" w:sz="0" w:space="0" w:color="auto"/>
                                    <w:right w:val="none" w:sz="0" w:space="0" w:color="auto"/>
                                  </w:divBdr>
                                </w:div>
                                <w:div w:id="310448980">
                                  <w:marLeft w:val="0"/>
                                  <w:marRight w:val="0"/>
                                  <w:marTop w:val="0"/>
                                  <w:marBottom w:val="0"/>
                                  <w:divBdr>
                                    <w:top w:val="none" w:sz="0" w:space="0" w:color="auto"/>
                                    <w:left w:val="none" w:sz="0" w:space="0" w:color="auto"/>
                                    <w:bottom w:val="none" w:sz="0" w:space="0" w:color="auto"/>
                                    <w:right w:val="none" w:sz="0" w:space="0" w:color="auto"/>
                                  </w:divBdr>
                                </w:div>
                                <w:div w:id="3309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499829">
      <w:bodyDiv w:val="1"/>
      <w:marLeft w:val="0"/>
      <w:marRight w:val="0"/>
      <w:marTop w:val="0"/>
      <w:marBottom w:val="0"/>
      <w:divBdr>
        <w:top w:val="none" w:sz="0" w:space="0" w:color="auto"/>
        <w:left w:val="none" w:sz="0" w:space="0" w:color="auto"/>
        <w:bottom w:val="none" w:sz="0" w:space="0" w:color="auto"/>
        <w:right w:val="none" w:sz="0" w:space="0" w:color="auto"/>
      </w:divBdr>
    </w:div>
    <w:div w:id="1268654852">
      <w:bodyDiv w:val="1"/>
      <w:marLeft w:val="0"/>
      <w:marRight w:val="0"/>
      <w:marTop w:val="0"/>
      <w:marBottom w:val="0"/>
      <w:divBdr>
        <w:top w:val="none" w:sz="0" w:space="0" w:color="auto"/>
        <w:left w:val="none" w:sz="0" w:space="0" w:color="auto"/>
        <w:bottom w:val="none" w:sz="0" w:space="0" w:color="auto"/>
        <w:right w:val="none" w:sz="0" w:space="0" w:color="auto"/>
      </w:divBdr>
      <w:divsChild>
        <w:div w:id="1610091126">
          <w:marLeft w:val="0"/>
          <w:marRight w:val="0"/>
          <w:marTop w:val="0"/>
          <w:marBottom w:val="0"/>
          <w:divBdr>
            <w:top w:val="none" w:sz="0" w:space="0" w:color="auto"/>
            <w:left w:val="none" w:sz="0" w:space="0" w:color="auto"/>
            <w:bottom w:val="none" w:sz="0" w:space="0" w:color="auto"/>
            <w:right w:val="none" w:sz="0" w:space="0" w:color="auto"/>
          </w:divBdr>
        </w:div>
      </w:divsChild>
    </w:div>
    <w:div w:id="1478837862">
      <w:bodyDiv w:val="1"/>
      <w:marLeft w:val="0"/>
      <w:marRight w:val="0"/>
      <w:marTop w:val="0"/>
      <w:marBottom w:val="0"/>
      <w:divBdr>
        <w:top w:val="none" w:sz="0" w:space="0" w:color="auto"/>
        <w:left w:val="none" w:sz="0" w:space="0" w:color="auto"/>
        <w:bottom w:val="none" w:sz="0" w:space="0" w:color="auto"/>
        <w:right w:val="none" w:sz="0" w:space="0" w:color="auto"/>
      </w:divBdr>
    </w:div>
    <w:div w:id="1886137049">
      <w:bodyDiv w:val="1"/>
      <w:marLeft w:val="0"/>
      <w:marRight w:val="0"/>
      <w:marTop w:val="0"/>
      <w:marBottom w:val="0"/>
      <w:divBdr>
        <w:top w:val="none" w:sz="0" w:space="0" w:color="auto"/>
        <w:left w:val="none" w:sz="0" w:space="0" w:color="auto"/>
        <w:bottom w:val="none" w:sz="0" w:space="0" w:color="auto"/>
        <w:right w:val="none" w:sz="0" w:space="0" w:color="auto"/>
      </w:divBdr>
    </w:div>
    <w:div w:id="200600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B22898E6-0236-4B35-8A14-17814D5C5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3583</Words>
  <Characters>20428</Characters>
  <Application>Microsoft Office Word</Application>
  <DocSecurity>0</DocSecurity>
  <Lines>170</Lines>
  <Paragraphs>47</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vector>
  </TitlesOfParts>
  <Company>Oxford University</Company>
  <LinksUpToDate>false</LinksUpToDate>
  <CharactersWithSpaces>23964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Esteves</dc:creator>
  <cp:lastModifiedBy>user</cp:lastModifiedBy>
  <cp:revision>2</cp:revision>
  <cp:lastPrinted>2016-03-16T05:41:00Z</cp:lastPrinted>
  <dcterms:created xsi:type="dcterms:W3CDTF">2016-03-16T05:41:00Z</dcterms:created>
  <dcterms:modified xsi:type="dcterms:W3CDTF">2016-03-16T05:41:00Z</dcterms:modified>
</cp:coreProperties>
</file>