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CAA" w:rsidRDefault="00A44CAA" w:rsidP="00A44CAA">
      <w:pPr>
        <w:pStyle w:val="Default"/>
        <w:rPr>
          <w:sz w:val="18"/>
          <w:szCs w:val="18"/>
        </w:rPr>
      </w:pPr>
      <w:r>
        <w:rPr>
          <w:b/>
          <w:bCs/>
          <w:sz w:val="18"/>
          <w:szCs w:val="18"/>
        </w:rPr>
        <w:t xml:space="preserve">Electrochemical Performance </w:t>
      </w:r>
    </w:p>
    <w:p w:rsidR="00A44CAA" w:rsidRDefault="00A44CAA" w:rsidP="00A44CAA">
      <w:pPr>
        <w:pStyle w:val="Default"/>
        <w:rPr>
          <w:sz w:val="18"/>
          <w:szCs w:val="18"/>
        </w:rPr>
      </w:pPr>
      <w:r>
        <w:rPr>
          <w:sz w:val="18"/>
          <w:szCs w:val="18"/>
        </w:rPr>
        <w:t xml:space="preserve">Electrochemical charge/discharge profiles of LMOF are shown in Fig. 3. During the first charge to 4.8V a capacity of 291 </w:t>
      </w:r>
      <w:proofErr w:type="spellStart"/>
      <w:r>
        <w:rPr>
          <w:sz w:val="18"/>
          <w:szCs w:val="18"/>
        </w:rPr>
        <w:t>mAh</w:t>
      </w:r>
      <w:proofErr w:type="spellEnd"/>
      <w:r>
        <w:rPr>
          <w:sz w:val="18"/>
          <w:szCs w:val="18"/>
        </w:rPr>
        <w:t xml:space="preserve"> g</w:t>
      </w:r>
      <w:r>
        <w:rPr>
          <w:sz w:val="12"/>
          <w:szCs w:val="12"/>
        </w:rPr>
        <w:t xml:space="preserve">-1 </w:t>
      </w:r>
      <w:r>
        <w:rPr>
          <w:sz w:val="18"/>
          <w:szCs w:val="18"/>
        </w:rPr>
        <w:t>was observed. This can be segmented into regions 1 and 2 as shown in Fig 3a. The charge passed in region 1 is consistent with the theoretical capacity expected from the oxidation of Mn</w:t>
      </w:r>
      <w:r>
        <w:rPr>
          <w:sz w:val="12"/>
          <w:szCs w:val="12"/>
        </w:rPr>
        <w:t xml:space="preserve">3.3+ </w:t>
      </w:r>
      <w:r>
        <w:rPr>
          <w:sz w:val="18"/>
          <w:szCs w:val="18"/>
        </w:rPr>
        <w:t>to Mn</w:t>
      </w:r>
      <w:r>
        <w:rPr>
          <w:sz w:val="12"/>
          <w:szCs w:val="12"/>
        </w:rPr>
        <w:t xml:space="preserve">4+ </w:t>
      </w:r>
      <w:r>
        <w:rPr>
          <w:sz w:val="18"/>
          <w:szCs w:val="18"/>
        </w:rPr>
        <w:t xml:space="preserve">(150 </w:t>
      </w:r>
      <w:proofErr w:type="spellStart"/>
      <w:r>
        <w:rPr>
          <w:sz w:val="18"/>
          <w:szCs w:val="18"/>
        </w:rPr>
        <w:t>mAh</w:t>
      </w:r>
      <w:proofErr w:type="spellEnd"/>
      <w:r>
        <w:rPr>
          <w:sz w:val="18"/>
          <w:szCs w:val="18"/>
        </w:rPr>
        <w:t xml:space="preserve"> g</w:t>
      </w:r>
      <w:r>
        <w:rPr>
          <w:sz w:val="12"/>
          <w:szCs w:val="12"/>
        </w:rPr>
        <w:t>-1</w:t>
      </w:r>
      <w:r>
        <w:rPr>
          <w:sz w:val="18"/>
          <w:szCs w:val="18"/>
        </w:rPr>
        <w:t xml:space="preserve">, 0.65 </w:t>
      </w:r>
      <w:proofErr w:type="spellStart"/>
      <w:r>
        <w:rPr>
          <w:sz w:val="18"/>
          <w:szCs w:val="18"/>
        </w:rPr>
        <w:t>mol</w:t>
      </w:r>
      <w:r>
        <w:rPr>
          <w:sz w:val="12"/>
          <w:szCs w:val="12"/>
        </w:rPr>
        <w:t>electrons</w:t>
      </w:r>
      <w:proofErr w:type="spellEnd"/>
      <w:r>
        <w:rPr>
          <w:sz w:val="18"/>
          <w:szCs w:val="18"/>
        </w:rPr>
        <w:t>/</w:t>
      </w:r>
      <w:proofErr w:type="spellStart"/>
      <w:r>
        <w:rPr>
          <w:sz w:val="18"/>
          <w:szCs w:val="18"/>
        </w:rPr>
        <w:t>mol</w:t>
      </w:r>
      <w:r>
        <w:rPr>
          <w:sz w:val="12"/>
          <w:szCs w:val="12"/>
        </w:rPr>
        <w:t>LMOF</w:t>
      </w:r>
      <w:proofErr w:type="spellEnd"/>
      <w:r>
        <w:rPr>
          <w:sz w:val="18"/>
          <w:szCs w:val="18"/>
        </w:rPr>
        <w:t xml:space="preserve">). At the beginning of region 2 the gradient of the voltage profile changes and a further ~140 </w:t>
      </w:r>
      <w:proofErr w:type="spellStart"/>
      <w:r>
        <w:rPr>
          <w:sz w:val="18"/>
          <w:szCs w:val="18"/>
        </w:rPr>
        <w:t>mAh</w:t>
      </w:r>
      <w:proofErr w:type="spellEnd"/>
      <w:r>
        <w:rPr>
          <w:sz w:val="18"/>
          <w:szCs w:val="18"/>
        </w:rPr>
        <w:t xml:space="preserve"> g</w:t>
      </w:r>
      <w:r>
        <w:rPr>
          <w:sz w:val="12"/>
          <w:szCs w:val="12"/>
        </w:rPr>
        <w:t xml:space="preserve">-1 </w:t>
      </w:r>
      <w:r>
        <w:rPr>
          <w:sz w:val="18"/>
          <w:szCs w:val="18"/>
        </w:rPr>
        <w:t xml:space="preserve">(0.6 </w:t>
      </w:r>
      <w:proofErr w:type="spellStart"/>
      <w:r>
        <w:rPr>
          <w:sz w:val="18"/>
          <w:szCs w:val="18"/>
        </w:rPr>
        <w:t>mol</w:t>
      </w:r>
      <w:r>
        <w:rPr>
          <w:sz w:val="12"/>
          <w:szCs w:val="12"/>
        </w:rPr>
        <w:t>electrons</w:t>
      </w:r>
      <w:proofErr w:type="spellEnd"/>
      <w:r>
        <w:rPr>
          <w:sz w:val="18"/>
          <w:szCs w:val="18"/>
        </w:rPr>
        <w:t>/</w:t>
      </w:r>
      <w:proofErr w:type="spellStart"/>
      <w:r>
        <w:rPr>
          <w:sz w:val="18"/>
          <w:szCs w:val="18"/>
        </w:rPr>
        <w:t>mol</w:t>
      </w:r>
      <w:r>
        <w:rPr>
          <w:sz w:val="12"/>
          <w:szCs w:val="12"/>
        </w:rPr>
        <w:t>LMOF</w:t>
      </w:r>
      <w:proofErr w:type="spellEnd"/>
      <w:r>
        <w:rPr>
          <w:sz w:val="18"/>
          <w:szCs w:val="18"/>
        </w:rPr>
        <w:t>) of charge is extracted beyond the Mn</w:t>
      </w:r>
      <w:r>
        <w:rPr>
          <w:sz w:val="12"/>
          <w:szCs w:val="12"/>
        </w:rPr>
        <w:t xml:space="preserve">4+ </w:t>
      </w:r>
      <w:r>
        <w:rPr>
          <w:sz w:val="18"/>
          <w:szCs w:val="18"/>
        </w:rPr>
        <w:t xml:space="preserve">threshold, these two regions can be clearly resolved in the </w:t>
      </w:r>
      <w:proofErr w:type="spellStart"/>
      <w:r>
        <w:rPr>
          <w:sz w:val="18"/>
          <w:szCs w:val="18"/>
        </w:rPr>
        <w:t>dQ</w:t>
      </w:r>
      <w:proofErr w:type="spellEnd"/>
      <w:r>
        <w:rPr>
          <w:sz w:val="18"/>
          <w:szCs w:val="18"/>
        </w:rPr>
        <w:t>/</w:t>
      </w:r>
      <w:proofErr w:type="spellStart"/>
      <w:r>
        <w:rPr>
          <w:sz w:val="18"/>
          <w:szCs w:val="18"/>
        </w:rPr>
        <w:t>dV</w:t>
      </w:r>
      <w:proofErr w:type="spellEnd"/>
      <w:r>
        <w:rPr>
          <w:sz w:val="18"/>
          <w:szCs w:val="18"/>
        </w:rPr>
        <w:t xml:space="preserve"> plot (Fig. S4). On subsequent discharge to 2V, 283 </w:t>
      </w:r>
      <w:proofErr w:type="spellStart"/>
      <w:r>
        <w:rPr>
          <w:sz w:val="18"/>
          <w:szCs w:val="18"/>
        </w:rPr>
        <w:t>mAh</w:t>
      </w:r>
      <w:proofErr w:type="spellEnd"/>
      <w:r>
        <w:rPr>
          <w:sz w:val="18"/>
          <w:szCs w:val="18"/>
        </w:rPr>
        <w:t xml:space="preserve"> g</w:t>
      </w:r>
      <w:r>
        <w:rPr>
          <w:sz w:val="12"/>
          <w:szCs w:val="12"/>
        </w:rPr>
        <w:t xml:space="preserve">-1 </w:t>
      </w:r>
      <w:r>
        <w:rPr>
          <w:sz w:val="18"/>
          <w:szCs w:val="18"/>
        </w:rPr>
        <w:t xml:space="preserve">of charge is recovered at an average potential of 3.4V (corresponding to an energy density of 960 </w:t>
      </w:r>
      <w:proofErr w:type="spellStart"/>
      <w:proofErr w:type="gramStart"/>
      <w:r>
        <w:rPr>
          <w:sz w:val="18"/>
          <w:szCs w:val="18"/>
        </w:rPr>
        <w:t>Wh</w:t>
      </w:r>
      <w:proofErr w:type="spellEnd"/>
      <w:proofErr w:type="gramEnd"/>
      <w:r>
        <w:rPr>
          <w:sz w:val="18"/>
          <w:szCs w:val="18"/>
        </w:rPr>
        <w:t xml:space="preserve"> kg</w:t>
      </w:r>
      <w:r>
        <w:rPr>
          <w:sz w:val="12"/>
          <w:szCs w:val="12"/>
        </w:rPr>
        <w:t xml:space="preserve">-1 </w:t>
      </w:r>
      <w:r>
        <w:rPr>
          <w:sz w:val="18"/>
          <w:szCs w:val="18"/>
        </w:rPr>
        <w:t>at C/10 or 22.4 mA g</w:t>
      </w:r>
      <w:r>
        <w:rPr>
          <w:sz w:val="12"/>
          <w:szCs w:val="12"/>
        </w:rPr>
        <w:t>-1</w:t>
      </w:r>
      <w:r>
        <w:rPr>
          <w:sz w:val="18"/>
          <w:szCs w:val="18"/>
        </w:rPr>
        <w:t xml:space="preserve">) beyond that which would be expected for complete reduction of </w:t>
      </w:r>
      <w:proofErr w:type="spellStart"/>
      <w:r>
        <w:rPr>
          <w:sz w:val="18"/>
          <w:szCs w:val="18"/>
        </w:rPr>
        <w:t>Mn</w:t>
      </w:r>
      <w:proofErr w:type="spellEnd"/>
      <w:r>
        <w:rPr>
          <w:sz w:val="18"/>
          <w:szCs w:val="18"/>
        </w:rPr>
        <w:t xml:space="preserve"> to +3 (~230 </w:t>
      </w:r>
      <w:proofErr w:type="spellStart"/>
      <w:r>
        <w:rPr>
          <w:sz w:val="18"/>
          <w:szCs w:val="18"/>
        </w:rPr>
        <w:t>mAh</w:t>
      </w:r>
      <w:proofErr w:type="spellEnd"/>
      <w:r>
        <w:rPr>
          <w:sz w:val="18"/>
          <w:szCs w:val="18"/>
        </w:rPr>
        <w:t xml:space="preserve"> g</w:t>
      </w:r>
      <w:r>
        <w:rPr>
          <w:sz w:val="12"/>
          <w:szCs w:val="12"/>
        </w:rPr>
        <w:t>-1</w:t>
      </w:r>
      <w:r>
        <w:rPr>
          <w:sz w:val="18"/>
          <w:szCs w:val="18"/>
        </w:rPr>
        <w:t xml:space="preserve">). </w:t>
      </w:r>
    </w:p>
    <w:p w:rsidR="00E06862" w:rsidRPr="00A44CAA" w:rsidRDefault="00A44CAA" w:rsidP="00A44CAA">
      <w:r>
        <w:rPr>
          <w:sz w:val="18"/>
          <w:szCs w:val="18"/>
        </w:rPr>
        <w:t>To confirm that the lithium content varied as was anticipated from the charge passed in the electrochemical experiment, ICP-OES measurements were carried out on cathodes collected before cycling and at the end of charge and discharge (Table S3). Table S3 shows that the Li extracted and inserted varies in good accord with the total charge recorded indicating minimal contribution from electrolyte oxidation. To establish the scale of any oxidative decomposition process, operando mass spec. (Fig. S5) was employed. This shows that only trace amounts of CO</w:t>
      </w:r>
      <w:r>
        <w:rPr>
          <w:sz w:val="12"/>
          <w:szCs w:val="12"/>
        </w:rPr>
        <w:t xml:space="preserve">2 </w:t>
      </w:r>
      <w:r>
        <w:rPr>
          <w:sz w:val="18"/>
          <w:szCs w:val="18"/>
        </w:rPr>
        <w:t>(a principle component evolved during the oxidation of carbonate electrolytes) were generated on charging (0.03 mol</w:t>
      </w:r>
      <w:r>
        <w:rPr>
          <w:sz w:val="12"/>
          <w:szCs w:val="12"/>
        </w:rPr>
        <w:t>CO2</w:t>
      </w:r>
      <w:r>
        <w:rPr>
          <w:sz w:val="18"/>
          <w:szCs w:val="18"/>
        </w:rPr>
        <w:t>/</w:t>
      </w:r>
      <w:proofErr w:type="spellStart"/>
      <w:r>
        <w:rPr>
          <w:sz w:val="18"/>
          <w:szCs w:val="18"/>
        </w:rPr>
        <w:t>mol</w:t>
      </w:r>
      <w:r>
        <w:rPr>
          <w:sz w:val="12"/>
          <w:szCs w:val="12"/>
        </w:rPr>
        <w:t>LMOF</w:t>
      </w:r>
      <w:proofErr w:type="spellEnd"/>
      <w:r>
        <w:rPr>
          <w:sz w:val="12"/>
          <w:szCs w:val="12"/>
        </w:rPr>
        <w:t xml:space="preserve"> </w:t>
      </w:r>
      <w:r>
        <w:rPr>
          <w:sz w:val="18"/>
          <w:szCs w:val="18"/>
        </w:rPr>
        <w:t xml:space="preserve">is observed compared to 1.30 </w:t>
      </w:r>
      <w:proofErr w:type="spellStart"/>
      <w:r>
        <w:rPr>
          <w:sz w:val="18"/>
          <w:szCs w:val="18"/>
        </w:rPr>
        <w:t>mol</w:t>
      </w:r>
      <w:r>
        <w:rPr>
          <w:sz w:val="12"/>
          <w:szCs w:val="12"/>
        </w:rPr>
        <w:t>electrons</w:t>
      </w:r>
      <w:proofErr w:type="spellEnd"/>
      <w:r>
        <w:rPr>
          <w:sz w:val="18"/>
          <w:szCs w:val="18"/>
        </w:rPr>
        <w:t>/</w:t>
      </w:r>
      <w:proofErr w:type="spellStart"/>
      <w:r>
        <w:rPr>
          <w:sz w:val="18"/>
          <w:szCs w:val="18"/>
        </w:rPr>
        <w:t>mol</w:t>
      </w:r>
      <w:r>
        <w:rPr>
          <w:sz w:val="12"/>
          <w:szCs w:val="12"/>
        </w:rPr>
        <w:t>LMOF</w:t>
      </w:r>
      <w:proofErr w:type="spellEnd"/>
      <w:r>
        <w:rPr>
          <w:sz w:val="12"/>
          <w:szCs w:val="12"/>
        </w:rPr>
        <w:t xml:space="preserve"> </w:t>
      </w:r>
      <w:r>
        <w:rPr>
          <w:sz w:val="18"/>
          <w:szCs w:val="18"/>
        </w:rPr>
        <w:t>charge passed) thereby verifying only a negligible contribution to the charge compensation process from electrolyte oxidation. Beyond this explanation for additional capacity in excess of the Mn</w:t>
      </w:r>
      <w:r>
        <w:rPr>
          <w:sz w:val="12"/>
          <w:szCs w:val="12"/>
        </w:rPr>
        <w:t xml:space="preserve">3+/4+ </w:t>
      </w:r>
      <w:r>
        <w:rPr>
          <w:sz w:val="18"/>
          <w:szCs w:val="18"/>
        </w:rPr>
        <w:t>redox couple, several studies have previously cited oxygen loss</w:t>
      </w:r>
      <w:r>
        <w:rPr>
          <w:sz w:val="12"/>
          <w:szCs w:val="12"/>
        </w:rPr>
        <w:t>6</w:t>
      </w:r>
      <w:proofErr w:type="gramStart"/>
      <w:r>
        <w:rPr>
          <w:sz w:val="12"/>
          <w:szCs w:val="12"/>
        </w:rPr>
        <w:t>,7,35</w:t>
      </w:r>
      <w:proofErr w:type="gramEnd"/>
      <w:r>
        <w:rPr>
          <w:sz w:val="12"/>
          <w:szCs w:val="12"/>
        </w:rPr>
        <w:t>–37</w:t>
      </w:r>
      <w:r>
        <w:rPr>
          <w:sz w:val="18"/>
          <w:szCs w:val="18"/>
        </w:rPr>
        <w:t>. The OEMS experiment confirms that this was not the case here and leads us to anticipate that anionic redox processes are occurring within this material.</w:t>
      </w:r>
      <w:bookmarkStart w:id="0" w:name="_GoBack"/>
      <w:bookmarkEnd w:id="0"/>
    </w:p>
    <w:sectPr w:rsidR="00E06862" w:rsidRPr="00A44C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CAA"/>
    <w:rsid w:val="00A44CAA"/>
    <w:rsid w:val="00AA77F9"/>
    <w:rsid w:val="00DB5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484B8-F247-4888-B602-B7597FE3D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4CA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Materials, University of Oxford</Company>
  <LinksUpToDate>false</LinksUpToDate>
  <CharactersWithSpaces>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zsofiszabo</dc:creator>
  <cp:keywords/>
  <dc:description/>
  <cp:lastModifiedBy>zsofiszabo</cp:lastModifiedBy>
  <cp:revision>1</cp:revision>
  <dcterms:created xsi:type="dcterms:W3CDTF">2018-03-01T14:46:00Z</dcterms:created>
  <dcterms:modified xsi:type="dcterms:W3CDTF">2018-03-01T14:47:00Z</dcterms:modified>
</cp:coreProperties>
</file>