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3A" w:rsidRPr="00B81EB4" w:rsidRDefault="005A1ECA" w:rsidP="00B81EB4">
      <w:pPr>
        <w:jc w:val="center"/>
        <w:rPr>
          <w:b/>
          <w:u w:val="single"/>
        </w:rPr>
      </w:pPr>
      <w:r>
        <w:rPr>
          <w:b/>
          <w:u w:val="single"/>
        </w:rPr>
        <w:t xml:space="preserve">Quality of life, diet and exercise measurements in </w:t>
      </w:r>
      <w:r w:rsidR="00C65E1D">
        <w:rPr>
          <w:b/>
          <w:u w:val="single"/>
        </w:rPr>
        <w:t xml:space="preserve">obese </w:t>
      </w:r>
      <w:r w:rsidR="006A622C">
        <w:rPr>
          <w:b/>
          <w:u w:val="single"/>
        </w:rPr>
        <w:t>individuals with</w:t>
      </w:r>
      <w:r w:rsidR="004950AB">
        <w:rPr>
          <w:b/>
          <w:u w:val="single"/>
        </w:rPr>
        <w:t xml:space="preserve"> and without ventilatory failure</w:t>
      </w:r>
    </w:p>
    <w:p w:rsidR="00992EAD" w:rsidRPr="00D003D8" w:rsidRDefault="00992EAD">
      <w:pPr>
        <w:rPr>
          <w:i/>
        </w:rPr>
      </w:pPr>
      <w:r w:rsidRPr="00D003D8">
        <w:rPr>
          <w:i/>
        </w:rPr>
        <w:t>Introduction</w:t>
      </w:r>
    </w:p>
    <w:p w:rsidR="004F7DFD" w:rsidRDefault="00200B3F">
      <w:r>
        <w:t xml:space="preserve">Obesity is associated with reduced quality of life (QOL), particularly physical health. In addition obesity has been linked to reduced exercise and high calorie diet. </w:t>
      </w:r>
      <w:r w:rsidR="005A1ECA">
        <w:t xml:space="preserve">We aimed to describe these factors in obese individuals </w:t>
      </w:r>
      <w:r w:rsidR="00FF63CB">
        <w:t>with and without ventilatory</w:t>
      </w:r>
      <w:r w:rsidR="00FD6F7B">
        <w:t xml:space="preserve"> failure</w:t>
      </w:r>
      <w:r w:rsidR="00CB7607">
        <w:t>,</w:t>
      </w:r>
      <w:r w:rsidR="00FD6F7B">
        <w:t xml:space="preserve"> and </w:t>
      </w:r>
      <w:r w:rsidR="00CB7607">
        <w:t>investigate</w:t>
      </w:r>
      <w:r w:rsidR="00CB7607">
        <w:t xml:space="preserve"> </w:t>
      </w:r>
      <w:r w:rsidR="00FD6F7B">
        <w:t xml:space="preserve">the hypothesis that ventilatory failure would have a negative impact on QOL. </w:t>
      </w:r>
      <w:r w:rsidR="00FF63CB">
        <w:t xml:space="preserve"> </w:t>
      </w:r>
      <w:r w:rsidR="005A1ECA">
        <w:t xml:space="preserve">  </w:t>
      </w:r>
      <w:r w:rsidR="004F7DFD">
        <w:t xml:space="preserve"> </w:t>
      </w:r>
    </w:p>
    <w:p w:rsidR="004F7DFD" w:rsidRPr="00D003D8" w:rsidRDefault="004F7DFD">
      <w:pPr>
        <w:rPr>
          <w:i/>
        </w:rPr>
      </w:pPr>
      <w:r w:rsidRPr="00D003D8">
        <w:rPr>
          <w:i/>
        </w:rPr>
        <w:t>Methods</w:t>
      </w:r>
      <w:r w:rsidR="00A92D1F" w:rsidRPr="00D003D8">
        <w:rPr>
          <w:i/>
        </w:rPr>
        <w:t xml:space="preserve"> </w:t>
      </w:r>
    </w:p>
    <w:p w:rsidR="005A1ECA" w:rsidRDefault="00DF4ABE">
      <w:r>
        <w:t>QOL</w:t>
      </w:r>
      <w:r w:rsidR="005A1ECA">
        <w:t>, diet and exercise</w:t>
      </w:r>
      <w:r>
        <w:t xml:space="preserve"> was assessed as part of an</w:t>
      </w:r>
      <w:r w:rsidR="004F7DFD">
        <w:t xml:space="preserve"> open cross-sectional study of </w:t>
      </w:r>
      <w:r w:rsidR="008469A4">
        <w:t xml:space="preserve">ventilatory failure in </w:t>
      </w:r>
      <w:r w:rsidR="004F7DFD">
        <w:t xml:space="preserve">obese subjects </w:t>
      </w:r>
      <w:r w:rsidR="009353B9">
        <w:t xml:space="preserve">referred </w:t>
      </w:r>
      <w:r w:rsidR="008469A4">
        <w:t xml:space="preserve">either </w:t>
      </w:r>
      <w:r w:rsidR="009353B9">
        <w:t xml:space="preserve">for assessment of sleep disordered breathing </w:t>
      </w:r>
      <w:r w:rsidR="00C369CE">
        <w:t>or</w:t>
      </w:r>
      <w:r w:rsidR="009353B9">
        <w:t xml:space="preserve"> bariatric surgery. </w:t>
      </w:r>
    </w:p>
    <w:p w:rsidR="00B87D8F" w:rsidRPr="00AD6288" w:rsidRDefault="006930CA" w:rsidP="005A1ECA">
      <w:r>
        <w:t>The SF-12 was completed; a</w:t>
      </w:r>
      <w:r w:rsidR="009353B9">
        <w:t xml:space="preserve"> vali</w:t>
      </w:r>
      <w:r w:rsidR="00755B26">
        <w:t xml:space="preserve">dated questionnaire to assess </w:t>
      </w:r>
      <w:r w:rsidR="009353B9">
        <w:t>QOL</w:t>
      </w:r>
      <w:r w:rsidR="00370C37">
        <w:t xml:space="preserve"> giving summary scores for physical health (PCS) and mental health (</w:t>
      </w:r>
      <w:r w:rsidR="00E22B07">
        <w:t>M</w:t>
      </w:r>
      <w:r w:rsidR="00370C37">
        <w:t>CS)</w:t>
      </w:r>
      <w:r w:rsidR="00FF63CB">
        <w:t>, and compared to</w:t>
      </w:r>
      <w:r w:rsidR="008469A4">
        <w:t xml:space="preserve"> data</w:t>
      </w:r>
      <w:r w:rsidR="00AD6288">
        <w:t xml:space="preserve"> from a large non-obese </w:t>
      </w:r>
      <w:r w:rsidR="00D003D8">
        <w:t xml:space="preserve">UK </w:t>
      </w:r>
      <w:r w:rsidR="00AD6288">
        <w:t xml:space="preserve">cohort (1). </w:t>
      </w:r>
    </w:p>
    <w:p w:rsidR="00D003D8" w:rsidRDefault="00461E17" w:rsidP="005A1ECA">
      <w:r>
        <w:t>Participants underwent</w:t>
      </w:r>
      <w:r w:rsidR="005A1ECA">
        <w:t xml:space="preserve"> actigraphy </w:t>
      </w:r>
      <w:r>
        <w:t>(</w:t>
      </w:r>
      <w:r w:rsidR="005A1ECA">
        <w:rPr>
          <w:i/>
        </w:rPr>
        <w:t>SenseWear</w:t>
      </w:r>
      <w:r w:rsidR="00B96299">
        <w:rPr>
          <w:i/>
        </w:rPr>
        <w:t xml:space="preserve"> BodyMedia</w:t>
      </w:r>
      <w:r w:rsidR="005A1ECA">
        <w:rPr>
          <w:i/>
        </w:rPr>
        <w:t xml:space="preserve">) </w:t>
      </w:r>
      <w:r>
        <w:t xml:space="preserve">and from this </w:t>
      </w:r>
      <w:r w:rsidR="004C37DD">
        <w:t xml:space="preserve">the </w:t>
      </w:r>
      <w:r>
        <w:t xml:space="preserve">daily energy expenditure was </w:t>
      </w:r>
      <w:r w:rsidR="008469A4">
        <w:t>estimated</w:t>
      </w:r>
      <w:r>
        <w:t xml:space="preserve">. </w:t>
      </w:r>
      <w:r w:rsidR="00AD6288">
        <w:t xml:space="preserve">A </w:t>
      </w:r>
      <w:r w:rsidR="00B96299">
        <w:t>sedentary</w:t>
      </w:r>
      <w:r w:rsidR="00AD6288">
        <w:t xml:space="preserve"> lifestyle wa</w:t>
      </w:r>
      <w:r w:rsidR="00C65E1D">
        <w:t xml:space="preserve">s defined as &lt;5000 </w:t>
      </w:r>
      <w:r w:rsidR="00AD6288">
        <w:t>steps</w:t>
      </w:r>
      <w:r w:rsidR="00C65E1D">
        <w:t>/ day</w:t>
      </w:r>
      <w:r w:rsidR="00AD6288">
        <w:t>.</w:t>
      </w:r>
    </w:p>
    <w:p w:rsidR="005A1ECA" w:rsidRDefault="00461E17" w:rsidP="005A1ECA">
      <w:r>
        <w:t xml:space="preserve">Participants </w:t>
      </w:r>
      <w:r w:rsidR="00037D61">
        <w:t xml:space="preserve">completed </w:t>
      </w:r>
      <w:r w:rsidR="00755B26">
        <w:t xml:space="preserve">a </w:t>
      </w:r>
      <w:r w:rsidR="00037D61">
        <w:t xml:space="preserve">validated </w:t>
      </w:r>
      <w:r w:rsidR="005A1ECA">
        <w:t>food frequency questionnaire</w:t>
      </w:r>
      <w:r w:rsidR="00037D61">
        <w:t>,</w:t>
      </w:r>
      <w:r>
        <w:t xml:space="preserve"> </w:t>
      </w:r>
      <w:r w:rsidR="00B96299">
        <w:t>which</w:t>
      </w:r>
      <w:r w:rsidR="00AD6288">
        <w:t xml:space="preserve"> calculate</w:t>
      </w:r>
      <w:r w:rsidR="00B96299">
        <w:t>s</w:t>
      </w:r>
      <w:r w:rsidR="00AD6288">
        <w:t xml:space="preserve"> </w:t>
      </w:r>
      <w:r w:rsidR="00B96299">
        <w:t xml:space="preserve">daily </w:t>
      </w:r>
      <w:r w:rsidR="00AD6288">
        <w:t>dietary calorie intake</w:t>
      </w:r>
      <w:r w:rsidR="00B96299">
        <w:t xml:space="preserve"> from </w:t>
      </w:r>
      <w:r w:rsidR="00755B26">
        <w:t xml:space="preserve">patient reported </w:t>
      </w:r>
      <w:r w:rsidR="00B96299">
        <w:t>three month food habits</w:t>
      </w:r>
      <w:r w:rsidR="005A1ECA">
        <w:t>.</w:t>
      </w:r>
      <w:r w:rsidR="00AD6288">
        <w:t xml:space="preserve"> This was compared to UK guideline recommended daily maximum intake. </w:t>
      </w:r>
    </w:p>
    <w:p w:rsidR="00FF63CB" w:rsidRDefault="00FF63CB" w:rsidP="005A1ECA">
      <w:r>
        <w:t>Arterial base excess was measured as a marker of ventilatory failure and the correlation</w:t>
      </w:r>
      <w:r w:rsidR="006A622C">
        <w:t>s</w:t>
      </w:r>
      <w:r>
        <w:t xml:space="preserve"> between quality of life indices and arterial base excess were calculated. </w:t>
      </w:r>
    </w:p>
    <w:p w:rsidR="00C369CE" w:rsidRPr="00D003D8" w:rsidRDefault="00C369CE" w:rsidP="00C369CE">
      <w:pPr>
        <w:rPr>
          <w:i/>
        </w:rPr>
      </w:pPr>
      <w:r w:rsidRPr="00D003D8">
        <w:rPr>
          <w:i/>
        </w:rPr>
        <w:t>Results</w:t>
      </w:r>
    </w:p>
    <w:p w:rsidR="001C69BD" w:rsidRDefault="001C69BD" w:rsidP="00C369CE">
      <w:r>
        <w:t>72 individuals with a mean age of 52.0 years (SD 8.9) and median BMI of 46.7 kg/m</w:t>
      </w:r>
      <w:r>
        <w:rPr>
          <w:vertAlign w:val="superscript"/>
        </w:rPr>
        <w:t>2</w:t>
      </w:r>
      <w:r>
        <w:t xml:space="preserve"> (IQR 39.5, 52.6) participated in the study. Median duration of actigraphy was 23.2 days (IQR </w:t>
      </w:r>
      <w:r w:rsidRPr="001C69BD">
        <w:t>21.2, 23.4</w:t>
      </w:r>
      <w:r>
        <w:t xml:space="preserve">). </w:t>
      </w:r>
    </w:p>
    <w:p w:rsidR="004C37DD" w:rsidRDefault="004C37DD">
      <w:r>
        <w:br w:type="page"/>
      </w:r>
    </w:p>
    <w:p w:rsidR="00B0065D" w:rsidRDefault="00755B26">
      <w:r>
        <w:lastRenderedPageBreak/>
        <w:t xml:space="preserve">Table: </w:t>
      </w:r>
      <w:r w:rsidR="00C179A1">
        <w:t>Results of SF-12, actigraphy,</w:t>
      </w:r>
      <w:r>
        <w:t xml:space="preserve"> food frequency questionnaire</w:t>
      </w:r>
      <w:r w:rsidR="00C179A1">
        <w:t xml:space="preserve"> and arterial blood gasses</w:t>
      </w:r>
      <w: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2"/>
        <w:gridCol w:w="567"/>
        <w:gridCol w:w="1031"/>
        <w:gridCol w:w="954"/>
        <w:gridCol w:w="2268"/>
        <w:gridCol w:w="1497"/>
      </w:tblGrid>
      <w:tr w:rsidR="001748B4" w:rsidTr="002D6CEA">
        <w:trPr>
          <w:trHeight w:val="820"/>
          <w:jc w:val="center"/>
        </w:trPr>
        <w:tc>
          <w:tcPr>
            <w:tcW w:w="2112" w:type="dxa"/>
          </w:tcPr>
          <w:p w:rsidR="001748B4" w:rsidRDefault="001748B4" w:rsidP="00BE0C19">
            <w:pPr>
              <w:jc w:val="center"/>
            </w:pPr>
          </w:p>
        </w:tc>
        <w:tc>
          <w:tcPr>
            <w:tcW w:w="567" w:type="dxa"/>
          </w:tcPr>
          <w:p w:rsidR="001748B4" w:rsidRDefault="00AD6288" w:rsidP="00BE0C19">
            <w:pPr>
              <w:jc w:val="center"/>
            </w:pPr>
            <w:r>
              <w:t>N</w:t>
            </w:r>
          </w:p>
        </w:tc>
        <w:tc>
          <w:tcPr>
            <w:tcW w:w="1031" w:type="dxa"/>
          </w:tcPr>
          <w:p w:rsidR="001748B4" w:rsidRDefault="001748B4" w:rsidP="00BE0C19">
            <w:pPr>
              <w:jc w:val="center"/>
            </w:pPr>
            <w:r>
              <w:t>Study mean or median</w:t>
            </w:r>
          </w:p>
        </w:tc>
        <w:tc>
          <w:tcPr>
            <w:tcW w:w="954" w:type="dxa"/>
          </w:tcPr>
          <w:p w:rsidR="001748B4" w:rsidRDefault="001748B4" w:rsidP="00BE0C19">
            <w:pPr>
              <w:jc w:val="center"/>
            </w:pPr>
            <w:r>
              <w:t>SD or IQR</w:t>
            </w:r>
          </w:p>
        </w:tc>
        <w:tc>
          <w:tcPr>
            <w:tcW w:w="2268" w:type="dxa"/>
          </w:tcPr>
          <w:p w:rsidR="001748B4" w:rsidRDefault="001748B4" w:rsidP="00BE0C19">
            <w:pPr>
              <w:jc w:val="center"/>
            </w:pPr>
            <w:r>
              <w:t>95% confidence interval of difference from comparison mean</w:t>
            </w:r>
          </w:p>
        </w:tc>
        <w:tc>
          <w:tcPr>
            <w:tcW w:w="1497" w:type="dxa"/>
          </w:tcPr>
          <w:p w:rsidR="001748B4" w:rsidRDefault="001748B4" w:rsidP="00BE0C19">
            <w:pPr>
              <w:jc w:val="center"/>
            </w:pPr>
            <w:r>
              <w:t>P value</w:t>
            </w:r>
          </w:p>
        </w:tc>
      </w:tr>
      <w:tr w:rsidR="001748B4" w:rsidTr="00425778">
        <w:trPr>
          <w:jc w:val="center"/>
        </w:trPr>
        <w:tc>
          <w:tcPr>
            <w:tcW w:w="2112" w:type="dxa"/>
            <w:tcBorders>
              <w:bottom w:val="single" w:sz="4" w:space="0" w:color="auto"/>
            </w:tcBorders>
          </w:tcPr>
          <w:p w:rsidR="001748B4" w:rsidRDefault="001748B4" w:rsidP="00BE0C19">
            <w:pPr>
              <w:jc w:val="center"/>
            </w:pPr>
            <w:r>
              <w:t>PCS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48B4" w:rsidRDefault="001748B4" w:rsidP="00BE0C19">
            <w:pPr>
              <w:jc w:val="center"/>
            </w:pPr>
            <w:r>
              <w:t>58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1748B4" w:rsidRDefault="001748B4" w:rsidP="00C16783">
            <w:pPr>
              <w:jc w:val="center"/>
            </w:pPr>
            <w:r>
              <w:t xml:space="preserve">38.0 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1748B4" w:rsidRDefault="001748B4" w:rsidP="002D6CEA">
            <w:pPr>
              <w:jc w:val="center"/>
            </w:pPr>
            <w:r>
              <w:t>11.3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48B4" w:rsidRDefault="00A92D1F" w:rsidP="00BE0C19">
            <w:pPr>
              <w:jc w:val="center"/>
            </w:pPr>
            <w:r>
              <w:t>-16.4, -11.3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1748B4" w:rsidRDefault="001748B4" w:rsidP="00BE0C19">
            <w:pPr>
              <w:jc w:val="center"/>
            </w:pPr>
            <w:r>
              <w:t>&lt;0.0001</w:t>
            </w:r>
          </w:p>
        </w:tc>
      </w:tr>
      <w:tr w:rsidR="001748B4" w:rsidTr="00425778">
        <w:trPr>
          <w:jc w:val="center"/>
        </w:trPr>
        <w:tc>
          <w:tcPr>
            <w:tcW w:w="2112" w:type="dxa"/>
            <w:tcBorders>
              <w:bottom w:val="double" w:sz="4" w:space="0" w:color="auto"/>
            </w:tcBorders>
          </w:tcPr>
          <w:p w:rsidR="001748B4" w:rsidRDefault="001748B4" w:rsidP="00BE0C19">
            <w:pPr>
              <w:jc w:val="center"/>
            </w:pPr>
            <w:r>
              <w:t>MCS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1748B4" w:rsidRDefault="001748B4" w:rsidP="00BE0C19">
            <w:pPr>
              <w:jc w:val="center"/>
            </w:pPr>
            <w:r>
              <w:t>58</w:t>
            </w:r>
          </w:p>
        </w:tc>
        <w:tc>
          <w:tcPr>
            <w:tcW w:w="1031" w:type="dxa"/>
            <w:tcBorders>
              <w:bottom w:val="double" w:sz="4" w:space="0" w:color="auto"/>
            </w:tcBorders>
          </w:tcPr>
          <w:p w:rsidR="001748B4" w:rsidRDefault="001748B4" w:rsidP="00BE0C19">
            <w:pPr>
              <w:jc w:val="center"/>
            </w:pPr>
            <w:r>
              <w:t xml:space="preserve">41.2 </w:t>
            </w:r>
          </w:p>
        </w:tc>
        <w:tc>
          <w:tcPr>
            <w:tcW w:w="954" w:type="dxa"/>
            <w:tcBorders>
              <w:bottom w:val="double" w:sz="4" w:space="0" w:color="auto"/>
            </w:tcBorders>
          </w:tcPr>
          <w:p w:rsidR="001748B4" w:rsidRDefault="001748B4" w:rsidP="002D6CEA">
            <w:pPr>
              <w:jc w:val="center"/>
            </w:pPr>
            <w:r>
              <w:t>10.6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1748B4" w:rsidRDefault="00A92D1F" w:rsidP="00BE0C19">
            <w:pPr>
              <w:jc w:val="center"/>
            </w:pPr>
            <w:r>
              <w:t>-10.2, -5.0</w:t>
            </w:r>
          </w:p>
        </w:tc>
        <w:tc>
          <w:tcPr>
            <w:tcW w:w="1497" w:type="dxa"/>
            <w:tcBorders>
              <w:bottom w:val="double" w:sz="4" w:space="0" w:color="auto"/>
            </w:tcBorders>
          </w:tcPr>
          <w:p w:rsidR="001748B4" w:rsidRDefault="001748B4" w:rsidP="00BE0C19">
            <w:pPr>
              <w:jc w:val="center"/>
            </w:pPr>
            <w:r>
              <w:t>&lt;0.0001</w:t>
            </w:r>
          </w:p>
        </w:tc>
      </w:tr>
      <w:tr w:rsidR="00A92D1F" w:rsidTr="002D6CEA">
        <w:trPr>
          <w:gridAfter w:val="2"/>
          <w:wAfter w:w="3765" w:type="dxa"/>
          <w:jc w:val="center"/>
        </w:trPr>
        <w:tc>
          <w:tcPr>
            <w:tcW w:w="2112" w:type="dxa"/>
          </w:tcPr>
          <w:p w:rsidR="00A92D1F" w:rsidRDefault="00A92D1F" w:rsidP="00BE0C19">
            <w:pPr>
              <w:jc w:val="center"/>
            </w:pPr>
            <w:r>
              <w:t>Energy expenditure</w:t>
            </w:r>
          </w:p>
          <w:p w:rsidR="004C37DD" w:rsidRDefault="004C37DD" w:rsidP="00BE0C19">
            <w:pPr>
              <w:jc w:val="center"/>
            </w:pPr>
            <w:r>
              <w:t>(kCal)</w:t>
            </w:r>
          </w:p>
        </w:tc>
        <w:tc>
          <w:tcPr>
            <w:tcW w:w="567" w:type="dxa"/>
          </w:tcPr>
          <w:p w:rsidR="00A92D1F" w:rsidRDefault="00A92D1F" w:rsidP="00BE0C19">
            <w:pPr>
              <w:jc w:val="center"/>
            </w:pPr>
            <w:r>
              <w:t>58</w:t>
            </w:r>
          </w:p>
        </w:tc>
        <w:tc>
          <w:tcPr>
            <w:tcW w:w="1031" w:type="dxa"/>
          </w:tcPr>
          <w:p w:rsidR="00A92D1F" w:rsidRDefault="00A92D1F" w:rsidP="00BE0C19">
            <w:pPr>
              <w:jc w:val="center"/>
            </w:pPr>
            <w:r>
              <w:t>2977</w:t>
            </w:r>
          </w:p>
        </w:tc>
        <w:tc>
          <w:tcPr>
            <w:tcW w:w="954" w:type="dxa"/>
          </w:tcPr>
          <w:p w:rsidR="00A92D1F" w:rsidRDefault="00A92D1F" w:rsidP="002D6CEA">
            <w:pPr>
              <w:jc w:val="center"/>
            </w:pPr>
            <w:r>
              <w:t>566</w:t>
            </w:r>
          </w:p>
        </w:tc>
      </w:tr>
      <w:tr w:rsidR="00B0065D" w:rsidTr="006A622C">
        <w:trPr>
          <w:jc w:val="center"/>
        </w:trPr>
        <w:tc>
          <w:tcPr>
            <w:tcW w:w="2112" w:type="dxa"/>
            <w:tcBorders>
              <w:bottom w:val="double" w:sz="4" w:space="0" w:color="auto"/>
            </w:tcBorders>
          </w:tcPr>
          <w:p w:rsidR="00B0065D" w:rsidRPr="00BF5032" w:rsidRDefault="00B0065D" w:rsidP="00BE0C19">
            <w:pPr>
              <w:jc w:val="center"/>
            </w:pPr>
            <w:r w:rsidRPr="00BF5032">
              <w:t>Daily steps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B0065D" w:rsidRPr="00BF5032" w:rsidRDefault="00B0065D" w:rsidP="00BE0C19">
            <w:pPr>
              <w:jc w:val="center"/>
            </w:pPr>
            <w:r w:rsidRPr="00BF5032">
              <w:t>59</w:t>
            </w:r>
          </w:p>
        </w:tc>
        <w:tc>
          <w:tcPr>
            <w:tcW w:w="1031" w:type="dxa"/>
            <w:tcBorders>
              <w:bottom w:val="double" w:sz="4" w:space="0" w:color="auto"/>
            </w:tcBorders>
          </w:tcPr>
          <w:p w:rsidR="00B0065D" w:rsidRPr="00BF5032" w:rsidRDefault="00B0065D" w:rsidP="00BE0C19">
            <w:pPr>
              <w:jc w:val="center"/>
            </w:pPr>
            <w:r w:rsidRPr="00BF5032">
              <w:t>3169</w:t>
            </w:r>
          </w:p>
        </w:tc>
        <w:tc>
          <w:tcPr>
            <w:tcW w:w="954" w:type="dxa"/>
            <w:tcBorders>
              <w:bottom w:val="double" w:sz="4" w:space="0" w:color="auto"/>
            </w:tcBorders>
          </w:tcPr>
          <w:p w:rsidR="00B0065D" w:rsidRPr="00BF5032" w:rsidRDefault="00B0065D" w:rsidP="002D6CEA">
            <w:pPr>
              <w:jc w:val="center"/>
            </w:pPr>
            <w:r w:rsidRPr="00BF5032">
              <w:t>2141, 5242</w:t>
            </w:r>
          </w:p>
        </w:tc>
        <w:tc>
          <w:tcPr>
            <w:tcW w:w="3765" w:type="dxa"/>
            <w:gridSpan w:val="2"/>
            <w:tcBorders>
              <w:bottom w:val="double" w:sz="4" w:space="0" w:color="auto"/>
            </w:tcBorders>
          </w:tcPr>
          <w:p w:rsidR="00B0065D" w:rsidRPr="003057CA" w:rsidRDefault="00B0065D" w:rsidP="00CD518E">
            <w:pPr>
              <w:jc w:val="center"/>
              <w:rPr>
                <w:i/>
              </w:rPr>
            </w:pPr>
            <w:r w:rsidRPr="003057CA">
              <w:rPr>
                <w:i/>
              </w:rPr>
              <w:t>71.2%</w:t>
            </w:r>
            <w:r w:rsidR="008469A4" w:rsidRPr="003057CA">
              <w:rPr>
                <w:i/>
              </w:rPr>
              <w:t xml:space="preserve"> </w:t>
            </w:r>
            <w:r w:rsidR="00CD518E">
              <w:rPr>
                <w:i/>
              </w:rPr>
              <w:t xml:space="preserve">were </w:t>
            </w:r>
            <w:r w:rsidR="008469A4" w:rsidRPr="003057CA">
              <w:rPr>
                <w:i/>
              </w:rPr>
              <w:t xml:space="preserve"> ‘sedentary’ (&lt;5000 steps/day)</w:t>
            </w:r>
          </w:p>
        </w:tc>
      </w:tr>
      <w:tr w:rsidR="00B0065D" w:rsidTr="006A622C">
        <w:trPr>
          <w:jc w:val="center"/>
        </w:trPr>
        <w:tc>
          <w:tcPr>
            <w:tcW w:w="2112" w:type="dxa"/>
            <w:tcBorders>
              <w:top w:val="double" w:sz="4" w:space="0" w:color="auto"/>
              <w:bottom w:val="single" w:sz="4" w:space="0" w:color="auto"/>
            </w:tcBorders>
          </w:tcPr>
          <w:p w:rsidR="00B0065D" w:rsidRPr="00F71ADE" w:rsidRDefault="00B0065D" w:rsidP="00BE0C19">
            <w:pPr>
              <w:jc w:val="center"/>
              <w:rPr>
                <w:i/>
              </w:rPr>
            </w:pPr>
            <w:r w:rsidRPr="00BF5032">
              <w:t>Dietary energy (kCal)</w:t>
            </w:r>
            <w:r>
              <w:t xml:space="preserve"> M</w:t>
            </w:r>
            <w:r>
              <w:rPr>
                <w:i/>
              </w:rPr>
              <w:t>en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B0065D" w:rsidRPr="00BF5032" w:rsidRDefault="00B0065D" w:rsidP="00BE0C19">
            <w:pPr>
              <w:jc w:val="center"/>
            </w:pPr>
            <w:r>
              <w:t>26</w:t>
            </w:r>
          </w:p>
        </w:tc>
        <w:tc>
          <w:tcPr>
            <w:tcW w:w="1031" w:type="dxa"/>
            <w:tcBorders>
              <w:top w:val="double" w:sz="4" w:space="0" w:color="auto"/>
              <w:bottom w:val="single" w:sz="4" w:space="0" w:color="auto"/>
            </w:tcBorders>
          </w:tcPr>
          <w:p w:rsidR="00B0065D" w:rsidRPr="00BF5032" w:rsidRDefault="00B0065D" w:rsidP="00BE0C19">
            <w:pPr>
              <w:jc w:val="center"/>
            </w:pPr>
            <w:r>
              <w:t>2434</w:t>
            </w:r>
          </w:p>
        </w:tc>
        <w:tc>
          <w:tcPr>
            <w:tcW w:w="954" w:type="dxa"/>
            <w:tcBorders>
              <w:top w:val="double" w:sz="4" w:space="0" w:color="auto"/>
              <w:bottom w:val="single" w:sz="4" w:space="0" w:color="auto"/>
            </w:tcBorders>
          </w:tcPr>
          <w:p w:rsidR="00B0065D" w:rsidRPr="00BF5032" w:rsidRDefault="00B0065D" w:rsidP="002D6CEA">
            <w:pPr>
              <w:jc w:val="center"/>
            </w:pPr>
            <w:r>
              <w:t>1760, 3348</w:t>
            </w:r>
          </w:p>
        </w:tc>
        <w:tc>
          <w:tcPr>
            <w:tcW w:w="376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0065D" w:rsidRPr="003057CA" w:rsidRDefault="001748B4" w:rsidP="00BE0C19">
            <w:pPr>
              <w:jc w:val="center"/>
              <w:rPr>
                <w:i/>
              </w:rPr>
            </w:pPr>
            <w:r w:rsidRPr="003057CA">
              <w:rPr>
                <w:i/>
              </w:rPr>
              <w:t>46.1%</w:t>
            </w:r>
            <w:r w:rsidR="008469A4" w:rsidRPr="003057CA">
              <w:rPr>
                <w:i/>
              </w:rPr>
              <w:t xml:space="preserve"> </w:t>
            </w:r>
            <w:r w:rsidR="00CD518E">
              <w:rPr>
                <w:i/>
              </w:rPr>
              <w:t xml:space="preserve">were </w:t>
            </w:r>
            <w:r w:rsidR="008469A4" w:rsidRPr="003057CA">
              <w:rPr>
                <w:i/>
              </w:rPr>
              <w:t>above recommended daily allowance for men (&gt;2500kCal/d)</w:t>
            </w:r>
          </w:p>
        </w:tc>
      </w:tr>
      <w:tr w:rsidR="00B0065D" w:rsidRPr="003057CA" w:rsidTr="006A622C">
        <w:trPr>
          <w:jc w:val="center"/>
        </w:trPr>
        <w:tc>
          <w:tcPr>
            <w:tcW w:w="2112" w:type="dxa"/>
            <w:tcBorders>
              <w:bottom w:val="double" w:sz="4" w:space="0" w:color="auto"/>
            </w:tcBorders>
          </w:tcPr>
          <w:p w:rsidR="00B0065D" w:rsidRPr="00BF5032" w:rsidRDefault="00B0065D" w:rsidP="00BE0C19">
            <w:pPr>
              <w:jc w:val="center"/>
            </w:pPr>
            <w:r w:rsidRPr="00BF5032">
              <w:t>Dietary energy (kCal)</w:t>
            </w:r>
            <w:r>
              <w:t xml:space="preserve"> </w:t>
            </w:r>
            <w:r>
              <w:rPr>
                <w:i/>
              </w:rPr>
              <w:t>Women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B0065D" w:rsidRPr="00BF5032" w:rsidRDefault="00B0065D" w:rsidP="00BE0C19">
            <w:pPr>
              <w:jc w:val="center"/>
            </w:pPr>
            <w:r>
              <w:t>26</w:t>
            </w:r>
          </w:p>
        </w:tc>
        <w:tc>
          <w:tcPr>
            <w:tcW w:w="1031" w:type="dxa"/>
            <w:tcBorders>
              <w:bottom w:val="double" w:sz="4" w:space="0" w:color="auto"/>
            </w:tcBorders>
          </w:tcPr>
          <w:p w:rsidR="00B0065D" w:rsidRPr="00BF5032" w:rsidRDefault="00B0065D" w:rsidP="00BE0C19">
            <w:pPr>
              <w:jc w:val="center"/>
            </w:pPr>
            <w:r>
              <w:t>2812</w:t>
            </w:r>
          </w:p>
        </w:tc>
        <w:tc>
          <w:tcPr>
            <w:tcW w:w="954" w:type="dxa"/>
            <w:tcBorders>
              <w:bottom w:val="double" w:sz="4" w:space="0" w:color="auto"/>
            </w:tcBorders>
          </w:tcPr>
          <w:p w:rsidR="00B0065D" w:rsidRPr="00BF5032" w:rsidRDefault="00B0065D" w:rsidP="00BE0C19">
            <w:pPr>
              <w:jc w:val="center"/>
            </w:pPr>
            <w:r>
              <w:t>2171, 3494</w:t>
            </w:r>
          </w:p>
        </w:tc>
        <w:tc>
          <w:tcPr>
            <w:tcW w:w="3765" w:type="dxa"/>
            <w:gridSpan w:val="2"/>
            <w:tcBorders>
              <w:bottom w:val="double" w:sz="4" w:space="0" w:color="auto"/>
            </w:tcBorders>
          </w:tcPr>
          <w:p w:rsidR="00B0065D" w:rsidRPr="003057CA" w:rsidRDefault="001748B4" w:rsidP="00BE0C19">
            <w:pPr>
              <w:jc w:val="center"/>
              <w:rPr>
                <w:i/>
              </w:rPr>
            </w:pPr>
            <w:r w:rsidRPr="003057CA">
              <w:rPr>
                <w:i/>
              </w:rPr>
              <w:t>76.9%</w:t>
            </w:r>
            <w:r w:rsidR="008469A4" w:rsidRPr="003057CA">
              <w:rPr>
                <w:i/>
              </w:rPr>
              <w:t xml:space="preserve"> </w:t>
            </w:r>
            <w:r w:rsidR="00CD518E">
              <w:rPr>
                <w:i/>
              </w:rPr>
              <w:t xml:space="preserve">were </w:t>
            </w:r>
            <w:r w:rsidR="008469A4" w:rsidRPr="003057CA">
              <w:rPr>
                <w:i/>
              </w:rPr>
              <w:t>above recommended daily allowance for women (&gt;2000kCal/d)</w:t>
            </w:r>
          </w:p>
        </w:tc>
      </w:tr>
      <w:tr w:rsidR="008E2238" w:rsidRPr="003057CA" w:rsidTr="006A622C">
        <w:trPr>
          <w:jc w:val="center"/>
        </w:trPr>
        <w:tc>
          <w:tcPr>
            <w:tcW w:w="2112" w:type="dxa"/>
            <w:tcBorders>
              <w:top w:val="double" w:sz="4" w:space="0" w:color="auto"/>
            </w:tcBorders>
          </w:tcPr>
          <w:p w:rsidR="008E2238" w:rsidRPr="00BF5032" w:rsidRDefault="008E2238" w:rsidP="00BE0C19">
            <w:pPr>
              <w:jc w:val="center"/>
            </w:pPr>
            <w:r>
              <w:t>Arterial base excess</w:t>
            </w:r>
            <w:r w:rsidR="00FD6F7B">
              <w:t xml:space="preserve"> (mmol/l)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8E2238" w:rsidRDefault="008E2238" w:rsidP="00BE0C19">
            <w:pPr>
              <w:jc w:val="center"/>
            </w:pPr>
            <w:r>
              <w:t>72</w:t>
            </w:r>
          </w:p>
        </w:tc>
        <w:tc>
          <w:tcPr>
            <w:tcW w:w="1031" w:type="dxa"/>
            <w:tcBorders>
              <w:top w:val="double" w:sz="4" w:space="0" w:color="auto"/>
            </w:tcBorders>
          </w:tcPr>
          <w:p w:rsidR="008E2238" w:rsidRDefault="008E2238" w:rsidP="00FD6F7B">
            <w:pPr>
              <w:jc w:val="center"/>
            </w:pPr>
            <w:r>
              <w:t>2.</w:t>
            </w:r>
            <w:r w:rsidR="00FD6F7B">
              <w:t>08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8E2238" w:rsidRDefault="008E2238" w:rsidP="00BE0C19">
            <w:pPr>
              <w:jc w:val="center"/>
            </w:pPr>
            <w:r>
              <w:t>2.4</w:t>
            </w:r>
            <w:r w:rsidR="00FD6F7B">
              <w:t>1</w:t>
            </w:r>
          </w:p>
        </w:tc>
        <w:tc>
          <w:tcPr>
            <w:tcW w:w="3765" w:type="dxa"/>
            <w:gridSpan w:val="2"/>
            <w:tcBorders>
              <w:top w:val="double" w:sz="4" w:space="0" w:color="auto"/>
            </w:tcBorders>
          </w:tcPr>
          <w:p w:rsidR="008E2238" w:rsidRPr="003057CA" w:rsidRDefault="008E2238" w:rsidP="00BE0C19">
            <w:pPr>
              <w:jc w:val="center"/>
              <w:rPr>
                <w:i/>
              </w:rPr>
            </w:pPr>
            <w:r>
              <w:rPr>
                <w:i/>
              </w:rPr>
              <w:t>48.6% had a raised arterial base excess (&gt;2</w:t>
            </w:r>
            <w:r w:rsidR="007621AA">
              <w:rPr>
                <w:i/>
              </w:rPr>
              <w:t xml:space="preserve"> mmol/l</w:t>
            </w:r>
            <w:bookmarkStart w:id="0" w:name="_GoBack"/>
            <w:bookmarkEnd w:id="0"/>
            <w:r>
              <w:rPr>
                <w:i/>
              </w:rPr>
              <w:t>)</w:t>
            </w:r>
          </w:p>
        </w:tc>
      </w:tr>
      <w:tr w:rsidR="008E2238" w:rsidRPr="003057CA" w:rsidTr="002D6CEA">
        <w:trPr>
          <w:jc w:val="center"/>
        </w:trPr>
        <w:tc>
          <w:tcPr>
            <w:tcW w:w="2112" w:type="dxa"/>
          </w:tcPr>
          <w:p w:rsidR="008E2238" w:rsidRPr="008E2238" w:rsidRDefault="008E2238" w:rsidP="00BE0C19">
            <w:pPr>
              <w:jc w:val="center"/>
            </w:pPr>
            <w:r>
              <w:t>Arterial PaCO</w:t>
            </w:r>
            <w:r>
              <w:rPr>
                <w:vertAlign w:val="subscript"/>
              </w:rPr>
              <w:t>2</w:t>
            </w:r>
            <w:r>
              <w:t xml:space="preserve"> (</w:t>
            </w:r>
            <w:proofErr w:type="spellStart"/>
            <w:r>
              <w:t>kPa</w:t>
            </w:r>
            <w:proofErr w:type="spellEnd"/>
            <w:r>
              <w:t>)</w:t>
            </w:r>
          </w:p>
        </w:tc>
        <w:tc>
          <w:tcPr>
            <w:tcW w:w="567" w:type="dxa"/>
          </w:tcPr>
          <w:p w:rsidR="008E2238" w:rsidRDefault="008E2238" w:rsidP="00BE0C19">
            <w:pPr>
              <w:jc w:val="center"/>
            </w:pPr>
            <w:r>
              <w:t>72</w:t>
            </w:r>
          </w:p>
        </w:tc>
        <w:tc>
          <w:tcPr>
            <w:tcW w:w="1031" w:type="dxa"/>
          </w:tcPr>
          <w:p w:rsidR="008E2238" w:rsidRDefault="00FD6F7B" w:rsidP="00BE0C19">
            <w:pPr>
              <w:jc w:val="center"/>
            </w:pPr>
            <w:r>
              <w:t>5.57</w:t>
            </w:r>
          </w:p>
        </w:tc>
        <w:tc>
          <w:tcPr>
            <w:tcW w:w="954" w:type="dxa"/>
          </w:tcPr>
          <w:p w:rsidR="008E2238" w:rsidRDefault="00FD6F7B" w:rsidP="00BE0C19">
            <w:pPr>
              <w:jc w:val="center"/>
            </w:pPr>
            <w:r>
              <w:t>0.80</w:t>
            </w:r>
          </w:p>
        </w:tc>
        <w:tc>
          <w:tcPr>
            <w:tcW w:w="3765" w:type="dxa"/>
            <w:gridSpan w:val="2"/>
          </w:tcPr>
          <w:p w:rsidR="008E2238" w:rsidRPr="008E2238" w:rsidRDefault="008E2238" w:rsidP="00BE0C19">
            <w:pPr>
              <w:jc w:val="center"/>
              <w:rPr>
                <w:i/>
              </w:rPr>
            </w:pPr>
            <w:r>
              <w:rPr>
                <w:i/>
              </w:rPr>
              <w:t>22.2% had a raised PaCO</w:t>
            </w:r>
            <w:r>
              <w:rPr>
                <w:i/>
                <w:vertAlign w:val="subscript"/>
              </w:rPr>
              <w:t>2</w:t>
            </w:r>
            <w:r>
              <w:rPr>
                <w:i/>
              </w:rPr>
              <w:t xml:space="preserve"> (&gt;6 </w:t>
            </w:r>
            <w:proofErr w:type="spellStart"/>
            <w:r>
              <w:rPr>
                <w:i/>
              </w:rPr>
              <w:t>kPa</w:t>
            </w:r>
            <w:proofErr w:type="spellEnd"/>
            <w:r>
              <w:rPr>
                <w:i/>
              </w:rPr>
              <w:t>)</w:t>
            </w:r>
          </w:p>
        </w:tc>
      </w:tr>
    </w:tbl>
    <w:p w:rsidR="00171BFB" w:rsidRDefault="00171BFB"/>
    <w:p w:rsidR="00FF63CB" w:rsidRDefault="00FF63CB">
      <w:r>
        <w:t xml:space="preserve">Arterial base excess was significantly but weakly correlated to MCS (r=0.33, p=0.01) but not to PCS (r=0.05, p=0.74). </w:t>
      </w:r>
    </w:p>
    <w:p w:rsidR="00B87D8F" w:rsidRPr="00D003D8" w:rsidRDefault="00E27D11">
      <w:pPr>
        <w:rPr>
          <w:i/>
        </w:rPr>
      </w:pPr>
      <w:r w:rsidRPr="00D003D8">
        <w:rPr>
          <w:i/>
        </w:rPr>
        <w:t>Conclusions</w:t>
      </w:r>
    </w:p>
    <w:p w:rsidR="00B87D8F" w:rsidRDefault="002C14D7">
      <w:r>
        <w:t xml:space="preserve">Obesity had a </w:t>
      </w:r>
      <w:r w:rsidR="00E42920">
        <w:t xml:space="preserve">large </w:t>
      </w:r>
      <w:r>
        <w:t>negative impact</w:t>
      </w:r>
      <w:r w:rsidR="00755B26">
        <w:t xml:space="preserve"> on both physical and mental </w:t>
      </w:r>
      <w:r w:rsidR="00B87D8F">
        <w:t>QOL</w:t>
      </w:r>
      <w:r w:rsidR="0000507A">
        <w:t xml:space="preserve"> </w:t>
      </w:r>
      <w:r>
        <w:t xml:space="preserve">not reproducibly </w:t>
      </w:r>
      <w:r w:rsidR="003A6F91">
        <w:t xml:space="preserve">reported </w:t>
      </w:r>
      <w:r>
        <w:t xml:space="preserve">elsewhere. </w:t>
      </w:r>
      <w:r w:rsidR="00CB7607">
        <w:t>V</w:t>
      </w:r>
      <w:r w:rsidR="00FF63CB">
        <w:t xml:space="preserve">entilatory failure </w:t>
      </w:r>
      <w:r w:rsidR="00CB7607">
        <w:t>was only a weak predictor of</w:t>
      </w:r>
      <w:r w:rsidR="00FF63CB">
        <w:t xml:space="preserve"> mental</w:t>
      </w:r>
      <w:r w:rsidR="00CB7607">
        <w:t>,</w:t>
      </w:r>
      <w:r w:rsidR="00FF63CB">
        <w:t xml:space="preserve"> but not physical QOL scores</w:t>
      </w:r>
      <w:r w:rsidR="0079681E">
        <w:t xml:space="preserve">. </w:t>
      </w:r>
      <w:r w:rsidR="0052028A">
        <w:t>T</w:t>
      </w:r>
      <w:r w:rsidR="00EF43EE">
        <w:t>he majority of participants were sedentary</w:t>
      </w:r>
      <w:r w:rsidR="0052028A">
        <w:t xml:space="preserve"> and </w:t>
      </w:r>
      <w:r w:rsidR="00A92D1F">
        <w:t xml:space="preserve">dietary calorie intake was higher than </w:t>
      </w:r>
      <w:r w:rsidR="00D003D8">
        <w:t>the recommended daily allowance</w:t>
      </w:r>
      <w:r w:rsidR="00A92D1F">
        <w:t xml:space="preserve"> for most women and a significant number of men. </w:t>
      </w:r>
      <w:r w:rsidR="0052028A">
        <w:t xml:space="preserve">Actigraphy </w:t>
      </w:r>
      <w:r w:rsidR="00425778">
        <w:t xml:space="preserve">energy expenditure </w:t>
      </w:r>
      <w:r w:rsidR="0079681E">
        <w:t xml:space="preserve">estimates </w:t>
      </w:r>
      <w:r w:rsidR="00425778">
        <w:t xml:space="preserve">exceeded </w:t>
      </w:r>
      <w:r w:rsidR="0052028A">
        <w:t xml:space="preserve">patient reported </w:t>
      </w:r>
      <w:r w:rsidR="0079681E">
        <w:t xml:space="preserve">dietary </w:t>
      </w:r>
      <w:r w:rsidR="00425778">
        <w:t>intake</w:t>
      </w:r>
      <w:r w:rsidR="0052028A">
        <w:t xml:space="preserve">, </w:t>
      </w:r>
      <w:r w:rsidR="00425778">
        <w:t xml:space="preserve">which is </w:t>
      </w:r>
      <w:r w:rsidR="0079681E">
        <w:t>probably</w:t>
      </w:r>
      <w:r w:rsidR="00425778">
        <w:t xml:space="preserve"> due to patient underreporting. </w:t>
      </w:r>
      <w:r w:rsidR="00A92D1F">
        <w:t>This highlights the clinical importance of considering mental health</w:t>
      </w:r>
      <w:r w:rsidR="00135448">
        <w:t>,</w:t>
      </w:r>
      <w:r w:rsidR="00A92D1F">
        <w:t xml:space="preserve"> physical </w:t>
      </w:r>
      <w:r w:rsidR="001C69BD">
        <w:t xml:space="preserve">activity </w:t>
      </w:r>
      <w:r w:rsidR="00135448">
        <w:t>and</w:t>
      </w:r>
      <w:r w:rsidR="001C69BD">
        <w:t xml:space="preserve"> diet </w:t>
      </w:r>
      <w:r w:rsidR="00CD518E">
        <w:t xml:space="preserve">together </w:t>
      </w:r>
      <w:r w:rsidR="001C69BD">
        <w:t xml:space="preserve">when obese individuals are </w:t>
      </w:r>
      <w:r w:rsidR="00CD518E">
        <w:t xml:space="preserve">seen in a </w:t>
      </w:r>
      <w:r w:rsidR="009A6A73">
        <w:t>tertiary</w:t>
      </w:r>
      <w:r w:rsidR="00CD518E">
        <w:t xml:space="preserve"> centre</w:t>
      </w:r>
      <w:r w:rsidR="001C69BD">
        <w:t xml:space="preserve">. </w:t>
      </w:r>
    </w:p>
    <w:p w:rsidR="002D6CEA" w:rsidRDefault="002D6CEA" w:rsidP="002D6CEA">
      <w:pPr>
        <w:pStyle w:val="ListParagraph"/>
        <w:numPr>
          <w:ilvl w:val="0"/>
          <w:numId w:val="2"/>
        </w:numPr>
        <w:jc w:val="both"/>
      </w:pPr>
      <w:r>
        <w:t>J Pub Health Med 2001;23:187-94</w:t>
      </w:r>
    </w:p>
    <w:p w:rsidR="00C5512C" w:rsidRDefault="00755B26" w:rsidP="00AD6288">
      <w:pPr>
        <w:jc w:val="center"/>
      </w:pPr>
      <w:r>
        <w:t xml:space="preserve">Words </w:t>
      </w:r>
      <w:r w:rsidR="00EC1E67">
        <w:t>350</w:t>
      </w:r>
    </w:p>
    <w:p w:rsidR="004C37DD" w:rsidRDefault="004C37DD" w:rsidP="00425778"/>
    <w:sectPr w:rsidR="004C3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BB9"/>
    <w:multiLevelType w:val="hybridMultilevel"/>
    <w:tmpl w:val="5B3ED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51148"/>
    <w:multiLevelType w:val="hybridMultilevel"/>
    <w:tmpl w:val="29725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AD"/>
    <w:rsid w:val="0000507A"/>
    <w:rsid w:val="00007518"/>
    <w:rsid w:val="00022505"/>
    <w:rsid w:val="00037D61"/>
    <w:rsid w:val="00135448"/>
    <w:rsid w:val="00171BFB"/>
    <w:rsid w:val="001748B4"/>
    <w:rsid w:val="001C69BD"/>
    <w:rsid w:val="001E52AF"/>
    <w:rsid w:val="00200B3F"/>
    <w:rsid w:val="00222A0C"/>
    <w:rsid w:val="002A7E12"/>
    <w:rsid w:val="002C14D7"/>
    <w:rsid w:val="002D6CEA"/>
    <w:rsid w:val="002E4CF1"/>
    <w:rsid w:val="003057CA"/>
    <w:rsid w:val="00370C37"/>
    <w:rsid w:val="003A6F91"/>
    <w:rsid w:val="003B393A"/>
    <w:rsid w:val="003B69C7"/>
    <w:rsid w:val="00425778"/>
    <w:rsid w:val="00461E17"/>
    <w:rsid w:val="004950AB"/>
    <w:rsid w:val="004A591A"/>
    <w:rsid w:val="004C37DD"/>
    <w:rsid w:val="004F7DFD"/>
    <w:rsid w:val="0052028A"/>
    <w:rsid w:val="005A1ECA"/>
    <w:rsid w:val="006800CE"/>
    <w:rsid w:val="006930CA"/>
    <w:rsid w:val="006A622C"/>
    <w:rsid w:val="006C2160"/>
    <w:rsid w:val="00732A09"/>
    <w:rsid w:val="00755B26"/>
    <w:rsid w:val="007621AA"/>
    <w:rsid w:val="0079681E"/>
    <w:rsid w:val="007B4437"/>
    <w:rsid w:val="008469A4"/>
    <w:rsid w:val="008C7F9A"/>
    <w:rsid w:val="008E2238"/>
    <w:rsid w:val="009353B9"/>
    <w:rsid w:val="00960FFC"/>
    <w:rsid w:val="00992EAD"/>
    <w:rsid w:val="009A6A73"/>
    <w:rsid w:val="009C23CA"/>
    <w:rsid w:val="009F0EDC"/>
    <w:rsid w:val="00A102FB"/>
    <w:rsid w:val="00A5598C"/>
    <w:rsid w:val="00A92D1F"/>
    <w:rsid w:val="00AA7870"/>
    <w:rsid w:val="00AD6288"/>
    <w:rsid w:val="00B0065D"/>
    <w:rsid w:val="00B81EB4"/>
    <w:rsid w:val="00B87D8F"/>
    <w:rsid w:val="00B96299"/>
    <w:rsid w:val="00BF5032"/>
    <w:rsid w:val="00C16783"/>
    <w:rsid w:val="00C179A1"/>
    <w:rsid w:val="00C369CE"/>
    <w:rsid w:val="00C5512C"/>
    <w:rsid w:val="00C65E1D"/>
    <w:rsid w:val="00C92FA4"/>
    <w:rsid w:val="00CB7607"/>
    <w:rsid w:val="00CD518E"/>
    <w:rsid w:val="00CE387D"/>
    <w:rsid w:val="00D003D8"/>
    <w:rsid w:val="00DB4A32"/>
    <w:rsid w:val="00DD4C42"/>
    <w:rsid w:val="00DF4ABE"/>
    <w:rsid w:val="00E22B07"/>
    <w:rsid w:val="00E27D11"/>
    <w:rsid w:val="00E42920"/>
    <w:rsid w:val="00E8395C"/>
    <w:rsid w:val="00E97CF2"/>
    <w:rsid w:val="00EC1E67"/>
    <w:rsid w:val="00EF43EE"/>
    <w:rsid w:val="00F42E2B"/>
    <w:rsid w:val="00F71ADE"/>
    <w:rsid w:val="00FD6F7B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9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2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9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9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2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9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Turnbull Christopher (RTH) OUH</dc:creator>
  <cp:lastModifiedBy>Turnbull Christopher (RTH) OUH</cp:lastModifiedBy>
  <cp:revision>7</cp:revision>
  <dcterms:created xsi:type="dcterms:W3CDTF">2015-07-16T12:23:00Z</dcterms:created>
  <dcterms:modified xsi:type="dcterms:W3CDTF">2015-07-16T12:44:00Z</dcterms:modified>
</cp:coreProperties>
</file>