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EACE" w14:textId="602373F2" w:rsidR="009929D5" w:rsidRPr="008B5C68" w:rsidRDefault="14A538FC" w:rsidP="009929D5">
      <w:pPr>
        <w:spacing w:after="0"/>
        <w:rPr>
          <w:rFonts w:ascii="Calibri" w:eastAsia="Calibri" w:hAnsi="Calibri" w:cs="Calibri"/>
          <w:b/>
          <w:bCs/>
          <w:color w:val="548DD4"/>
          <w:sz w:val="22"/>
          <w:szCs w:val="22"/>
        </w:rPr>
      </w:pPr>
      <w:r w:rsidRPr="0052635A">
        <w:rPr>
          <w:rFonts w:ascii="Calibri" w:eastAsia="Calibri" w:hAnsi="Calibri" w:cs="Calibri"/>
          <w:b/>
          <w:bCs/>
          <w:i/>
          <w:iCs/>
          <w:color w:val="000000" w:themeColor="text1"/>
          <w:sz w:val="22"/>
          <w:szCs w:val="22"/>
        </w:rPr>
        <w:t>Table 1</w:t>
      </w:r>
      <w:r w:rsidRPr="7D1FCCE0">
        <w:rPr>
          <w:rFonts w:ascii="Calibri" w:eastAsia="Calibri" w:hAnsi="Calibri" w:cs="Calibri"/>
          <w:b/>
          <w:bCs/>
          <w:color w:val="000000" w:themeColor="text1"/>
          <w:sz w:val="22"/>
          <w:szCs w:val="22"/>
        </w:rPr>
        <w:t xml:space="preserve">: </w:t>
      </w:r>
      <w:r w:rsidR="008B5C68" w:rsidRPr="008B5C68">
        <w:rPr>
          <w:rFonts w:ascii="Calibri" w:eastAsia="Calibri" w:hAnsi="Calibri" w:cs="Calibri"/>
          <w:b/>
          <w:bCs/>
          <w:color w:val="000000" w:themeColor="text1"/>
          <w:sz w:val="22"/>
          <w:szCs w:val="22"/>
        </w:rPr>
        <w:t>Estimates of fatality caused by meningitis globally by age in 1990, 2015, and 2023</w:t>
      </w:r>
    </w:p>
    <w:tbl>
      <w:tblPr>
        <w:tblStyle w:val="TableGrid"/>
        <w:tblW w:w="14029" w:type="dxa"/>
        <w:tblLayout w:type="fixed"/>
        <w:tblLook w:val="06A0" w:firstRow="1" w:lastRow="0" w:firstColumn="1" w:lastColumn="0" w:noHBand="1" w:noVBand="1"/>
      </w:tblPr>
      <w:tblGrid>
        <w:gridCol w:w="1860"/>
        <w:gridCol w:w="1254"/>
        <w:gridCol w:w="1417"/>
        <w:gridCol w:w="1560"/>
        <w:gridCol w:w="1842"/>
        <w:gridCol w:w="1701"/>
        <w:gridCol w:w="1276"/>
        <w:gridCol w:w="1559"/>
        <w:gridCol w:w="1560"/>
      </w:tblGrid>
      <w:tr w:rsidR="004B5BA4" w:rsidRPr="00C604CD" w14:paraId="71DDEB57" w14:textId="77777777" w:rsidTr="008B5C68">
        <w:trPr>
          <w:trHeight w:val="1155"/>
        </w:trPr>
        <w:tc>
          <w:tcPr>
            <w:tcW w:w="1860" w:type="dxa"/>
          </w:tcPr>
          <w:p w14:paraId="29E98548" w14:textId="77777777" w:rsidR="004B5BA4" w:rsidRPr="00C604CD" w:rsidRDefault="004B5BA4" w:rsidP="004B5BA4">
            <w:pPr>
              <w:rPr>
                <w:rFonts w:ascii="Calibri" w:hAnsi="Calibri" w:cs="Calibri"/>
              </w:rPr>
            </w:pPr>
          </w:p>
        </w:tc>
        <w:tc>
          <w:tcPr>
            <w:tcW w:w="2671" w:type="dxa"/>
            <w:gridSpan w:val="2"/>
          </w:tcPr>
          <w:p w14:paraId="5B2D8872" w14:textId="459BFE61" w:rsidR="004B5BA4" w:rsidRDefault="1A5D5D05" w:rsidP="004B5BA4">
            <w:pPr>
              <w:rPr>
                <w:rFonts w:ascii="Calibri" w:eastAsia="Aptos Narrow" w:hAnsi="Calibri" w:cs="Calibri"/>
                <w:b/>
                <w:bCs/>
                <w:color w:val="000000" w:themeColor="text1"/>
                <w:sz w:val="22"/>
                <w:szCs w:val="22"/>
              </w:rPr>
            </w:pPr>
            <w:r w:rsidRPr="7D1FCCE0">
              <w:rPr>
                <w:rFonts w:ascii="Calibri" w:eastAsia="Aptos Narrow" w:hAnsi="Calibri" w:cs="Calibri"/>
                <w:b/>
                <w:bCs/>
                <w:color w:val="000000" w:themeColor="text1"/>
                <w:sz w:val="22"/>
                <w:szCs w:val="22"/>
              </w:rPr>
              <w:t>1990</w:t>
            </w:r>
          </w:p>
        </w:tc>
        <w:tc>
          <w:tcPr>
            <w:tcW w:w="3402" w:type="dxa"/>
            <w:gridSpan w:val="2"/>
          </w:tcPr>
          <w:p w14:paraId="5A87DDBF" w14:textId="29AA3C0A" w:rsidR="004B5BA4" w:rsidRDefault="1A5D5D05" w:rsidP="004B5BA4">
            <w:pPr>
              <w:rPr>
                <w:rFonts w:ascii="Calibri" w:eastAsia="Aptos Narrow" w:hAnsi="Calibri" w:cs="Calibri"/>
                <w:b/>
                <w:bCs/>
                <w:color w:val="000000" w:themeColor="text1"/>
                <w:sz w:val="22"/>
                <w:szCs w:val="22"/>
              </w:rPr>
            </w:pPr>
            <w:r w:rsidRPr="7D1FCCE0">
              <w:rPr>
                <w:rFonts w:ascii="Calibri" w:eastAsia="Aptos Narrow" w:hAnsi="Calibri" w:cs="Calibri"/>
                <w:b/>
                <w:bCs/>
                <w:color w:val="000000" w:themeColor="text1"/>
                <w:sz w:val="22"/>
                <w:szCs w:val="22"/>
              </w:rPr>
              <w:t>2015</w:t>
            </w:r>
          </w:p>
        </w:tc>
        <w:tc>
          <w:tcPr>
            <w:tcW w:w="2977" w:type="dxa"/>
            <w:gridSpan w:val="2"/>
          </w:tcPr>
          <w:p w14:paraId="7F0CF1BD" w14:textId="2C534F39" w:rsidR="004B5BA4" w:rsidRPr="00C604CD" w:rsidRDefault="004B5BA4" w:rsidP="004B5BA4">
            <w:pPr>
              <w:rPr>
                <w:rFonts w:ascii="Calibri" w:eastAsia="Aptos Narrow" w:hAnsi="Calibri" w:cs="Calibri"/>
                <w:b/>
                <w:bCs/>
                <w:color w:val="000000" w:themeColor="text1"/>
                <w:sz w:val="22"/>
                <w:szCs w:val="22"/>
              </w:rPr>
            </w:pPr>
            <w:r>
              <w:rPr>
                <w:rFonts w:ascii="Calibri" w:eastAsia="Aptos Narrow" w:hAnsi="Calibri" w:cs="Calibri"/>
                <w:b/>
                <w:bCs/>
                <w:color w:val="000000" w:themeColor="text1"/>
                <w:sz w:val="22"/>
                <w:szCs w:val="22"/>
              </w:rPr>
              <w:t>2023</w:t>
            </w:r>
          </w:p>
        </w:tc>
        <w:tc>
          <w:tcPr>
            <w:tcW w:w="1559" w:type="dxa"/>
          </w:tcPr>
          <w:p w14:paraId="2EA2CCAF" w14:textId="2D04C403" w:rsidR="004B5BA4" w:rsidRPr="00C604CD" w:rsidRDefault="004B5BA4" w:rsidP="004B5BA4">
            <w:pPr>
              <w:rPr>
                <w:rFonts w:ascii="Calibri" w:eastAsia="Aptos Narrow" w:hAnsi="Calibri" w:cs="Calibri"/>
                <w:b/>
                <w:bCs/>
                <w:color w:val="000000" w:themeColor="text1"/>
                <w:sz w:val="22"/>
                <w:szCs w:val="22"/>
              </w:rPr>
            </w:pPr>
            <w:r w:rsidRPr="00C604CD">
              <w:rPr>
                <w:rFonts w:ascii="Calibri" w:eastAsia="Aptos Narrow" w:hAnsi="Calibri" w:cs="Calibri"/>
                <w:b/>
                <w:bCs/>
                <w:color w:val="000000" w:themeColor="text1"/>
                <w:sz w:val="22"/>
                <w:szCs w:val="22"/>
              </w:rPr>
              <w:t xml:space="preserve">Percentage change in mortality rates between 1990 and 2023 </w:t>
            </w:r>
          </w:p>
        </w:tc>
        <w:tc>
          <w:tcPr>
            <w:tcW w:w="1560" w:type="dxa"/>
          </w:tcPr>
          <w:p w14:paraId="36931424" w14:textId="139AA6B5" w:rsidR="004B5BA4" w:rsidRPr="00C604CD" w:rsidRDefault="004B5BA4" w:rsidP="004B5BA4">
            <w:pPr>
              <w:rPr>
                <w:rFonts w:ascii="Calibri" w:eastAsia="Aptos Narrow" w:hAnsi="Calibri" w:cs="Calibri"/>
                <w:b/>
                <w:bCs/>
                <w:color w:val="000000" w:themeColor="text1"/>
                <w:sz w:val="22"/>
                <w:szCs w:val="22"/>
              </w:rPr>
            </w:pPr>
            <w:r w:rsidRPr="00C604CD">
              <w:rPr>
                <w:rFonts w:ascii="Calibri" w:eastAsia="Aptos Narrow" w:hAnsi="Calibri" w:cs="Calibri"/>
                <w:b/>
                <w:bCs/>
                <w:color w:val="000000" w:themeColor="text1"/>
                <w:sz w:val="22"/>
                <w:szCs w:val="22"/>
              </w:rPr>
              <w:t xml:space="preserve">Percentage change in mortality rates between 2015 and 2023 </w:t>
            </w:r>
          </w:p>
        </w:tc>
      </w:tr>
      <w:tr w:rsidR="004B5BA4" w:rsidRPr="00C604CD" w14:paraId="1FE7125C" w14:textId="77777777" w:rsidTr="008B5C68">
        <w:trPr>
          <w:trHeight w:val="1155"/>
        </w:trPr>
        <w:tc>
          <w:tcPr>
            <w:tcW w:w="1860" w:type="dxa"/>
          </w:tcPr>
          <w:p w14:paraId="5CECC80F" w14:textId="77777777" w:rsidR="004B5BA4" w:rsidRPr="00C604CD" w:rsidRDefault="004B5BA4" w:rsidP="004B5BA4">
            <w:pPr>
              <w:rPr>
                <w:rFonts w:ascii="Calibri" w:hAnsi="Calibri" w:cs="Calibri"/>
              </w:rPr>
            </w:pPr>
          </w:p>
        </w:tc>
        <w:tc>
          <w:tcPr>
            <w:tcW w:w="1254" w:type="dxa"/>
          </w:tcPr>
          <w:p w14:paraId="69D51E99" w14:textId="754B1B59" w:rsidR="004B5BA4" w:rsidRPr="008B5C68" w:rsidRDefault="004B5BA4" w:rsidP="004B5BA4">
            <w:pPr>
              <w:rPr>
                <w:rFonts w:ascii="Calibri" w:eastAsia="Aptos Narrow" w:hAnsi="Calibri" w:cs="Calibri"/>
                <w:color w:val="000000" w:themeColor="text1"/>
                <w:sz w:val="22"/>
                <w:szCs w:val="22"/>
              </w:rPr>
            </w:pPr>
            <w:r w:rsidRPr="008B5C68">
              <w:rPr>
                <w:rFonts w:ascii="Calibri" w:eastAsia="Aptos Narrow" w:hAnsi="Calibri" w:cs="Calibri"/>
                <w:color w:val="000000" w:themeColor="text1"/>
                <w:sz w:val="22"/>
                <w:szCs w:val="22"/>
              </w:rPr>
              <w:t xml:space="preserve">Deaths </w:t>
            </w:r>
          </w:p>
        </w:tc>
        <w:tc>
          <w:tcPr>
            <w:tcW w:w="1417" w:type="dxa"/>
          </w:tcPr>
          <w:p w14:paraId="216FC567" w14:textId="15A26B5B" w:rsidR="004B5BA4" w:rsidRPr="008B5C68" w:rsidRDefault="004B5BA4" w:rsidP="004B5BA4">
            <w:pPr>
              <w:rPr>
                <w:rFonts w:ascii="Calibri" w:eastAsia="Aptos Narrow" w:hAnsi="Calibri" w:cs="Calibri"/>
                <w:color w:val="000000" w:themeColor="text1"/>
                <w:sz w:val="22"/>
                <w:szCs w:val="22"/>
              </w:rPr>
            </w:pPr>
            <w:r w:rsidRPr="008B5C68">
              <w:rPr>
                <w:rFonts w:ascii="Calibri" w:eastAsia="Aptos Narrow" w:hAnsi="Calibri" w:cs="Calibri"/>
                <w:color w:val="000000" w:themeColor="text1"/>
                <w:sz w:val="22"/>
                <w:szCs w:val="22"/>
              </w:rPr>
              <w:t xml:space="preserve">Mortality rate per 100 000 </w:t>
            </w:r>
          </w:p>
        </w:tc>
        <w:tc>
          <w:tcPr>
            <w:tcW w:w="1560" w:type="dxa"/>
          </w:tcPr>
          <w:p w14:paraId="22189FB9" w14:textId="56C34B82" w:rsidR="004B5BA4" w:rsidRPr="008B5C68" w:rsidRDefault="004B5BA4" w:rsidP="004B5BA4">
            <w:pPr>
              <w:rPr>
                <w:rFonts w:ascii="Calibri" w:eastAsia="Aptos Narrow" w:hAnsi="Calibri" w:cs="Calibri"/>
                <w:color w:val="000000" w:themeColor="text1"/>
                <w:sz w:val="22"/>
                <w:szCs w:val="22"/>
              </w:rPr>
            </w:pPr>
            <w:r w:rsidRPr="008B5C68">
              <w:rPr>
                <w:rFonts w:ascii="Calibri" w:eastAsia="Aptos Narrow" w:hAnsi="Calibri" w:cs="Calibri"/>
                <w:color w:val="000000" w:themeColor="text1"/>
                <w:sz w:val="22"/>
                <w:szCs w:val="22"/>
              </w:rPr>
              <w:t xml:space="preserve">Deaths </w:t>
            </w:r>
          </w:p>
        </w:tc>
        <w:tc>
          <w:tcPr>
            <w:tcW w:w="1842" w:type="dxa"/>
          </w:tcPr>
          <w:p w14:paraId="0B8E34C8" w14:textId="1CFBE9C1" w:rsidR="004B5BA4" w:rsidRPr="008B5C68" w:rsidRDefault="004B5BA4" w:rsidP="004B5BA4">
            <w:pPr>
              <w:rPr>
                <w:rFonts w:ascii="Calibri" w:eastAsia="Aptos Narrow" w:hAnsi="Calibri" w:cs="Calibri"/>
                <w:color w:val="000000" w:themeColor="text1"/>
                <w:sz w:val="22"/>
                <w:szCs w:val="22"/>
              </w:rPr>
            </w:pPr>
            <w:r w:rsidRPr="008B5C68">
              <w:rPr>
                <w:rFonts w:ascii="Calibri" w:eastAsia="Aptos Narrow" w:hAnsi="Calibri" w:cs="Calibri"/>
                <w:color w:val="000000" w:themeColor="text1"/>
                <w:sz w:val="22"/>
                <w:szCs w:val="22"/>
              </w:rPr>
              <w:t xml:space="preserve">Mortality rate per 100 000 </w:t>
            </w:r>
          </w:p>
        </w:tc>
        <w:tc>
          <w:tcPr>
            <w:tcW w:w="1701" w:type="dxa"/>
          </w:tcPr>
          <w:p w14:paraId="02C3D633" w14:textId="17A73EDC" w:rsidR="004B5BA4" w:rsidRPr="004B5BA4" w:rsidRDefault="004B5BA4" w:rsidP="004B5BA4">
            <w:pPr>
              <w:rPr>
                <w:rFonts w:ascii="Calibri" w:hAnsi="Calibri" w:cs="Calibri"/>
              </w:rPr>
            </w:pPr>
            <w:r w:rsidRPr="008B5C68">
              <w:rPr>
                <w:rFonts w:ascii="Calibri" w:eastAsia="Aptos Narrow" w:hAnsi="Calibri" w:cs="Calibri"/>
                <w:color w:val="000000" w:themeColor="text1"/>
                <w:sz w:val="22"/>
                <w:szCs w:val="22"/>
              </w:rPr>
              <w:t xml:space="preserve">Deaths </w:t>
            </w:r>
          </w:p>
        </w:tc>
        <w:tc>
          <w:tcPr>
            <w:tcW w:w="1276" w:type="dxa"/>
          </w:tcPr>
          <w:p w14:paraId="2DFD0179" w14:textId="621F1588" w:rsidR="004B5BA4" w:rsidRPr="004B5BA4" w:rsidRDefault="004B5BA4" w:rsidP="004B5BA4">
            <w:pPr>
              <w:rPr>
                <w:rFonts w:ascii="Calibri" w:hAnsi="Calibri" w:cs="Calibri"/>
              </w:rPr>
            </w:pPr>
            <w:r w:rsidRPr="008B5C68">
              <w:rPr>
                <w:rFonts w:ascii="Calibri" w:eastAsia="Aptos Narrow" w:hAnsi="Calibri" w:cs="Calibri"/>
                <w:color w:val="000000" w:themeColor="text1"/>
                <w:sz w:val="22"/>
                <w:szCs w:val="22"/>
              </w:rPr>
              <w:t>Mortality rate per 100 000</w:t>
            </w:r>
          </w:p>
        </w:tc>
        <w:tc>
          <w:tcPr>
            <w:tcW w:w="1559" w:type="dxa"/>
          </w:tcPr>
          <w:p w14:paraId="5E2E5979" w14:textId="6FAD0ECC" w:rsidR="004B5BA4" w:rsidRPr="00C604CD" w:rsidRDefault="004B5BA4" w:rsidP="004B5BA4">
            <w:pPr>
              <w:rPr>
                <w:rFonts w:ascii="Calibri" w:hAnsi="Calibri" w:cs="Calibri"/>
              </w:rPr>
            </w:pPr>
          </w:p>
        </w:tc>
        <w:tc>
          <w:tcPr>
            <w:tcW w:w="1560" w:type="dxa"/>
          </w:tcPr>
          <w:p w14:paraId="332B519F" w14:textId="16DAD2AA" w:rsidR="004B5BA4" w:rsidRPr="00C604CD" w:rsidRDefault="004B5BA4" w:rsidP="004B5BA4">
            <w:pPr>
              <w:rPr>
                <w:rFonts w:ascii="Calibri" w:hAnsi="Calibri" w:cs="Calibri"/>
              </w:rPr>
            </w:pPr>
          </w:p>
        </w:tc>
      </w:tr>
      <w:tr w:rsidR="004B5BA4" w:rsidRPr="00C604CD" w14:paraId="094BBC13" w14:textId="77777777" w:rsidTr="008B5C68">
        <w:trPr>
          <w:trHeight w:val="300"/>
        </w:trPr>
        <w:tc>
          <w:tcPr>
            <w:tcW w:w="1860" w:type="dxa"/>
          </w:tcPr>
          <w:p w14:paraId="7EB825D7" w14:textId="4D9B7E46" w:rsidR="004B5BA4" w:rsidRPr="00C604CD" w:rsidRDefault="004B5BA4" w:rsidP="004B5BA4">
            <w:pPr>
              <w:rPr>
                <w:rFonts w:ascii="Calibri" w:hAnsi="Calibri" w:cs="Calibri"/>
              </w:rPr>
            </w:pPr>
            <w:r w:rsidRPr="00C604CD">
              <w:rPr>
                <w:rFonts w:ascii="Calibri" w:eastAsia="Aptos Narrow" w:hAnsi="Calibri" w:cs="Calibri"/>
                <w:color w:val="000000" w:themeColor="text1"/>
                <w:sz w:val="22"/>
                <w:szCs w:val="22"/>
              </w:rPr>
              <w:t xml:space="preserve">All </w:t>
            </w:r>
            <w:r>
              <w:rPr>
                <w:rFonts w:ascii="Calibri" w:eastAsia="Aptos Narrow" w:hAnsi="Calibri" w:cs="Calibri"/>
                <w:color w:val="000000" w:themeColor="text1"/>
                <w:sz w:val="22"/>
                <w:szCs w:val="22"/>
              </w:rPr>
              <w:t>a</w:t>
            </w:r>
            <w:r w:rsidRPr="00C604CD">
              <w:rPr>
                <w:rFonts w:ascii="Calibri" w:eastAsia="Aptos Narrow" w:hAnsi="Calibri" w:cs="Calibri"/>
                <w:color w:val="000000" w:themeColor="text1"/>
                <w:sz w:val="22"/>
                <w:szCs w:val="22"/>
              </w:rPr>
              <w:t>ges</w:t>
            </w:r>
          </w:p>
        </w:tc>
        <w:tc>
          <w:tcPr>
            <w:tcW w:w="1254" w:type="dxa"/>
          </w:tcPr>
          <w:p w14:paraId="1E96ECB3" w14:textId="588EA98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469,000 (362,000 to 580,000)</w:t>
            </w:r>
          </w:p>
        </w:tc>
        <w:tc>
          <w:tcPr>
            <w:tcW w:w="1417" w:type="dxa"/>
          </w:tcPr>
          <w:p w14:paraId="68B94653" w14:textId="6C2584D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8.8 (6.8 to 10.9)</w:t>
            </w:r>
          </w:p>
        </w:tc>
        <w:tc>
          <w:tcPr>
            <w:tcW w:w="1560" w:type="dxa"/>
          </w:tcPr>
          <w:p w14:paraId="7652D73A" w14:textId="1FE50B60"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319,000 (252,000 to 404,000)</w:t>
            </w:r>
          </w:p>
        </w:tc>
        <w:tc>
          <w:tcPr>
            <w:tcW w:w="1842" w:type="dxa"/>
          </w:tcPr>
          <w:p w14:paraId="06940F19" w14:textId="5D77073B"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4.3 (3.4 to 5.5)</w:t>
            </w:r>
          </w:p>
        </w:tc>
        <w:tc>
          <w:tcPr>
            <w:tcW w:w="1701" w:type="dxa"/>
          </w:tcPr>
          <w:p w14:paraId="31D97DC4" w14:textId="7FE74610"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259,000 (202,000 to 335,000)</w:t>
            </w:r>
          </w:p>
        </w:tc>
        <w:tc>
          <w:tcPr>
            <w:tcW w:w="1276" w:type="dxa"/>
          </w:tcPr>
          <w:p w14:paraId="04AD727C" w14:textId="6112375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3.2 (2.5 to 4.1)</w:t>
            </w:r>
          </w:p>
        </w:tc>
        <w:tc>
          <w:tcPr>
            <w:tcW w:w="1559" w:type="dxa"/>
          </w:tcPr>
          <w:p w14:paraId="3F83C29D" w14:textId="444293A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-63.5 (-72.8 to -51.0)</w:t>
            </w:r>
          </w:p>
        </w:tc>
        <w:tc>
          <w:tcPr>
            <w:tcW w:w="1560" w:type="dxa"/>
          </w:tcPr>
          <w:p w14:paraId="3D4B40F3" w14:textId="12DA8AC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-25.4 (-40.4 to -5.9)</w:t>
            </w:r>
          </w:p>
        </w:tc>
      </w:tr>
      <w:tr w:rsidR="004B5BA4" w:rsidRPr="00C604CD" w14:paraId="0967DFEC" w14:textId="77777777" w:rsidTr="008B5C68">
        <w:trPr>
          <w:trHeight w:val="300"/>
        </w:trPr>
        <w:tc>
          <w:tcPr>
            <w:tcW w:w="1860" w:type="dxa"/>
          </w:tcPr>
          <w:p w14:paraId="397ACBCA" w14:textId="47F8FD7B" w:rsidR="004B5BA4" w:rsidRPr="00C604CD" w:rsidRDefault="004B5BA4" w:rsidP="004B5BA4">
            <w:pPr>
              <w:rPr>
                <w:rFonts w:ascii="Calibri" w:hAnsi="Calibri" w:cs="Calibri"/>
              </w:rPr>
            </w:pPr>
            <w:r>
              <w:rPr>
                <w:rFonts w:ascii="Calibri" w:eastAsia="Aptos Narrow" w:hAnsi="Calibri" w:cs="Calibri"/>
                <w:color w:val="000000" w:themeColor="text1"/>
                <w:sz w:val="22"/>
                <w:szCs w:val="22"/>
              </w:rPr>
              <w:t>&lt;</w:t>
            </w:r>
            <w:r w:rsidRPr="00C604CD">
              <w:rPr>
                <w:rFonts w:ascii="Calibri" w:eastAsia="Aptos Narrow" w:hAnsi="Calibri" w:cs="Calibri"/>
                <w:color w:val="000000" w:themeColor="text1"/>
                <w:sz w:val="22"/>
                <w:szCs w:val="22"/>
              </w:rPr>
              <w:t>5</w:t>
            </w:r>
            <w:r>
              <w:rPr>
                <w:rFonts w:ascii="Calibri" w:eastAsia="Aptos Narrow" w:hAnsi="Calibri" w:cs="Calibri"/>
                <w:color w:val="000000" w:themeColor="text1"/>
                <w:sz w:val="22"/>
                <w:szCs w:val="22"/>
              </w:rPr>
              <w:t xml:space="preserve"> years</w:t>
            </w:r>
          </w:p>
        </w:tc>
        <w:tc>
          <w:tcPr>
            <w:tcW w:w="1254" w:type="dxa"/>
          </w:tcPr>
          <w:p w14:paraId="28C05C5E" w14:textId="6C2C7F0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277,000 (186,000 to 373,000)</w:t>
            </w:r>
          </w:p>
        </w:tc>
        <w:tc>
          <w:tcPr>
            <w:tcW w:w="1417" w:type="dxa"/>
          </w:tcPr>
          <w:p w14:paraId="1BF3CF18" w14:textId="484F3DC4"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45.1 (30.2 to 60.8)</w:t>
            </w:r>
          </w:p>
        </w:tc>
        <w:tc>
          <w:tcPr>
            <w:tcW w:w="1560" w:type="dxa"/>
          </w:tcPr>
          <w:p w14:paraId="2F837C19" w14:textId="1290CB5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129,000 (83,600 to 196,000)</w:t>
            </w:r>
          </w:p>
        </w:tc>
        <w:tc>
          <w:tcPr>
            <w:tcW w:w="1842" w:type="dxa"/>
          </w:tcPr>
          <w:p w14:paraId="3D941C42" w14:textId="722D459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19.0 (12.3 to 28.9)</w:t>
            </w:r>
          </w:p>
        </w:tc>
        <w:tc>
          <w:tcPr>
            <w:tcW w:w="1701" w:type="dxa"/>
          </w:tcPr>
          <w:p w14:paraId="50146E9F" w14:textId="0281EC9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86,600 (53,300 to 149,000)</w:t>
            </w:r>
          </w:p>
        </w:tc>
        <w:tc>
          <w:tcPr>
            <w:tcW w:w="1276" w:type="dxa"/>
          </w:tcPr>
          <w:p w14:paraId="484A5178" w14:textId="0CACCB3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13.5 (8.3 to 23.2)</w:t>
            </w:r>
          </w:p>
        </w:tc>
        <w:tc>
          <w:tcPr>
            <w:tcW w:w="1559" w:type="dxa"/>
          </w:tcPr>
          <w:p w14:paraId="61C4CE88" w14:textId="3AB776C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-70.1 (-81.5 to -42.1)</w:t>
            </w:r>
          </w:p>
        </w:tc>
        <w:tc>
          <w:tcPr>
            <w:tcW w:w="1560" w:type="dxa"/>
          </w:tcPr>
          <w:p w14:paraId="75492B0F" w14:textId="0D4E7B0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-29.2 (-56.4 to 2.2)</w:t>
            </w:r>
          </w:p>
        </w:tc>
      </w:tr>
      <w:tr w:rsidR="004B5BA4" w:rsidRPr="00C604CD" w14:paraId="6D17AAD2" w14:textId="77777777" w:rsidTr="008B5C68">
        <w:trPr>
          <w:trHeight w:val="300"/>
        </w:trPr>
        <w:tc>
          <w:tcPr>
            <w:tcW w:w="1860" w:type="dxa"/>
          </w:tcPr>
          <w:p w14:paraId="71062118" w14:textId="6CDB2440" w:rsidR="004B5BA4" w:rsidRPr="00C604CD" w:rsidRDefault="004B5BA4" w:rsidP="004B5BA4">
            <w:pPr>
              <w:rPr>
                <w:rFonts w:ascii="Calibri" w:hAnsi="Calibri" w:cs="Calibri"/>
              </w:rPr>
            </w:pPr>
            <w:r w:rsidRPr="00C604CD">
              <w:rPr>
                <w:rFonts w:ascii="Calibri" w:eastAsia="Aptos Narrow" w:hAnsi="Calibri" w:cs="Calibri"/>
                <w:color w:val="000000" w:themeColor="text1"/>
                <w:sz w:val="22"/>
                <w:szCs w:val="22"/>
              </w:rPr>
              <w:t>5–14 years</w:t>
            </w:r>
          </w:p>
        </w:tc>
        <w:tc>
          <w:tcPr>
            <w:tcW w:w="1254" w:type="dxa"/>
          </w:tcPr>
          <w:p w14:paraId="40E12A81" w14:textId="3E014C51"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66,800 (50,500 to 84,800)</w:t>
            </w:r>
          </w:p>
        </w:tc>
        <w:tc>
          <w:tcPr>
            <w:tcW w:w="1417" w:type="dxa"/>
          </w:tcPr>
          <w:p w14:paraId="4E388BF4" w14:textId="1F57218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6.0 (4.5 to 7.6)</w:t>
            </w:r>
          </w:p>
        </w:tc>
        <w:tc>
          <w:tcPr>
            <w:tcW w:w="1560" w:type="dxa"/>
          </w:tcPr>
          <w:p w14:paraId="5CADDC9C" w14:textId="4EC69474"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50,800 (37,200 to 69,400)</w:t>
            </w:r>
          </w:p>
        </w:tc>
        <w:tc>
          <w:tcPr>
            <w:tcW w:w="1842" w:type="dxa"/>
          </w:tcPr>
          <w:p w14:paraId="61F28C5D" w14:textId="6211596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4.0 (2.9 to 5.4)</w:t>
            </w:r>
          </w:p>
        </w:tc>
        <w:tc>
          <w:tcPr>
            <w:tcW w:w="1701" w:type="dxa"/>
          </w:tcPr>
          <w:p w14:paraId="63185FDF" w14:textId="2CCE7F3D"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43,700 (31,200 to 57,700)</w:t>
            </w:r>
          </w:p>
        </w:tc>
        <w:tc>
          <w:tcPr>
            <w:tcW w:w="1276" w:type="dxa"/>
          </w:tcPr>
          <w:p w14:paraId="51BD2EBD" w14:textId="40A22CB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3.2 (2.3 to 4.2)</w:t>
            </w:r>
          </w:p>
        </w:tc>
        <w:tc>
          <w:tcPr>
            <w:tcW w:w="1559" w:type="dxa"/>
          </w:tcPr>
          <w:p w14:paraId="15A058A6" w14:textId="4F17257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-47.0 (-63.6 to -18.0)</w:t>
            </w:r>
          </w:p>
        </w:tc>
        <w:tc>
          <w:tcPr>
            <w:tcW w:w="1560" w:type="dxa"/>
          </w:tcPr>
          <w:p w14:paraId="37A063CF" w14:textId="1E962780"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-20.4 (-40.5 to 5.8)</w:t>
            </w:r>
          </w:p>
        </w:tc>
      </w:tr>
      <w:tr w:rsidR="004B5BA4" w:rsidRPr="00C604CD" w14:paraId="5629D7DA" w14:textId="77777777" w:rsidTr="008B5C68">
        <w:trPr>
          <w:trHeight w:val="300"/>
        </w:trPr>
        <w:tc>
          <w:tcPr>
            <w:tcW w:w="1860" w:type="dxa"/>
          </w:tcPr>
          <w:p w14:paraId="4001346C" w14:textId="7A135CE5" w:rsidR="004B5BA4" w:rsidRPr="00C604CD" w:rsidRDefault="004B5BA4" w:rsidP="004B5BA4">
            <w:pPr>
              <w:rPr>
                <w:rFonts w:ascii="Calibri" w:hAnsi="Calibri" w:cs="Calibri"/>
              </w:rPr>
            </w:pPr>
            <w:r w:rsidRPr="00C604CD">
              <w:rPr>
                <w:rFonts w:ascii="Calibri" w:eastAsia="Aptos Narrow" w:hAnsi="Calibri" w:cs="Calibri"/>
                <w:color w:val="000000" w:themeColor="text1"/>
                <w:sz w:val="22"/>
                <w:szCs w:val="22"/>
              </w:rPr>
              <w:t>15–49 years</w:t>
            </w:r>
          </w:p>
        </w:tc>
        <w:tc>
          <w:tcPr>
            <w:tcW w:w="1254" w:type="dxa"/>
          </w:tcPr>
          <w:p w14:paraId="734E3D3D" w14:textId="31E8704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73,000 (57,100 to 88,800)</w:t>
            </w:r>
          </w:p>
        </w:tc>
        <w:tc>
          <w:tcPr>
            <w:tcW w:w="1417" w:type="dxa"/>
          </w:tcPr>
          <w:p w14:paraId="19F2DBD2" w14:textId="1808A10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2.7 (2.1 to 3.3)</w:t>
            </w:r>
          </w:p>
        </w:tc>
        <w:tc>
          <w:tcPr>
            <w:tcW w:w="1560" w:type="dxa"/>
          </w:tcPr>
          <w:p w14:paraId="0F781562" w14:textId="3CF8FBC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78,000 (60,500 to 101,000)</w:t>
            </w:r>
          </w:p>
        </w:tc>
        <w:tc>
          <w:tcPr>
            <w:tcW w:w="1842" w:type="dxa"/>
          </w:tcPr>
          <w:p w14:paraId="69C6291B" w14:textId="5F4FA0E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2.1 (1.6 to 2.7)</w:t>
            </w:r>
          </w:p>
        </w:tc>
        <w:tc>
          <w:tcPr>
            <w:tcW w:w="1701" w:type="dxa"/>
          </w:tcPr>
          <w:p w14:paraId="6AB623BA" w14:textId="4CC2375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73,600 (55,100 to 95,000)</w:t>
            </w:r>
          </w:p>
        </w:tc>
        <w:tc>
          <w:tcPr>
            <w:tcW w:w="1276" w:type="dxa"/>
          </w:tcPr>
          <w:p w14:paraId="4DA97DB0" w14:textId="3BAE1BF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1.8 (1.4 to 2.4)</w:t>
            </w:r>
          </w:p>
        </w:tc>
        <w:tc>
          <w:tcPr>
            <w:tcW w:w="1559" w:type="dxa"/>
          </w:tcPr>
          <w:p w14:paraId="4FBC7A77" w14:textId="41A9138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-31.6 (-50.7 to 0.3)</w:t>
            </w:r>
          </w:p>
        </w:tc>
        <w:tc>
          <w:tcPr>
            <w:tcW w:w="1560" w:type="dxa"/>
          </w:tcPr>
          <w:p w14:paraId="56DBF907" w14:textId="4F05F1F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-10.4 (-29.3 to 13.0)</w:t>
            </w:r>
          </w:p>
        </w:tc>
      </w:tr>
      <w:tr w:rsidR="004B5BA4" w:rsidRPr="00C604CD" w14:paraId="180D3797" w14:textId="77777777" w:rsidTr="008B5C68">
        <w:trPr>
          <w:trHeight w:val="300"/>
        </w:trPr>
        <w:tc>
          <w:tcPr>
            <w:tcW w:w="1860" w:type="dxa"/>
          </w:tcPr>
          <w:p w14:paraId="1E4AA548" w14:textId="08CAA9AE" w:rsidR="004B5BA4" w:rsidRPr="00C604CD" w:rsidRDefault="004B5BA4" w:rsidP="004B5BA4">
            <w:pPr>
              <w:rPr>
                <w:rFonts w:ascii="Calibri" w:hAnsi="Calibri" w:cs="Calibri"/>
              </w:rPr>
            </w:pPr>
            <w:r w:rsidRPr="00C604CD">
              <w:rPr>
                <w:rFonts w:ascii="Calibri" w:eastAsia="Aptos Narrow" w:hAnsi="Calibri" w:cs="Calibri"/>
                <w:color w:val="000000" w:themeColor="text1"/>
                <w:sz w:val="22"/>
                <w:szCs w:val="22"/>
              </w:rPr>
              <w:t>50–69 years</w:t>
            </w:r>
          </w:p>
        </w:tc>
        <w:tc>
          <w:tcPr>
            <w:tcW w:w="1254" w:type="dxa"/>
          </w:tcPr>
          <w:p w14:paraId="1657F8FF" w14:textId="7B8DC0D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30,600 (24,400 to 36,300)</w:t>
            </w:r>
          </w:p>
        </w:tc>
        <w:tc>
          <w:tcPr>
            <w:tcW w:w="1417" w:type="dxa"/>
          </w:tcPr>
          <w:p w14:paraId="0E1CB278" w14:textId="636E470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4.5 (3.6 to 5.3)</w:t>
            </w:r>
          </w:p>
        </w:tc>
        <w:tc>
          <w:tcPr>
            <w:tcW w:w="1560" w:type="dxa"/>
          </w:tcPr>
          <w:p w14:paraId="18D1EE43" w14:textId="2EA5044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31,400 (24,800 to 39,500)</w:t>
            </w:r>
          </w:p>
        </w:tc>
        <w:tc>
          <w:tcPr>
            <w:tcW w:w="1842" w:type="dxa"/>
          </w:tcPr>
          <w:p w14:paraId="3D77C85D" w14:textId="6E9E551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2.5 (2.0 to 3.2)</w:t>
            </w:r>
          </w:p>
        </w:tc>
        <w:tc>
          <w:tcPr>
            <w:tcW w:w="1701" w:type="dxa"/>
          </w:tcPr>
          <w:p w14:paraId="5D37391B" w14:textId="4DF5C73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27,900 (21,700 to 36,200)</w:t>
            </w:r>
          </w:p>
        </w:tc>
        <w:tc>
          <w:tcPr>
            <w:tcW w:w="1276" w:type="dxa"/>
          </w:tcPr>
          <w:p w14:paraId="4A3E796D" w14:textId="60E037D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1.9 (1.5 to 2.4)</w:t>
            </w:r>
          </w:p>
        </w:tc>
        <w:tc>
          <w:tcPr>
            <w:tcW w:w="1559" w:type="dxa"/>
          </w:tcPr>
          <w:p w14:paraId="65B3A14E" w14:textId="2725BDED"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-58.3 (-69.6 to -38.7)</w:t>
            </w:r>
          </w:p>
        </w:tc>
        <w:tc>
          <w:tcPr>
            <w:tcW w:w="1560" w:type="dxa"/>
          </w:tcPr>
          <w:p w14:paraId="33F7E55A" w14:textId="5DB9317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-26.0 (-41.4 to -5.8)</w:t>
            </w:r>
          </w:p>
        </w:tc>
      </w:tr>
      <w:tr w:rsidR="004B5BA4" w:rsidRPr="00C604CD" w14:paraId="48C28A84" w14:textId="77777777" w:rsidTr="008B5C68">
        <w:trPr>
          <w:trHeight w:val="300"/>
        </w:trPr>
        <w:tc>
          <w:tcPr>
            <w:tcW w:w="1860" w:type="dxa"/>
          </w:tcPr>
          <w:p w14:paraId="4E1A680F" w14:textId="7B9FA979" w:rsidR="004B5BA4" w:rsidRPr="00C604CD" w:rsidRDefault="004B5BA4" w:rsidP="004B5BA4">
            <w:pPr>
              <w:rPr>
                <w:rFonts w:ascii="Calibri" w:hAnsi="Calibri" w:cs="Calibri"/>
              </w:rPr>
            </w:pPr>
            <w:r>
              <w:rPr>
                <w:rFonts w:ascii="Calibri" w:eastAsia="Aptos Narrow" w:hAnsi="Calibri" w:cs="Calibri"/>
                <w:color w:val="000000" w:themeColor="text1"/>
                <w:sz w:val="22"/>
                <w:szCs w:val="22"/>
              </w:rPr>
              <w:t>≥</w:t>
            </w:r>
            <w:r w:rsidRPr="00C604CD">
              <w:rPr>
                <w:rFonts w:ascii="Calibri" w:eastAsia="Aptos Narrow" w:hAnsi="Calibri" w:cs="Calibri"/>
                <w:color w:val="000000" w:themeColor="text1"/>
                <w:sz w:val="22"/>
                <w:szCs w:val="22"/>
              </w:rPr>
              <w:t>70 years</w:t>
            </w:r>
          </w:p>
        </w:tc>
        <w:tc>
          <w:tcPr>
            <w:tcW w:w="1254" w:type="dxa"/>
          </w:tcPr>
          <w:p w14:paraId="72ABAD9F" w14:textId="6E82CB7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21,500 (17,000 to 26,500)</w:t>
            </w:r>
          </w:p>
        </w:tc>
        <w:tc>
          <w:tcPr>
            <w:tcW w:w="1417" w:type="dxa"/>
          </w:tcPr>
          <w:p w14:paraId="3BF438FA" w14:textId="4D5D87C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10.6 (8.4 to 13.0)</w:t>
            </w:r>
          </w:p>
        </w:tc>
        <w:tc>
          <w:tcPr>
            <w:tcW w:w="1560" w:type="dxa"/>
          </w:tcPr>
          <w:p w14:paraId="15B67296" w14:textId="74C03A3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29,400 (22,800 to 37,400)</w:t>
            </w:r>
          </w:p>
        </w:tc>
        <w:tc>
          <w:tcPr>
            <w:tcW w:w="1842" w:type="dxa"/>
          </w:tcPr>
          <w:p w14:paraId="0B59BFB7" w14:textId="7B240CAA"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7.1 (5.5 to 9.1)</w:t>
            </w:r>
            <w:r w:rsidRPr="7D1FCCE0">
              <w:rPr>
                <w:rFonts w:ascii="Calibri" w:eastAsia="Aptos Narrow" w:hAnsi="Calibri" w:cs="Calibri"/>
                <w:color w:val="000000" w:themeColor="text1"/>
                <w:sz w:val="22"/>
                <w:szCs w:val="22"/>
              </w:rPr>
              <w:t xml:space="preserve"> </w:t>
            </w:r>
          </w:p>
        </w:tc>
        <w:tc>
          <w:tcPr>
            <w:tcW w:w="1701" w:type="dxa"/>
          </w:tcPr>
          <w:p w14:paraId="196CAFE2" w14:textId="68524C12" w:rsidR="7D1FCCE0" w:rsidRDefault="0052635A">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26,900 (21,000 – 34,900)</w:t>
            </w:r>
          </w:p>
        </w:tc>
        <w:tc>
          <w:tcPr>
            <w:tcW w:w="1276" w:type="dxa"/>
          </w:tcPr>
          <w:p w14:paraId="050D1133" w14:textId="22F1AC5D" w:rsidR="7D1FCCE0" w:rsidRDefault="0052635A">
            <w:pPr>
              <w:rPr>
                <w:rFonts w:ascii="Calibri" w:eastAsia="Aptos Narrow" w:hAnsi="Calibri" w:cs="Calibri"/>
                <w:color w:val="000000" w:themeColor="text1"/>
                <w:sz w:val="22"/>
                <w:szCs w:val="22"/>
              </w:rPr>
            </w:pPr>
            <w:r w:rsidRPr="0052635A">
              <w:rPr>
                <w:rFonts w:ascii="Aptos Narrow" w:eastAsia="Aptos Narrow" w:hAnsi="Aptos Narrow" w:cs="Aptos Narrow"/>
                <w:color w:val="000000" w:themeColor="text1"/>
                <w:sz w:val="22"/>
                <w:szCs w:val="22"/>
              </w:rPr>
              <w:t>4.99 (3.89 – 6.47)</w:t>
            </w:r>
          </w:p>
        </w:tc>
        <w:tc>
          <w:tcPr>
            <w:tcW w:w="1559" w:type="dxa"/>
          </w:tcPr>
          <w:p w14:paraId="2E6C0AD0" w14:textId="56D3E0B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-52.7 (-65.8 to -31.8)</w:t>
            </w:r>
          </w:p>
        </w:tc>
        <w:tc>
          <w:tcPr>
            <w:tcW w:w="1560" w:type="dxa"/>
          </w:tcPr>
          <w:p w14:paraId="56A7F901" w14:textId="11FEECC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-30.1 (-44.2 to -11.7)</w:t>
            </w:r>
          </w:p>
        </w:tc>
      </w:tr>
    </w:tbl>
    <w:p w14:paraId="22B86886" w14:textId="7FF63145" w:rsidR="4F08E9B4" w:rsidRPr="00C604CD" w:rsidRDefault="4F08E9B4" w:rsidP="742E2369">
      <w:pPr>
        <w:rPr>
          <w:rFonts w:ascii="Calibri" w:eastAsia="Calibri" w:hAnsi="Calibri" w:cs="Calibri"/>
          <w:sz w:val="20"/>
          <w:szCs w:val="20"/>
        </w:rPr>
      </w:pPr>
      <w:r w:rsidRPr="00C604CD">
        <w:rPr>
          <w:rFonts w:ascii="Calibri" w:eastAsia="Calibri" w:hAnsi="Calibri" w:cs="Calibri"/>
          <w:sz w:val="22"/>
          <w:szCs w:val="22"/>
        </w:rPr>
        <w:t xml:space="preserve">Estimates are presented as rounded values and therefore </w:t>
      </w:r>
      <w:r w:rsidR="00C604CD" w:rsidRPr="00C604CD">
        <w:rPr>
          <w:rFonts w:ascii="Calibri" w:eastAsia="Calibri" w:hAnsi="Calibri" w:cs="Calibri"/>
          <w:sz w:val="22"/>
          <w:szCs w:val="22"/>
        </w:rPr>
        <w:t xml:space="preserve">might </w:t>
      </w:r>
      <w:r w:rsidRPr="00C604CD">
        <w:rPr>
          <w:rFonts w:ascii="Calibri" w:eastAsia="Calibri" w:hAnsi="Calibri" w:cs="Calibri"/>
          <w:sz w:val="22"/>
          <w:szCs w:val="22"/>
        </w:rPr>
        <w:t>not sum to estimated aggregates.</w:t>
      </w:r>
      <w:r w:rsidR="00C604CD" w:rsidRPr="00C604CD">
        <w:rPr>
          <w:rFonts w:ascii="Calibri" w:eastAsia="Calibri" w:hAnsi="Calibri" w:cs="Calibri"/>
          <w:sz w:val="22"/>
          <w:szCs w:val="22"/>
        </w:rPr>
        <w:t xml:space="preserve"> </w:t>
      </w:r>
      <w:r w:rsidR="00EB5953">
        <w:rPr>
          <w:rFonts w:ascii="Calibri" w:eastAsia="Calibri" w:hAnsi="Calibri" w:cs="Calibri"/>
          <w:sz w:val="22"/>
          <w:szCs w:val="22"/>
        </w:rPr>
        <w:t xml:space="preserve">Data in parentheses are 95% </w:t>
      </w:r>
      <w:r w:rsidR="00C604CD" w:rsidRPr="00C604CD">
        <w:rPr>
          <w:rFonts w:ascii="Calibri" w:eastAsia="Calibri" w:hAnsi="Calibri" w:cs="Calibri"/>
          <w:sz w:val="22"/>
          <w:szCs w:val="22"/>
        </w:rPr>
        <w:t>uncertainty interval</w:t>
      </w:r>
      <w:r w:rsidR="007159C2">
        <w:rPr>
          <w:rFonts w:ascii="Calibri" w:eastAsia="Calibri" w:hAnsi="Calibri" w:cs="Calibri"/>
          <w:sz w:val="22"/>
          <w:szCs w:val="22"/>
        </w:rPr>
        <w:t>s</w:t>
      </w:r>
      <w:r w:rsidR="00C604CD" w:rsidRPr="00C604CD">
        <w:rPr>
          <w:rFonts w:ascii="Calibri" w:eastAsia="Calibri" w:hAnsi="Calibri" w:cs="Calibri"/>
          <w:sz w:val="22"/>
          <w:szCs w:val="22"/>
        </w:rPr>
        <w:t>.</w:t>
      </w:r>
    </w:p>
    <w:p w14:paraId="7E411329" w14:textId="29CF3B15" w:rsidR="00AF1EF6" w:rsidRPr="00C604CD" w:rsidRDefault="00AF1EF6">
      <w:pPr>
        <w:spacing w:line="278" w:lineRule="auto"/>
        <w:rPr>
          <w:rFonts w:ascii="Calibri" w:eastAsia="Calibri" w:hAnsi="Calibri" w:cs="Calibri"/>
          <w:b/>
          <w:bCs/>
          <w:color w:val="000000" w:themeColor="text1"/>
          <w:sz w:val="22"/>
          <w:szCs w:val="22"/>
        </w:rPr>
      </w:pPr>
      <w:r w:rsidRPr="00C604CD">
        <w:rPr>
          <w:rFonts w:ascii="Calibri" w:eastAsia="Calibri" w:hAnsi="Calibri" w:cs="Calibri"/>
          <w:b/>
          <w:bCs/>
          <w:color w:val="000000" w:themeColor="text1"/>
          <w:sz w:val="22"/>
          <w:szCs w:val="22"/>
        </w:rPr>
        <w:lastRenderedPageBreak/>
        <w:br w:type="page"/>
      </w:r>
    </w:p>
    <w:p w14:paraId="69A25AB9" w14:textId="157C2416" w:rsidR="00542556" w:rsidRPr="00C604CD" w:rsidRDefault="14A538FC" w:rsidP="00542556">
      <w:pPr>
        <w:spacing w:after="0"/>
        <w:rPr>
          <w:rFonts w:ascii="Calibri" w:eastAsia="Calibri" w:hAnsi="Calibri" w:cs="Calibri"/>
          <w:b/>
          <w:bCs/>
          <w:color w:val="000000" w:themeColor="text1"/>
          <w:sz w:val="22"/>
          <w:szCs w:val="22"/>
        </w:rPr>
      </w:pPr>
      <w:r w:rsidRPr="008B5C68">
        <w:rPr>
          <w:rFonts w:ascii="Calibri" w:eastAsia="Calibri" w:hAnsi="Calibri" w:cs="Calibri"/>
          <w:b/>
          <w:bCs/>
          <w:i/>
          <w:iCs/>
          <w:color w:val="000000" w:themeColor="text1"/>
          <w:sz w:val="22"/>
          <w:szCs w:val="22"/>
        </w:rPr>
        <w:lastRenderedPageBreak/>
        <w:t>Table 2</w:t>
      </w:r>
      <w:r w:rsidRPr="7D1FCCE0">
        <w:rPr>
          <w:rFonts w:ascii="Calibri" w:eastAsia="Calibri" w:hAnsi="Calibri" w:cs="Calibri"/>
          <w:b/>
          <w:bCs/>
          <w:color w:val="000000" w:themeColor="text1"/>
          <w:sz w:val="22"/>
          <w:szCs w:val="22"/>
        </w:rPr>
        <w:t xml:space="preserve">: Non-fatal estimates of meningitis globally by age </w:t>
      </w:r>
      <w:r w:rsidRPr="0052635A">
        <w:rPr>
          <w:rFonts w:ascii="Calibri" w:eastAsia="Calibri" w:hAnsi="Calibri" w:cs="Calibri"/>
          <w:b/>
          <w:bCs/>
          <w:sz w:val="22"/>
          <w:szCs w:val="22"/>
        </w:rPr>
        <w:t>in</w:t>
      </w:r>
      <w:r w:rsidR="2A0B408A" w:rsidRPr="0052635A">
        <w:rPr>
          <w:rFonts w:ascii="Calibri" w:eastAsia="Calibri" w:hAnsi="Calibri" w:cs="Calibri"/>
          <w:b/>
          <w:bCs/>
          <w:sz w:val="22"/>
          <w:szCs w:val="22"/>
        </w:rPr>
        <w:t xml:space="preserve"> 1990, 2015, and</w:t>
      </w:r>
      <w:r w:rsidRPr="0052635A">
        <w:rPr>
          <w:rFonts w:ascii="Calibri" w:eastAsia="Calibri" w:hAnsi="Calibri" w:cs="Calibri"/>
          <w:b/>
          <w:bCs/>
          <w:sz w:val="22"/>
          <w:szCs w:val="22"/>
        </w:rPr>
        <w:t xml:space="preserve"> 2023</w:t>
      </w:r>
    </w:p>
    <w:p w14:paraId="3CC44633" w14:textId="147F6724" w:rsidR="009929D5" w:rsidRPr="00C604CD" w:rsidRDefault="009929D5" w:rsidP="009929D5">
      <w:pPr>
        <w:spacing w:after="0"/>
        <w:rPr>
          <w:rFonts w:ascii="Calibri" w:eastAsia="Calibri" w:hAnsi="Calibri" w:cs="Calibri"/>
          <w:b/>
          <w:bCs/>
          <w:color w:val="000000" w:themeColor="text1"/>
          <w:sz w:val="22"/>
          <w:szCs w:val="22"/>
        </w:rPr>
      </w:pPr>
    </w:p>
    <w:tbl>
      <w:tblPr>
        <w:tblStyle w:val="TableGrid"/>
        <w:tblW w:w="14138" w:type="dxa"/>
        <w:tblLayout w:type="fixed"/>
        <w:tblLook w:val="06A0" w:firstRow="1" w:lastRow="0" w:firstColumn="1" w:lastColumn="0" w:noHBand="1" w:noVBand="1"/>
      </w:tblPr>
      <w:tblGrid>
        <w:gridCol w:w="1770"/>
        <w:gridCol w:w="1344"/>
        <w:gridCol w:w="1344"/>
        <w:gridCol w:w="1344"/>
        <w:gridCol w:w="1344"/>
        <w:gridCol w:w="1780"/>
        <w:gridCol w:w="1420"/>
        <w:gridCol w:w="11"/>
        <w:gridCol w:w="1829"/>
        <w:gridCol w:w="1941"/>
        <w:gridCol w:w="11"/>
      </w:tblGrid>
      <w:tr w:rsidR="00D26053" w:rsidRPr="00C604CD" w14:paraId="2334F45A" w14:textId="77777777" w:rsidTr="0052635A">
        <w:trPr>
          <w:gridAfter w:val="1"/>
          <w:wAfter w:w="11" w:type="dxa"/>
          <w:trHeight w:val="1155"/>
        </w:trPr>
        <w:tc>
          <w:tcPr>
            <w:tcW w:w="1770" w:type="dxa"/>
          </w:tcPr>
          <w:p w14:paraId="5F7DC86B" w14:textId="77777777" w:rsidR="00D26053" w:rsidRPr="00C604CD" w:rsidRDefault="00D26053" w:rsidP="00D26053">
            <w:pPr>
              <w:rPr>
                <w:rFonts w:ascii="Calibri" w:hAnsi="Calibri" w:cs="Calibri"/>
              </w:rPr>
            </w:pPr>
          </w:p>
        </w:tc>
        <w:tc>
          <w:tcPr>
            <w:tcW w:w="2688" w:type="dxa"/>
            <w:gridSpan w:val="2"/>
          </w:tcPr>
          <w:p w14:paraId="3DC20C8C" w14:textId="2B42A88E" w:rsidR="00D26053" w:rsidRPr="00C604CD" w:rsidRDefault="2A0B408A" w:rsidP="00D26053">
            <w:pPr>
              <w:rPr>
                <w:rFonts w:ascii="Calibri" w:eastAsia="Aptos Narrow" w:hAnsi="Calibri" w:cs="Calibri"/>
                <w:b/>
                <w:bCs/>
                <w:color w:val="000000" w:themeColor="text1"/>
                <w:sz w:val="22"/>
                <w:szCs w:val="22"/>
              </w:rPr>
            </w:pPr>
            <w:r w:rsidRPr="7D1FCCE0">
              <w:rPr>
                <w:rFonts w:ascii="Calibri" w:eastAsia="Aptos Narrow" w:hAnsi="Calibri" w:cs="Calibri"/>
                <w:b/>
                <w:bCs/>
                <w:color w:val="000000" w:themeColor="text1"/>
                <w:sz w:val="22"/>
                <w:szCs w:val="22"/>
              </w:rPr>
              <w:t>1990</w:t>
            </w:r>
          </w:p>
        </w:tc>
        <w:tc>
          <w:tcPr>
            <w:tcW w:w="2688" w:type="dxa"/>
            <w:gridSpan w:val="2"/>
          </w:tcPr>
          <w:p w14:paraId="62D040EC" w14:textId="3081A2C4" w:rsidR="00D26053" w:rsidRPr="00C604CD" w:rsidRDefault="2A0B408A" w:rsidP="00D26053">
            <w:pPr>
              <w:rPr>
                <w:rFonts w:ascii="Calibri" w:eastAsia="Aptos Narrow" w:hAnsi="Calibri" w:cs="Calibri"/>
                <w:b/>
                <w:bCs/>
                <w:color w:val="000000" w:themeColor="text1"/>
                <w:sz w:val="22"/>
                <w:szCs w:val="22"/>
              </w:rPr>
            </w:pPr>
            <w:r w:rsidRPr="7D1FCCE0">
              <w:rPr>
                <w:rFonts w:ascii="Calibri" w:eastAsia="Aptos Narrow" w:hAnsi="Calibri" w:cs="Calibri"/>
                <w:b/>
                <w:bCs/>
                <w:color w:val="000000" w:themeColor="text1"/>
                <w:sz w:val="22"/>
                <w:szCs w:val="22"/>
              </w:rPr>
              <w:t>2015</w:t>
            </w:r>
          </w:p>
        </w:tc>
        <w:tc>
          <w:tcPr>
            <w:tcW w:w="3211" w:type="dxa"/>
            <w:gridSpan w:val="3"/>
          </w:tcPr>
          <w:p w14:paraId="4CFB1585" w14:textId="6E1F61B1" w:rsidR="00D26053" w:rsidRPr="00C604CD" w:rsidRDefault="00D26053" w:rsidP="00D26053">
            <w:pPr>
              <w:rPr>
                <w:rFonts w:ascii="Calibri" w:eastAsia="Aptos Narrow" w:hAnsi="Calibri" w:cs="Calibri"/>
                <w:b/>
                <w:bCs/>
                <w:color w:val="000000" w:themeColor="text1"/>
                <w:sz w:val="22"/>
                <w:szCs w:val="22"/>
              </w:rPr>
            </w:pPr>
            <w:r>
              <w:rPr>
                <w:rFonts w:ascii="Calibri" w:eastAsia="Aptos Narrow" w:hAnsi="Calibri" w:cs="Calibri"/>
                <w:b/>
                <w:bCs/>
                <w:color w:val="000000" w:themeColor="text1"/>
                <w:sz w:val="22"/>
                <w:szCs w:val="22"/>
              </w:rPr>
              <w:t>2023</w:t>
            </w:r>
          </w:p>
        </w:tc>
        <w:tc>
          <w:tcPr>
            <w:tcW w:w="1829" w:type="dxa"/>
          </w:tcPr>
          <w:p w14:paraId="57757A3D" w14:textId="77BA2B65" w:rsidR="00D26053" w:rsidRPr="00C604CD" w:rsidRDefault="00D26053" w:rsidP="00D26053">
            <w:pPr>
              <w:rPr>
                <w:rFonts w:ascii="Calibri" w:eastAsia="Aptos Narrow" w:hAnsi="Calibri" w:cs="Calibri"/>
                <w:b/>
                <w:bCs/>
                <w:color w:val="000000" w:themeColor="text1"/>
                <w:sz w:val="22"/>
                <w:szCs w:val="22"/>
              </w:rPr>
            </w:pPr>
            <w:r w:rsidRPr="00C604CD">
              <w:rPr>
                <w:rFonts w:ascii="Calibri" w:eastAsia="Aptos Narrow" w:hAnsi="Calibri" w:cs="Calibri"/>
                <w:b/>
                <w:bCs/>
                <w:color w:val="000000" w:themeColor="text1"/>
                <w:sz w:val="22"/>
                <w:szCs w:val="22"/>
              </w:rPr>
              <w:t>Percent</w:t>
            </w:r>
            <w:r>
              <w:rPr>
                <w:rFonts w:ascii="Calibri" w:eastAsia="Aptos Narrow" w:hAnsi="Calibri" w:cs="Calibri"/>
                <w:b/>
                <w:bCs/>
                <w:color w:val="000000" w:themeColor="text1"/>
                <w:sz w:val="22"/>
                <w:szCs w:val="22"/>
              </w:rPr>
              <w:t>age</w:t>
            </w:r>
            <w:r w:rsidRPr="00C604CD">
              <w:rPr>
                <w:rFonts w:ascii="Calibri" w:eastAsia="Aptos Narrow" w:hAnsi="Calibri" w:cs="Calibri"/>
                <w:b/>
                <w:bCs/>
                <w:color w:val="000000" w:themeColor="text1"/>
                <w:sz w:val="22"/>
                <w:szCs w:val="22"/>
              </w:rPr>
              <w:t xml:space="preserve"> change in incidence rates between 1990 and 2023 </w:t>
            </w:r>
          </w:p>
        </w:tc>
        <w:tc>
          <w:tcPr>
            <w:tcW w:w="1941" w:type="dxa"/>
          </w:tcPr>
          <w:p w14:paraId="50DF57B7" w14:textId="2043E261" w:rsidR="00D26053" w:rsidRPr="00C604CD" w:rsidRDefault="00D26053" w:rsidP="00D26053">
            <w:pPr>
              <w:rPr>
                <w:rFonts w:ascii="Calibri" w:eastAsia="Aptos Narrow" w:hAnsi="Calibri" w:cs="Calibri"/>
                <w:b/>
                <w:bCs/>
                <w:color w:val="000000" w:themeColor="text1"/>
                <w:sz w:val="22"/>
                <w:szCs w:val="22"/>
              </w:rPr>
            </w:pPr>
            <w:r w:rsidRPr="00C604CD">
              <w:rPr>
                <w:rFonts w:ascii="Calibri" w:eastAsia="Aptos Narrow" w:hAnsi="Calibri" w:cs="Calibri"/>
                <w:b/>
                <w:bCs/>
                <w:color w:val="000000" w:themeColor="text1"/>
                <w:sz w:val="22"/>
                <w:szCs w:val="22"/>
              </w:rPr>
              <w:t>Percent</w:t>
            </w:r>
            <w:r>
              <w:rPr>
                <w:rFonts w:ascii="Calibri" w:eastAsia="Aptos Narrow" w:hAnsi="Calibri" w:cs="Calibri"/>
                <w:b/>
                <w:bCs/>
                <w:color w:val="000000" w:themeColor="text1"/>
                <w:sz w:val="22"/>
                <w:szCs w:val="22"/>
              </w:rPr>
              <w:t>age</w:t>
            </w:r>
            <w:r w:rsidRPr="00C604CD">
              <w:rPr>
                <w:rFonts w:ascii="Calibri" w:eastAsia="Aptos Narrow" w:hAnsi="Calibri" w:cs="Calibri"/>
                <w:b/>
                <w:bCs/>
                <w:color w:val="000000" w:themeColor="text1"/>
                <w:sz w:val="22"/>
                <w:szCs w:val="22"/>
              </w:rPr>
              <w:t xml:space="preserve"> change in incidence rates between 2015 and 2023 </w:t>
            </w:r>
          </w:p>
        </w:tc>
      </w:tr>
      <w:tr w:rsidR="00D26053" w:rsidRPr="00C604CD" w14:paraId="2C91F80B" w14:textId="77777777" w:rsidTr="0052635A">
        <w:trPr>
          <w:trHeight w:val="1155"/>
        </w:trPr>
        <w:tc>
          <w:tcPr>
            <w:tcW w:w="1770" w:type="dxa"/>
          </w:tcPr>
          <w:p w14:paraId="26AC6FDB" w14:textId="77777777" w:rsidR="00D26053" w:rsidRPr="00C604CD" w:rsidRDefault="00D26053" w:rsidP="00D26053">
            <w:pPr>
              <w:rPr>
                <w:rFonts w:ascii="Calibri" w:hAnsi="Calibri" w:cs="Calibri"/>
              </w:rPr>
            </w:pPr>
          </w:p>
        </w:tc>
        <w:tc>
          <w:tcPr>
            <w:tcW w:w="1344" w:type="dxa"/>
          </w:tcPr>
          <w:p w14:paraId="0EBB6545" w14:textId="4E8883C1" w:rsidR="00D26053" w:rsidRPr="00C604CD" w:rsidRDefault="00D26053" w:rsidP="00D26053">
            <w:pPr>
              <w:rPr>
                <w:rFonts w:ascii="Calibri" w:eastAsia="Aptos Narrow" w:hAnsi="Calibri" w:cs="Calibri"/>
                <w:b/>
                <w:bCs/>
                <w:color w:val="000000" w:themeColor="text1"/>
                <w:sz w:val="22"/>
                <w:szCs w:val="22"/>
              </w:rPr>
            </w:pPr>
            <w:r w:rsidRPr="0062283D">
              <w:rPr>
                <w:rFonts w:ascii="Calibri" w:eastAsia="Aptos Narrow" w:hAnsi="Calibri" w:cs="Calibri"/>
                <w:color w:val="000000" w:themeColor="text1"/>
                <w:sz w:val="22"/>
                <w:szCs w:val="22"/>
              </w:rPr>
              <w:t xml:space="preserve">Cases </w:t>
            </w:r>
          </w:p>
        </w:tc>
        <w:tc>
          <w:tcPr>
            <w:tcW w:w="1344" w:type="dxa"/>
          </w:tcPr>
          <w:p w14:paraId="00A2580F" w14:textId="33DB4224" w:rsidR="00D26053" w:rsidRPr="00C604CD" w:rsidRDefault="00D26053" w:rsidP="00D26053">
            <w:pPr>
              <w:rPr>
                <w:rFonts w:ascii="Calibri" w:eastAsia="Aptos Narrow" w:hAnsi="Calibri" w:cs="Calibri"/>
                <w:b/>
                <w:bCs/>
                <w:color w:val="000000" w:themeColor="text1"/>
                <w:sz w:val="22"/>
                <w:szCs w:val="22"/>
              </w:rPr>
            </w:pPr>
            <w:r w:rsidRPr="0062283D">
              <w:rPr>
                <w:rFonts w:ascii="Calibri" w:eastAsia="Aptos Narrow" w:hAnsi="Calibri" w:cs="Calibri"/>
                <w:color w:val="000000" w:themeColor="text1"/>
                <w:sz w:val="22"/>
                <w:szCs w:val="22"/>
              </w:rPr>
              <w:t xml:space="preserve">Incidence rate per 100 000 </w:t>
            </w:r>
          </w:p>
        </w:tc>
        <w:tc>
          <w:tcPr>
            <w:tcW w:w="1344" w:type="dxa"/>
          </w:tcPr>
          <w:p w14:paraId="16AD9195" w14:textId="3C33487D" w:rsidR="00D26053" w:rsidRPr="00C604CD" w:rsidRDefault="00D26053" w:rsidP="00D26053">
            <w:pPr>
              <w:rPr>
                <w:rFonts w:ascii="Calibri" w:eastAsia="Aptos Narrow" w:hAnsi="Calibri" w:cs="Calibri"/>
                <w:b/>
                <w:bCs/>
                <w:color w:val="000000" w:themeColor="text1"/>
                <w:sz w:val="22"/>
                <w:szCs w:val="22"/>
              </w:rPr>
            </w:pPr>
            <w:r w:rsidRPr="0062283D">
              <w:rPr>
                <w:rFonts w:ascii="Calibri" w:eastAsia="Aptos Narrow" w:hAnsi="Calibri" w:cs="Calibri"/>
                <w:color w:val="000000" w:themeColor="text1"/>
                <w:sz w:val="22"/>
                <w:szCs w:val="22"/>
              </w:rPr>
              <w:t xml:space="preserve">Cases </w:t>
            </w:r>
          </w:p>
        </w:tc>
        <w:tc>
          <w:tcPr>
            <w:tcW w:w="1344" w:type="dxa"/>
          </w:tcPr>
          <w:p w14:paraId="6DE94445" w14:textId="51E2B455" w:rsidR="00D26053" w:rsidRPr="00C604CD" w:rsidRDefault="00D26053" w:rsidP="00D26053">
            <w:pPr>
              <w:rPr>
                <w:rFonts w:ascii="Calibri" w:eastAsia="Aptos Narrow" w:hAnsi="Calibri" w:cs="Calibri"/>
                <w:b/>
                <w:bCs/>
                <w:color w:val="000000" w:themeColor="text1"/>
                <w:sz w:val="22"/>
                <w:szCs w:val="22"/>
              </w:rPr>
            </w:pPr>
            <w:r w:rsidRPr="0062283D">
              <w:rPr>
                <w:rFonts w:ascii="Calibri" w:eastAsia="Aptos Narrow" w:hAnsi="Calibri" w:cs="Calibri"/>
                <w:color w:val="000000" w:themeColor="text1"/>
                <w:sz w:val="22"/>
                <w:szCs w:val="22"/>
              </w:rPr>
              <w:t xml:space="preserve">Incidence rate per 100 000 </w:t>
            </w:r>
          </w:p>
        </w:tc>
        <w:tc>
          <w:tcPr>
            <w:tcW w:w="1780" w:type="dxa"/>
          </w:tcPr>
          <w:p w14:paraId="404BDE54" w14:textId="4A0E9BA5" w:rsidR="00D26053" w:rsidRPr="008B5C68" w:rsidRDefault="00D26053" w:rsidP="00D26053">
            <w:pPr>
              <w:rPr>
                <w:rFonts w:ascii="Calibri" w:eastAsia="Aptos Narrow" w:hAnsi="Calibri" w:cs="Calibri"/>
                <w:color w:val="000000" w:themeColor="text1"/>
                <w:sz w:val="22"/>
                <w:szCs w:val="22"/>
              </w:rPr>
            </w:pPr>
            <w:r w:rsidRPr="008B5C68">
              <w:rPr>
                <w:rFonts w:ascii="Calibri" w:eastAsia="Aptos Narrow" w:hAnsi="Calibri" w:cs="Calibri"/>
                <w:color w:val="000000" w:themeColor="text1"/>
                <w:sz w:val="22"/>
                <w:szCs w:val="22"/>
              </w:rPr>
              <w:t xml:space="preserve">Cases </w:t>
            </w:r>
          </w:p>
        </w:tc>
        <w:tc>
          <w:tcPr>
            <w:tcW w:w="1420" w:type="dxa"/>
          </w:tcPr>
          <w:p w14:paraId="399D1814" w14:textId="0147E174" w:rsidR="00D26053" w:rsidRPr="00D26053" w:rsidRDefault="00D26053" w:rsidP="00D26053">
            <w:pPr>
              <w:rPr>
                <w:rFonts w:ascii="Calibri" w:hAnsi="Calibri" w:cs="Calibri"/>
              </w:rPr>
            </w:pPr>
            <w:r w:rsidRPr="008B5C68">
              <w:rPr>
                <w:rFonts w:ascii="Calibri" w:eastAsia="Aptos Narrow" w:hAnsi="Calibri" w:cs="Calibri"/>
                <w:color w:val="000000" w:themeColor="text1"/>
                <w:sz w:val="22"/>
                <w:szCs w:val="22"/>
              </w:rPr>
              <w:t xml:space="preserve">Incidence rate per 100 000 </w:t>
            </w:r>
          </w:p>
        </w:tc>
        <w:tc>
          <w:tcPr>
            <w:tcW w:w="1840" w:type="dxa"/>
            <w:gridSpan w:val="2"/>
          </w:tcPr>
          <w:p w14:paraId="5AB18FC1" w14:textId="3DA0DC35" w:rsidR="00D26053" w:rsidRPr="00C604CD" w:rsidRDefault="00D26053" w:rsidP="00D26053">
            <w:pPr>
              <w:rPr>
                <w:rFonts w:ascii="Calibri" w:hAnsi="Calibri" w:cs="Calibri"/>
              </w:rPr>
            </w:pPr>
          </w:p>
        </w:tc>
        <w:tc>
          <w:tcPr>
            <w:tcW w:w="1952" w:type="dxa"/>
            <w:gridSpan w:val="2"/>
          </w:tcPr>
          <w:p w14:paraId="68E4CCCE" w14:textId="5F2CB884" w:rsidR="00D26053" w:rsidRPr="00C604CD" w:rsidRDefault="00D26053" w:rsidP="00D26053">
            <w:pPr>
              <w:rPr>
                <w:rFonts w:ascii="Calibri" w:hAnsi="Calibri" w:cs="Calibri"/>
              </w:rPr>
            </w:pPr>
          </w:p>
        </w:tc>
      </w:tr>
      <w:tr w:rsidR="00D26053" w:rsidRPr="00C604CD" w14:paraId="4E4CF63F" w14:textId="77777777" w:rsidTr="0052635A">
        <w:trPr>
          <w:trHeight w:val="300"/>
        </w:trPr>
        <w:tc>
          <w:tcPr>
            <w:tcW w:w="1770" w:type="dxa"/>
          </w:tcPr>
          <w:p w14:paraId="76E5857A" w14:textId="22D64427" w:rsidR="00D26053" w:rsidRPr="00C604CD" w:rsidRDefault="00D26053" w:rsidP="00D26053">
            <w:pPr>
              <w:rPr>
                <w:rFonts w:ascii="Calibri" w:hAnsi="Calibri" w:cs="Calibri"/>
              </w:rPr>
            </w:pPr>
            <w:r w:rsidRPr="00C604CD">
              <w:rPr>
                <w:rFonts w:ascii="Calibri" w:eastAsia="Aptos Narrow" w:hAnsi="Calibri" w:cs="Calibri"/>
                <w:color w:val="000000" w:themeColor="text1"/>
                <w:sz w:val="22"/>
                <w:szCs w:val="22"/>
              </w:rPr>
              <w:t xml:space="preserve">All </w:t>
            </w:r>
            <w:r>
              <w:rPr>
                <w:rFonts w:ascii="Calibri" w:eastAsia="Aptos Narrow" w:hAnsi="Calibri" w:cs="Calibri"/>
                <w:color w:val="000000" w:themeColor="text1"/>
                <w:sz w:val="22"/>
                <w:szCs w:val="22"/>
              </w:rPr>
              <w:t>a</w:t>
            </w:r>
            <w:r w:rsidRPr="00C604CD">
              <w:rPr>
                <w:rFonts w:ascii="Calibri" w:eastAsia="Aptos Narrow" w:hAnsi="Calibri" w:cs="Calibri"/>
                <w:color w:val="000000" w:themeColor="text1"/>
                <w:sz w:val="22"/>
                <w:szCs w:val="22"/>
              </w:rPr>
              <w:t>ges</w:t>
            </w:r>
          </w:p>
        </w:tc>
        <w:tc>
          <w:tcPr>
            <w:tcW w:w="1344" w:type="dxa"/>
          </w:tcPr>
          <w:p w14:paraId="56716C6F" w14:textId="7B42B0B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3,960,000 (3,290,000 to 4,710,000)</w:t>
            </w:r>
          </w:p>
        </w:tc>
        <w:tc>
          <w:tcPr>
            <w:tcW w:w="1344" w:type="dxa"/>
          </w:tcPr>
          <w:p w14:paraId="215A6C1A" w14:textId="05F595C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74.2 (61.7 to 88.3)</w:t>
            </w:r>
          </w:p>
        </w:tc>
        <w:tc>
          <w:tcPr>
            <w:tcW w:w="1344" w:type="dxa"/>
          </w:tcPr>
          <w:p w14:paraId="5F4AB633" w14:textId="5BBDB0F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2,860,000 (2,470,000 to 3,340,000)</w:t>
            </w:r>
          </w:p>
        </w:tc>
        <w:tc>
          <w:tcPr>
            <w:tcW w:w="1344" w:type="dxa"/>
          </w:tcPr>
          <w:p w14:paraId="45378A62" w14:textId="5E1A721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38.6 (33.3 to 45.0)</w:t>
            </w:r>
          </w:p>
        </w:tc>
        <w:tc>
          <w:tcPr>
            <w:tcW w:w="1780" w:type="dxa"/>
          </w:tcPr>
          <w:p w14:paraId="30F40EBA" w14:textId="639D6DD5"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2,540,000 (2,200,000 to 2,930,000)</w:t>
            </w:r>
          </w:p>
        </w:tc>
        <w:tc>
          <w:tcPr>
            <w:tcW w:w="1420" w:type="dxa"/>
          </w:tcPr>
          <w:p w14:paraId="23C21839" w14:textId="545E453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31.5 (27.2 to 36.4)</w:t>
            </w:r>
          </w:p>
        </w:tc>
        <w:tc>
          <w:tcPr>
            <w:tcW w:w="1840" w:type="dxa"/>
            <w:gridSpan w:val="2"/>
          </w:tcPr>
          <w:p w14:paraId="4C4ADBC0" w14:textId="2960EED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-57.5 (-60.5 to -54.5)</w:t>
            </w:r>
          </w:p>
        </w:tc>
        <w:tc>
          <w:tcPr>
            <w:tcW w:w="1952" w:type="dxa"/>
            <w:gridSpan w:val="2"/>
          </w:tcPr>
          <w:p w14:paraId="6F249EF1" w14:textId="0A0D27CD"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-18.5 (-20.0 to -17.1)</w:t>
            </w:r>
          </w:p>
        </w:tc>
      </w:tr>
      <w:tr w:rsidR="00D26053" w:rsidRPr="00C604CD" w14:paraId="7A0D0106" w14:textId="77777777" w:rsidTr="0052635A">
        <w:trPr>
          <w:trHeight w:val="300"/>
        </w:trPr>
        <w:tc>
          <w:tcPr>
            <w:tcW w:w="1770" w:type="dxa"/>
          </w:tcPr>
          <w:p w14:paraId="798FADAB" w14:textId="0C073FE5" w:rsidR="00D26053" w:rsidRPr="00C604CD" w:rsidRDefault="00D26053" w:rsidP="00D26053">
            <w:pPr>
              <w:rPr>
                <w:rFonts w:ascii="Calibri" w:hAnsi="Calibri" w:cs="Calibri"/>
              </w:rPr>
            </w:pPr>
            <w:r>
              <w:rPr>
                <w:rFonts w:ascii="Calibri" w:eastAsia="Aptos Narrow" w:hAnsi="Calibri" w:cs="Calibri"/>
                <w:color w:val="000000" w:themeColor="text1"/>
                <w:sz w:val="22"/>
                <w:szCs w:val="22"/>
              </w:rPr>
              <w:t>&lt;</w:t>
            </w:r>
            <w:r w:rsidRPr="00C604CD">
              <w:rPr>
                <w:rFonts w:ascii="Calibri" w:eastAsia="Aptos Narrow" w:hAnsi="Calibri" w:cs="Calibri"/>
                <w:color w:val="000000" w:themeColor="text1"/>
                <w:sz w:val="22"/>
                <w:szCs w:val="22"/>
              </w:rPr>
              <w:t>5</w:t>
            </w:r>
            <w:r>
              <w:rPr>
                <w:rFonts w:ascii="Calibri" w:eastAsia="Aptos Narrow" w:hAnsi="Calibri" w:cs="Calibri"/>
                <w:color w:val="000000" w:themeColor="text1"/>
                <w:sz w:val="22"/>
                <w:szCs w:val="22"/>
              </w:rPr>
              <w:t xml:space="preserve"> years</w:t>
            </w:r>
          </w:p>
        </w:tc>
        <w:tc>
          <w:tcPr>
            <w:tcW w:w="1344" w:type="dxa"/>
          </w:tcPr>
          <w:p w14:paraId="2C70D41F" w14:textId="74D81FB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2,230,000 (1,740,000 to 2,780,000)</w:t>
            </w:r>
          </w:p>
        </w:tc>
        <w:tc>
          <w:tcPr>
            <w:tcW w:w="1344" w:type="dxa"/>
          </w:tcPr>
          <w:p w14:paraId="6C46B3AB" w14:textId="75C5B28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363.2 (283.6 to 453.0)</w:t>
            </w:r>
          </w:p>
        </w:tc>
        <w:tc>
          <w:tcPr>
            <w:tcW w:w="1344" w:type="dxa"/>
          </w:tcPr>
          <w:p w14:paraId="3C1F08E2" w14:textId="092BF5DB"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1,170,000 (941,000 to 1,420,000)</w:t>
            </w:r>
          </w:p>
        </w:tc>
        <w:tc>
          <w:tcPr>
            <w:tcW w:w="1344" w:type="dxa"/>
          </w:tcPr>
          <w:p w14:paraId="54AA6582" w14:textId="719F8E9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172.1 (138.5 to 208.5)</w:t>
            </w:r>
          </w:p>
        </w:tc>
        <w:tc>
          <w:tcPr>
            <w:tcW w:w="1780" w:type="dxa"/>
          </w:tcPr>
          <w:p w14:paraId="070EE219" w14:textId="136BC98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953,000 (780,000 to 1,140,000)</w:t>
            </w:r>
          </w:p>
        </w:tc>
        <w:tc>
          <w:tcPr>
            <w:tcW w:w="1420" w:type="dxa"/>
          </w:tcPr>
          <w:p w14:paraId="2AB0BCD8" w14:textId="7DCAB34B"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148.1 (121.3 to 177.4)</w:t>
            </w:r>
          </w:p>
        </w:tc>
        <w:tc>
          <w:tcPr>
            <w:tcW w:w="1840" w:type="dxa"/>
            <w:gridSpan w:val="2"/>
          </w:tcPr>
          <w:p w14:paraId="04F4C044" w14:textId="4C8C88DE"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-59.1 (-62.1 to -56.0)</w:t>
            </w:r>
          </w:p>
        </w:tc>
        <w:tc>
          <w:tcPr>
            <w:tcW w:w="1952" w:type="dxa"/>
            <w:gridSpan w:val="2"/>
          </w:tcPr>
          <w:p w14:paraId="76EE0F21" w14:textId="0D9E729E"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-13.9 (-16.1 to -11.7)</w:t>
            </w:r>
          </w:p>
        </w:tc>
      </w:tr>
      <w:tr w:rsidR="00D26053" w:rsidRPr="00C604CD" w14:paraId="254CB28B" w14:textId="77777777" w:rsidTr="0052635A">
        <w:trPr>
          <w:trHeight w:val="300"/>
        </w:trPr>
        <w:tc>
          <w:tcPr>
            <w:tcW w:w="1770" w:type="dxa"/>
          </w:tcPr>
          <w:p w14:paraId="5FED2C9A" w14:textId="04294076" w:rsidR="00D26053" w:rsidRPr="00C604CD" w:rsidRDefault="00D26053" w:rsidP="00D26053">
            <w:pPr>
              <w:rPr>
                <w:rFonts w:ascii="Calibri" w:hAnsi="Calibri" w:cs="Calibri"/>
              </w:rPr>
            </w:pPr>
            <w:r w:rsidRPr="00C604CD">
              <w:rPr>
                <w:rFonts w:ascii="Calibri" w:eastAsia="Aptos Narrow" w:hAnsi="Calibri" w:cs="Calibri"/>
                <w:color w:val="000000" w:themeColor="text1"/>
                <w:sz w:val="22"/>
                <w:szCs w:val="22"/>
              </w:rPr>
              <w:t>5–14 years</w:t>
            </w:r>
          </w:p>
        </w:tc>
        <w:tc>
          <w:tcPr>
            <w:tcW w:w="1344" w:type="dxa"/>
          </w:tcPr>
          <w:p w14:paraId="6CEE8F6F" w14:textId="0692E3B1"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659,000 (416,000 to 952,000)</w:t>
            </w:r>
          </w:p>
        </w:tc>
        <w:tc>
          <w:tcPr>
            <w:tcW w:w="1344" w:type="dxa"/>
          </w:tcPr>
          <w:p w14:paraId="615DBA02" w14:textId="2E78095D"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58.9 (37.1 to 85.0)</w:t>
            </w:r>
          </w:p>
        </w:tc>
        <w:tc>
          <w:tcPr>
            <w:tcW w:w="1344" w:type="dxa"/>
          </w:tcPr>
          <w:p w14:paraId="42AADAD5" w14:textId="1670C77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504,000 (337,000 to 714,000)</w:t>
            </w:r>
          </w:p>
        </w:tc>
        <w:tc>
          <w:tcPr>
            <w:tcW w:w="1344" w:type="dxa"/>
          </w:tcPr>
          <w:p w14:paraId="2A823138" w14:textId="47004640"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39.4 (26.3 to 55.8)</w:t>
            </w:r>
          </w:p>
        </w:tc>
        <w:tc>
          <w:tcPr>
            <w:tcW w:w="1780" w:type="dxa"/>
          </w:tcPr>
          <w:p w14:paraId="6D0C3A8A" w14:textId="179AF884"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447,000 (304,000 to 633,000)</w:t>
            </w:r>
          </w:p>
        </w:tc>
        <w:tc>
          <w:tcPr>
            <w:tcW w:w="1420" w:type="dxa"/>
          </w:tcPr>
          <w:p w14:paraId="1F0B6BCD" w14:textId="3969E92B"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32.3 (22.0 to 45.8)</w:t>
            </w:r>
          </w:p>
        </w:tc>
        <w:tc>
          <w:tcPr>
            <w:tcW w:w="1840" w:type="dxa"/>
            <w:gridSpan w:val="2"/>
          </w:tcPr>
          <w:p w14:paraId="5B8811DE" w14:textId="27CEFF6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-44.7 (-49.3 to -38.8)</w:t>
            </w:r>
          </w:p>
        </w:tc>
        <w:tc>
          <w:tcPr>
            <w:tcW w:w="1952" w:type="dxa"/>
            <w:gridSpan w:val="2"/>
          </w:tcPr>
          <w:p w14:paraId="0DC57DC1" w14:textId="5B7AB23C"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-17.8 (-20.4 to -15.2)</w:t>
            </w:r>
          </w:p>
        </w:tc>
      </w:tr>
      <w:tr w:rsidR="00D26053" w:rsidRPr="00C604CD" w14:paraId="6ACA7F12" w14:textId="77777777" w:rsidTr="0052635A">
        <w:trPr>
          <w:trHeight w:val="300"/>
        </w:trPr>
        <w:tc>
          <w:tcPr>
            <w:tcW w:w="1770" w:type="dxa"/>
          </w:tcPr>
          <w:p w14:paraId="0A6A50C5" w14:textId="22FA8235" w:rsidR="00D26053" w:rsidRPr="00C604CD" w:rsidRDefault="00D26053" w:rsidP="00D26053">
            <w:pPr>
              <w:rPr>
                <w:rFonts w:ascii="Calibri" w:hAnsi="Calibri" w:cs="Calibri"/>
              </w:rPr>
            </w:pPr>
            <w:r w:rsidRPr="00C604CD">
              <w:rPr>
                <w:rFonts w:ascii="Calibri" w:eastAsia="Aptos Narrow" w:hAnsi="Calibri" w:cs="Calibri"/>
                <w:color w:val="000000" w:themeColor="text1"/>
                <w:sz w:val="22"/>
                <w:szCs w:val="22"/>
              </w:rPr>
              <w:t>15–49 years</w:t>
            </w:r>
          </w:p>
        </w:tc>
        <w:tc>
          <w:tcPr>
            <w:tcW w:w="1344" w:type="dxa"/>
          </w:tcPr>
          <w:p w14:paraId="020BB2CA" w14:textId="2D7114B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662,000 (490,000 to 893,000)</w:t>
            </w:r>
          </w:p>
        </w:tc>
        <w:tc>
          <w:tcPr>
            <w:tcW w:w="1344" w:type="dxa"/>
          </w:tcPr>
          <w:p w14:paraId="34C78E52" w14:textId="3E40D33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24.4 (18.0 to 32.9)</w:t>
            </w:r>
          </w:p>
        </w:tc>
        <w:tc>
          <w:tcPr>
            <w:tcW w:w="1344" w:type="dxa"/>
          </w:tcPr>
          <w:p w14:paraId="38321E8D" w14:textId="2E592596"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713,000 (553,000 to 923,000)</w:t>
            </w:r>
          </w:p>
        </w:tc>
        <w:tc>
          <w:tcPr>
            <w:tcW w:w="1344" w:type="dxa"/>
          </w:tcPr>
          <w:p w14:paraId="16EA2B3B" w14:textId="3599287D"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18.7 (14.6 to 24.3)</w:t>
            </w:r>
          </w:p>
        </w:tc>
        <w:tc>
          <w:tcPr>
            <w:tcW w:w="1780" w:type="dxa"/>
          </w:tcPr>
          <w:p w14:paraId="03A5CFB3" w14:textId="5B353C5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684,000 (537,000 to 882,000)</w:t>
            </w:r>
          </w:p>
        </w:tc>
        <w:tc>
          <w:tcPr>
            <w:tcW w:w="1420" w:type="dxa"/>
          </w:tcPr>
          <w:p w14:paraId="4B43E76C" w14:textId="612C3F80"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17.1 (13.4 to 22.0)</w:t>
            </w:r>
          </w:p>
        </w:tc>
        <w:tc>
          <w:tcPr>
            <w:tcW w:w="1840" w:type="dxa"/>
            <w:gridSpan w:val="2"/>
          </w:tcPr>
          <w:p w14:paraId="29643FC1" w14:textId="37CBF7D4"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-29.6 (-36.1 to -23.7)</w:t>
            </w:r>
          </w:p>
        </w:tc>
        <w:tc>
          <w:tcPr>
            <w:tcW w:w="1952" w:type="dxa"/>
            <w:gridSpan w:val="2"/>
          </w:tcPr>
          <w:p w14:paraId="677D72E3" w14:textId="587CC7EC"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-8.8 (-10.8 to -6.6)</w:t>
            </w:r>
          </w:p>
        </w:tc>
      </w:tr>
      <w:tr w:rsidR="00D26053" w:rsidRPr="00C604CD" w14:paraId="4F909503" w14:textId="77777777" w:rsidTr="0052635A">
        <w:trPr>
          <w:trHeight w:val="300"/>
        </w:trPr>
        <w:tc>
          <w:tcPr>
            <w:tcW w:w="1770" w:type="dxa"/>
          </w:tcPr>
          <w:p w14:paraId="7579B90A" w14:textId="7AAE2640" w:rsidR="00D26053" w:rsidRPr="00C604CD" w:rsidRDefault="00D26053" w:rsidP="00D26053">
            <w:pPr>
              <w:rPr>
                <w:rFonts w:ascii="Calibri" w:hAnsi="Calibri" w:cs="Calibri"/>
              </w:rPr>
            </w:pPr>
            <w:r w:rsidRPr="00C604CD">
              <w:rPr>
                <w:rFonts w:ascii="Calibri" w:eastAsia="Aptos Narrow" w:hAnsi="Calibri" w:cs="Calibri"/>
                <w:color w:val="000000" w:themeColor="text1"/>
                <w:sz w:val="22"/>
                <w:szCs w:val="22"/>
              </w:rPr>
              <w:t>50–69 years</w:t>
            </w:r>
          </w:p>
        </w:tc>
        <w:tc>
          <w:tcPr>
            <w:tcW w:w="1344" w:type="dxa"/>
          </w:tcPr>
          <w:p w14:paraId="2AAEF72E" w14:textId="3C8695C1"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244,000 (181,000 to 329,000)</w:t>
            </w:r>
          </w:p>
        </w:tc>
        <w:tc>
          <w:tcPr>
            <w:tcW w:w="1344" w:type="dxa"/>
          </w:tcPr>
          <w:p w14:paraId="57FE8060" w14:textId="4C0CE2B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35.8 (26.5 to 48.2)</w:t>
            </w:r>
          </w:p>
        </w:tc>
        <w:tc>
          <w:tcPr>
            <w:tcW w:w="1344" w:type="dxa"/>
          </w:tcPr>
          <w:p w14:paraId="5003A15C" w14:textId="17C7684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253,000 (199,000 to 334,000)</w:t>
            </w:r>
          </w:p>
        </w:tc>
        <w:tc>
          <w:tcPr>
            <w:tcW w:w="1344" w:type="dxa"/>
          </w:tcPr>
          <w:p w14:paraId="08C73815" w14:textId="4E97AD51"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20.4 (16.0 to 26.8)</w:t>
            </w:r>
          </w:p>
        </w:tc>
        <w:tc>
          <w:tcPr>
            <w:tcW w:w="1780" w:type="dxa"/>
          </w:tcPr>
          <w:p w14:paraId="759B2DD6" w14:textId="4FEC9A1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241,000 (192,000 to 315,000)</w:t>
            </w:r>
          </w:p>
        </w:tc>
        <w:tc>
          <w:tcPr>
            <w:tcW w:w="1420" w:type="dxa"/>
          </w:tcPr>
          <w:p w14:paraId="142E413F" w14:textId="003625E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16.1 (12.8 to 21.0)</w:t>
            </w:r>
          </w:p>
        </w:tc>
        <w:tc>
          <w:tcPr>
            <w:tcW w:w="1840" w:type="dxa"/>
            <w:gridSpan w:val="2"/>
          </w:tcPr>
          <w:p w14:paraId="54D2999A" w14:textId="00F17C9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-54.7 (-58.0 to -51.0)</w:t>
            </w:r>
          </w:p>
        </w:tc>
        <w:tc>
          <w:tcPr>
            <w:tcW w:w="1952" w:type="dxa"/>
            <w:gridSpan w:val="2"/>
          </w:tcPr>
          <w:p w14:paraId="3D8DD154" w14:textId="73A75378"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-20.8 (-22.7 to -19.1)</w:t>
            </w:r>
          </w:p>
        </w:tc>
      </w:tr>
      <w:tr w:rsidR="00D26053" w:rsidRPr="00C604CD" w14:paraId="318E58D6" w14:textId="77777777" w:rsidTr="0052635A">
        <w:trPr>
          <w:trHeight w:val="300"/>
        </w:trPr>
        <w:tc>
          <w:tcPr>
            <w:tcW w:w="1770" w:type="dxa"/>
          </w:tcPr>
          <w:p w14:paraId="78B183F4" w14:textId="58429A25" w:rsidR="00D26053" w:rsidRPr="00C604CD" w:rsidRDefault="2A0B408A" w:rsidP="00D26053">
            <w:pPr>
              <w:rPr>
                <w:rFonts w:ascii="Calibri" w:hAnsi="Calibri" w:cs="Calibri"/>
              </w:rPr>
            </w:pPr>
            <w:r w:rsidRPr="7D1FCCE0">
              <w:rPr>
                <w:rFonts w:ascii="Calibri" w:eastAsia="Aptos Narrow" w:hAnsi="Calibri" w:cs="Calibri"/>
                <w:color w:val="000000" w:themeColor="text1"/>
                <w:sz w:val="22"/>
                <w:szCs w:val="22"/>
              </w:rPr>
              <w:lastRenderedPageBreak/>
              <w:t>≥70 years</w:t>
            </w:r>
          </w:p>
        </w:tc>
        <w:tc>
          <w:tcPr>
            <w:tcW w:w="1344" w:type="dxa"/>
          </w:tcPr>
          <w:p w14:paraId="775317E3" w14:textId="657B91A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164,000 (117,000 to 223,000)</w:t>
            </w:r>
          </w:p>
        </w:tc>
        <w:tc>
          <w:tcPr>
            <w:tcW w:w="1344" w:type="dxa"/>
          </w:tcPr>
          <w:p w14:paraId="194095B0" w14:textId="26B854E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80.5 (57.8 to 109.5)</w:t>
            </w:r>
          </w:p>
        </w:tc>
        <w:tc>
          <w:tcPr>
            <w:tcW w:w="1344" w:type="dxa"/>
          </w:tcPr>
          <w:p w14:paraId="2EF0CF4D" w14:textId="7C10ECB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222,000 (176,000 to 282,000)</w:t>
            </w:r>
          </w:p>
        </w:tc>
        <w:tc>
          <w:tcPr>
            <w:tcW w:w="1344" w:type="dxa"/>
          </w:tcPr>
          <w:p w14:paraId="1E6BD732" w14:textId="08CDA533"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54.0 (42.7 to 68.5)</w:t>
            </w:r>
            <w:r w:rsidRPr="7D1FCCE0">
              <w:rPr>
                <w:rFonts w:ascii="Calibri" w:eastAsia="Aptos Narrow" w:hAnsi="Calibri" w:cs="Calibri"/>
                <w:color w:val="000000" w:themeColor="text1"/>
                <w:sz w:val="22"/>
                <w:szCs w:val="22"/>
              </w:rPr>
              <w:t xml:space="preserve"> </w:t>
            </w:r>
          </w:p>
        </w:tc>
        <w:tc>
          <w:tcPr>
            <w:tcW w:w="1780" w:type="dxa"/>
          </w:tcPr>
          <w:p w14:paraId="071DA379" w14:textId="249F2BFD" w:rsidR="69EB5825" w:rsidRDefault="69EB5825">
            <w:pPr>
              <w:rPr>
                <w:rFonts w:ascii="Aptos Narrow" w:eastAsia="Aptos Narrow" w:hAnsi="Aptos Narrow" w:cs="Aptos Narrow"/>
                <w:color w:val="000000" w:themeColor="text1"/>
                <w:sz w:val="22"/>
                <w:szCs w:val="22"/>
              </w:rPr>
            </w:pPr>
            <w:r w:rsidRPr="69EB5825">
              <w:rPr>
                <w:rFonts w:ascii="Aptos Narrow" w:eastAsia="Aptos Narrow" w:hAnsi="Aptos Narrow" w:cs="Aptos Narrow"/>
                <w:color w:val="000000" w:themeColor="text1"/>
                <w:sz w:val="22"/>
                <w:szCs w:val="22"/>
              </w:rPr>
              <w:t>212,000 (171,000 to 265,000)</w:t>
            </w:r>
          </w:p>
        </w:tc>
        <w:tc>
          <w:tcPr>
            <w:tcW w:w="1420" w:type="dxa"/>
          </w:tcPr>
          <w:p w14:paraId="4CD72BF8" w14:textId="3FDB6E46" w:rsidR="69EB5825" w:rsidRDefault="69EB5825">
            <w:pPr>
              <w:rPr>
                <w:rFonts w:ascii="Calibri" w:eastAsia="Aptos Narrow" w:hAnsi="Calibri" w:cs="Calibri"/>
                <w:color w:val="000000" w:themeColor="text1"/>
                <w:sz w:val="22"/>
                <w:szCs w:val="22"/>
              </w:rPr>
            </w:pPr>
            <w:r w:rsidRPr="69EB5825">
              <w:rPr>
                <w:rFonts w:ascii="Aptos Narrow" w:eastAsia="Aptos Narrow" w:hAnsi="Aptos Narrow" w:cs="Aptos Narrow"/>
                <w:color w:val="000000" w:themeColor="text1"/>
                <w:sz w:val="22"/>
                <w:szCs w:val="22"/>
              </w:rPr>
              <w:t>39.4 (31.7 to 49.2)</w:t>
            </w:r>
            <w:r w:rsidRPr="69EB5825">
              <w:rPr>
                <w:rFonts w:ascii="Calibri" w:eastAsia="Aptos Narrow" w:hAnsi="Calibri" w:cs="Calibri"/>
                <w:color w:val="000000" w:themeColor="text1"/>
                <w:sz w:val="22"/>
                <w:szCs w:val="22"/>
              </w:rPr>
              <w:t xml:space="preserve"> </w:t>
            </w:r>
          </w:p>
        </w:tc>
        <w:tc>
          <w:tcPr>
            <w:tcW w:w="1840" w:type="dxa"/>
            <w:gridSpan w:val="2"/>
          </w:tcPr>
          <w:p w14:paraId="53B50AFA" w14:textId="4485F9DF" w:rsidR="69EB5825" w:rsidRDefault="69EB5825">
            <w:pPr>
              <w:rPr>
                <w:rFonts w:ascii="Calibri" w:eastAsia="Aptos Narrow" w:hAnsi="Calibri" w:cs="Calibri"/>
                <w:color w:val="000000" w:themeColor="text1"/>
                <w:sz w:val="22"/>
                <w:szCs w:val="22"/>
              </w:rPr>
            </w:pPr>
            <w:r w:rsidRPr="69EB5825">
              <w:rPr>
                <w:rFonts w:ascii="Aptos Narrow" w:eastAsia="Aptos Narrow" w:hAnsi="Aptos Narrow" w:cs="Aptos Narrow"/>
                <w:color w:val="000000" w:themeColor="text1"/>
                <w:sz w:val="22"/>
                <w:szCs w:val="22"/>
              </w:rPr>
              <w:t>-50.7 (-56.1 to -45.1)</w:t>
            </w:r>
            <w:r w:rsidRPr="69EB5825">
              <w:rPr>
                <w:rFonts w:ascii="Calibri" w:eastAsia="Aptos Narrow" w:hAnsi="Calibri" w:cs="Calibri"/>
                <w:color w:val="000000" w:themeColor="text1"/>
                <w:sz w:val="22"/>
                <w:szCs w:val="22"/>
              </w:rPr>
              <w:t xml:space="preserve"> </w:t>
            </w:r>
          </w:p>
        </w:tc>
        <w:tc>
          <w:tcPr>
            <w:tcW w:w="1952" w:type="dxa"/>
            <w:gridSpan w:val="2"/>
          </w:tcPr>
          <w:p w14:paraId="5B876352" w14:textId="4EE336AE" w:rsidR="69EB5825" w:rsidRDefault="69EB5825">
            <w:pPr>
              <w:rPr>
                <w:rFonts w:ascii="Calibri" w:eastAsia="Aptos Narrow" w:hAnsi="Calibri" w:cs="Calibri"/>
                <w:color w:val="000000" w:themeColor="text1"/>
                <w:sz w:val="22"/>
                <w:szCs w:val="22"/>
              </w:rPr>
            </w:pPr>
            <w:r w:rsidRPr="69EB5825">
              <w:rPr>
                <w:rFonts w:ascii="Aptos Narrow" w:eastAsia="Aptos Narrow" w:hAnsi="Aptos Narrow" w:cs="Aptos Narrow"/>
                <w:color w:val="000000" w:themeColor="text1"/>
                <w:sz w:val="22"/>
                <w:szCs w:val="22"/>
              </w:rPr>
              <w:t>-26.9 (-29.4 to -25.1)</w:t>
            </w:r>
            <w:r w:rsidRPr="69EB5825">
              <w:rPr>
                <w:rFonts w:ascii="Calibri" w:eastAsia="Aptos Narrow" w:hAnsi="Calibri" w:cs="Calibri"/>
                <w:color w:val="000000" w:themeColor="text1"/>
                <w:sz w:val="22"/>
                <w:szCs w:val="22"/>
              </w:rPr>
              <w:t xml:space="preserve"> </w:t>
            </w:r>
          </w:p>
        </w:tc>
      </w:tr>
    </w:tbl>
    <w:p w14:paraId="623E6B6C" w14:textId="05CD3BB0" w:rsidR="3C73B85B" w:rsidRPr="00C604CD" w:rsidRDefault="3C73B85B" w:rsidP="742E2369">
      <w:pPr>
        <w:rPr>
          <w:rFonts w:ascii="Calibri" w:eastAsia="Calibri" w:hAnsi="Calibri" w:cs="Calibri"/>
          <w:sz w:val="20"/>
          <w:szCs w:val="20"/>
        </w:rPr>
      </w:pPr>
      <w:r w:rsidRPr="00C604CD">
        <w:rPr>
          <w:rFonts w:ascii="Calibri" w:eastAsia="Calibri" w:hAnsi="Calibri" w:cs="Calibri"/>
          <w:sz w:val="22"/>
          <w:szCs w:val="22"/>
        </w:rPr>
        <w:t xml:space="preserve">Estimates are presented as rounded values and therefore </w:t>
      </w:r>
      <w:r w:rsidR="007571F6">
        <w:rPr>
          <w:rFonts w:ascii="Calibri" w:eastAsia="Calibri" w:hAnsi="Calibri" w:cs="Calibri"/>
          <w:sz w:val="22"/>
          <w:szCs w:val="22"/>
        </w:rPr>
        <w:t>might</w:t>
      </w:r>
      <w:r w:rsidR="007571F6" w:rsidRPr="00C604CD">
        <w:rPr>
          <w:rFonts w:ascii="Calibri" w:eastAsia="Calibri" w:hAnsi="Calibri" w:cs="Calibri"/>
          <w:sz w:val="22"/>
          <w:szCs w:val="22"/>
        </w:rPr>
        <w:t xml:space="preserve"> </w:t>
      </w:r>
      <w:r w:rsidRPr="00C604CD">
        <w:rPr>
          <w:rFonts w:ascii="Calibri" w:eastAsia="Calibri" w:hAnsi="Calibri" w:cs="Calibri"/>
          <w:sz w:val="22"/>
          <w:szCs w:val="22"/>
        </w:rPr>
        <w:t>not sum to estimated aggregates.</w:t>
      </w:r>
      <w:r w:rsidR="007571F6">
        <w:rPr>
          <w:rFonts w:ascii="Calibri" w:eastAsia="Calibri" w:hAnsi="Calibri" w:cs="Calibri"/>
          <w:sz w:val="22"/>
          <w:szCs w:val="22"/>
        </w:rPr>
        <w:t xml:space="preserve"> </w:t>
      </w:r>
      <w:r w:rsidR="00D26053">
        <w:rPr>
          <w:rFonts w:ascii="Calibri" w:eastAsia="Calibri" w:hAnsi="Calibri" w:cs="Calibri"/>
          <w:sz w:val="22"/>
          <w:szCs w:val="22"/>
        </w:rPr>
        <w:t xml:space="preserve">Data in parentheses are 95% </w:t>
      </w:r>
      <w:r w:rsidR="007571F6">
        <w:rPr>
          <w:rFonts w:ascii="Calibri" w:eastAsia="Calibri" w:hAnsi="Calibri" w:cs="Calibri"/>
          <w:sz w:val="22"/>
          <w:szCs w:val="22"/>
        </w:rPr>
        <w:t>uncertainty interval</w:t>
      </w:r>
      <w:r w:rsidR="00D26053">
        <w:rPr>
          <w:rFonts w:ascii="Calibri" w:eastAsia="Calibri" w:hAnsi="Calibri" w:cs="Calibri"/>
          <w:sz w:val="22"/>
          <w:szCs w:val="22"/>
        </w:rPr>
        <w:t>s</w:t>
      </w:r>
      <w:r w:rsidR="007571F6">
        <w:rPr>
          <w:rFonts w:ascii="Calibri" w:eastAsia="Calibri" w:hAnsi="Calibri" w:cs="Calibri"/>
          <w:sz w:val="22"/>
          <w:szCs w:val="22"/>
        </w:rPr>
        <w:t>.</w:t>
      </w:r>
    </w:p>
    <w:p w14:paraId="6FE1389C" w14:textId="77777777" w:rsidR="00D26053" w:rsidRDefault="00D26053">
      <w:pPr>
        <w:spacing w:line="278" w:lineRule="auto"/>
        <w:rPr>
          <w:rFonts w:ascii="Calibri" w:eastAsia="Calibri" w:hAnsi="Calibri" w:cs="Calibri"/>
          <w:b/>
          <w:bCs/>
          <w:i/>
          <w:iCs/>
          <w:color w:val="000000" w:themeColor="text1"/>
          <w:sz w:val="22"/>
          <w:szCs w:val="22"/>
        </w:rPr>
      </w:pPr>
      <w:r>
        <w:rPr>
          <w:rFonts w:ascii="Calibri" w:eastAsia="Calibri" w:hAnsi="Calibri" w:cs="Calibri"/>
          <w:b/>
          <w:bCs/>
          <w:i/>
          <w:iCs/>
          <w:color w:val="000000" w:themeColor="text1"/>
          <w:sz w:val="22"/>
          <w:szCs w:val="22"/>
        </w:rPr>
        <w:br w:type="page"/>
      </w:r>
    </w:p>
    <w:p w14:paraId="30D33B96" w14:textId="30643274" w:rsidR="009929D5" w:rsidRPr="00C604CD" w:rsidRDefault="14A538FC">
      <w:pPr>
        <w:rPr>
          <w:rFonts w:ascii="Calibri" w:eastAsia="Calibri" w:hAnsi="Calibri" w:cs="Calibri"/>
          <w:b/>
          <w:bCs/>
          <w:color w:val="000000" w:themeColor="text1"/>
          <w:sz w:val="22"/>
          <w:szCs w:val="22"/>
        </w:rPr>
      </w:pPr>
      <w:r w:rsidRPr="0052635A">
        <w:rPr>
          <w:rFonts w:ascii="Calibri" w:eastAsia="Calibri" w:hAnsi="Calibri" w:cs="Calibri"/>
          <w:b/>
          <w:bCs/>
          <w:i/>
          <w:iCs/>
          <w:color w:val="000000" w:themeColor="text1"/>
          <w:sz w:val="22"/>
          <w:szCs w:val="22"/>
        </w:rPr>
        <w:lastRenderedPageBreak/>
        <w:t>Table 3</w:t>
      </w:r>
      <w:r w:rsidRPr="7D1FCCE0">
        <w:rPr>
          <w:rFonts w:ascii="Calibri" w:eastAsia="Calibri" w:hAnsi="Calibri" w:cs="Calibri"/>
          <w:b/>
          <w:bCs/>
          <w:color w:val="000000" w:themeColor="text1"/>
          <w:sz w:val="22"/>
          <w:szCs w:val="22"/>
        </w:rPr>
        <w:t>: Risk factors of fatal meningitis globally by sex in 2023</w:t>
      </w:r>
    </w:p>
    <w:tbl>
      <w:tblPr>
        <w:tblStyle w:val="TableGrid"/>
        <w:tblW w:w="14587" w:type="dxa"/>
        <w:tblLayout w:type="fixed"/>
        <w:tblLook w:val="06A0" w:firstRow="1" w:lastRow="0" w:firstColumn="1" w:lastColumn="0" w:noHBand="1" w:noVBand="1"/>
      </w:tblPr>
      <w:tblGrid>
        <w:gridCol w:w="1545"/>
        <w:gridCol w:w="1650"/>
        <w:gridCol w:w="1336"/>
        <w:gridCol w:w="1500"/>
        <w:gridCol w:w="6"/>
        <w:gridCol w:w="1614"/>
        <w:gridCol w:w="1170"/>
        <w:gridCol w:w="1530"/>
        <w:gridCol w:w="6"/>
        <w:gridCol w:w="1554"/>
        <w:gridCol w:w="1155"/>
        <w:gridCol w:w="1515"/>
        <w:gridCol w:w="6"/>
      </w:tblGrid>
      <w:tr w:rsidR="009929D5" w:rsidRPr="00C604CD" w14:paraId="1B97FCCB" w14:textId="77777777" w:rsidTr="008B5C68">
        <w:trPr>
          <w:trHeight w:val="602"/>
        </w:trPr>
        <w:tc>
          <w:tcPr>
            <w:tcW w:w="1545" w:type="dxa"/>
            <w:vMerge w:val="restart"/>
          </w:tcPr>
          <w:p w14:paraId="7F55D90F" w14:textId="58E35FDE" w:rsidR="009929D5" w:rsidRPr="00C604CD" w:rsidRDefault="009929D5" w:rsidP="00471C2D">
            <w:pPr>
              <w:jc w:val="center"/>
              <w:rPr>
                <w:rFonts w:ascii="Calibri" w:hAnsi="Calibri" w:cs="Calibri"/>
              </w:rPr>
            </w:pPr>
          </w:p>
        </w:tc>
        <w:tc>
          <w:tcPr>
            <w:tcW w:w="4492" w:type="dxa"/>
            <w:gridSpan w:val="4"/>
          </w:tcPr>
          <w:p w14:paraId="1B7511A8" w14:textId="4044A004" w:rsidR="009929D5" w:rsidRPr="00C604CD" w:rsidRDefault="009929D5" w:rsidP="00471C2D">
            <w:pPr>
              <w:jc w:val="center"/>
              <w:rPr>
                <w:rFonts w:ascii="Calibri" w:hAnsi="Calibri" w:cs="Calibri"/>
              </w:rPr>
            </w:pPr>
            <w:r w:rsidRPr="00C604CD">
              <w:rPr>
                <w:rFonts w:ascii="Calibri" w:eastAsia="Calibri" w:hAnsi="Calibri" w:cs="Calibri"/>
                <w:b/>
                <w:bCs/>
                <w:color w:val="000000" w:themeColor="text1"/>
                <w:sz w:val="22"/>
                <w:szCs w:val="22"/>
              </w:rPr>
              <w:t xml:space="preserve">Both </w:t>
            </w:r>
            <w:r w:rsidR="00455F77">
              <w:rPr>
                <w:rFonts w:ascii="Calibri" w:eastAsia="Calibri" w:hAnsi="Calibri" w:cs="Calibri"/>
                <w:b/>
                <w:bCs/>
                <w:color w:val="000000" w:themeColor="text1"/>
                <w:sz w:val="22"/>
                <w:szCs w:val="22"/>
              </w:rPr>
              <w:t>s</w:t>
            </w:r>
            <w:r w:rsidRPr="00C604CD">
              <w:rPr>
                <w:rFonts w:ascii="Calibri" w:eastAsia="Calibri" w:hAnsi="Calibri" w:cs="Calibri"/>
                <w:b/>
                <w:bCs/>
                <w:color w:val="000000" w:themeColor="text1"/>
                <w:sz w:val="22"/>
                <w:szCs w:val="22"/>
              </w:rPr>
              <w:t xml:space="preserve">exes </w:t>
            </w:r>
            <w:r w:rsidR="00455F77">
              <w:rPr>
                <w:rFonts w:ascii="Calibri" w:eastAsia="Calibri" w:hAnsi="Calibri" w:cs="Calibri"/>
                <w:b/>
                <w:bCs/>
                <w:color w:val="000000" w:themeColor="text1"/>
                <w:sz w:val="22"/>
                <w:szCs w:val="22"/>
              </w:rPr>
              <w:t>c</w:t>
            </w:r>
            <w:r w:rsidRPr="00C604CD">
              <w:rPr>
                <w:rFonts w:ascii="Calibri" w:eastAsia="Calibri" w:hAnsi="Calibri" w:cs="Calibri"/>
                <w:b/>
                <w:bCs/>
                <w:color w:val="000000" w:themeColor="text1"/>
                <w:sz w:val="22"/>
                <w:szCs w:val="22"/>
              </w:rPr>
              <w:t>ombined</w:t>
            </w:r>
          </w:p>
        </w:tc>
        <w:tc>
          <w:tcPr>
            <w:tcW w:w="4320" w:type="dxa"/>
            <w:gridSpan w:val="4"/>
          </w:tcPr>
          <w:p w14:paraId="75332196" w14:textId="77777777" w:rsidR="009929D5" w:rsidRPr="00C604CD" w:rsidRDefault="009929D5" w:rsidP="00471C2D">
            <w:pPr>
              <w:jc w:val="center"/>
              <w:rPr>
                <w:rFonts w:ascii="Calibri" w:hAnsi="Calibri" w:cs="Calibri"/>
              </w:rPr>
            </w:pPr>
            <w:r w:rsidRPr="00C604CD">
              <w:rPr>
                <w:rFonts w:ascii="Calibri" w:eastAsia="Calibri" w:hAnsi="Calibri" w:cs="Calibri"/>
                <w:b/>
                <w:bCs/>
                <w:color w:val="000000" w:themeColor="text1"/>
                <w:sz w:val="22"/>
                <w:szCs w:val="22"/>
              </w:rPr>
              <w:t>Male</w:t>
            </w:r>
          </w:p>
        </w:tc>
        <w:tc>
          <w:tcPr>
            <w:tcW w:w="4230" w:type="dxa"/>
            <w:gridSpan w:val="4"/>
          </w:tcPr>
          <w:p w14:paraId="459C633D" w14:textId="77777777" w:rsidR="009929D5" w:rsidRPr="00C604CD" w:rsidRDefault="009929D5" w:rsidP="00471C2D">
            <w:pPr>
              <w:jc w:val="center"/>
              <w:rPr>
                <w:rFonts w:ascii="Calibri" w:hAnsi="Calibri" w:cs="Calibri"/>
              </w:rPr>
            </w:pPr>
            <w:r w:rsidRPr="00C604CD">
              <w:rPr>
                <w:rFonts w:ascii="Calibri" w:eastAsia="Calibri" w:hAnsi="Calibri" w:cs="Calibri"/>
                <w:b/>
                <w:bCs/>
                <w:color w:val="000000" w:themeColor="text1"/>
                <w:sz w:val="22"/>
                <w:szCs w:val="22"/>
              </w:rPr>
              <w:t>Female</w:t>
            </w:r>
          </w:p>
        </w:tc>
      </w:tr>
      <w:tr w:rsidR="009929D5" w:rsidRPr="00C604CD" w14:paraId="611B4BEF" w14:textId="77777777" w:rsidTr="008B5C68">
        <w:trPr>
          <w:gridAfter w:val="1"/>
          <w:wAfter w:w="6" w:type="dxa"/>
          <w:trHeight w:val="1215"/>
        </w:trPr>
        <w:tc>
          <w:tcPr>
            <w:tcW w:w="1545" w:type="dxa"/>
            <w:vMerge/>
          </w:tcPr>
          <w:p w14:paraId="30C9C539" w14:textId="77777777" w:rsidR="009929D5" w:rsidRPr="00C604CD" w:rsidRDefault="009929D5" w:rsidP="00471C2D">
            <w:pPr>
              <w:rPr>
                <w:rFonts w:ascii="Calibri" w:hAnsi="Calibri" w:cs="Calibri"/>
              </w:rPr>
            </w:pPr>
          </w:p>
        </w:tc>
        <w:tc>
          <w:tcPr>
            <w:tcW w:w="1650" w:type="dxa"/>
          </w:tcPr>
          <w:p w14:paraId="479FEE81" w14:textId="6F20E5E5" w:rsidR="009929D5" w:rsidRPr="00455F77" w:rsidRDefault="14A538FC" w:rsidP="00471C2D">
            <w:pPr>
              <w:rPr>
                <w:rFonts w:ascii="Calibri" w:hAnsi="Calibri" w:cs="Calibri"/>
              </w:rPr>
            </w:pPr>
            <w:r w:rsidRPr="0052635A">
              <w:rPr>
                <w:rFonts w:ascii="Calibri" w:eastAsia="Calibri" w:hAnsi="Calibri" w:cs="Calibri"/>
                <w:color w:val="000000" w:themeColor="text1"/>
                <w:sz w:val="22"/>
                <w:szCs w:val="22"/>
              </w:rPr>
              <w:t xml:space="preserve">Deaths </w:t>
            </w:r>
          </w:p>
        </w:tc>
        <w:tc>
          <w:tcPr>
            <w:tcW w:w="1336" w:type="dxa"/>
          </w:tcPr>
          <w:p w14:paraId="5D8D99B0" w14:textId="7A0C2766" w:rsidR="009929D5" w:rsidRPr="00455F77" w:rsidRDefault="14A538FC" w:rsidP="00471C2D">
            <w:pPr>
              <w:rPr>
                <w:rFonts w:ascii="Calibri" w:hAnsi="Calibri" w:cs="Calibri"/>
              </w:rPr>
            </w:pPr>
            <w:r w:rsidRPr="0052635A">
              <w:rPr>
                <w:rFonts w:ascii="Calibri" w:eastAsia="Calibri" w:hAnsi="Calibri" w:cs="Calibri"/>
                <w:color w:val="000000" w:themeColor="text1"/>
                <w:sz w:val="22"/>
                <w:szCs w:val="22"/>
              </w:rPr>
              <w:t xml:space="preserve">Mortality rate </w:t>
            </w:r>
            <w:r w:rsidR="7F3827CF" w:rsidRPr="7D1FCCE0">
              <w:rPr>
                <w:rFonts w:ascii="Calibri" w:eastAsia="Calibri" w:hAnsi="Calibri" w:cs="Calibri"/>
                <w:color w:val="000000" w:themeColor="text1"/>
                <w:sz w:val="22"/>
                <w:szCs w:val="22"/>
              </w:rPr>
              <w:t xml:space="preserve">per 100 000 </w:t>
            </w:r>
          </w:p>
        </w:tc>
        <w:tc>
          <w:tcPr>
            <w:tcW w:w="1500" w:type="dxa"/>
          </w:tcPr>
          <w:p w14:paraId="1C4DD213" w14:textId="3867FE9D"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Percent</w:t>
            </w:r>
            <w:r w:rsidR="00455F77">
              <w:rPr>
                <w:rFonts w:ascii="Calibri" w:eastAsia="Calibri" w:hAnsi="Calibri" w:cs="Calibri"/>
                <w:color w:val="000000" w:themeColor="text1"/>
                <w:sz w:val="22"/>
                <w:szCs w:val="22"/>
              </w:rPr>
              <w:t>age</w:t>
            </w:r>
            <w:r w:rsidR="00934F08">
              <w:rPr>
                <w:rFonts w:ascii="Calibri" w:eastAsia="Calibri" w:hAnsi="Calibri" w:cs="Calibri"/>
                <w:color w:val="000000" w:themeColor="text1"/>
                <w:sz w:val="22"/>
                <w:szCs w:val="22"/>
              </w:rPr>
              <w:t xml:space="preserve"> change in</w:t>
            </w:r>
            <w:r w:rsidRPr="0052635A">
              <w:rPr>
                <w:rFonts w:ascii="Calibri" w:eastAsia="Calibri" w:hAnsi="Calibri" w:cs="Calibri"/>
                <w:color w:val="000000" w:themeColor="text1"/>
                <w:sz w:val="22"/>
                <w:szCs w:val="22"/>
              </w:rPr>
              <w:t xml:space="preserve"> mortality rate between 1990 and 2023 </w:t>
            </w:r>
          </w:p>
        </w:tc>
        <w:tc>
          <w:tcPr>
            <w:tcW w:w="1620" w:type="dxa"/>
            <w:gridSpan w:val="2"/>
          </w:tcPr>
          <w:p w14:paraId="7080F446" w14:textId="066047AC"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 xml:space="preserve">Deaths </w:t>
            </w:r>
          </w:p>
        </w:tc>
        <w:tc>
          <w:tcPr>
            <w:tcW w:w="1170" w:type="dxa"/>
          </w:tcPr>
          <w:p w14:paraId="1E280550" w14:textId="22B5FF78"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Mortality rate</w:t>
            </w:r>
            <w:r w:rsidR="00A72143">
              <w:rPr>
                <w:rFonts w:ascii="Calibri" w:eastAsia="Calibri" w:hAnsi="Calibri" w:cs="Calibri"/>
                <w:color w:val="000000" w:themeColor="text1"/>
                <w:sz w:val="22"/>
                <w:szCs w:val="22"/>
              </w:rPr>
              <w:t xml:space="preserve"> per 100 000</w:t>
            </w:r>
            <w:r w:rsidRPr="0052635A">
              <w:rPr>
                <w:rFonts w:ascii="Calibri" w:eastAsia="Calibri" w:hAnsi="Calibri" w:cs="Calibri"/>
                <w:color w:val="000000" w:themeColor="text1"/>
                <w:sz w:val="22"/>
                <w:szCs w:val="22"/>
              </w:rPr>
              <w:t xml:space="preserve"> </w:t>
            </w:r>
          </w:p>
        </w:tc>
        <w:tc>
          <w:tcPr>
            <w:tcW w:w="1530" w:type="dxa"/>
          </w:tcPr>
          <w:p w14:paraId="0060867D" w14:textId="40CAC884"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Percent</w:t>
            </w:r>
            <w:r w:rsidR="001F1D10">
              <w:rPr>
                <w:rFonts w:ascii="Calibri" w:eastAsia="Calibri" w:hAnsi="Calibri" w:cs="Calibri"/>
                <w:color w:val="000000" w:themeColor="text1"/>
                <w:sz w:val="22"/>
                <w:szCs w:val="22"/>
              </w:rPr>
              <w:t>age</w:t>
            </w:r>
            <w:r w:rsidR="00A72143">
              <w:rPr>
                <w:rFonts w:ascii="Calibri" w:eastAsia="Calibri" w:hAnsi="Calibri" w:cs="Calibri"/>
                <w:color w:val="000000" w:themeColor="text1"/>
                <w:sz w:val="22"/>
                <w:szCs w:val="22"/>
              </w:rPr>
              <w:t xml:space="preserve"> change in</w:t>
            </w:r>
            <w:r w:rsidRPr="0052635A">
              <w:rPr>
                <w:rFonts w:ascii="Calibri" w:eastAsia="Calibri" w:hAnsi="Calibri" w:cs="Calibri"/>
                <w:color w:val="000000" w:themeColor="text1"/>
                <w:sz w:val="22"/>
                <w:szCs w:val="22"/>
              </w:rPr>
              <w:t xml:space="preserve"> mortality rate between 1990 and 2023 </w:t>
            </w:r>
          </w:p>
        </w:tc>
        <w:tc>
          <w:tcPr>
            <w:tcW w:w="1560" w:type="dxa"/>
            <w:gridSpan w:val="2"/>
          </w:tcPr>
          <w:p w14:paraId="12141446" w14:textId="5F8057CA"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Deaths</w:t>
            </w:r>
          </w:p>
        </w:tc>
        <w:tc>
          <w:tcPr>
            <w:tcW w:w="1155" w:type="dxa"/>
          </w:tcPr>
          <w:p w14:paraId="275A7103" w14:textId="0A140435"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Mortality rate</w:t>
            </w:r>
            <w:r w:rsidR="00A72143">
              <w:rPr>
                <w:rFonts w:ascii="Calibri" w:eastAsia="Calibri" w:hAnsi="Calibri" w:cs="Calibri"/>
                <w:color w:val="000000" w:themeColor="text1"/>
                <w:sz w:val="22"/>
                <w:szCs w:val="22"/>
              </w:rPr>
              <w:t xml:space="preserve"> per 100 000</w:t>
            </w:r>
            <w:r w:rsidRPr="0052635A">
              <w:rPr>
                <w:rFonts w:ascii="Calibri" w:eastAsia="Calibri" w:hAnsi="Calibri" w:cs="Calibri"/>
                <w:color w:val="000000" w:themeColor="text1"/>
                <w:sz w:val="22"/>
                <w:szCs w:val="22"/>
              </w:rPr>
              <w:t xml:space="preserve"> </w:t>
            </w:r>
          </w:p>
        </w:tc>
        <w:tc>
          <w:tcPr>
            <w:tcW w:w="1515" w:type="dxa"/>
          </w:tcPr>
          <w:p w14:paraId="53AE4F0B" w14:textId="0B22DB19" w:rsidR="009929D5" w:rsidRPr="00455F77" w:rsidRDefault="009929D5" w:rsidP="00471C2D">
            <w:pPr>
              <w:rPr>
                <w:rFonts w:ascii="Calibri" w:hAnsi="Calibri" w:cs="Calibri"/>
              </w:rPr>
            </w:pPr>
            <w:r w:rsidRPr="0052635A">
              <w:rPr>
                <w:rFonts w:ascii="Calibri" w:eastAsia="Calibri" w:hAnsi="Calibri" w:cs="Calibri"/>
                <w:color w:val="000000" w:themeColor="text1"/>
                <w:sz w:val="22"/>
                <w:szCs w:val="22"/>
              </w:rPr>
              <w:t>Percent</w:t>
            </w:r>
            <w:r w:rsidR="001F1D10">
              <w:rPr>
                <w:rFonts w:ascii="Calibri" w:eastAsia="Calibri" w:hAnsi="Calibri" w:cs="Calibri"/>
                <w:color w:val="000000" w:themeColor="text1"/>
                <w:sz w:val="22"/>
                <w:szCs w:val="22"/>
              </w:rPr>
              <w:t>age</w:t>
            </w:r>
            <w:r w:rsidRPr="0052635A">
              <w:rPr>
                <w:rFonts w:ascii="Calibri" w:eastAsia="Calibri" w:hAnsi="Calibri" w:cs="Calibri"/>
                <w:color w:val="000000" w:themeColor="text1"/>
                <w:sz w:val="22"/>
                <w:szCs w:val="22"/>
              </w:rPr>
              <w:t xml:space="preserve"> </w:t>
            </w:r>
            <w:r w:rsidR="00180933">
              <w:rPr>
                <w:rFonts w:ascii="Calibri" w:eastAsia="Calibri" w:hAnsi="Calibri" w:cs="Calibri"/>
                <w:color w:val="000000" w:themeColor="text1"/>
                <w:sz w:val="22"/>
                <w:szCs w:val="22"/>
              </w:rPr>
              <w:t xml:space="preserve">change in </w:t>
            </w:r>
            <w:r w:rsidRPr="0052635A">
              <w:rPr>
                <w:rFonts w:ascii="Calibri" w:eastAsia="Calibri" w:hAnsi="Calibri" w:cs="Calibri"/>
                <w:color w:val="000000" w:themeColor="text1"/>
                <w:sz w:val="22"/>
                <w:szCs w:val="22"/>
              </w:rPr>
              <w:t xml:space="preserve">mortality rate between 1990 and 2023 </w:t>
            </w:r>
          </w:p>
        </w:tc>
      </w:tr>
      <w:tr w:rsidR="009929D5" w:rsidRPr="00C604CD" w14:paraId="440B8C3C" w14:textId="77777777" w:rsidTr="008B5C68">
        <w:trPr>
          <w:gridAfter w:val="1"/>
          <w:wAfter w:w="6" w:type="dxa"/>
          <w:trHeight w:val="300"/>
        </w:trPr>
        <w:tc>
          <w:tcPr>
            <w:tcW w:w="1545" w:type="dxa"/>
          </w:tcPr>
          <w:p w14:paraId="6F3D0216" w14:textId="77777777" w:rsidR="009929D5" w:rsidRPr="00C604CD" w:rsidRDefault="009929D5" w:rsidP="00471C2D">
            <w:pPr>
              <w:rPr>
                <w:rFonts w:ascii="Calibri" w:hAnsi="Calibri" w:cs="Calibri"/>
              </w:rPr>
            </w:pPr>
            <w:r w:rsidRPr="00C604CD">
              <w:rPr>
                <w:rFonts w:ascii="Calibri" w:eastAsia="Aptos Narrow" w:hAnsi="Calibri" w:cs="Calibri"/>
                <w:color w:val="000000" w:themeColor="text1"/>
                <w:sz w:val="22"/>
                <w:szCs w:val="22"/>
              </w:rPr>
              <w:t>Ambient particulate matter pollution</w:t>
            </w:r>
          </w:p>
        </w:tc>
        <w:tc>
          <w:tcPr>
            <w:tcW w:w="1650" w:type="dxa"/>
          </w:tcPr>
          <w:p w14:paraId="48E62310" w14:textId="350192D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554 (348 to 917)</w:t>
            </w:r>
          </w:p>
        </w:tc>
        <w:tc>
          <w:tcPr>
            <w:tcW w:w="1336" w:type="dxa"/>
          </w:tcPr>
          <w:p w14:paraId="599B9CA5" w14:textId="595E330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0.0)</w:t>
            </w:r>
          </w:p>
        </w:tc>
        <w:tc>
          <w:tcPr>
            <w:tcW w:w="1500" w:type="dxa"/>
          </w:tcPr>
          <w:p w14:paraId="3A087B26" w14:textId="145E1282" w:rsidR="7D1FCCE0" w:rsidRDefault="5F3A21CB">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 xml:space="preserve">-77.4 (-87.8 to </w:t>
            </w:r>
            <w:r w:rsidR="5C6704F8" w:rsidRPr="2234C594">
              <w:rPr>
                <w:rFonts w:ascii="Aptos Narrow" w:eastAsia="Aptos Narrow" w:hAnsi="Aptos Narrow" w:cs="Aptos Narrow"/>
                <w:color w:val="000000" w:themeColor="text1"/>
                <w:sz w:val="22"/>
                <w:szCs w:val="22"/>
              </w:rPr>
              <w:t>-</w:t>
            </w:r>
            <w:r w:rsidRPr="2234C594">
              <w:rPr>
                <w:rFonts w:ascii="Aptos Narrow" w:eastAsia="Aptos Narrow" w:hAnsi="Aptos Narrow" w:cs="Aptos Narrow"/>
                <w:color w:val="000000" w:themeColor="text1"/>
                <w:sz w:val="22"/>
                <w:szCs w:val="22"/>
              </w:rPr>
              <w:t>57.7)</w:t>
            </w:r>
          </w:p>
        </w:tc>
        <w:tc>
          <w:tcPr>
            <w:tcW w:w="1620" w:type="dxa"/>
            <w:gridSpan w:val="2"/>
          </w:tcPr>
          <w:p w14:paraId="1C8F5ED5" w14:textId="48D086A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319 (168 to 599)</w:t>
            </w:r>
          </w:p>
        </w:tc>
        <w:tc>
          <w:tcPr>
            <w:tcW w:w="1170" w:type="dxa"/>
          </w:tcPr>
          <w:p w14:paraId="5D402DE3" w14:textId="0BA1A29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0.0)</w:t>
            </w:r>
          </w:p>
        </w:tc>
        <w:tc>
          <w:tcPr>
            <w:tcW w:w="1530" w:type="dxa"/>
          </w:tcPr>
          <w:p w14:paraId="0EEF7A45" w14:textId="5D3E56C5" w:rsidR="7D1FCCE0" w:rsidRDefault="779A2202">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 xml:space="preserve"> -78.0 (-88.8 to -48.0)</w:t>
            </w:r>
          </w:p>
        </w:tc>
        <w:tc>
          <w:tcPr>
            <w:tcW w:w="1560" w:type="dxa"/>
            <w:gridSpan w:val="2"/>
          </w:tcPr>
          <w:p w14:paraId="277F59F3" w14:textId="02AF992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235 (127 to 388)</w:t>
            </w:r>
          </w:p>
        </w:tc>
        <w:tc>
          <w:tcPr>
            <w:tcW w:w="1155" w:type="dxa"/>
          </w:tcPr>
          <w:p w14:paraId="5AF62058" w14:textId="3AB5E86C" w:rsidR="7D1FCCE0" w:rsidRDefault="7D1FCCE0">
            <w:pPr>
              <w:rPr>
                <w:rFonts w:ascii="Aptos Narrow" w:eastAsia="Aptos Narrow" w:hAnsi="Aptos Narrow" w:cs="Aptos Narrow"/>
                <w:color w:val="000000" w:themeColor="text1"/>
                <w:sz w:val="22"/>
                <w:szCs w:val="22"/>
              </w:rPr>
            </w:pPr>
            <w:r w:rsidRPr="03B9A3F0">
              <w:rPr>
                <w:rFonts w:ascii="Aptos Narrow" w:eastAsia="Aptos Narrow" w:hAnsi="Aptos Narrow" w:cs="Aptos Narrow"/>
                <w:color w:val="000000" w:themeColor="text1"/>
                <w:sz w:val="22"/>
                <w:szCs w:val="22"/>
              </w:rPr>
              <w:t>0.0 (0.0 to 0.0)</w:t>
            </w:r>
          </w:p>
        </w:tc>
        <w:tc>
          <w:tcPr>
            <w:tcW w:w="1515" w:type="dxa"/>
          </w:tcPr>
          <w:p w14:paraId="76A18358" w14:textId="71BDB070" w:rsidR="7D1FCCE0" w:rsidRDefault="4EDD8DCA">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-76.5 (-90.0 to –46.9)</w:t>
            </w:r>
          </w:p>
        </w:tc>
      </w:tr>
      <w:tr w:rsidR="009929D5" w:rsidRPr="00C604CD" w14:paraId="1D25F7F1" w14:textId="77777777" w:rsidTr="008B5C68">
        <w:trPr>
          <w:gridAfter w:val="1"/>
          <w:wAfter w:w="6" w:type="dxa"/>
          <w:trHeight w:val="300"/>
        </w:trPr>
        <w:tc>
          <w:tcPr>
            <w:tcW w:w="1545" w:type="dxa"/>
          </w:tcPr>
          <w:p w14:paraId="0A0FB031" w14:textId="77777777" w:rsidR="009929D5" w:rsidRPr="00C604CD" w:rsidRDefault="009929D5" w:rsidP="00471C2D">
            <w:pPr>
              <w:rPr>
                <w:rFonts w:ascii="Calibri" w:hAnsi="Calibri" w:cs="Calibri"/>
              </w:rPr>
            </w:pPr>
            <w:r w:rsidRPr="00C604CD">
              <w:rPr>
                <w:rFonts w:ascii="Calibri" w:eastAsia="Aptos Narrow" w:hAnsi="Calibri" w:cs="Calibri"/>
                <w:color w:val="000000" w:themeColor="text1"/>
                <w:sz w:val="22"/>
                <w:szCs w:val="22"/>
              </w:rPr>
              <w:t>Household air pollution from solid fuels</w:t>
            </w:r>
          </w:p>
        </w:tc>
        <w:tc>
          <w:tcPr>
            <w:tcW w:w="1650" w:type="dxa"/>
          </w:tcPr>
          <w:p w14:paraId="7FF76850" w14:textId="1873C263"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2,690 (1,700 to 4,350)</w:t>
            </w:r>
          </w:p>
        </w:tc>
        <w:tc>
          <w:tcPr>
            <w:tcW w:w="1336" w:type="dxa"/>
          </w:tcPr>
          <w:p w14:paraId="469818C4" w14:textId="0810B22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0.1)</w:t>
            </w:r>
          </w:p>
        </w:tc>
        <w:tc>
          <w:tcPr>
            <w:tcW w:w="1500" w:type="dxa"/>
          </w:tcPr>
          <w:p w14:paraId="5320A008" w14:textId="3B521CB4" w:rsidR="7D1FCCE0" w:rsidRDefault="27196CA0">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 xml:space="preserve"> </w:t>
            </w:r>
            <w:r w:rsidR="6E8FBC24" w:rsidRPr="0052635A">
              <w:rPr>
                <w:rFonts w:ascii="Aptos Narrow" w:eastAsia="Aptos Narrow" w:hAnsi="Aptos Narrow" w:cs="Aptos Narrow"/>
                <w:color w:val="000000" w:themeColor="text1"/>
                <w:sz w:val="22"/>
                <w:szCs w:val="22"/>
              </w:rPr>
              <w:t>-70.5 (-83.7 to -42.2)</w:t>
            </w:r>
          </w:p>
        </w:tc>
        <w:tc>
          <w:tcPr>
            <w:tcW w:w="1620" w:type="dxa"/>
            <w:gridSpan w:val="2"/>
          </w:tcPr>
          <w:p w14:paraId="3D250542" w14:textId="64AF5E5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1,530 (785 to 2,810)</w:t>
            </w:r>
          </w:p>
        </w:tc>
        <w:tc>
          <w:tcPr>
            <w:tcW w:w="1170" w:type="dxa"/>
          </w:tcPr>
          <w:p w14:paraId="737B040A" w14:textId="23EE8C7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0.1)</w:t>
            </w:r>
          </w:p>
        </w:tc>
        <w:tc>
          <w:tcPr>
            <w:tcW w:w="1530" w:type="dxa"/>
          </w:tcPr>
          <w:p w14:paraId="7633346D" w14:textId="7E769F22" w:rsidR="7D1FCCE0" w:rsidRDefault="254EF30A">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 xml:space="preserve"> -70.9 (-84.6 to 27.0)</w:t>
            </w:r>
          </w:p>
        </w:tc>
        <w:tc>
          <w:tcPr>
            <w:tcW w:w="1560" w:type="dxa"/>
            <w:gridSpan w:val="2"/>
          </w:tcPr>
          <w:p w14:paraId="2D3E063B" w14:textId="00D76BA8"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1,160 (624 to 1,880)</w:t>
            </w:r>
          </w:p>
        </w:tc>
        <w:tc>
          <w:tcPr>
            <w:tcW w:w="1155" w:type="dxa"/>
          </w:tcPr>
          <w:p w14:paraId="7D608F77" w14:textId="7195605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0.0)</w:t>
            </w:r>
          </w:p>
        </w:tc>
        <w:tc>
          <w:tcPr>
            <w:tcW w:w="1515" w:type="dxa"/>
          </w:tcPr>
          <w:p w14:paraId="4396D7E5" w14:textId="3E0999E0" w:rsidR="7D1FCCE0" w:rsidRDefault="46DC2578">
            <w:pPr>
              <w:rPr>
                <w:rFonts w:ascii="Aptos Narrow" w:eastAsia="Aptos Narrow" w:hAnsi="Aptos Narrow" w:cs="Aptos Narrow"/>
                <w:color w:val="000000" w:themeColor="text1"/>
                <w:sz w:val="22"/>
                <w:szCs w:val="22"/>
              </w:rPr>
            </w:pPr>
            <w:r w:rsidRPr="2234C594">
              <w:rPr>
                <w:rFonts w:ascii="Aptos Narrow" w:eastAsia="Aptos Narrow" w:hAnsi="Aptos Narrow" w:cs="Aptos Narrow"/>
                <w:color w:val="000000" w:themeColor="text1"/>
                <w:sz w:val="22"/>
                <w:szCs w:val="22"/>
              </w:rPr>
              <w:t xml:space="preserve"> -70.0 (-87.0 to –30.3)</w:t>
            </w:r>
          </w:p>
        </w:tc>
      </w:tr>
      <w:tr w:rsidR="009929D5" w:rsidRPr="00C604CD" w14:paraId="5A57E3FE" w14:textId="77777777" w:rsidTr="008B5C68">
        <w:trPr>
          <w:gridAfter w:val="1"/>
          <w:wAfter w:w="6" w:type="dxa"/>
          <w:trHeight w:val="300"/>
        </w:trPr>
        <w:tc>
          <w:tcPr>
            <w:tcW w:w="1545" w:type="dxa"/>
          </w:tcPr>
          <w:p w14:paraId="54A5898E" w14:textId="5C976DF0" w:rsidR="009929D5" w:rsidRPr="00C604CD" w:rsidRDefault="009929D5" w:rsidP="00471C2D">
            <w:pPr>
              <w:rPr>
                <w:rFonts w:ascii="Calibri" w:hAnsi="Calibri" w:cs="Calibri"/>
              </w:rPr>
            </w:pPr>
            <w:r w:rsidRPr="00C604CD">
              <w:rPr>
                <w:rFonts w:ascii="Calibri" w:eastAsia="Aptos Narrow" w:hAnsi="Calibri" w:cs="Calibri"/>
                <w:color w:val="000000" w:themeColor="text1"/>
                <w:sz w:val="22"/>
                <w:szCs w:val="22"/>
              </w:rPr>
              <w:t>Low birthweight</w:t>
            </w:r>
          </w:p>
        </w:tc>
        <w:tc>
          <w:tcPr>
            <w:tcW w:w="1650" w:type="dxa"/>
          </w:tcPr>
          <w:p w14:paraId="76147659" w14:textId="5A74DBA9"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7,660 (4,940 to 12,300)</w:t>
            </w:r>
          </w:p>
        </w:tc>
        <w:tc>
          <w:tcPr>
            <w:tcW w:w="1336" w:type="dxa"/>
          </w:tcPr>
          <w:p w14:paraId="1486272A" w14:textId="746EDF7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0.1 (0.1 to 0.2)</w:t>
            </w:r>
          </w:p>
        </w:tc>
        <w:tc>
          <w:tcPr>
            <w:tcW w:w="1500" w:type="dxa"/>
          </w:tcPr>
          <w:p w14:paraId="6BF7561D" w14:textId="52B6050A" w:rsidR="7D1FCCE0" w:rsidRDefault="29CD79D7">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 xml:space="preserve"> -73.8 (-85.2 to -49.7)</w:t>
            </w:r>
          </w:p>
        </w:tc>
        <w:tc>
          <w:tcPr>
            <w:tcW w:w="1620" w:type="dxa"/>
            <w:gridSpan w:val="2"/>
          </w:tcPr>
          <w:p w14:paraId="3D1B522B" w14:textId="6EED8492"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4,390 (2,280 to 8,140)</w:t>
            </w:r>
          </w:p>
        </w:tc>
        <w:tc>
          <w:tcPr>
            <w:tcW w:w="1170" w:type="dxa"/>
          </w:tcPr>
          <w:p w14:paraId="21E03D09" w14:textId="74C04391"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0.1 (0.1 to 0.2)</w:t>
            </w:r>
          </w:p>
        </w:tc>
        <w:tc>
          <w:tcPr>
            <w:tcW w:w="1530" w:type="dxa"/>
          </w:tcPr>
          <w:p w14:paraId="2A7A94BB" w14:textId="49D8446E" w:rsidR="7D1FCCE0" w:rsidRDefault="78F05CDD">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-74.8 (-86.6 to -39.4)</w:t>
            </w:r>
          </w:p>
        </w:tc>
        <w:tc>
          <w:tcPr>
            <w:tcW w:w="1560" w:type="dxa"/>
            <w:gridSpan w:val="2"/>
          </w:tcPr>
          <w:p w14:paraId="1C951367" w14:textId="7447D7BC"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3,270 (1,830 to 5,470)</w:t>
            </w:r>
          </w:p>
        </w:tc>
        <w:tc>
          <w:tcPr>
            <w:tcW w:w="1155" w:type="dxa"/>
          </w:tcPr>
          <w:p w14:paraId="31A78F5F" w14:textId="22686387"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0.1 (0.0 to 0.1)</w:t>
            </w:r>
          </w:p>
        </w:tc>
        <w:tc>
          <w:tcPr>
            <w:tcW w:w="1515" w:type="dxa"/>
          </w:tcPr>
          <w:p w14:paraId="088ECEEB" w14:textId="58FF589D" w:rsidR="7D1FCCE0" w:rsidRDefault="1409DE77">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 xml:space="preserve"> -72.2 (-87.3 to -37.1)</w:t>
            </w:r>
          </w:p>
        </w:tc>
      </w:tr>
      <w:tr w:rsidR="009929D5" w:rsidRPr="00C604CD" w14:paraId="5E1D0028" w14:textId="77777777" w:rsidTr="008B5C68">
        <w:trPr>
          <w:gridAfter w:val="1"/>
          <w:wAfter w:w="6" w:type="dxa"/>
          <w:trHeight w:val="300"/>
        </w:trPr>
        <w:tc>
          <w:tcPr>
            <w:tcW w:w="1545" w:type="dxa"/>
          </w:tcPr>
          <w:p w14:paraId="78D27737" w14:textId="77777777" w:rsidR="009929D5" w:rsidRPr="00C604CD" w:rsidRDefault="009929D5" w:rsidP="00471C2D">
            <w:pPr>
              <w:rPr>
                <w:rFonts w:ascii="Calibri" w:hAnsi="Calibri" w:cs="Calibri"/>
              </w:rPr>
            </w:pPr>
            <w:r w:rsidRPr="00C604CD">
              <w:rPr>
                <w:rFonts w:ascii="Calibri" w:eastAsia="Aptos Narrow" w:hAnsi="Calibri" w:cs="Calibri"/>
                <w:color w:val="000000" w:themeColor="text1"/>
                <w:sz w:val="22"/>
                <w:szCs w:val="22"/>
              </w:rPr>
              <w:t>Short gestation</w:t>
            </w:r>
          </w:p>
        </w:tc>
        <w:tc>
          <w:tcPr>
            <w:tcW w:w="1650" w:type="dxa"/>
          </w:tcPr>
          <w:p w14:paraId="592AE674" w14:textId="64F7AFEF"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3,540 (2,280 to 5,720)</w:t>
            </w:r>
          </w:p>
        </w:tc>
        <w:tc>
          <w:tcPr>
            <w:tcW w:w="1336" w:type="dxa"/>
          </w:tcPr>
          <w:p w14:paraId="777DA977" w14:textId="7DF8DA8A" w:rsidR="7D1FCCE0" w:rsidRDefault="7D1FCCE0">
            <w:pPr>
              <w:rPr>
                <w:rFonts w:ascii="Aptos Narrow" w:eastAsia="Aptos Narrow" w:hAnsi="Aptos Narrow" w:cs="Aptos Narrow"/>
                <w:color w:val="000000" w:themeColor="text1"/>
                <w:sz w:val="22"/>
                <w:szCs w:val="22"/>
              </w:rPr>
            </w:pPr>
            <w:r w:rsidRPr="7D1FCCE0">
              <w:rPr>
                <w:rFonts w:ascii="Aptos Narrow" w:eastAsia="Aptos Narrow" w:hAnsi="Aptos Narrow" w:cs="Aptos Narrow"/>
                <w:color w:val="000000" w:themeColor="text1"/>
                <w:sz w:val="22"/>
                <w:szCs w:val="22"/>
              </w:rPr>
              <w:t>0.0 (0.0 to 0.1)</w:t>
            </w:r>
          </w:p>
        </w:tc>
        <w:tc>
          <w:tcPr>
            <w:tcW w:w="1500" w:type="dxa"/>
          </w:tcPr>
          <w:p w14:paraId="10190E20" w14:textId="3D921B35" w:rsidR="7D1FCCE0" w:rsidRPr="0052635A" w:rsidRDefault="41894B99">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-72.1 (-83.9 to -45.8)</w:t>
            </w:r>
          </w:p>
          <w:p w14:paraId="20A2EF2D" w14:textId="577A0EC5" w:rsidR="7D1FCCE0" w:rsidRDefault="7D1FCCE0" w:rsidP="7069E996">
            <w:pPr>
              <w:rPr>
                <w:rFonts w:ascii="Calibri" w:eastAsia="Aptos Narrow" w:hAnsi="Calibri" w:cs="Calibri"/>
                <w:color w:val="000000" w:themeColor="text1"/>
                <w:sz w:val="22"/>
                <w:szCs w:val="22"/>
              </w:rPr>
            </w:pPr>
          </w:p>
        </w:tc>
        <w:tc>
          <w:tcPr>
            <w:tcW w:w="1620" w:type="dxa"/>
            <w:gridSpan w:val="2"/>
          </w:tcPr>
          <w:p w14:paraId="34AB0029" w14:textId="6F8EDBAE"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2,010 (1,060 to 3,770)</w:t>
            </w:r>
            <w:r w:rsidRPr="7D1FCCE0">
              <w:rPr>
                <w:rFonts w:ascii="Calibri" w:eastAsia="Aptos Narrow" w:hAnsi="Calibri" w:cs="Calibri"/>
                <w:color w:val="000000" w:themeColor="text1"/>
                <w:sz w:val="22"/>
                <w:szCs w:val="22"/>
              </w:rPr>
              <w:t xml:space="preserve"> </w:t>
            </w:r>
          </w:p>
        </w:tc>
        <w:tc>
          <w:tcPr>
            <w:tcW w:w="1170" w:type="dxa"/>
          </w:tcPr>
          <w:p w14:paraId="1F4162B0" w14:textId="557C9420"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0.0 (0.0 to 0.1)</w:t>
            </w:r>
            <w:r w:rsidRPr="7D1FCCE0">
              <w:rPr>
                <w:rFonts w:ascii="Calibri" w:eastAsia="Aptos Narrow" w:hAnsi="Calibri" w:cs="Calibri"/>
                <w:color w:val="000000" w:themeColor="text1"/>
                <w:sz w:val="22"/>
                <w:szCs w:val="22"/>
              </w:rPr>
              <w:t xml:space="preserve"> </w:t>
            </w:r>
          </w:p>
        </w:tc>
        <w:tc>
          <w:tcPr>
            <w:tcW w:w="1530" w:type="dxa"/>
          </w:tcPr>
          <w:p w14:paraId="3427CE71" w14:textId="2041F21D" w:rsidR="7D1FCCE0" w:rsidRPr="0052635A" w:rsidRDefault="22BCD540">
            <w:pPr>
              <w:rPr>
                <w:rFonts w:ascii="Calibri" w:eastAsia="Aptos Narrow" w:hAnsi="Calibri" w:cs="Calibri"/>
                <w:color w:val="000000" w:themeColor="text1"/>
                <w:sz w:val="22"/>
                <w:szCs w:val="22"/>
              </w:rPr>
            </w:pPr>
            <w:r w:rsidRPr="0052635A">
              <w:rPr>
                <w:rFonts w:ascii="Calibri" w:eastAsia="Aptos Narrow" w:hAnsi="Calibri" w:cs="Calibri"/>
                <w:color w:val="000000" w:themeColor="text1"/>
                <w:sz w:val="22"/>
                <w:szCs w:val="22"/>
              </w:rPr>
              <w:t>-74.4 (-86.0 to -36.8)</w:t>
            </w:r>
          </w:p>
        </w:tc>
        <w:tc>
          <w:tcPr>
            <w:tcW w:w="1560" w:type="dxa"/>
            <w:gridSpan w:val="2"/>
          </w:tcPr>
          <w:p w14:paraId="7C07B066" w14:textId="1E99A781"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1,540 (828 to 2,620)</w:t>
            </w:r>
            <w:r w:rsidRPr="7D1FCCE0">
              <w:rPr>
                <w:rFonts w:ascii="Calibri" w:eastAsia="Aptos Narrow" w:hAnsi="Calibri" w:cs="Calibri"/>
                <w:color w:val="000000" w:themeColor="text1"/>
                <w:sz w:val="22"/>
                <w:szCs w:val="22"/>
              </w:rPr>
              <w:t xml:space="preserve"> </w:t>
            </w:r>
          </w:p>
        </w:tc>
        <w:tc>
          <w:tcPr>
            <w:tcW w:w="1155" w:type="dxa"/>
          </w:tcPr>
          <w:p w14:paraId="482DEC11" w14:textId="5C9F37E7" w:rsidR="7D1FCCE0" w:rsidRDefault="7D1FCCE0">
            <w:pPr>
              <w:rPr>
                <w:rFonts w:ascii="Calibri" w:eastAsia="Aptos Narrow" w:hAnsi="Calibri" w:cs="Calibri"/>
                <w:color w:val="000000" w:themeColor="text1"/>
                <w:sz w:val="22"/>
                <w:szCs w:val="22"/>
              </w:rPr>
            </w:pPr>
            <w:r w:rsidRPr="7D1FCCE0">
              <w:rPr>
                <w:rFonts w:ascii="Aptos Narrow" w:eastAsia="Aptos Narrow" w:hAnsi="Aptos Narrow" w:cs="Aptos Narrow"/>
                <w:color w:val="000000" w:themeColor="text1"/>
                <w:sz w:val="22"/>
                <w:szCs w:val="22"/>
              </w:rPr>
              <w:t>0.0 (0.0 to 0.1)</w:t>
            </w:r>
            <w:r w:rsidRPr="7D1FCCE0">
              <w:rPr>
                <w:rFonts w:ascii="Calibri" w:eastAsia="Aptos Narrow" w:hAnsi="Calibri" w:cs="Calibri"/>
                <w:color w:val="000000" w:themeColor="text1"/>
                <w:sz w:val="22"/>
                <w:szCs w:val="22"/>
              </w:rPr>
              <w:t xml:space="preserve"> </w:t>
            </w:r>
          </w:p>
        </w:tc>
        <w:tc>
          <w:tcPr>
            <w:tcW w:w="1515" w:type="dxa"/>
          </w:tcPr>
          <w:p w14:paraId="74B9F268" w14:textId="0685DD43" w:rsidR="7D1FCCE0" w:rsidRPr="0052635A" w:rsidRDefault="6AE1B310">
            <w:pPr>
              <w:rPr>
                <w:rFonts w:ascii="Aptos Narrow" w:eastAsia="Aptos Narrow" w:hAnsi="Aptos Narrow" w:cs="Aptos Narrow"/>
                <w:color w:val="000000" w:themeColor="text1"/>
                <w:sz w:val="22"/>
                <w:szCs w:val="22"/>
              </w:rPr>
            </w:pPr>
            <w:r w:rsidRPr="0052635A">
              <w:rPr>
                <w:rFonts w:ascii="Aptos Narrow" w:eastAsia="Aptos Narrow" w:hAnsi="Aptos Narrow" w:cs="Aptos Narrow"/>
                <w:color w:val="000000" w:themeColor="text1"/>
                <w:sz w:val="22"/>
                <w:szCs w:val="22"/>
              </w:rPr>
              <w:t>-68.4 (-85.6 to -31.6)</w:t>
            </w:r>
          </w:p>
        </w:tc>
      </w:tr>
    </w:tbl>
    <w:p w14:paraId="5C55B29E" w14:textId="31834D86" w:rsidR="009929D5" w:rsidRPr="00C604CD" w:rsidRDefault="0052635A">
      <w:pPr>
        <w:rPr>
          <w:rFonts w:ascii="Calibri" w:hAnsi="Calibri" w:cs="Calibri"/>
        </w:rPr>
      </w:pPr>
      <w:r w:rsidRPr="0052635A">
        <w:rPr>
          <w:rFonts w:ascii="Calibri" w:eastAsia="Calibri" w:hAnsi="Calibri" w:cs="Calibri"/>
          <w:sz w:val="22"/>
          <w:szCs w:val="22"/>
        </w:rPr>
        <w:t xml:space="preserve">Estimates are presented as rounded values and therefore might not sum to estimated aggregates. The both sexes combined category is calculated as males plus females. Data in parentheses are 95% uncertainty intervals. Ambient particulate matter pollution is defined as the population-weighted annual average mass concentration of particles with an aerodynamic diameter less than 2·5 </w:t>
      </w:r>
      <w:proofErr w:type="spellStart"/>
      <w:r w:rsidRPr="0052635A">
        <w:rPr>
          <w:rFonts w:ascii="Calibri" w:eastAsia="Calibri" w:hAnsi="Calibri" w:cs="Calibri"/>
          <w:sz w:val="22"/>
          <w:szCs w:val="22"/>
        </w:rPr>
        <w:t>μm</w:t>
      </w:r>
      <w:proofErr w:type="spellEnd"/>
      <w:r w:rsidRPr="0052635A">
        <w:rPr>
          <w:rFonts w:ascii="Calibri" w:eastAsia="Calibri" w:hAnsi="Calibri" w:cs="Calibri"/>
          <w:sz w:val="22"/>
          <w:szCs w:val="22"/>
        </w:rPr>
        <w:t xml:space="preserve"> (PM2·5) in a cubic </w:t>
      </w:r>
      <w:proofErr w:type="spellStart"/>
      <w:r w:rsidRPr="0052635A">
        <w:rPr>
          <w:rFonts w:ascii="Calibri" w:eastAsia="Calibri" w:hAnsi="Calibri" w:cs="Calibri"/>
          <w:sz w:val="22"/>
          <w:szCs w:val="22"/>
        </w:rPr>
        <w:t>metre</w:t>
      </w:r>
      <w:proofErr w:type="spellEnd"/>
      <w:r w:rsidRPr="0052635A">
        <w:rPr>
          <w:rFonts w:ascii="Calibri" w:eastAsia="Calibri" w:hAnsi="Calibri" w:cs="Calibri"/>
          <w:sz w:val="22"/>
          <w:szCs w:val="22"/>
        </w:rPr>
        <w:t xml:space="preserve"> of air. Household air pollution from solid fuels is estimated from both the proportion of individuals using solid cooking fuels and the level of exposure to particulate matter less than 2·5 </w:t>
      </w:r>
      <w:proofErr w:type="spellStart"/>
      <w:r w:rsidRPr="0052635A">
        <w:rPr>
          <w:rFonts w:ascii="Calibri" w:eastAsia="Calibri" w:hAnsi="Calibri" w:cs="Calibri"/>
          <w:sz w:val="22"/>
          <w:szCs w:val="22"/>
        </w:rPr>
        <w:t>μm</w:t>
      </w:r>
      <w:proofErr w:type="spellEnd"/>
      <w:r w:rsidRPr="0052635A">
        <w:rPr>
          <w:rFonts w:ascii="Calibri" w:eastAsia="Calibri" w:hAnsi="Calibri" w:cs="Calibri"/>
          <w:sz w:val="22"/>
          <w:szCs w:val="22"/>
        </w:rPr>
        <w:t xml:space="preserve"> in aerodynamic diameter (PM2·5). Low birthweight refers to any birthweight less than the birthweight theoretical minimum risk exposure level (TMREL). Short gestation is used to refer to all gestational ages below the gestational age TMREL. For risk factor results in 1990, please see </w:t>
      </w:r>
      <w:r w:rsidRPr="0052635A">
        <w:rPr>
          <w:rFonts w:ascii="Calibri" w:eastAsia="Calibri" w:hAnsi="Calibri" w:cs="Calibri"/>
          <w:sz w:val="22"/>
          <w:szCs w:val="22"/>
        </w:rPr>
        <w:t>appendix 2 table S11</w:t>
      </w:r>
      <w:r w:rsidRPr="0052635A">
        <w:rPr>
          <w:rFonts w:ascii="Calibri" w:eastAsia="Calibri" w:hAnsi="Calibri" w:cs="Calibri"/>
          <w:sz w:val="22"/>
          <w:szCs w:val="22"/>
        </w:rPr>
        <w:t>.</w:t>
      </w:r>
    </w:p>
    <w:sectPr w:rsidR="009929D5" w:rsidRPr="00C604CD" w:rsidSect="009929D5">
      <w:pgSz w:w="15840" w:h="12240" w:orient="landscape"/>
      <w:pgMar w:top="1440" w:right="72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9D5"/>
    <w:rsid w:val="00006933"/>
    <w:rsid w:val="000344B5"/>
    <w:rsid w:val="00041688"/>
    <w:rsid w:val="00041C77"/>
    <w:rsid w:val="000709B4"/>
    <w:rsid w:val="00074D63"/>
    <w:rsid w:val="00083F12"/>
    <w:rsid w:val="000B7A53"/>
    <w:rsid w:val="000C2362"/>
    <w:rsid w:val="000E087C"/>
    <w:rsid w:val="000E17FF"/>
    <w:rsid w:val="00101ACC"/>
    <w:rsid w:val="00130BF6"/>
    <w:rsid w:val="00151579"/>
    <w:rsid w:val="001527C3"/>
    <w:rsid w:val="00180933"/>
    <w:rsid w:val="001D6703"/>
    <w:rsid w:val="001F1D10"/>
    <w:rsid w:val="002002F7"/>
    <w:rsid w:val="00212692"/>
    <w:rsid w:val="002130A2"/>
    <w:rsid w:val="002134FB"/>
    <w:rsid w:val="00227686"/>
    <w:rsid w:val="0028542B"/>
    <w:rsid w:val="002860B3"/>
    <w:rsid w:val="00286A45"/>
    <w:rsid w:val="00295C5C"/>
    <w:rsid w:val="002B1773"/>
    <w:rsid w:val="002B4351"/>
    <w:rsid w:val="002C15C9"/>
    <w:rsid w:val="002D03FB"/>
    <w:rsid w:val="002D53A7"/>
    <w:rsid w:val="002D646E"/>
    <w:rsid w:val="002E3406"/>
    <w:rsid w:val="003404AC"/>
    <w:rsid w:val="0035338A"/>
    <w:rsid w:val="0035361E"/>
    <w:rsid w:val="003569C3"/>
    <w:rsid w:val="00395B7C"/>
    <w:rsid w:val="003C3870"/>
    <w:rsid w:val="003D510B"/>
    <w:rsid w:val="004063FE"/>
    <w:rsid w:val="00440646"/>
    <w:rsid w:val="00440CF8"/>
    <w:rsid w:val="00451B45"/>
    <w:rsid w:val="00455F77"/>
    <w:rsid w:val="004A58DB"/>
    <w:rsid w:val="004B5BA4"/>
    <w:rsid w:val="004D5514"/>
    <w:rsid w:val="004F7B5D"/>
    <w:rsid w:val="00503502"/>
    <w:rsid w:val="00521603"/>
    <w:rsid w:val="0052635A"/>
    <w:rsid w:val="00535E61"/>
    <w:rsid w:val="00542556"/>
    <w:rsid w:val="005559A9"/>
    <w:rsid w:val="005745A7"/>
    <w:rsid w:val="005B68C5"/>
    <w:rsid w:val="005C6DDA"/>
    <w:rsid w:val="005F6948"/>
    <w:rsid w:val="00624867"/>
    <w:rsid w:val="00625AA1"/>
    <w:rsid w:val="00676F71"/>
    <w:rsid w:val="00690035"/>
    <w:rsid w:val="0069171C"/>
    <w:rsid w:val="006B1098"/>
    <w:rsid w:val="006B2634"/>
    <w:rsid w:val="007159C2"/>
    <w:rsid w:val="00733DC3"/>
    <w:rsid w:val="0075392D"/>
    <w:rsid w:val="007571F6"/>
    <w:rsid w:val="0075792C"/>
    <w:rsid w:val="0077173B"/>
    <w:rsid w:val="007D00C2"/>
    <w:rsid w:val="007D2F67"/>
    <w:rsid w:val="0081257E"/>
    <w:rsid w:val="00820E1B"/>
    <w:rsid w:val="008665D8"/>
    <w:rsid w:val="00883E71"/>
    <w:rsid w:val="008948E8"/>
    <w:rsid w:val="008A03C6"/>
    <w:rsid w:val="008B5C68"/>
    <w:rsid w:val="0092736F"/>
    <w:rsid w:val="00934F08"/>
    <w:rsid w:val="00954F4C"/>
    <w:rsid w:val="00975639"/>
    <w:rsid w:val="00990E9B"/>
    <w:rsid w:val="00991290"/>
    <w:rsid w:val="009929D5"/>
    <w:rsid w:val="009D4B41"/>
    <w:rsid w:val="009F6F10"/>
    <w:rsid w:val="00A0467B"/>
    <w:rsid w:val="00A23B30"/>
    <w:rsid w:val="00A35BF4"/>
    <w:rsid w:val="00A473D1"/>
    <w:rsid w:val="00A72143"/>
    <w:rsid w:val="00AF1EF6"/>
    <w:rsid w:val="00B20715"/>
    <w:rsid w:val="00B6565C"/>
    <w:rsid w:val="00B677B5"/>
    <w:rsid w:val="00B9181C"/>
    <w:rsid w:val="00BB6348"/>
    <w:rsid w:val="00BE19E0"/>
    <w:rsid w:val="00BF0CFF"/>
    <w:rsid w:val="00BF279A"/>
    <w:rsid w:val="00C27569"/>
    <w:rsid w:val="00C452CD"/>
    <w:rsid w:val="00C604CD"/>
    <w:rsid w:val="00C67A9C"/>
    <w:rsid w:val="00C95958"/>
    <w:rsid w:val="00CA2C28"/>
    <w:rsid w:val="00D15094"/>
    <w:rsid w:val="00D26053"/>
    <w:rsid w:val="00D615AE"/>
    <w:rsid w:val="00DA55F7"/>
    <w:rsid w:val="00DB6849"/>
    <w:rsid w:val="00DF14A1"/>
    <w:rsid w:val="00DF50A3"/>
    <w:rsid w:val="00E02387"/>
    <w:rsid w:val="00E02E2C"/>
    <w:rsid w:val="00E850CE"/>
    <w:rsid w:val="00EB3DEB"/>
    <w:rsid w:val="00EB5953"/>
    <w:rsid w:val="00EB6805"/>
    <w:rsid w:val="00FA6377"/>
    <w:rsid w:val="00FA7CF8"/>
    <w:rsid w:val="00FD1D1C"/>
    <w:rsid w:val="00FD4329"/>
    <w:rsid w:val="0162ADD6"/>
    <w:rsid w:val="0297C47A"/>
    <w:rsid w:val="03B9A3F0"/>
    <w:rsid w:val="0403A2FE"/>
    <w:rsid w:val="0514D8D8"/>
    <w:rsid w:val="0558E4A4"/>
    <w:rsid w:val="05C2EBB0"/>
    <w:rsid w:val="05CE5A4A"/>
    <w:rsid w:val="0974D0FE"/>
    <w:rsid w:val="09785801"/>
    <w:rsid w:val="0997DE4F"/>
    <w:rsid w:val="0A2DC39E"/>
    <w:rsid w:val="0D907773"/>
    <w:rsid w:val="0DBFB2EB"/>
    <w:rsid w:val="0E95BE7D"/>
    <w:rsid w:val="0F65E548"/>
    <w:rsid w:val="10782277"/>
    <w:rsid w:val="10D4BCB7"/>
    <w:rsid w:val="11E506B9"/>
    <w:rsid w:val="12A1EF17"/>
    <w:rsid w:val="12E579D5"/>
    <w:rsid w:val="1409DE77"/>
    <w:rsid w:val="14A538FC"/>
    <w:rsid w:val="14C69EDA"/>
    <w:rsid w:val="14CB9F84"/>
    <w:rsid w:val="15FE258D"/>
    <w:rsid w:val="18CC1609"/>
    <w:rsid w:val="19CA02A1"/>
    <w:rsid w:val="1A5D5D05"/>
    <w:rsid w:val="1AFB711B"/>
    <w:rsid w:val="1B21EAF7"/>
    <w:rsid w:val="20B0AF1B"/>
    <w:rsid w:val="22011AB3"/>
    <w:rsid w:val="2234C594"/>
    <w:rsid w:val="22BCD540"/>
    <w:rsid w:val="254EF30A"/>
    <w:rsid w:val="265B9B33"/>
    <w:rsid w:val="27196CA0"/>
    <w:rsid w:val="28224264"/>
    <w:rsid w:val="29CD79D7"/>
    <w:rsid w:val="2A0B408A"/>
    <w:rsid w:val="2D43FE7E"/>
    <w:rsid w:val="312A03AE"/>
    <w:rsid w:val="32DCD969"/>
    <w:rsid w:val="3312E203"/>
    <w:rsid w:val="35DCCBA7"/>
    <w:rsid w:val="35FE9DC7"/>
    <w:rsid w:val="373B6996"/>
    <w:rsid w:val="38B01461"/>
    <w:rsid w:val="39524734"/>
    <w:rsid w:val="39ABFABC"/>
    <w:rsid w:val="3B4CB1D8"/>
    <w:rsid w:val="3C73B85B"/>
    <w:rsid w:val="3CBB427D"/>
    <w:rsid w:val="3F88B636"/>
    <w:rsid w:val="40067EC8"/>
    <w:rsid w:val="41894B99"/>
    <w:rsid w:val="41F0995E"/>
    <w:rsid w:val="421490FE"/>
    <w:rsid w:val="422167A3"/>
    <w:rsid w:val="4248240C"/>
    <w:rsid w:val="42DDFFC5"/>
    <w:rsid w:val="4650433F"/>
    <w:rsid w:val="46DC2578"/>
    <w:rsid w:val="478FE128"/>
    <w:rsid w:val="48510785"/>
    <w:rsid w:val="489D664F"/>
    <w:rsid w:val="495250EC"/>
    <w:rsid w:val="4BCD6C70"/>
    <w:rsid w:val="4EDD8DCA"/>
    <w:rsid w:val="4F08E9B4"/>
    <w:rsid w:val="51B5D8ED"/>
    <w:rsid w:val="52951930"/>
    <w:rsid w:val="5297CE90"/>
    <w:rsid w:val="533BA9DE"/>
    <w:rsid w:val="53E47F43"/>
    <w:rsid w:val="54F29C5B"/>
    <w:rsid w:val="55A42588"/>
    <w:rsid w:val="561D257F"/>
    <w:rsid w:val="563AFA1E"/>
    <w:rsid w:val="56BF6BB8"/>
    <w:rsid w:val="588A8F22"/>
    <w:rsid w:val="588CDF48"/>
    <w:rsid w:val="5A21D2E0"/>
    <w:rsid w:val="5B715326"/>
    <w:rsid w:val="5C6704F8"/>
    <w:rsid w:val="5E50ECCE"/>
    <w:rsid w:val="5E956799"/>
    <w:rsid w:val="5EEE8445"/>
    <w:rsid w:val="5F3A21CB"/>
    <w:rsid w:val="6021DA4A"/>
    <w:rsid w:val="65BA4C9E"/>
    <w:rsid w:val="67C00A5D"/>
    <w:rsid w:val="68A85949"/>
    <w:rsid w:val="68E2F49E"/>
    <w:rsid w:val="69EB5825"/>
    <w:rsid w:val="6AE1B310"/>
    <w:rsid w:val="6BD15758"/>
    <w:rsid w:val="6DA1B38C"/>
    <w:rsid w:val="6E1F99ED"/>
    <w:rsid w:val="6E8FBC24"/>
    <w:rsid w:val="6F2D0DBD"/>
    <w:rsid w:val="70475805"/>
    <w:rsid w:val="7069E996"/>
    <w:rsid w:val="713E901C"/>
    <w:rsid w:val="72DC44DE"/>
    <w:rsid w:val="742E2369"/>
    <w:rsid w:val="7472F65C"/>
    <w:rsid w:val="74B38E52"/>
    <w:rsid w:val="750E4F58"/>
    <w:rsid w:val="7620F492"/>
    <w:rsid w:val="767E1580"/>
    <w:rsid w:val="779A2202"/>
    <w:rsid w:val="77F7EE55"/>
    <w:rsid w:val="7894E0C7"/>
    <w:rsid w:val="78BC9179"/>
    <w:rsid w:val="78F05CDD"/>
    <w:rsid w:val="7D1FCCE0"/>
    <w:rsid w:val="7DBF0C84"/>
    <w:rsid w:val="7DC80120"/>
    <w:rsid w:val="7F3827CF"/>
    <w:rsid w:val="7FCC6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54183"/>
  <w15:chartTrackingRefBased/>
  <w15:docId w15:val="{E46CFF90-B78E-43C8-AFC5-84F88AE0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9D5"/>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9929D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929D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929D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929D5"/>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9929D5"/>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9929D5"/>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9929D5"/>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9929D5"/>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9929D5"/>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9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9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9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9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9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9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9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9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9D5"/>
    <w:rPr>
      <w:rFonts w:eastAsiaTheme="majorEastAsia" w:cstheme="majorBidi"/>
      <w:color w:val="272727" w:themeColor="text1" w:themeTint="D8"/>
    </w:rPr>
  </w:style>
  <w:style w:type="paragraph" w:styleId="Title">
    <w:name w:val="Title"/>
    <w:basedOn w:val="Normal"/>
    <w:next w:val="Normal"/>
    <w:link w:val="TitleChar"/>
    <w:uiPriority w:val="10"/>
    <w:qFormat/>
    <w:rsid w:val="009929D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929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9D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929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9D5"/>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9929D5"/>
    <w:rPr>
      <w:i/>
      <w:iCs/>
      <w:color w:val="404040" w:themeColor="text1" w:themeTint="BF"/>
    </w:rPr>
  </w:style>
  <w:style w:type="paragraph" w:styleId="ListParagraph">
    <w:name w:val="List Paragraph"/>
    <w:basedOn w:val="Normal"/>
    <w:uiPriority w:val="34"/>
    <w:qFormat/>
    <w:rsid w:val="009929D5"/>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9929D5"/>
    <w:rPr>
      <w:i/>
      <w:iCs/>
      <w:color w:val="0F4761" w:themeColor="accent1" w:themeShade="BF"/>
    </w:rPr>
  </w:style>
  <w:style w:type="paragraph" w:styleId="IntenseQuote">
    <w:name w:val="Intense Quote"/>
    <w:basedOn w:val="Normal"/>
    <w:next w:val="Normal"/>
    <w:link w:val="IntenseQuoteChar"/>
    <w:uiPriority w:val="30"/>
    <w:qFormat/>
    <w:rsid w:val="009929D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9929D5"/>
    <w:rPr>
      <w:i/>
      <w:iCs/>
      <w:color w:val="0F4761" w:themeColor="accent1" w:themeShade="BF"/>
    </w:rPr>
  </w:style>
  <w:style w:type="character" w:styleId="IntenseReference">
    <w:name w:val="Intense Reference"/>
    <w:basedOn w:val="DefaultParagraphFont"/>
    <w:uiPriority w:val="32"/>
    <w:qFormat/>
    <w:rsid w:val="009929D5"/>
    <w:rPr>
      <w:b/>
      <w:bCs/>
      <w:smallCaps/>
      <w:color w:val="0F4761" w:themeColor="accent1" w:themeShade="BF"/>
      <w:spacing w:val="5"/>
    </w:rPr>
  </w:style>
  <w:style w:type="table" w:styleId="TableGrid">
    <w:name w:val="Table Grid"/>
    <w:basedOn w:val="TableNormal"/>
    <w:uiPriority w:val="59"/>
    <w:rsid w:val="009929D5"/>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8542B"/>
    <w:pPr>
      <w:spacing w:after="0" w:line="240" w:lineRule="auto"/>
    </w:pPr>
    <w:rPr>
      <w:rFonts w:eastAsiaTheme="minorEastAsia"/>
      <w:kern w:val="0"/>
      <w:lang w:eastAsia="ja-JP"/>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ja-JP"/>
      <w14:ligatures w14:val="none"/>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52635A"/>
    <w:rPr>
      <w:color w:val="467886" w:themeColor="hyperlink"/>
      <w:u w:val="single"/>
    </w:rPr>
  </w:style>
  <w:style w:type="character" w:styleId="UnresolvedMention">
    <w:name w:val="Unresolved Mention"/>
    <w:basedOn w:val="DefaultParagraphFont"/>
    <w:uiPriority w:val="99"/>
    <w:semiHidden/>
    <w:unhideWhenUsed/>
    <w:rsid w:val="00526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01cc8c0-4621-43b0-afce-2e2348d6bd3c" xsi:nil="true"/>
    <DataFor xmlns="6b61bd86-16e5-4acc-a76c-13869bca2fa7" xsi:nil="true"/>
    <lcf76f155ced4ddcb4097134ff3c332f xmlns="6b61bd86-16e5-4acc-a76c-13869bca2f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6" ma:contentTypeDescription="Create a new document." ma:contentTypeScope="" ma:versionID="18a92b89a26fdc649828eac4c2f66e99">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bb402d9882e5073922849ac1879ac731"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DataF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DataFor" ma:index="22" nillable="true" ma:displayName="Notes" ma:format="Dropdown" ma:internalName="DataF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b26bef1-046c-4542-8887-e9e85cda0b71}" ma:internalName="TaxCatchAll" ma:showField="CatchAllData" ma:web="801cc8c0-4621-43b0-afce-2e2348d6bd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B996-2124-4C12-8225-73081C65E79C}">
  <ds:schemaRefs>
    <ds:schemaRef ds:uri="http://schemas.openxmlformats.org/officeDocument/2006/bibliography"/>
  </ds:schemaRefs>
</ds:datastoreItem>
</file>

<file path=customXml/itemProps2.xml><?xml version="1.0" encoding="utf-8"?>
<ds:datastoreItem xmlns:ds="http://schemas.openxmlformats.org/officeDocument/2006/customXml" ds:itemID="{09437111-A349-437D-BC33-EB3FAEC1CDD1}">
  <ds:schemaRefs>
    <ds:schemaRef ds:uri="http://schemas.microsoft.com/office/2006/metadata/properties"/>
    <ds:schemaRef ds:uri="http://schemas.microsoft.com/office/infopath/2007/PartnerControls"/>
    <ds:schemaRef ds:uri="801cc8c0-4621-43b0-afce-2e2348d6bd3c"/>
    <ds:schemaRef ds:uri="6b61bd86-16e5-4acc-a76c-13869bca2fa7"/>
  </ds:schemaRefs>
</ds:datastoreItem>
</file>

<file path=customXml/itemProps3.xml><?xml version="1.0" encoding="utf-8"?>
<ds:datastoreItem xmlns:ds="http://schemas.openxmlformats.org/officeDocument/2006/customXml" ds:itemID="{05909FEE-A5AD-4D68-A345-6137B4032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05097-A9FA-4DE5-8C17-2421CC32C42E}">
  <ds:schemaRefs>
    <ds:schemaRef ds:uri="http://schemas.microsoft.com/sharepoint/v3/contenttype/forms"/>
  </ds:schemaRefs>
</ds:datastoreItem>
</file>

<file path=docMetadata/LabelInfo.xml><?xml version="1.0" encoding="utf-8"?>
<clbl:labelList xmlns:clbl="http://schemas.microsoft.com/office/2020/mipLabelMetadata">
  <clbl:label id="{549ac42a-3eb4-4074-b885-aea26bd6241e}" enabled="1" method="Standard" siteId="{9274ee3f-9425-4109-a27f-9fb15c10675d}" removed="0"/>
</clbl:labelList>
</file>

<file path=docProps/app.xml><?xml version="1.0" encoding="utf-8"?>
<Properties xmlns="http://schemas.openxmlformats.org/officeDocument/2006/extended-properties" xmlns:vt="http://schemas.openxmlformats.org/officeDocument/2006/docPropsVTypes">
  <Template>Normal</Template>
  <TotalTime>35</TotalTime>
  <Pages>5</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Hmwe H. Kyu</dc:creator>
  <cp:keywords/>
  <dc:description/>
  <cp:lastModifiedBy>Sarah Sirota</cp:lastModifiedBy>
  <cp:revision>9</cp:revision>
  <dcterms:created xsi:type="dcterms:W3CDTF">2026-03-13T20:27:00Z</dcterms:created>
  <dcterms:modified xsi:type="dcterms:W3CDTF">2026-06-15T20:00:00Z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y fmtid="{D5CDD505-2E9C-101B-9397-08002B2CF9AE}" pid="3" name="MediaServiceImageTags">
    <vt:lpwstr/>
  </property>
  <property fmtid="{D5CDD505-2E9C-101B-9397-08002B2CF9AE}" pid="4" name="GrammarlyDocumentId">
    <vt:lpwstr>4bac6bbb-67c5-410d-9e8e-2073adb212c0</vt:lpwstr>
  </property>
</Properties>
</file>