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8BD5E8" w14:textId="6F889072" w:rsidR="012FA187" w:rsidRPr="00334652" w:rsidRDefault="4E510179" w:rsidP="1AE41B3E">
      <w:pPr>
        <w:pStyle w:val="Heading1"/>
        <w:rPr>
          <w:b/>
          <w:bCs/>
          <w:lang w:val="en"/>
        </w:rPr>
      </w:pPr>
      <w:bookmarkStart w:id="0" w:name="_Toc213357080"/>
      <w:r>
        <w:t>Appendix 1</w:t>
      </w:r>
      <w:r w:rsidR="00334652">
        <w:t>:</w:t>
      </w:r>
      <w:r w:rsidR="00334652" w:rsidRPr="45D9E8B1">
        <w:rPr>
          <w:b/>
          <w:bCs/>
          <w:lang w:val="en"/>
        </w:rPr>
        <w:t xml:space="preserve"> </w:t>
      </w:r>
      <w:r w:rsidR="1AE41B3E">
        <w:t>Methods Appendix for “</w:t>
      </w:r>
      <w:r w:rsidR="18B773DE" w:rsidRPr="45D9E8B1">
        <w:rPr>
          <w:rFonts w:ascii="Calibri Light" w:eastAsia="MS Gothic" w:hAnsi="Calibri Light" w:cs="Times New Roman"/>
        </w:rPr>
        <w:t>Global, regional, and national burden of meningitis, its risk factors, and aetiologies, 1990–2023: a systematic analysis for the Global Burden of Disease Study 2023</w:t>
      </w:r>
      <w:r w:rsidR="1AE41B3E">
        <w:t>”</w:t>
      </w:r>
      <w:bookmarkEnd w:id="0"/>
    </w:p>
    <w:p w14:paraId="38403C0D" w14:textId="2FBCCADC" w:rsidR="7EEF912B" w:rsidRDefault="7EEF912B" w:rsidP="00C4162D"/>
    <w:p w14:paraId="3E0737D7" w14:textId="32F94A0C" w:rsidR="7EEF912B" w:rsidRDefault="012FA187" w:rsidP="00C4162D">
      <w:pPr>
        <w:spacing w:line="257" w:lineRule="auto"/>
        <w:rPr>
          <w:rFonts w:ascii="Times New Roman" w:eastAsia="Times New Roman" w:hAnsi="Times New Roman" w:cs="Times New Roman"/>
          <w:sz w:val="24"/>
          <w:szCs w:val="24"/>
        </w:rPr>
      </w:pPr>
      <w:r w:rsidRPr="45D9E8B1">
        <w:rPr>
          <w:rFonts w:ascii="Times New Roman" w:eastAsia="Times New Roman" w:hAnsi="Times New Roman" w:cs="Times New Roman"/>
          <w:sz w:val="24"/>
          <w:szCs w:val="24"/>
        </w:rPr>
        <w:t>This appendix provides further methodological detail and results for “</w:t>
      </w:r>
      <w:r w:rsidR="7BB20159" w:rsidRPr="45D9E8B1">
        <w:rPr>
          <w:rFonts w:ascii="Times New Roman" w:eastAsia="Times New Roman" w:hAnsi="Times New Roman" w:cs="Times New Roman"/>
          <w:sz w:val="24"/>
          <w:szCs w:val="24"/>
        </w:rPr>
        <w:t>Global, regional, and national burden of meningitis, its risk factors, and aetiologies, 1990–2023: a systematic analysis for the Global Burden of Disease Study 2023.</w:t>
      </w:r>
      <w:r w:rsidRPr="45D9E8B1">
        <w:rPr>
          <w:rFonts w:ascii="Times New Roman" w:eastAsia="Times New Roman" w:hAnsi="Times New Roman" w:cs="Times New Roman"/>
          <w:sz w:val="24"/>
          <w:szCs w:val="24"/>
        </w:rPr>
        <w:t>”</w:t>
      </w:r>
    </w:p>
    <w:p w14:paraId="1EE22EDF" w14:textId="42694C8B" w:rsidR="7EEF912B" w:rsidRDefault="7EEF912B" w:rsidP="00C4162D">
      <w:pPr>
        <w:spacing w:line="257" w:lineRule="auto"/>
        <w:rPr>
          <w:rFonts w:ascii="Times New Roman" w:eastAsia="Times New Roman" w:hAnsi="Times New Roman" w:cs="Times New Roman"/>
          <w:sz w:val="24"/>
          <w:szCs w:val="24"/>
        </w:rPr>
      </w:pPr>
    </w:p>
    <w:p w14:paraId="13274456" w14:textId="17A348B2" w:rsidR="122D5D85" w:rsidRDefault="5B86079D" w:rsidP="122D5D85">
      <w:pPr>
        <w:spacing w:line="257" w:lineRule="auto"/>
        <w:rPr>
          <w:rFonts w:ascii="Times New Roman" w:eastAsia="Times New Roman" w:hAnsi="Times New Roman" w:cs="Times New Roman"/>
          <w:sz w:val="24"/>
          <w:szCs w:val="24"/>
        </w:rPr>
      </w:pPr>
      <w:r w:rsidRPr="225637D3">
        <w:rPr>
          <w:rFonts w:ascii="Times New Roman" w:eastAsia="Times New Roman" w:hAnsi="Times New Roman" w:cs="Times New Roman"/>
          <w:sz w:val="24"/>
          <w:szCs w:val="24"/>
        </w:rPr>
        <w:t xml:space="preserve">All the material in the paper itself is novel although it builds off previous GBD works. </w:t>
      </w:r>
      <w:r w:rsidR="14942668" w:rsidRPr="225637D3">
        <w:rPr>
          <w:rFonts w:ascii="Times New Roman" w:eastAsia="Times New Roman" w:hAnsi="Times New Roman" w:cs="Times New Roman"/>
          <w:sz w:val="24"/>
          <w:szCs w:val="24"/>
        </w:rPr>
        <w:t>However, parts</w:t>
      </w:r>
      <w:r w:rsidRPr="225637D3">
        <w:rPr>
          <w:rFonts w:ascii="Times New Roman" w:eastAsia="Times New Roman" w:hAnsi="Times New Roman" w:cs="Times New Roman"/>
          <w:sz w:val="24"/>
          <w:szCs w:val="24"/>
        </w:rPr>
        <w:t xml:space="preserve"> of the supplemental methods appendix include sections adapted from the GBD Capstones</w:t>
      </w:r>
      <w:r w:rsidR="2D257251" w:rsidRPr="225637D3">
        <w:rPr>
          <w:rFonts w:ascii="Times New Roman" w:eastAsia="Times New Roman" w:hAnsi="Times New Roman" w:cs="Times New Roman"/>
          <w:sz w:val="24"/>
          <w:szCs w:val="24"/>
        </w:rPr>
        <w:t xml:space="preserve"> </w:t>
      </w:r>
      <w:r w:rsidR="5F2D5161" w:rsidRPr="225637D3">
        <w:rPr>
          <w:rFonts w:ascii="Times New Roman" w:eastAsia="Times New Roman" w:hAnsi="Times New Roman" w:cs="Times New Roman"/>
          <w:sz w:val="24"/>
          <w:szCs w:val="24"/>
        </w:rPr>
        <w:t>previously</w:t>
      </w:r>
      <w:r w:rsidRPr="225637D3">
        <w:rPr>
          <w:rFonts w:ascii="Times New Roman" w:eastAsia="Times New Roman" w:hAnsi="Times New Roman" w:cs="Times New Roman"/>
          <w:sz w:val="24"/>
          <w:szCs w:val="24"/>
        </w:rPr>
        <w:t xml:space="preserve"> published in The Lancet</w:t>
      </w:r>
      <w:r w:rsidR="0033053F">
        <w:rPr>
          <w:rFonts w:ascii="Times New Roman" w:eastAsia="Times New Roman" w:hAnsi="Times New Roman" w:cs="Times New Roman"/>
          <w:sz w:val="24"/>
          <w:szCs w:val="24"/>
        </w:rPr>
        <w:fldChar w:fldCharType="begin"/>
      </w:r>
      <w:r w:rsidR="00777247">
        <w:rPr>
          <w:rFonts w:ascii="Times New Roman" w:eastAsia="Times New Roman" w:hAnsi="Times New Roman" w:cs="Times New Roman"/>
          <w:sz w:val="24"/>
          <w:szCs w:val="24"/>
        </w:rPr>
        <w:instrText xml:space="preserve"> ADDIN ZOTERO_ITEM CSL_CITATION {"citationID":"PhvQKSXK","properties":{"formattedCitation":"\\super 1,2\\nosupersub{}","plainCitation":"1,2","noteIndex":0},"citationItems":[{"id":1494,"uris":["http://zotero.org/groups/5889362/items/4C5FLV89"],"itemData":{"id":1494,"type":"article-journal","container-title":"The Lancet","DOI":"10.1016/S0140-6736(25)01637-X","ISSN":"0140-6736, 1474-547X","issue":"10513","journalAbbreviation":"The Lancet","language":"English","note":"publisher: Elsevier\nPMID: 41092926","page":"1873-1922","source":"www.thelancet.com","title":"Burden of 375 diseases and injuries, risk-attributable burden of 88 risk factors, and healthy life expectancy in 204 countries and territories, including 660 subnational locations, 1990–2023: a systematic analysis for the Global Burden of Disease Study 2023","title-short":"Burden of 375 diseases and injuries, risk-attributable burden of 88 risk factors, and healthy life expectancy in 204 countries and territories, including 660 subnational locations, 1990–2023","volume":"406","author":[{"family":"Hay","given":"Simon I."},{"family":"Ong","given":"Kanyin Liane"},{"family":"Santomauro","given":"Damian F."},{"family":"A","given":"Bhoomadevi"},{"family":"Aalipour","given":"Mohammad Amin"},{"family":"Aalruz","given":"Hasan"},{"family":"Ababneh","given":"Hazim S."},{"family":"Abaraogu","given":"Ukachukwu O."},{"family":"Abate","given":"Biruk Beletew"},{"family":"Abbafati","given":"Cristiana"},{"family":"Abbas","given":"Nasir"},{"family":"Abbasifard","given":"Mitra"},{"family":"Abbasi-Kangevari","given":"Mohsen"},{"family":"ElHafeez","given":"Samar Abd"},{"family":"Abdalla","given":"Ashraf Nabiel"},{"family":"Abdalla","given":"Mohammed Altigani"},{"family":"Abdallah","given":"Emad M."},{"family":"Abdeeq","given":"Barkhad Aden"},{"family":"Razeq","given":"Nadin M. I. Abdel"},{"family":"Abdelgalil","given":"Ahmed Abdelrahman"},{"family":"Abdel-Hameed","given":"Reda"},{"family":"Abdelmasseh","given":"Michael"},{"family":"Abdelnabi","given":"Mahmoud"},{"family":"Abdel-Rahman","given":"Wael M."},{"family":"Abd-Elsalam","given":"Sherief"},{"family":"Abdi","given":"Sepideh"},{"family":"Abdollahi","given":"Mohammad"},{"family":"Abdoun","given":"Meriem"},{"family":"Abdous","given":"Arman"},{"family":"Aziz","given":"Jeza Muhamad Abdul"},{"family":"Abdulah","given":"Deldar Morad"},{"family":"Abdulkader","given":"Rizwan Suliankatchi"},{"family":"Abdullahi","given":"Adam"},{"family":"Abdullahi","given":"Auwal"},{"family":"Abdul-Rahman","given":"Toufik"},{"family":"Abdykerimova","given":"Kulmira"},{"family":"Getahun","given":"Habtamu Abebe"},{"family":"Abedi","given":"Aidin"},{"family":"Abedi","given":"Armita"},{"family":"Abejew","given":"Asrat Agalu"},{"family":"Zuñiga","given":"Roberto Ariel Abeldaño"},{"family":"Abhilash","given":"E. S."},{"family":"Abid","given":"Shehab Uddin Al"},{"family":"Abidi","given":"Syed Hani"},{"family":"Abie","given":"Alemwork"},{"family":"Abiodun","given":"Olugbenga Olusola"},{"family":"Abiodun","given":"Olumide"},{"family":"Aboagye","given":"Richard Gyan"},{"family":"Abohashem","given":"Shady"},{"family":"Abolhassani","given":"Hassan"},{"family":"Abonie","given":"Ulric Sena"},{"family":"Abourashed","given":"Nagah M."},{"family":"Abouzid","given":"Mohamed"},{"family":"Abramov","given":"Dmitry"},{"family":"Abreu","given":"Lucas Guimarães"},{"family":"Abtahi","given":"Dariush"},{"family":"Farha","given":"Rana Kamal Abu"},{"family":"Abuadas","given":"Fuad Hamdi A."},{"family":"Abubakar","given":"Aminu Kende"},{"family":"Abubakar","given":"Bilyaminu"},{"family":"Abu-Gharbieh","given":"Eman"},{"family":"Abuhammad","given":"Sawsan"},{"family":"Abuhelwa","given":"Ahmad Y."},{"family":"Abukhadijah","given":"Hana J."},{"family":"Abu-Rmeileh","given":"Niveen ME"},{"family":"Aburuz","given":"Salahdein"},{"family":"Abushanab","given":"Dina"},{"family":"Achar","given":"Raghu Ram"},{"family":"Acharya","given":"Anirudh Balakrishna"},{"family":"Acharya","given":"Apurba"},{"family":"Ackerman","given":"Ilana N."},{"family":"Acuna","given":"Juan Manuel"},{"family":"Adal","given":"Ousman"},{"family":"Adams","given":"Lisa C."},{"family":"Adamu","given":"Lawan Hassan"},{"family":"Adane","given":"Mesafint Molla"},{"family":"Addisu","given":"Zenaw Debasu"},{"family":"Addo","given":"Isaac Yeboah"},{"family":"Adeagbo","given":"Oluwafemi Atanda"},{"family":"Adebisi","given":"Tajudeen Adesanmi"},{"family":"Adedeji","given":"Isaac Akinkunmi"},{"family":"Adedia","given":"David"},{"family":"Adedokun","given":"Kamoru Ademola"},{"family":"Adedoyin","given":"Rufus Adesoji"},{"family":"Adegbile","given":"Oluwatobi E."},{"family":"Adegboye","given":"Oyelola A."},{"family":"Adegoke","given":"Nurudeen A."},{"family":"Adeleke","given":"Olumide Thomas"},{"family":"Adesina","given":"Isaac Ayodeji"},{"family":"Adesina","given":"Miracle Ayomikun"},{"family":"Adewuyi","given":"Habeeb Omoponle"},{"family":"Adeyeoluwa","given":"Temitayo Esther"},{"family":"Adeyomoye","given":"Olorunsola Israel"},{"family":"Adhikari","given":"Kishor"},{"family":"Adhikary","given":"Ripon Kumar"},{"family":"Adiga","given":"Usha"},{"family":"Adnan","given":"Mohd"},{"family":"Adnani","given":"Qorinah Estiningtyas Sakilah"},{"family":"Adoma","given":"Prince Owusu"},{"family":"Adzigbli","given":"Leticia Akua"},{"family":"Adzrago","given":"David"},{"family":"Affinito","given":"Giuseppina"},{"family":"Afifi","given":"Ahmed M."},{"family":"Afolabi","given":"Aanuoluwapo Adeyimika"},{"family":"Afolabi","given":"Rotimi Felix"},{"family":"Afzal","given":"Saira"},{"family":"Agafari","given":"Gizachew Beykaso"},{"family":"Agampodi","given":"Suneth Buddhika"},{"family":"Ageru","given":"Temesgen Anjulo"},{"family":"Aggarwal","given":"Navidha"},{"family":"Aghaalikhani","given":"Mahdi"},{"family":"Aghajanian","given":"Sepehr"},{"family":"Aghamir","given":"Seyed Mohammad Kazem"},{"family":"Sobrinho","given":"César Agostinis"},{"family":"Agrawal","given":"Anurag"},{"family":"Agyemang-Duah","given":"Williams"},{"family":"Ahadi","given":"Mahsa"},{"family":"Ahinkorah","given":"Bright Opoku"},{"family":"Ahmad","given":"Aqeel"},{"family":"Ahmad","given":"Danish"},{"family":"Ahmad","given":"Faisal"},{"family":"Ahmad","given":"Khabir"},{"family":"Ahmad","given":"Khurshid"},{"family":"Ahmad","given":"Muayyad M."},{"family":"Ahmad","given":"Noah"},{"family":"Ahmad","given":"Rabbiya"},{"family":"Ahmad","given":"Sajjad"},{"family":"Ahmad","given":"Tauseef"},{"family":"Ahmad","given":"Waqas"},{"family":"Ahmadi","given":"Negar Sadat"},{"family":"Ahmadzade","given":"Amir Mahmoud"},{"family":"Ahmadzade","given":"Mohadese"},{"family":"Ahmed","given":"Akeem Olayiwola"},{"family":"Ahmed","given":"Anisuddin"},{"family":"Ahmed","given":"Ayman"},{"family":"Ahmed","given":"Gasha Salih"},{"family":"Ahmed","given":"Haroon"},{"family":"Ahmed","given":"Junaid"},{"family":"Ahmed","given":"Luai A."},{"family":"Ahmed","given":"Mehrunnisha Sharif"},{"family":"Ahmed","given":"Meqdad Saleh"},{"family":"Ahmed","given":"Muktar Beshir"},{"family":"Ahmed","given":"Mushood"},{"family":"Ahmed","given":"Oli"},{"family":"Ahmed","given":"Shabbir"},{"family":"Ahmed","given":"Sindew Mahmud"},{"family":"Aimagambetova","given":"Gulzhanat"},{"family":"Jabbar","given":"Ahmed AJ"},{"family":"Ajala","given":"Dolapo Emmanuel"},{"family":"Ajami","given":"Marjan"},{"family":"Ajose","given":"Azeezat Oluwafunmilayo"},{"family":"Akbarialiabad","given":"Hossein"},{"family":"Akbarifard","given":"Saeid"},{"family":"Akeju","given":"Oluwasefunmi"},{"family":"Akhigbe","given":"Roland Eghoghosoa"},{"family":"Akinkuotu","given":"Olufemi Ambrose"},{"family":"Akinosoglou","given":"Karolina"},{"family":"Akkaif","given":"Mohammed Ahmed"},{"family":"Akkala","given":"Sreelatha"},{"family":"Akosile","given":"Wole"},{"family":"Akram","given":"Hammad"},{"family":"Akrami","given":"Ashley E."},{"family":"Akyea","given":"Ralph Kwame"},{"family":"Amiry","given":"Alaa Al"},{"family":"Awaidy","given":"Salah Al"},{"family":"Hasan","given":"Syed Mahfuz Al"},{"family":"Omari","given":"Omar Al"},{"family":"Qadire","given":"Mohammad Al"},{"family":"Ta'ani","given":"Omar Al"},{"family":"Taie","given":"Wasan A. M. Al"},{"family":"Thaher","given":"Yazan Al"},{"family":"Zaabi","given":"Omar Ali Mohammed Al"},{"family":"Zoubi","given":"Mohammad Ahmmad Mahmoud Al"},{"family":"Al-Abbadi","given":"Mousa Ali"},{"family":"Al-Ajlouni","given":"Yazan"},{"family":"Alalwan","given":"Tariq A."},{"family":"Al-Aly","given":"Ziyad"},{"family":"Alam","given":"Khurshid"},{"family":"Alam","given":"Manjurul"},{"family":"Alam","given":"Mohammad Khursheed"},{"family":"Alam","given":"Mostafa"},{"family":"Al-Amer","given":"Rasmieh Mustafa"},{"family":"Alamrew","given":"Abebaw"},{"family":"Alansari","given":"Amani"},{"family":"Alanzi","given":"Turki M."},{"family":"Al-Ashwal","given":"Fahmi Y."},{"family":"Al-Asmar","given":"Rahmeh"},{"family":"Alavi","given":"Seyed Mohammad Amin"},{"family":"Albashtawy","given":"Mohammed"},{"family":"Al-Dalakta","given":"Astefanos"},{"family":"Aldawsari","given":"Khalifah A."},{"family":"Aldhaleei","given":"Wafa A."},{"family":"Aldossary","given":"Mohammed S."},{"family":"Aldridge","given":"Robert W."},{"family":"Alebshehy","given":"Raouf"},{"family":"Aleidi","given":"Shereen M."},{"family":"Alemayehu","given":"Bezawit Abeje"},{"family":"Alemayehu","given":"Tekletsadik Tekleslassie"},{"family":"Alemnew","given":"Fentahun"},{"family":"Alemu","given":"Melaku Birhanu"},{"family":"Al-Eyadhy","given":"Ayman"},{"family":"Alfalki","given":"Ali M."},{"family":"Algahtani","given":"Fahad D."},{"family":"Algammal","given":"Abdelazeem M."},{"family":"Algethami","given":"Mohammed Ridha"},{"family":"Al-Gheethi","given":"Adel Ali Saeed"},{"family":"Al-Habbal","given":"Khairat"},{"family":"Alhabib","given":"Khalid F."},{"family":"Alhaji","given":"Nma Bida"},{"family":"Al-Hajj","given":"Samar"},{"family":"Alhalaiqa","given":"Fadwa Naji"},{"family":"Al-Hanawi","given":"Mohammed Khaled"},{"family":"Ibrahim","given":"Aminu Alhassan"},{"family":"Alhumaidi","given":"Ashraf"},{"family":"Alhumaydhi","given":"Fahad A."},{"family":"Alhuwail","given":"Dari"},{"family":"Ali","given":"Abid"},{"family":"Ali","given":"Haroon Muhammad"},{"family":"Ali","given":"Irfan"},{"family":"Ali","given":"Maratab"},{"family":"Ali","given":"Mohammad Daud"},{"family":"Ali","given":"Mohammed Usman"},{"family":"Ali","given":"Rafat"},{"family":"Ali","given":"Shahid"},{"family":"Ali","given":"Syed Shujait"},{"family":"Ali","given":"Syed Yusuf"},{"family":"Ali","given":"Waad"},{"family":"Al-Ibraheem","given":"Akram"},{"family":"Alicandro","given":"Gianfranco"},{"family":"Al-Iede","given":"Montaha"},{"family":"Alif","given":"Sheikh Mohammad"},{"family":"Alipour","given":"Morteza"},{"family":"Al-Jabi","given":"Samah W."},{"family":"Aljasir","given":"Mohammad A."},{"family":"Aljofan","given":"Mohamad"},{"family":"Al-Jumaily","given":"Adel"},{"family":"Aljunid","given":"Syed Mohamed"},{"family":"Alkhatib","given":"Ahmad"},{"family":"Alkhatib","given":"Mayson H."},{"family":"Alkhawam","given":"Mustafa"},{"family":"Allahbakhshian","given":"Atefeh"},{"family":"Allemailem","given":"Khaled S."},{"family":"Allouh","given":"Mohammed Z."},{"family":"Almagharbeh","given":"Wesam Taher"},{"family":"Almahmeed","given":"Wael"},{"family":"Al-Marwani","given":"Sabah"},{"family":"Almasri","given":"Nihad A."},{"family":"Almazan","given":"Joseph Uy"},{"family":"Al-Mekhlafi","given":"Hesham M."},{"family":"Almidani","given":"Omar"},{"family":"Almobayed","given":"Amr"},{"family":"Alnawafleh","given":"Khaldoon Aied"},{"family":"Alniss","given":"Hasan Yaser"},{"family":"Sukumar","given":"Margret Beaula Alocious"},{"family":"Alomari","given":"Mahmoud A."},{"family":"Alosta","given":"Mohammad R."},{"family":"Alqahtani","given":"Jaber S."},{"family":"Alqahtani","given":"Saleh A."},{"family":"Alqudimat","given":"Mohammad R."},{"family":"Al-Qudimat","given":"Ahmad Rajeh"},{"family":"Alrawashdeh","given":"Ahmad"},{"family":"Alrimawi","given":"Intima"},{"family":"Alrousan","given":"Sahel Majed"},{"family":"Al-Sabah","given":"Salman Khalifah"},{"family":"Alsabri","given":"Mohammed A."},{"family":"Alshahrani","given":"Najim Z."},{"family":"Alshehri","given":"Mansour Abdullah"},{"family":"Altaany","given":"Zaid"},{"family":"Altaf","given":"Awais"},{"family":"Al-Tammemi","given":"Alaa B."},{"family":"Al-Tawfiq","given":"Jaffar A."},{"family":"Althobiani","given":"Malik A."},{"family":"Altirkawi","given":"Khalid A."},{"family":"Alvarez-Galvez","given":"Javier"},{"family":"Carneiro","given":"Vera L. Alves"},{"family":"Alvis-Guzman","given":"Nelson"},{"family":"Alvis-Zakzuk","given":"Nelson J."},{"family":"Alwafi","given":"Hassan"},{"family":"Al-Wardat","given":"Mohammad"},{"family":"Al-Worafi","given":"Yaser Mohammed"},{"family":"Aly","given":"Hany"},{"family":"Alyahya","given":"Mohammad Sharif Ibrahim"},{"family":"AlZahmi","given":"Amal"},{"family":"Alzahrani","given":"Hosam"},{"family":"Alzoubi","given":"Karem H."},{"family":"Al-Zubayer","given":"Md Akib"},{"family":"Amaechi","given":"Uchenna Anderson"},{"family":"Amafah","given":"Ekiyor Joseph"},{"family":"Amafah","given":"Joy"},{"family":"Mohammadi","given":"Masoud Aman"},{"family":"Amani-Beni","given":"Reza"},{"family":"Amegah","given":"Adeladza Kofi"},{"family":"Amer","given":"Faten"},{"family":"Amidi","given":"Bardia"},{"family":"Amin","given":"Amr"},{"family":"Amin","given":"Tarek Tawfik"},{"family":"Amindarolzarbi","given":"Alireza"},{"family":"Amini","given":"Saeed"},{"family":"Amini-Salehi","given":"Ehsan"},{"family":"Aminu","given":"Nafiu"},{"family":"Aminzare","given":"Majid"},{"family":"Amiri","given":"Sohrab"},{"family":"Amlag","given":"Joanne O."},{"family":"Amugsi","given":"Dickson A."},{"family":"Amzat","given":"Jimoh"},{"family":"Anagnostakis","given":"Filippos"},{"family":"Ananda","given":"Roshan A."},{"family":"Ancuceanu","given":"Robert"},{"family":"Anderlini","given":"Deanna"},{"family":"Anderson","given":"David B."},{"family":"Anderson","given":"Jason A."},{"family":"Androudi","given":"Sofia"},{"family":"Anenberg","given":"Susan C."},{"family":"Ang","given":"Song Peng"},{"family":"Angus","given":"Colin"},{"family":"Anh","given":"Nguyen Hoang"},{"family":"Ankomah","given":"Samuel Egyakwa"},{"family":"Annadurai","given":"Kabilan"},{"family":"Anoushiravani","given":"Amir"},{"family":"Ansari","given":"Iman"},{"family":"Ansari","given":"Sumbul"},{"family":"Ansari","given":"Umair"},{"family":"Anteneh","given":"Rahel Mulatie"},{"family":"Antó","given":"Josep M."},{"family":"Antony","given":"Catherine M."},{"family":"Antriyandarti","given":"Ernoiz"},{"family":"Anuoluwa","given":"Boluwatife Stephen"},{"family":"Anwar","given":"Saleha"},{"family":"Anwar","given":"Sumadi Lukman"},{"family":"Anwer","given":"Razique"},{"family":"Anwer","given":"Shahnawaz"},{"family":"Anyasodor","given":"Anayochukwu Edward"},{"family":"Apostol","given":"Geminn Louis Carace"},{"family":"Arab","given":"Juan Pablo"},{"family":"Arabi","given":"Hossein"},{"family":"Arabloo","given":"Jalal"},{"family":"Arafat","given":"Mosab"},{"family":"Aravkin","given":"Aleksandr Y."},{"family":"Areda","given":"Demelash"},{"family":"Torre","given":"Jorge Arias","dropping-particle":"de la"},{"family":"Ariffin","given":"Hany"},{"family":"Armocida","given":"Benedetta"},{"family":"Ärnlöv","given":"Johan"},{"family":"Arockiaraj","given":"Jesu"},{"family":"Arooj","given":"Mahwish"},{"family":"Artamonov","given":"Anton A."},{"family":"Artanti","given":"Kurnia Dwi"},{"family":"Aruleba","given":"Raphael Taiwo"},{"family":"Arumuganainar","given":"Deepavalli"},{"family":"Aryntayeva","given":"Nurila"},{"family":"Anar","given":"Mahsa Asadi"},{"family":"Asaduzzaman","given":"Muhammad"},{"family":"Asdaq","given":"Syed Mohammed Basheeruddin"},{"family":"Asefa","given":"Shewatatek Melaku"},{"family":"Asemu","given":"Mulu Tiruneh"},{"family":"Asgary","given":"Saeed"},{"family":"Asghari-Jafarabadi","given":"Mohammad"},{"family":"Ashbaugh","given":"Charlie"},{"family":"Ashraf","given":"Syed Amir"},{"family":"Ashraf","given":"Tahira"},{"family":"Ashrafi","given":"Mitra"},{"family":"Ashrafizadeh","given":"Milad"},{"family":"Asiamah-Asare","given":"Bernard Kwadwo Yeboah"},{"family":"Aslam","given":"Muhammad Shahzad"},{"family":"Aslani","given":"Saeed"},{"family":"Asri","given":"Yuni"},{"family":"Assembekov","given":"Batyrbek"},{"family":"Astell-Burt","given":"Thomas"},{"family":"Ataei","given":"Mahshid"},{"family":"Athari","given":"Mirbahador"},{"family":"Athari","given":"Seyyed Shamsadin"},{"family":"Atout","given":"Maha Moh'd Wahbi"},{"family":"Atre","given":"Sachin R."},{"family":"Atreya","given":"Alok"},{"family":"Atta","given":"Julie Alaere"},{"family":"Atwan","given":"Zeenah A."},{"family":"Aumoldaeva","given":"Zaure Maratovna"},{"family":"Ausloos","given":"Marcel"},{"family":"Avan","given":"Abolfazl"},{"family":"Avelar","given":"Núbia Carelli Pereira"},{"family":"Awan","given":"Sana Javaid"},{"family":"Awosile","given":"Babafela B."},{"family":"Awotidebe","given":"Adedapo Wasiu"},{"family":"Ayana","given":"Lemessa Assefa A."},{"family":"Ayatizadeh","given":"Seyyed HamidReza"},{"family":"Ayinde","given":"Olatunde O."},{"family":"Ayipo","given":"Yusuf Oloruntoyin"},{"family":"Ayyoubzadeh","given":"Seyed Mohammad"},{"family":"Azadi","given":"Davood"},{"family":"Azadnajafabad","given":"Sina"},{"family":"Azarboo","given":"Alireza"},{"family":"Azargoonjahromi","given":"Ali"},{"family":"Azhar","given":"Masood"},{"family":"Azimi","given":"Farya"},{"family":"Aziz","given":"Mohd Yusmaidie"},{"family":"Aziz","given":"Sadat Abdulla"},{"family":"Azizan","given":"Amin"},{"family":"Azzam","given":"Ahmed Y."},{"family":"Azzolino","given":"Domenico"},{"family":"Babandi","given":"Zaharaddeen Shuaibu"},{"family":"Babiker","given":"Rasha"},{"family":"Babu","given":"Giridhara Rathnaiah"},{"family":"Bacha","given":"Israel Tadesse"},{"family":"Badar","given":"Muhammad"},{"family":"Badiye","given":"Ashish D."},{"family":"Badran","given":"Alaa Aboelnour"},{"family":"Bae","given":"Youngoh"},{"family":"Bagga","given":"Arvind"},{"family":"Baghdadi","given":"Soroush"},{"family":"Bagheri","given":"Nasser"},{"family":"Bagheri","given":"Sara"},{"family":"Baghizadeh","given":"Elahe"},{"family":"Baghizadeh","given":"Fereshteh"},{"family":"Baghizadeh","given":"Sana"},{"family":"Baghlaf","given":"Khlood K."},{"family":"Bahmanziari","given":"Najmeh"},{"family":"Bahrami","given":"Mohammad Amin"},{"family":"Bahreini","given":"Razieh"},{"family":"Bai","given":"Ruhai"},{"family":"Baig","given":"Atif Amin"},{"family":"Baigi","given":"Vali"},{"family":"Bakkannavar","given":"Shankar M."},{"family":"Bako","given":"Abdulaziz T."},{"family":"Balakrishnan","given":"Senthilkumar"},{"family":"Balcha","given":"Wondu Feyisa"},{"family":"Balkis","given":"Maher"},{"family":"Balmori-de-la-Miyar","given":"Jose"},{"family":"Hasankhani","given":"Mohammadreza Balooch"},{"family":"Baltatu","given":"Ovidiu Constantin"},{"family":"Bamashmous","given":"Shatha"},{"family":"Banach","given":"Maciej"},{"family":"Banakar","given":"Morteza"},{"family":"Banik","given":"Palash Chandra"},{"family":"Banik","given":"Rajon"},{"family":"Barati","given":"Shirin"},{"family":"Barengo","given":"Noel C."},{"family":"Barker-Collo","given":"Suzanne Lyn"},{"family":"Barqawi","given":"Hiba Jawdat"},{"family":"Beltran","given":"Ismael A. Barreras"},{"family":"Barrow","given":"Amadou"},{"family":"Barteit","given":"Sandra"},{"family":"Barua","given":"Lingkan"},{"family":"Bashar","given":"MD Abu"},{"family":"Basharat","given":"Zarrin"},{"family":"Bashir","given":"Shahid"},{"family":"Basile","given":"Guido"},{"family":"Baskaran","given":"Pritish"},{"family":"Basri","given":"Rehana"},{"family":"Bassat","given":"Quique"},{"family":"Bastan","given":"Mohammad-Mahdi"},{"family":"Basu","given":"Sanjay"},{"family":"Basu","given":"Saurav"},{"family":"Batra","given":"Kavita"},{"family":"Baune","given":"Bernhard T."},{"family":"Bayat","given":"Mahdis"},{"family":"Tork","given":"Mohammad Amin Bayat"},{"family":"Bayih","given":"Mulat Tirfie"},{"family":"Bayisa","given":"Feyisa Shasho"},{"family":"Bayleyegn","given":"Nebiyou Simegnew"},{"family":"Beaney","given":"Thomas"},{"family":"Bedi","given":"Neeraj"},{"family":"Beeraka","given":"Narasimha M."},{"family":"Behera","given":"Priyamadhaba"},{"family":"Behjati","given":"Jina"},{"family":"Behnam","given":"Babak"},{"family":"Behnoush","given":"Amir Hossein"},{"family":"Bekele","given":"Bezawit K."},{"family":"Belayneh","given":"Asnake Gashaw"},{"family":"Belayneh","given":"Melesse"},{"family":"Belete","given":"Abel Cherkos"},{"family":"Bilgin","given":"Gokce Belge"},{"family":"Belingheri","given":"Michael"},{"family":"Bello","given":"Muhammad Bashir"},{"family":"Bello","given":"Olorunjuwon Omolaja"},{"family":"Belo","given":"Luis"},{"family":"Beloukas","given":"Apostolos"},{"family":"Bendak","given":"Salaheddine"},{"family":"Bendardaf","given":"Riyad"},{"family":"Benjet","given":"Corina"},{"family":"Bennett","given":"Derrick A."},{"family":"Bensenor","given":"Isabela M."},{"family":"Tune","given":"Samiun Nazrin Bente Kamal"},{"family":"Benzian","given":"Habib"},{"family":"Berezvai","given":"Zombor"},{"family":"Bergami","given":"Maria"},{"family":"Berhie","given":"Alemshet Yirga"},{"family":"Berihun","given":"Abiye Assefa"},{"family":"Bermudez","given":"Amiel Nazer C."},{"family":"Bernabe","given":"Eduardo"},{"family":"Bernstein","given":"Robert S."},{"family":"Bettencourt","given":"Paulo J. G."},{"family":"Bhadoria","given":"Ajeet Singh"},{"family":"Bhagavathula","given":"Akshaya Srikanth"},{"family":"Bhala","given":"Neeraj"},{"family":"Bhandari","given":"Jeetendra"},{"family":"Bhangdia","given":"Kayleigh"},{"family":"Bharadwaj","given":"Ravi"},{"family":"Bhaskar","given":"Sonu"},{"family":"Bhat","given":"Ajay Nagesh"},{"family":"Bhat","given":"Anup"},{"family":"Bhat","given":"Vivek"},{"family":"Bhattacharjee","given":"Priyadarshini"},{"family":"Bhattacharjee","given":"Shuvarthi"},{"family":"Bhatti","given":"Gurjit Kaur"},{"family":"Bhatti","given":"Jasvinder Singh"},{"family":"Bhatti","given":"Manpreet Singh"},{"family":"Bhatti","given":"Rajbir"},{"family":"Bhuyan","given":"Soumitra S."},{"family":"Biadgilign","given":"Sibhatu Kassa"},{"family":"Bievel-Radulescu","given":"Raluca"},{"family":"Bilgin","given":"Can"},{"family":"Bilgin","given":"Cem"},{"family":"Biroudian","given":"Saeed"},{"family":"Bisignano","given":"Catherine"},{"family":"Biswas","given":"Atanu"},{"family":"Biswas","given":"Bijit"},{"family":"Biswas","given":"Raaj Kishore"},{"family":"Bitar","given":"Ahmad Naoras"},{"family":"Bitew","given":"Molalegne"},{"family":"Bizzozero-Peroni","given":"Bruno"},{"family":"Bjertness","given":"Espen"},{"family":"Blyth","given":"Fiona M."},{"family":"Bodhare","given":"Trupti"},{"family":"Bodolica","given":"Virginia"},{"family":"Bodur","given":"Mahmut"},{"family":"Bohn","given":"Lucimere"},{"family":"Bokota","given":"Rachael"},{"family":"Bolarinwa","given":"Obasanjo Afolabi"},{"family":"Bolla","given":"Srinivasa Rao"},{"family":"Bolourinejad","given":"Paria"},{"family":"Bonny","given":"Aime"},{"family":"Boppana","given":"Sri Harsha"},{"family":"Basara","given":"Berrak Bora"},{"family":"Bordbar","given":"Sanaz"},{"family":"Borhany","given":"Hamed"},{"family":"Carvajal","given":"Alejandro Botero"},{"family":"Bouaoud","given":"Souad"},{"family":"Boufous","given":"Soufiane"},{"family":"Bourne","given":"Rupert R. A."},{"family":"Boxe","given":"Christopher"},{"family":"Bozic","given":"Marija M."},{"family":"Brahmaiah","given":"Jyoti"},{"family":"Braithwaite","given":"Dejana"},{"family":"Breitborde","given":"Nicholas J. K."},{"family":"Brenner","given":"Hermann"},{"family":"Brewer","given":"Edmond D."},{"family":"Britton","given":"Gabrielle"},{"family":"Brown","given":"Julie"},{"family":"Browne","given":"Annie J."},{"family":"Brugha","given":"Traolach"},{"family":"Buchweitz","given":"Claudia"},{"family":"Bugiardini","given":"Raffaele"},{"family":"Bui","given":"Linh Phuong"},{"family":"Bulamu","given":"Norma B."},{"family":"Bunare","given":"Tsion Samuel"},{"family":"Buonsenso","given":"Danilo"},{"family":"Burhan","given":"Asmat"},{"family":"Burkart","given":"Katrin"},{"family":"Burns","given":"Richard A."},{"family":"Busch","given":"Felix"},{"family":"Busse","given":"Reinhard"},{"family":"Bustanji","given":"Yasser"},{"family":"Butt","given":"Zahid A."},{"family":"Buxbaum","given":"Channa"},{"family":"J","given":"Sanjay C."},{"family":"Cagney","given":"Jack"},{"family":"Cai","given":"Tianji"},{"family":"Cairns","given":"Rose"},{"family":"Barsbay","given":"Mehtap Çakmak"},{"family":"Calina","given":"Daniela"},{"family":"Cámera","given":"Luis Alberto"},{"family":"Campos","given":"Luciana Aparecida"},{"family":"Campos-Nonato","given":"Ismael"},{"family":"Cao","given":"Fan"},{"family":"Cao","given":"Yuchen"},{"family":"Capodici","given":"Angelo"},{"family":"Cárdenas","given":"Rosario"},{"family":"Carr","given":"Sinclair"},{"family":"Carreras","given":"Giulia"},{"family":"Carrero","given":"Juan Jesus"},{"family":"Carter","given":"Austin"},{"family":"Carugno","given":"Andrea"},{"family":"Carvalho","given":"Andre F."},{"family":"Carvalho-e-Silva","given":"Ana Paula"},{"family":"Castaldelli-Maia","given":"Joao Mauricio"},{"family":"Castañeda-Orjuela","given":"Carlos A."},{"family":"Castelpietra","given":"Giulio"},{"family":"Catapano","given":"Alberico L."},{"family":"Cattaruzza","given":"Maria Sofia"},{"family":"Caye","given":"Arthur"},{"family":"Cederroth","given":"Christopher R."},{"family":"Cegolon","given":"Luca"},{"family":"Cembranel","given":"Francieli"},{"family":"Cenderadewi","given":"Muthia"},{"family":"Cercy","given":"Kelly M."},{"family":"Cerin","given":"Ester"},{"family":"Cerrai","given":"Sonia"},{"family":"Cevik","given":"Muge"},{"family":"Shivamadhu","given":"Madhu Chakkere"},{"family":"Chakraborty","given":"Chiranjib"},{"family":"Chakraborty","given":"Promit Ananyo"},{"family":"Chakraborty","given":"Sandip"},{"family":"Chandan","given":"Joht Singh"},{"family":"Chandika","given":"Rama Mohan"},{"family":"Chandradasa","given":"Miyuru"},{"family":"Chandrasekar","given":"Eeshwar K."},{"family":"Chang","given":"Jung-Chen"},{"family":"Chattu","given":"Vijay Kumar"},{"family":"Chatzimavridou-Grigoriadou","given":"Victoria"},{"family":"Chau","given":"Lam Duc"},{"family":"Chaudhuri","given":"Sirshendu"},{"family":"Chaurasia","given":"Akhilanand"},{"family":"Chemeda","given":"Galmesa Bekana"},{"family":"Chen","given":"An-Tian"},{"family":"Chen","given":"Catherine S."},{"family":"Chen","given":"Guangjin"},{"family":"Chen","given":"Hana"},{"family":"Chen","given":"Haowei"},{"family":"Chen","given":"Hui"},{"family":"Chen","given":"Junhao"},{"family":"Chen","given":"Meng Xuan"},{"family":"Chen","given":"Shanquan"},{"family":"Chen","given":"Simiao"},{"family":"Chen","given":"Xiang"},{"family":"Chen","given":"Yifan"},{"family":"Cheng","given":"Haojin"},{"family":"Cheung","given":"Ka Ching"},{"family":"Chew","given":"Nicholas WS"},{"family":"Chi","given":"Gerald"},{"family":"Chien","given":"Ju-Huei"},{"family":"Chimed-Ochir","given":"Odgerel"},{"family":"Ching","given":"Patrick R."},{"family":"Chirinos-Caceres","given":"Jesus Lorenzo"},{"family":"Chisari","given":"Clara G."},{"family":"Cho","given":"William C. S."},{"family":"Chong","given":"Bryan"},{"family":"Chong","given":"Yuen Yu"},{"family":"Chou","given":"Hou In"},{"family":"Chowdhury","given":"Enayet Karim"},{"family":"Chowdhury","given":"Mohiuddin Ahsanul Kabir"},{"family":"Christensen","given":"Hanne"},{"family":"Christensen","given":"Steffan Wittrup McPhee"},{"family":"Chu","given":"Dinh-Toi"},{"family":"Chukwu","given":"Isaac Sunday"},{"family":"Chung","given":"Eric"},{"family":"Chung","given":"Erin"},{"family":"Chung","given":"Sheng-Chia"},{"family":"Chung","given":"Sunghyun"},{"family":"Chutiyami","given":"Muhammad"},{"family":"Cicero","given":"Arrigo Francesco Giuseppe"},{"family":"Ciobanu","given":"Liliana G."},{"family":"Cogen","given":"Rebecca M."},{"family":"Cohen","given":"Aaron J."},{"family":"Columbus","given":"Alyssa"},{"family":"Conde","given":"Joao"},{"family":"Congly","given":"Stephen E."},{"family":"Conrad","given":"Nathalie"},{"family":"Conti","given":"Sara"},{"family":"Corda","given":"Mariana Oliveira"},{"family":"Corlateanu","given":"Alexandru"},{"family":"Cortese","given":"Samuele"},{"family":"Cortesi","given":"Paolo Angelo"},{"family":"Cosma","given":"Claudia"},{"family":"Cousin","given":"Ewerton"},{"family":"Cowart","given":"Emma Johnson"},{"family":"Criqui","given":"Michael H."},{"family":"Crist","given":"Andrew"},{"family":"Cruz","given":"Jessica A."},{"family":"Cruz-Martins","given":"Natalia"},{"family":"Cui","given":"Xiaolin"},{"family":"Culbreth","given":"Garland T."},{"family":"Dababo","given":"Nour"},{"family":"Dabbagh","given":"Ali"},{"family":"Dadras","given":"Omid"},{"family":"Dahiru","given":"Tukur"},{"family":"Dai","given":"Xiaochen"},{"family":"Dai","given":"Zhaoli"},{"family":"Dalakoti","given":"Mayank"},{"family":"Dalal","given":"Koustuv"},{"family":"Costa","given":"Gloria Dalla"},{"family":"Damiani","given":"Giovanni"},{"family":"D'Amico","given":"Emanuele"},{"family":"Damtew","given":"Yohannes Tefera"},{"family":"Daniel","given":"Roy Arokiam Arokiam"},{"family":"D'Anna","given":"Lucio"},{"family":"Danpanichkul","given":"Pojsakorn"},{"family":"Darcho","given":"Samuel Demissie"},{"family":"Dardas","given":"Latefa Ali"},{"family":"Darouei","given":"Bahar"},{"family":"Soltani","given":"Reza Darvishi Cheshmeh"},{"family":"Dastiridou","given":"Anna"},{"family":"Davey","given":"Gail"},{"family":"Dávila-Cervantes","given":"Claudio Alberto"},{"family":"Weaver","given":"Nicole Davis"},{"family":"Davletov","given":"Dimash"},{"family":"Davletov","given":"Kairat"},{"family":"Davoudi","given":"Elham"},{"family":"Hoz","given":"Fernando Pio De","dropping-particle":"la"},{"family":"Luca","given":"Katie","dropping-particle":"de"},{"family":"DeCleene","given":"Nicole K."},{"family":"Dee","given":"Edward Christopher"},{"family":"Deegan","given":"Orla"},{"family":"Deekonda","given":"Sindhura"},{"family":"Deen","given":"Amanda"},{"family":"Degenhardt","given":"Louisa"},{"family":"Dehesh","given":"Paria"},{"family":"Deitesfeld","given":"Lee"},{"family":"Dejenie","given":"Tadesse Asmamaw"},{"family":"Delbari","given":"Pouria"},{"family":"Delsoz","given":"Mohammad"},{"family":"Demeke","given":"Dessalegn"},{"family":"Demetriades","given":"Andreas K."},{"family":"Demsie","given":"Desalegn Getnet"},{"family":"Denova-Gutiérrez","given":"Edgar"},{"family":"Derese","given":"Tadios Niguss"},{"family":"Dergaa","given":"Ismail"},{"family":"Derseh","given":"Hunegnaw Almaw"},{"family":"Dervišević","given":"Emina"},{"family":"Desta","given":"Abraham Aregay"},{"family":"Devanbu","given":"Vinoth Gnana Chellaiyan"},{"family":"Devarakonda","given":"Pradeep Kumar"},{"family":"Dewan","given":"Syed Masudur Rahman"},{"family":"Dhali","given":"Arkadeep"},{"family":"Dhama","given":"Kuldeep"},{"family":"Dhamija","given":"Rajinder K."},{"family":"Dhane","given":"Amol S."},{"family":"Dhania","given":"Narender K."},{"family":"Dhimal","given":"Mandira Lamichhane"},{"family":"Dhimal","given":"Meghnath"},{"family":"Dhingra","given":"Sameer"},{"family":"Dhungel","given":"Bibha"},{"family":"Pumpo","given":"Marcello Di"},{"family":"Silva","given":"Diana Dias","dropping-particle":"da"},{"family":"Diaz","given":"Daniel"},{"family":"Diaz","given":"Luis Antonio"},{"family":"Didehvar","given":"Kimia"},{"family":"Dillard","given":"Lauren K."},{"family":"Dima","given":"Adriana"},{"family":"Ding","given":"Xueting"},{"family":"Dinkayehu","given":"Temesgien Ergetie"},{"family":"Do","given":"Huyen Phuc"},{"family":"Do","given":"Thao Huynh Phuong"},{"family":"Dokova","given":"Klara Georgieva"},{"family":"Dolecek","given":"Christiane"},{"family":"Dominguez","given":"Regina-Mae Villanueva"},{"family":"Dondi","given":"Francesco"},{"family":"D'Oria","given":"Mario"},{"family":"Dorostkar","given":"Fariba"},{"family":"Doshi","given":"Ojas Prakashbhai"},{"family":"Dourado","given":"Paulo Magno Martins"},{"family":"Dowou","given":"Robert Kokou"},{"family":"Dresse","given":"Menayit Tamrat"},{"family":"Driscoll","given":"Tim Robert"},{"family":"Dsouza","given":"Ashel Chelsea"},{"family":"Dsouza","given":"Viola Savy"},{"family":"Du","given":"Jiang"},{"family":"Dube","given":"John"},{"family":"Dumbili","given":"Emeka W."},{"family":"Dumith","given":"Samuel C."},{"family":"Dunne","given":"Jennifer"},{"family":"Duraes","given":"Andre Rodrigues"},{"family":"Duraisamy","given":"Senbagam"},{"family":"Durojaiye","given":"Oyewole Christopher"},{"family":"Dutta","given":"Ashit Kumar"},{"family":"Dziedzic","given":"Arkadiusz Marian"},{"family":"E'mar","given":"Abdel Rahman"},{"family":"Ebohon","given":"Osamudiamen"},{"family":"Eboreime","given":"Ejemai"},{"family":"Ebraheim","given":"Lamiaa Labieb Mahmoud"},{"family":"Ebrahimi","given":"Alireza"},{"family":"Ebrahimi","given":"Mohammad Hossein"},{"family":"Ebrahimi","given":"Sara"},{"family":"Ed-Dra","given":"Abdelaziz"},{"family":"Edelduok","given":"Ekaette Godwin"},{"family":"Edvardsson","given":"Kristina"},{"family":"Efendi","given":"Ferry"},{"family":"Eftekhari","given":"Behrad"},{"family":"Eghbali","given":"Foolad"},{"family":"Ehsani","given":"Fatemeh"},{"family":"Sedeh","given":"Ashkan Eighaei"},{"family":"Eikemo","given":"Terje Andreas"},{"family":"Eini","given":"Ebrahim"},{"family":"Ekholuenetale","given":"Michael"},{"family":"Ekundayo","given":"Temitope Cyrus"},{"family":"Arab","given":"Rabie Adel El"},{"family":"Omri","given":"Abdelfatteh EL"},{"family":"Zaki","given":"Maysaa El Sayed"},{"family":"Eladl","given":"Mohamed Ahmed"},{"family":"Elahi","given":"Reza"},{"family":"El-Ashker","given":"Said"},{"family":"Elbeshbeishy","given":"Rana"},{"family":"Elemam","given":"Noha Mousaad"},{"family":"ElGohary","given":"Ghada Metwally Tawfik"},{"family":"Elhadi","given":"Muhammed"},{"family":"Elhoumed","given":"Mohamed"},{"family":"El-Huneidi","given":"Waseem"},{"family":"Elkannishy","given":"Sherif"},{"family":"Elmeligy","given":"Omar Abdelsadek Abdou"},{"family":"Elmorsi","given":"Rami"},{"family":"Elmoselhi","given":"Adel B."},{"family":"Elnaem","given":"Mohamed Hassan"},{"family":"ELNahas","given":"Gihan"},{"family":"Elshaer","given":"Mohammed"},{"family":"Elsohaby","given":"Ibrahim"},{"family":"Eltahawy","given":"Abdelgawad Salah Abdelgawad"},{"family":"Emagneneh","given":"Tadele"},{"family":"Emeto","given":"Theophilus I."},{"family":"Emojevwe","given":"Victor Oghenekparobo"},{"family":"Endeshaw","given":"Destaw"},{"family":"Endriyas","given":"Misganu"},{"family":"Erskine","given":"Holly E."},{"family":"Esezobor","given":"Christopher Imokhuede"},{"family":"Eshetu","given":"Derese"},{"family":"Eshetu","given":"Habitu Birhan"},{"family":"Eshun","given":"Gilbert"},{"family":"Eskandarieh","given":"Sharareh"},{"family":"Eslami","given":"Majid"},{"family":"Santo","given":"Rafaela Cavalheiro do Espírito"},{"family":"Esposito","given":"Francesco"},{"family":"Estep","given":"Kara"},{"family":"Estrada","given":"Crystal Amiel M."},{"family":"Eva","given":"Fahima Nasrin"},{"family":"Ezenwankwo","given":"Elochukwu"},{"family":"Fadaka","given":"Adewale Oluwaseun"},{"family":"Fadavian","given":"Heidar"},{"family":"Fagbamigbe","given":"Adeniyi Francis"},{"family":"Fahim","given":"Ayesha"},{"family":"Fakhradiyev","given":"Ildar Ravisovich"},{"family":"Fakhri-Demeshghieh","given":"Aliasghar"},{"family":"Fan","given":"Qiping"},{"family":"Farahmand","given":"Mohammad"},{"family":"Faraon","given":"Emerito Jose Aquino"},{"family":"Fareed","given":"Mohammad"},{"family":"Farhana","given":"Zaki"},{"family":"Farinha","given":"Carla Sofia e Sá"},{"family":"Faris","given":"MoezAlIslam Ezzat Mahmoud"},{"family":"Faro","given":"Andre"},{"family":"Farooq","given":"Syed Muhammad Yousaf"},{"family":"Farooque","given":"Umar"},{"family":"Farrokhpour","given":"Hossein"},{"family":"Farshad","given":"Fatemeh"},{"family":"Farsi","given":"Farima"},{"family":"Faruk","given":"Md Omar"},{"family":"Fasina","given":"Folorunso Oludayo"},{"family":"Fasina","given":"Modupe Margaret"},{"family":"Fasusi","given":"Emmanuel Toluwani"},{"family":"Fatehizadeh","given":"Ali"},{"family":"Fathi","given":"Davood"},{"family":"Fatima","given":"Zareen"},{"family":"Fazlzadeh","given":"Mehdi"},{"family":"Fei","given":"Li"},{"family":"Feigin","given":"Valery L."},{"family":"Feizkhah","given":"Alireza"},{"family":"Fekadu","given":"Ginenus"},{"family":"Feleke","given":"Berhanu Elfu"},{"family":"Feng","given":"Dechao"},{"family":"Feng","given":"Kaixin"},{"family":"Feng","given":"Xiaoqi"},{"family":"Ferdous","given":"Talukdar Raian"},{"family":"Fereshtehnejad","given":"Seyed-Mohammad"},{"family":"Fernandez-Jimenez","given":"Rodrigo"},{"family":"Ferrara","given":"Pietro"},{"family":"Ferrari","given":"Alize J."},{"family":"Ferreira","given":"André"},{"family":"Ferreira","given":"Nuno"},{"family":"Feter","given":"Natan"},{"family":"Finnemore","given":"Alexander"},{"family":"Fiorilla","given":"Claudio"},{"family":"Fischer","given":"Florian"},{"family":"Fitriana","given":"Ida"},{"family":"Flor","given":"Luisa S."},{"family":"Fogacci","given":"Federica"},{"family":"Folayan","given":"Morenike Oluwatoyin"},{"family":"Fonzo","given":"Marco"},{"family":"Force","given":"Lisa M."},{"family":"Fornari","given":"Arianna"},{"family":"Fornari","given":"Carla"},{"family":"Forthun","given":"Ingeborg"},{"family":"Fortuna","given":"Daniela"},{"family":"Foschi","given":"Matteo"},{"family":"Fotouhi","given":"Maryam"},{"family":"Fowobaje","given":"Kayode Raphael"},{"family":"F","given":"Juluis Visnel Foyet"},{"family":"Franklin","given":"Richard Charles"},{"family":"Freitas","given":"Alberto"},{"family":"Fu","given":"Jinming"},{"family":"Fullman","given":"Nancy"},{"family":"Fux","given":"Blima"},{"family":"G","given":"Sridevi"},{"family":"Gaal","given":"Peter Andras"},{"family":"Gadeka","given":"Dominic Dormenyo"},{"family":"Gajdács","given":"Márió"},{"family":"Galali","given":"Yaseen"},{"family":"Gallus","given":"Silvano"},{"family":"Ganapathy","given":"Dhanraj"},{"family":"Gangachannaiah","given":"Shivaprakash"},{"family":"Ganie","given":"Mohd Ashraf"},{"family":"Gao","given":"Dingwei"},{"family":"Gao","given":"Xiang"},{"family":"Garba","given":"Bashiru"},{"family":"Garcia","given":"Fernando Barroga"},{"family":"Garcia","given":"Vanessa"},{"family":"Garcia-Argibay","given":"Miguel"},{"family":"Garcia-Azorin","given":"David"},{"family":"Gardner","given":"William M."},{"family":"Garlasco","given":"Jacopo"},{"family":"Gatzioufas","given":"Zisis"},{"family":"Gautam","given":"Prem"},{"family":"Gautam","given":"Rupesh K."},{"family":"Gazzelloni","given":"Federica"},{"family":"Gebre","given":"Feven Sahle"},{"family":"Gebregergis","given":"Miglas Welay"},{"family":"Gebreslassie","given":"Haftay Gebremedhin"},{"family":"Gelibter","given":"Stefano"},{"family":"George","given":"Nsikakabasi Samuel"},{"family":"Matin","given":"Ali Gerami"},{"family":"Getahun","given":"Genanew K."},{"family":"Gete","given":"Kalab Yigermal"},{"family":"Ghadimi","given":"Delaram J."},{"family":"Ghadiri","given":"Keyghobad"},{"family":"Ghadirian","given":"Fataneh"},{"family":"Jolfayi","given":"Amir Ghaffari"},{"family":"Ghamari","given":"Seyyed-Hadi"},{"family":"Ghamkhar","given":"Arin"},{"family":"Ghandili","given":"Ali"},{"family":"Ghasemi","given":"Moein"},{"family":"Ghasemi","given":"Mohammad-Reza"},{"family":"Assl","given":"Shakiba Ghasemi"},{"family":"Ghasrsaz","given":"Haniyeh"},{"family":"Ghazy","given":"Ramy Mohamed"},{"family":"Ghimire","given":"Sailaja"},{"family":"Ghith","given":"Nermin"},{"family":"Gholizadeh","given":"Nasim"},{"family":"Ghotbi","given":"Elena"},{"family":"Gialluisi","given":"Alessandro"},{"family":"Giannakis","given":"Konstantinos"},{"family":"Gibson","given":"Ruth Margaret"},{"family":"Gil","given":"Artyom Urievich"},{"family":"Gil","given":"Gabriela Fernanda"},{"family":"Gilani","given":"Syed Abdullah"},{"family":"Gilbertson","given":"Nora M."},{"family":"Gill","given":"Tiffany K."},{"family":"Ginindza","given":"Themba G."},{"family":"Giri","given":"Bikash Ranjan"},{"family":"Girmay","given":"Alem Abera"},{"family":"Girombelli","given":"Alessandro"},{"family":"Gnedovskaya","given":"Elena V."},{"family":"Göbölös","given":"Laszlo"},{"family":"Gohari","given":"Kimiya"},{"family":"Golechha","given":"Mahaveer"},{"family":"Goleij","given":"Pouya"},{"family":"Golestani","given":"Ali"},{"family":"Golinelli","given":"Davide"},{"family":"Golmohammadi","given":"Melika"},{"family":"Gong","given":"Wenping"},{"family":"Gopalani","given":"Sameer Vali"},{"family":"Goshu","given":"Yitayal Ayalew"},{"family":"Goulart","given":"Alessandra C."},{"family":"Goyal","given":"Aman"},{"family":"Grada","given":"Ayman"},{"family":"Graham","given":"Simon Matthew"},{"family":"Grieco","given":"Vittorio"},{"family":"Grivna","given":"Michal"},{"family":"Grover","given":"Ashna"},{"family":"Guadie","given":"Habtamu Alganeh"},{"family":"Guan","given":"Shi-Yang"},{"family":"Guan","given":"Zhongyang"},{"family":"Guarducci","given":"Giovanni"},{"family":"Gubari","given":"Mohammed Ibrahim Mohialdeen"},{"family":"Guha","given":"Avirup"},{"family":"Gunawardane","given":"Damitha Asanga"},{"family":"Guo","given":"Xingzhi"},{"family":"Guo","given":"Zhaoyu"},{"family":"Guo","given":"Zheng"},{"family":"Guo","given":"Zhifeng"},{"family":"Gupta","given":"Anish Kumar"},{"family":"Gupta","given":"Himanshu"},{"family":"Gupta","given":"Ishita"},{"family":"Gupta","given":"Lalit"},{"family":"Gupta","given":"Rajat Das"},{"family":"Gupta","given":"Rajeev"},{"family":"Gupta","given":"Sapna"},{"family":"Gupta","given":"Veer Bala"},{"family":"Gupta","given":"Vijai Kumar"},{"family":"Gupta","given":"Vipin"},{"family":"Gupta","given":"Vivek Kumar"},{"family":"Guracho","given":"Yonas Deressa"},{"family":"Gurmessa","given":"Lami"},{"family":"Gutiérrez","given":"Reyna Alma"},{"family":"Gutiérrez-Murillo","given":"Roberth Steven"},{"family":"Guttoo","given":"Parishma"},{"family":"Guzman-Esquivel","given":"Jose"},{"family":"Habibzadeh","given":"Adrina"},{"family":"Habteyes","given":"Abrham Tesfaye"},{"family":"Habteyohannes","given":"Awoke Derbie"},{"family":"Hadaro","given":"Tesfahun Simon"},{"family":"Hadi","given":"Najah R."},{"family":"Hadian","given":"Zahra"},{"family":"Hafiz","given":"Abdul"},{"family":"Haghdoost","given":"Faraidoon"},{"family":"Haghtalab","given":"Arian"},{"family":"Hagins","given":"Hailey"},{"family":"Haile","given":"Demewoz"},{"family":"Hailu","given":"Haimanot Ewnetu"},{"family":"Halder","given":"Pritam"},{"family":"Halimi","given":"Aram"},{"family":"Haller","given":"Sebastian"},{"family":"Aziz","given":"Kosar Hikmat Hama"},{"family":"Hamad","given":"Islam M."},{"family":"Hamadeh","given":"Randah R."},{"family":"Hamdy","given":"Nadia M."},{"family":"Hameed","given":"Sajid"},{"family":"Hamilton","given":"Erin B."},{"family":"Hammoud","given":"Ahmad"},{"family":"Hamza","given":"Mohammad"},{"family":"Hamza","given":"Umar Sabiu"},{"family":"Han","given":"Hannah"},{"family":"Yekdeş","given":"Didem Han"},{"family":"Hanif","given":"Asif"},{"family":"Hanifi","given":"Nasrin"},{"family":"Hankey","given":"Graeme J."},{"family":"Hanna","given":"Fahad"},{"family":"Haque","given":"Ashanul"},{"family":"Haque","given":"Md Aminul"},{"family":"Haque","given":"Md Nuruzzaman"},{"family":"Harapan","given":"Harapan"},{"family":"Harb","given":"Hilda L."},{"family":"Harding","given":"Kassandra L."},{"family":"Hargono","given":"Arief"},{"family":"Hariandja","given":"Andy Martahan Andreas"},{"family":"Haro","given":"Josep Maria"},{"family":"Harris","given":"Ashley Ann"},{"family":"Has","given":"Eka Mishbahatul Marah"},{"family":"Hasaballah","given":"Ahmed I."},{"family":"Hasan","given":"Faizul"},{"family":"Hasan","given":"Md Kamrul"},{"family":"Hasani","given":"Hamidreza"},{"family":"Dehkordi","given":"Ali Hasanpour-"},{"family":"Zadeh","given":"Arezou Hashem"},{"family":"Hashempur","given":"Mohammad Hashem"},{"family":"Hashim","given":"Nada Tawfig"},{"family":"Hasnain","given":"Ammarah"},{"family":"Hassan","given":"Amr"},{"family":"Hassan","given":"Ibrahim Nagmeldin"},{"family":"Hassan","given":"Ikrama"},{"family":"Hassan","given":"Nageeb"},{"family":"Tabatabaei","given":"Mahgol Sadat Hassan Zadeh"},{"family":"Hassani","given":"Shokoufeh"},{"family":"Hassen","given":"Mohammed Bheser"},{"family":"Hathagoda","given":"Lasanthi Wathsala"},{"family":"Havmoeller","given":"Rasmus J."},{"family":"Hawat","given":"Angie"},{"family":"Hayat","given":"Khezar"},{"family":"Hbid","given":"Youssef"},{"family":"He","given":"Jiawei"},{"family":"He","given":"Jue"},{"family":"Hebert","given":"Jeffrey J."},{"family":"Heidari","given":"Mohammad"},{"family":"Hemmati","given":"Mehdi"},{"family":"Henson","given":"Claire A."},{"family":"Herbert","given":"Molly E."},{"family":"Herteliu","given":"Claudiu"},{"family":"Heuer","given":"Austin"},{"family":"Hewage","given":"Sumudu Avanthi"},{"family":"Heydari","given":"Mojtaba"},{"family":"Heydarifard","given":"Zahra"},{"family":"Hezam","given":"Kamal"},{"family":"Hiraike","given":"Yuta"},{"family":"Holla","given":"Ramesh"},{"family":"Hon","given":"Julia"},{"family":"Hossain","given":"Alamgir"},{"family":"Hossain","given":"Lubna"},{"family":"Hossain","given":"Md Belal"},{"family":"Hossain","given":"Md Mahbub"},{"family":"Hossain","given":"Md Sabbir"},{"family":"Hossain","given":"Mohammad Bellal"},{"family":"Hosseinzadeh","given":"Hassan"},{"family":"Hosseinzadeh","given":"Mehdi"},{"family":"Hostiuc","given":"Mihaela"},{"family":"Hostiuc","given":"Sorin"},{"family":"Houser","given":"Jada Averianna"},{"family":"Htay","given":"Mila Nu Nu"},{"family":"Hu","given":"Chengxi"},{"family":"Hu","given":"Yifei"},{"family":"Huang","given":"Junjie"},{"family":"Huang","given":"Weijun"},{"family":"Huang","given":"Yefei"},{"family":"Huda","given":"Mega Hasanul"},{"family":"Human","given":"Atanesia Indriyani"},{"family":"Humphrey","given":"Kyle Matthew"},{"family":"Hushmandi","given":"Kiavash"},{"family":"Husøy","given":"Andreas Kattem"},{"family":"Hussain","given":"Javid"},{"family":"Hussain","given":"M. Azhar"},{"family":"Hussain","given":"Salman"},{"family":"Hussein","given":"Dursa"},{"family":"Hussein","given":"Nawfal R."},{"family":"Husseiny","given":"Mohamed Ibrahim"},{"family":"Huynh","given":"Hong-Han"},{"family":"Hwang","given":"Bing-Fang"},{"family":"Iannone","given":"Luigi Francesco"},{"family":"Ibrahim","given":"Ahmed"},{"family":"Ibrahim","given":"Khalid S."},{"family":"Ibrahim","given":"Ramzi"},{"family":"Ibrahim","given":"Reem"},{"family":"Ibrayeva","given":"Anel"},{"family":"Idalsoaga","given":"Francisco Javier"},{"family":"Iftikhar","given":"Pulwasha Maria"},{"family":"Ihler","given":"Audrey L."},{"family":"Ikeda","given":"Nayu"},{"family":"Ikiroma","given":"Adalia"},{"family":"Ikram","given":"Jibran"},{"family":"Ilesanmi","given":"Olayinka Stephen"},{"family":"Ilic","given":"Irena M."},{"family":"Ilic","given":"Milena D."},{"family":"Ilyas","given":"Muhammad Hamza"},{"family":"Imam","given":"Mohammad Tarique"},{"family":"Imani","given":"Masoud"},{"family":"Immurana","given":"Mustapha"},{"family":"Imoh","given":"Lucius Chidiebere"},{"family":"Inbaraj","given":"Leeberk Raja"},{"family":"Inok","given":"Arit"},{"family":"Iqbal","given":"Mujahid"},{"family":"Irham","given":"Lalu Muhammad"},{"family":"Isa","given":"Mustafa Alhaji"},{"family":"Islam","given":"Dr Md Shahinul"},{"family":"Islam","given":"Md Rabiul"},{"family":"Islam","given":"Md Shariful"},{"family":"Islami","given":"Farhad"},{"family":"Ismail","given":"Faisal"},{"family":"Ismail","given":"Nahlah Elkudssiah"},{"family":"Ismoldayev","given":"Yerlan"},{"family":"Iso","given":"Hiroyasu"},{"family":"Isola","given":"Gaetano"},{"family":"Ituka","given":"Mosimah Charles"},{"family":"Iwagami","given":"Masao"},{"family":"Iwu-Jaja","given":"Chinwe Juliana"},{"family":"Iyamu","given":"Ihoghosa Osamuyi"},{"family":"Iyer","given":"Mahalaxmi"},{"family":"Iyer","given":"Veena J."},{"family":"J","given":"Vinothini"},{"family":"Jaafari","given":"Jalil"},{"family":"Jacob","given":"Louis"},{"family":"Jacobsen","given":"Kathryn H."},{"family":"Jadidi","given":"Ali"},{"family":"Jadidi-Niaragh","given":"Farhad"},{"family":"Jafarinia","given":"Morteza"},{"family":"Jaffar","given":"Shabbar"},{"family":"Jahrami","given":"Haitham"},{"family":"Jairoun","given":"Ammar Abdulrahman"},{"family":"Jaiswal","given":"Vikash"},{"family":"Jakovljevic","given":"Mihajlo"},{"family":"Jaliliyan","given":"Ali"},{"family":"Yengejeh","given":"Reza Jalilzadeh"},{"family":"Jalloh","given":"Mohamed"},{"family":"Jamal","given":"Armaan"},{"family":"Jamal","given":"Qazi Mohammad Sajid"},{"family":"Jamaluddin","given":"Jazlan"},{"family":"James","given":"Jerin"},{"family":"James","given":"Tyler G."},{"family":"Jamil","given":"Hasan"},{"family":"Jamil","given":"Safayet"},{"family":"Jamora","given":"Roland Dominic G."},{"family":"Jamshidi","given":"Masoud"},{"family":"JamshidiRastabi","given":"Shaghayegh"},{"family":"Janardhanan","given":"Rajiv"},{"family":"Jarrahi","given":"Esmaeil"},{"family":"Javaid","given":"Syed Sarmad"},{"family":"Javanmardi","given":"Anita"},{"family":"Javidnia","given":"Javad"},{"family":"Jawaid","given":"Talha"},{"family":"Abed","given":"Qassim Jawell Odah"},{"family":"Jayasinghe","given":"Ruwan Duminda"},{"family":"Jayasinghe","given":"Yovanthi Anurangi"},{"family":"Jayatilleke","given":"Achala Upendra"},{"family":"Jazi","given":"Kimia"},{"family":"Jebasingh","given":"Felix K."},{"family":"Jee","given":"Sun Ha"},{"family":"Jeganathan","given":"Jayakumar"},{"family":"Jember","given":"Tadesse Hailu"},{"family":"Jena","given":"Belayneh Hamdela"},{"family":"Jena","given":"Diptismita"},{"family":"Jeong","given":"Seogsong"},{"family":"Jessri","given":"Mahsa"},{"family":"Jeswani","given":"Bijay Mukesh"},{"family":"Jha","given":"Vivekanand"},{"family":"Ji","given":"Zixiang"},{"family":"Jiang","given":"Min"},{"family":"Jin","given":"Weiqiu"},{"family":"Jin","given":"Wenyi"},{"family":"Johnson","given":"Catherine O."},{"family":"Johnson","given":"Emily Katherine"},{"family":"Jokar","given":"Mohammad"},{"family":"Jonas","given":"Jost B."},{"family":"Joo","given":"Tamas"},{"family":"Jor","given":"Abu"},{"family":"Joseph","given":"Abel"},{"family":"Joseph","given":"Alex"},{"family":"Joseph","given":"Nitin"},{"family":"Joshua","given":"Charity Ehimwenma"},{"family":"Joukar","given":"Farahnaz"},{"family":"Joy","given":"George"},{"family":"Jozwiak","given":"Jacek Jerzy"},{"family":"Jürisson","given":"Mikk"},{"family":"Juweid","given":"Malik E."},{"family":"K","given":"Madhanraj"},{"family":"Kaambwa","given":"Billingsley"},{"family":"Kabir","given":"Zubair"},{"family":"Kadir","given":"Dler H. Hussein"},{"family":"Kahn","given":"Ethan M."},{"family":"Kakkar","given":"Ashish Kumar"},{"family":"Kalankesh","given":"Leila R."},{"family":"Kalavani","given":"Khalil"},{"family":"Kaliyadan","given":"Feroze"},{"family":"Kaliyakparova","given":"Aidana"},{"family":"Kalra","given":"Sanjay"},{"family":"Kamal","given":"Md Moustafa"},{"family":"Kamal","given":"Mehnaz"},{"family":"Kamarajah","given":"Sivesh Kathir"},{"family":"Kamath","given":"Rajesh"},{"family":"Kamenova","given":"Saltanat"},{"family":"Kamireddy","given":"Arun"},{"family":"Kamorudeen","given":"Ramat T."},{"family":"Kamyshnyi","given":"Oleksandr"},{"family":"Kan","given":"Haidong"},{"family":"Kanaan","given":"Mona"},{"family":"Kanaan","given":"Saddam Fuad"},{"family":"Kang","given":"Jiseung"},{"family":"Kankam","given":"Samuel Berchi"},{"family":"Kanmodi","given":"Kehinde Kazeem"},{"family":"Kannan","given":"Sujitha"},{"family":"S","given":"Suthanthira Kannan"},{"family":"Kantar","given":"Rami S."},{"family":"Kapoor","given":"Neeti"},{"family":"Kar","given":"Sujita Kumar"},{"family":"Karakasis","given":"Paschalis"},{"family":"Karasneh","given":"Reema A."},{"family":"Karimi","given":"Hanie"},{"family":"Behnagh","given":"Arman Karimi"},{"family":"Karkhah","given":"Samad"},{"family":"Karobari","given":"Mohmed Isaqali"},{"family":"Karpiński","given":"Tomasz M."},{"family":"Kashyap","given":"Manoj Kumar"},{"family":"Kaso","given":"Abdene Weya"},{"family":"Kasraei","given":"Hengameh"},{"family":"Kassaw","given":"Nigussie Assefa"},{"family":"Katamreddy","given":"Adarsh"},{"family":"Katoto","given":"Patrick DMC"},{"family":"Kauppila","given":"Joonas H."},{"family":"Kayode","given":"Gbenga A."},{"family":"Rad","given":"Nastaran Kazemi"},{"family":"Keivanlou","given":"Mohammad-Hossein"},{"family":"Keiyoro","given":"Peter Njenga"},{"family":"Keke","given":"Chukwudi"},{"family":"Kempen","given":"John H."},{"family":"Kerai","given":"Salima"},{"family":"Keshri","given":"Vikash Ranjan"},{"family":"Keshtkar","given":"Kamyab"},{"family":"Kesse-Guyot","given":"Emmanuelle"},{"family":"Khademi","given":"Reza"},{"family":"Khader","given":"Yousef Saleh"},{"family":"Khaing","given":"Inn Kynn"},{"family":"Khajuria","given":"Himanshu"},{"family":"Khalid","given":"Sidra"},{"family":"Khalid-Ariturk","given":"Sumaira"},{"family":"Khalifa","given":"Hazim O."},{"family":"Khalifeh","given":"Anas Husam"},{"family":"Khalil","given":"Anees Ahmed"},{"family":"Khalil","given":"Mariam"},{"family":"Khalili","given":"Anita"},{"family":"Khalili","given":"Pantea"},{"family":"Khalili-Tanha","given":"Ghazaleh"},{"family":"Khalis","given":"Mohamed"},{"family":"Khamesipour","given":"Faham"},{"family":"Khan","given":"Abdul Arif"},{"family":"Khan","given":"Ajmal"},{"family":"Khan","given":"Asaduzzaman"},{"family":"Khan","given":"Faiz Ullah"},{"family":"Khan","given":"Maseer"},{"family":"Khan","given":"Md Abdullah Saeed"},{"family":"Khan","given":"Mohammad Idreesh"},{"family":"Khan","given":"Mohammad Jobair"},{"family":"Khan","given":"Muhammad Hamza"},{"family":"Khan","given":"Muhammad Mueed"},{"family":"Khan","given":"Muhammad Umair"},{"family":"Khan","given":"Muhammad Umer"},{"family":"Khan","given":"Nusrat"},{"family":"Khan","given":"Ruby"},{"family":"Khan","given":"Salman Ali"},{"family":"Khan","given":"Serab"},{"family":"Khan","given":"Sumaiya"},{"family":"Khan","given":"Yusuf Saleem"},{"family":"Khan","given":"Zahid"},{"family":"Khanal","given":"Srijana"},{"family":"Khanal","given":"Vishnu"},{"family":"Khanmohammadi","given":"Shaghayegh"},{"family":"Khasbage","given":"Sameer Uttamaro"},{"family":"Khashim","given":"Zenith"},{"family":"Khatab","given":"Khaled"},{"family":"Khatatbeh","given":"Haitham"},{"family":"Khatatbeh","given":"Moawiah Mohammad"},{"family":"Khatri","given":"Kavin"},{"family":"Kashani","given":"Hamid Reza Khayat"},{"family":"Khazaei","given":"Afshin"},{"family":"Zarandi","given":"Peyman Kheirandish"},{"family":"Khokhar","given":"Sunil Kumar"},{"family":"Khonji","given":"Mohammad Saeid"},{"family":"Khoshnaw","given":"Najmaddin Salih Husen"},{"family":"Khosla","given":"Atulya Aman"},{"family":"Khosravi","given":"Farbod"},{"family":"Khosrowjerdi","given":"Mahmood"},{"family":"Khuman","given":"P. Ratan"},{"family":"Khusun","given":"Helda"},{"family":"Kifle","given":"Zemene Demelash"},{"family":"Kim","given":"Hye Jun"},{"family":"Kim","given":"Jinho"},{"family":"Kim","given":"Min Seo"},{"family":"Kim","given":"Sungroul"},{"family":"Kimokoti","given":"Ruth W."},{"family":"Kinfu","given":"Yohannes"},{"family":"Kirk","given":"Mary"},{"family":"Kisa","given":"Adnan"},{"family":"Kisa","given":"Sezer"},{"family":"Kissimova-Skarbek","given":"Katarzyna"},{"family":"Kivimäki","given":"Mika"},{"family":"Klusty","given":"Jessica"},{"family":"Km","given":"Abdul Basith"},{"family":"Km","given":"Shivakumar"},{"family":"Knudsen","given":"Ann Kristin Skrindo"},{"family":"Kobyliak","given":"Nazarii"},{"family":"Kocarnik","given":"Jonathan M."},{"family":"Kochhar","given":"Sonali"},{"family":"Kokkorakis","given":"Michail"},{"family":"Kolahi","given":"Ali-Asghar"},{"family":"Tcheumeni","given":"Diana Gladys Kolieghu"},{"family":"Kompani","given":"Farzad"},{"family":"Kondybayeva","given":"Aida"},{"family":"Konstas","given":"Anastasios Georgios Panagiotis"},{"family":"Koomson","given":"Isaac"},{"family":"Koren","given":"Gerbrand"},{"family":"Kormoker","given":"Tapos"},{"family":"Korzh","given":"Oleksii"},{"family":"Kostev","given":"Karel"},{"family":"Kotsis","given":"Konstantinos"},{"family":"Koul","given":"Archana"},{"family":"Koul","given":"Parvaiz A."},{"family":"Laxminarayana","given":"Sindhura Lakshmi Koulmane"},{"family":"Kretchy","given":"Irene Akwo"},{"family":"Kretchy","given":"James-Paul"},{"family":"Krishan","given":"Kewal"},{"family":"Kua","given":"Chong-Han"},{"family":"Kuanar","given":"Ananya"},{"family":"Defo","given":"Barthelemy Kuate"},{"family":"Kuchay","given":"Raja Amir Hassan"},{"family":"Bicer","given":"Burcu Kucuk"},{"family":"Kuddus","given":"Mohammed"},{"family":"Kuitunen","given":"Ilari"},{"family":"Kujan","given":"Omar"},{"family":"Kujur","given":"Anit"},{"family":"Kulimbet","given":"Mukhtar"},{"family":"Kulkarni","given":"Vishnutheertha"},{"family":"Kulshreshtha","given":"Shweta"},{"family":"Kumar","given":"Dewesh"},{"family":"Kumar","given":"Dhasarathi"},{"family":"Kumar","given":"Jogender"},{"family":"Kumar","given":"Manasi"},{"family":"Kumar","given":"Nitesh"},{"family":"Kumar","given":"Nithin"},{"family":"Kumar","given":"Rakesh"},{"family":"Kumar","given":"Sanjay Kirshan"},{"family":"Kumar","given":"Tushar"},{"family":"Kumar","given":"Vijay"},{"family":"Kumaran","given":"Subramanian"},{"family":"Kunjavara","given":"Jibin"},{"family":"Kunutsor","given":"Setor K."},{"family":"Kurmanova","given":"Almagul"},{"family":"Kurmi","given":"Om P."},{"family":"Kurniasari","given":"Maria Dyah"},{"family":"Kurpad","given":"Krishna Prasad"},{"family":"Kushawaha","given":"Pramod Kumar"},{"family":"Kusnali","given":"Asep"},{"family":"Kustanti","given":"Christina Yeni"},{"family":"Kusuma","given":"Dian"},{"family":"Kutluk","given":"Tezer"},{"family":"Kuttybayev","given":"Assylkhan"},{"family":"Kwarteng","given":"Michael Agyemang"},{"family":"Kwong","given":"Wai Hang Patrick"},{"family":"Kyei","given":"Evans F."},{"family":"Kyei","given":"Grace Kwakyewaa"},{"family":"Kytö","given":"Ville"},{"family":"Kyu","given":"Hmwe Hmwe"},{"family":"C","given":"Pallavi L."},{"family":"Vecchia","given":"Adriano La"},{"family":"Vecchia","given":"Carlo La"},{"family":"Ladan","given":"Muhammad Awwal"},{"family":"Laflamme","given":"Lucie"},{"family":"Lahariya","given":"Chandrakant"},{"family":"Lai","given":"Daphne Teck Ching"},{"family":"Lakhani","given":"Anita"},{"family":"Lal","given":"Dharmesh Kumar"},{"family":"Lalloo","given":"Ratilal"},{"family":"Lallukka","given":"Tea"},{"family":"Lám","given":"Judit"},{"family":"Landires","given":"Iván"},{"family":"Langguth","given":"Berthold"},{"family":"Laplante-Lévesque","given":"Ariane"},{"family":"Lasrado","given":"Savita"},{"family":"Latief","given":"Kamaluddin"},{"family":"Lau","given":"Kenney Ki Lee"},{"family":"Lawal","given":"Basira Kankia"},{"family":"Lawal","given":"Bilkisu Kankia"},{"family":"Lawal","given":"Saheed Akinmayowa"},{"family":"Lawan","given":"Aliyu"},{"family":"Lawford","given":"Harriet L. S."},{"family":"Lawlor","given":"Hilary R."},{"family":"Le","given":"Dai Quang"},{"family":"Le","given":"Duc Huy"},{"family":"Le","given":"Huu-Hoai"},{"family":"Le","given":"Long Khanh Dao"},{"family":"Le","given":"Minh Huu Nhat"},{"family":"Le","given":"Nhi Huu Hanh"},{"family":"Le","given":"Thao Thi Thu"},{"family":"Le","given":"Trang Diep Thanh"},{"family":"Ledda","given":"Caterina"},{"family":"Lee","given":"Hye Ah"},{"family":"Lee","given":"Seung Won"},{"family":"Lee","given":"Wei-Chen"},{"family":"Lee","given":"Yo Han"},{"family":"Leigh","given":"James"},{"family":"Leivaditis","given":"Vasileios"},{"family":"Lennon","given":"Matthew J."},{"family":"Leonardi","given":"Matilde"},{"family":"Leong","given":"Elvynna"},{"family":"Leung","given":"Janni"},{"family":"Li","given":"Chengcheng"},{"family":"Li","given":"Haobo"},{"family":"Li","given":"Hui"},{"family":"Li","given":"Jianan"},{"family":"Li","given":"Jiaying"},{"family":"Li","given":"Jie"},{"family":"Li","given":"Jinbo"},{"family":"Li","given":"Ming-Chieh"},{"family":"Li","given":"Peng"},{"family":"Li","given":"Shaojie"},{"family":"Li","given":"Wang-Zhong"},{"family":"Li","given":"Wei"},{"family":"Li","given":"Weilong"},{"family":"Li","given":"Wenjie"},{"family":"Li","given":"Xunliang"},{"family":"Li","given":"Yichong"},{"family":"Li","given":"Yongze"},{"family":"Li","given":"Zhengrui"},{"family":"Li","given":"Zhihui"},{"family":"Lian","given":"Yanxue"},{"family":"Liang","given":"Xue-Zhen"},{"family":"Lim","given":"Stephen S."},{"family":"Lin","given":"Jialing"},{"family":"Lin","given":"Queran"},{"family":"Lin","given":"Ro-Ting"},{"family":"Lin","given":"Ya"},{"family":"Lindholm","given":"Daniel"},{"family":"Linehan","given":"Christine"},{"family":"Ling","given":"Yuewei"},{"family":"Liu","given":"Gang"},{"family":"Liu","given":"Haipeng"},{"family":"Liu","given":"Jue"},{"family":"Liu","given":"Xianliang"},{"family":"Liu","given":"Xiaofeng"},{"family":"Liu","given":"Xuefeng"},{"family":"Liu","given":"Yubo"},{"family":"Liu","given":"Yunfei"},{"family":"Llanaj","given":"Erand"},{"family":"Loftus","given":"Michael J."},{"family":"Lohner","given":"Valerie"},{"family":"López-Gil","given":"José Francisco"},{"family":"Lopukhov","given":"Platon D."},{"family":"Lorkowski","given":"Stefan"},{"family":"Lotfizadeh","given":"Masoud"},{"family":"Luan","given":"Shanjie"},{"family":"Lubinda","given":"Jailos"},{"family":"Lucas","given":"Taraneh"},{"family":"Lucchetti","given":"Giancarlo"},{"family":"Lugo","given":"Alessandra"},{"family":"Lunevicius","given":"Raimundas"},{"family":"Luo","given":"Peng"},{"family":"Lusk","given":"Jay B."},{"family":"Lutambi","given":"Angelina M."},{"family":"Saute","given":"Ricardo Lutzky"},{"family":"Lytras","given":"Miltiadis D."},{"family":"Lytvyak","given":"Ellina"},{"family":"Amin","given":"Hawraz Ibrahim M."},{"family":"Ma","given":"Kevin Sheng-Kai"},{"family":"Ma","given":"Zheng Feei"},{"family":"Mabrok","given":"Mahmoud"},{"family":"Machado","given":"Isis E."},{"family":"Madadi","given":"Firoozeh"},{"family":"Madinezad","given":"Seyed Ataollah"},{"family":"Madsen","given":"Christian"},{"family":"Madureira-Carvalho","given":"Aurea Marilia"},{"family":"Razek","given":"Mohammed Magdy Abd El"},{"family":"Maghazachi","given":"Azzam A."},{"family":"Prasad","given":"D. R. Mahadeshwara"},{"family":"Mahalingam","given":"Sasikumar"},{"family":"Mahalleh","given":"Mehrdad"},{"family":"Mahmood","given":"Nozad Hussein"},{"family":"Mahmoudi","given":"Alireza"},{"family":"Mahmoudi","given":"Farhad"},{"family":"Mai","given":"My Tra"},{"family":"Maiti","given":"Rituparna"},{"family":"Majeed","given":"Azeem"},{"family":"Makris","given":"Konstantinos Christos C."},{"family":"Malekpour","given":"Mohammad-Reza"},{"family":"Malekzadeh","given":"Reza"},{"family":"Malhotra","given":"Hardeep Singh"},{"family":"Malik","given":"Ahmad Azam"},{"family":"Malik","given":"Farihah"},{"family":"Malik","given":"Tabarak"},{"family":"Malta","given":"Deborah Carvalho"},{"family":"Mamun","given":"Abdullah A."},{"family":"Mangdow","given":"Mustapha"},{"family":"Manjani","given":"Lokesh"},{"family":"Manla","given":"Yosef"},{"family":"Mannethodi","given":"Kamaruddeen"},{"family":"Mansoor","given":"Farheen"},{"family":"Mansourian","given":"Marjan"},{"family":"Mansournia","given":"Mohammad Ali"},{"family":"Herrera","given":"Ana M. Mantilla"},{"family":"Mantovani","given":"Lorenzo Giovanni"},{"family":"Mao","given":"Changkun"},{"family":"Maqbool","given":"Tahir"},{"family":"Maqsood","given":"Sajid"},{"family":"Marateb","given":"Hamid Reza"},{"family":"Maravilla","given":"Joemer C."},{"family":"Margetis","given":"Konstantinos"},{"family":"Marino","given":"Mirko"},{"family":"Marques","given":"Adilson"},{"family":"Martin","given":"Randall V."},{"family":"Martinez","given":"Gabriel"},{"family":"Martinez-Guerra","given":"Bernardo Alfonso"},{"family":"Martinez-Piedra","given":"Ramon"},{"family":"Martini","given":"Daniela"},{"family":"Martins-Melo","given":"Francisco Rogerlândio"},{"family":"Martorell","given":"Miquel"},{"family":"März","given":"Winfried"},{"family":"Marzo","given":"Roy Rillera"},{"family":"Marzouk","given":"Sammer"},{"family":"Masi","given":"Stefano"},{"family":"Matei","given":"Clara N."},{"family":"Mathangasinghe","given":"Yasith"},{"family":"Mathieson","given":"Stephanie"},{"family":"Mathioudakis","given":"Alexander G."},{"family":"Mathur","given":"Manu Raj"},{"family":"Mathur","given":"Medha"},{"family":"Matozinhos","given":"Fernanda Penido"},{"family":"Mattiello","given":"Rita"},{"family":"Mattoo","given":"Khurshid A."},{"family":"Maude","given":"Richard James"},{"family":"Maulik","given":"Pallab K."},{"family":"May","given":"Miranda L."},{"family":"Mayeli","given":"Mahsa"},{"family":"Mazaheri","given":"Maryam"},{"family":"Mazzotti","given":"Antonio"},{"family":"Mbachu","given":"Chioma Ngozichukwu Pauline"},{"family":"Mbachu","given":"Ikechukwu Innocent"},{"family":"McKee","given":"Martin"},{"family":"McLaughlin","given":"Susan A."},{"family":"McPhail","given":"Steven M."},{"family":"Mechili","given":"Enkeleint A."},{"family":"Mediratta","given":"Rishi P."},{"family":"Meena","given":"Jitendra"},{"family":"Meftah","given":"Elahe"},{"family":"Mehari","given":"Medhin"},{"family":"Mehmood","given":"Asim"},{"family":"Mehndiratta","given":"Man Mohan"},{"family":"Nasab","given":"Entezar Mehrabi"},{"family":"Mehta","given":"Kala M."},{"family":"Mehta","given":"Vini"},{"family":"Mehto","given":"Subhash"},{"family":"Meier","given":"Toni"},{"family":"Meto","given":"Tesfahun Mekene"},{"family":"Meles","given":"Hadush Negash"},{"family":"Melese","given":"Endalkachew Belayneh"},{"family":"Melwani","given":"Satish"},{"family":"Memetova","given":"Aishe"},{"family":"Mendoza","given":"Walter"},{"family":"Menezes","given":"Godfred Antony"},{"family":"Menezes","given":"Ritesh G."},{"family":"Mengistie","given":"Berihun Agegn"},{"family":"Mengistie","given":"Emiru Ayalew"},{"family":"Meo","given":"Sultan Ayoub"},{"family":"Mercogliano","given":"Michelangelo"},{"family":"Meretoja","given":"Atte"},{"family":"Meretoja","given":"Tuomo J."},{"family":"Mestrovic","given":"Tomislav"},{"family":"Mettananda","given":"Chamila Dinushi Kukulege"},{"family":"Mettananda","given":"Sachith"},{"family":"Metwally","given":"Mohamed M. M."},{"family":"Mewton","given":"Louise"},{"family":"Mhlanga","given":"Adquate"},{"family":"Michelerio","given":"Andrea"},{"family":"Sá","given":"Ana Carolina Micheletti Gomide Nogueira","dropping-particle":"de"},{"family":"Mideksa","given":"Hiwot Soboksa"},{"family":"Miller","given":"Paul Anthony"},{"family":"Miller","given":"Ted R."},{"family":"Minervini","given":"Giuseppe"},{"family":"Ming","given":"Wai-kit"},{"family":"Mini","given":"G. K."},{"family":"Mirghafourvand","given":"Mojgan"},{"family":"Mirrakhimov","given":"Erkin M."},{"family":"Mirshahvalad","given":"Seyed Ali"},{"family":"Mirutse","given":"Mizan Kiros"},{"family":"Mirzaei","given":"Yousef"},{"family":"Mishra","given":"Archana"},{"family":"Mishra","given":"Kumar Guru"},{"family":"Mishra","given":"Vinaytosh"},{"family":"Misra","given":"Arup Kumar"},{"family":"Mitchell","given":"Philip B."},{"family":"Mithra","given":"Prasanna"},{"family":"Mitra","given":"Sayan"},{"family":"Mittinty","given":"Manasi Murthy Murthy"},{"family":"Moazeni","given":"Malihe"},{"family":"Mobayen","given":"Mohammadreza"},{"family":"Moberg","given":"Madeline E."},{"family":"Modi","given":"Shivani"},{"family":"Mohamadkhani","given":"Ashraf"},{"family":"Mohamed","given":"Jama"},{"family":"Mohamed","given":"Mona Gamal"},{"family":"Mohamed","given":"Nouh Saad"},{"family":"Ahmed","given":"Khabab Abbasher Hussien Mohamed"},{"family":"Mohammad","given":"Taj"},{"family":"Mohammad-Alizadeh-Charandabi","given":"Sakineh"},{"family":"Mohammadi","given":"Abdolreza"},{"family":"Mohammadi","given":"Mohammad Reza"},{"family":"Mohammadi","given":"Seyed Omid"},{"family":"Mohammadian-Hafshejani","given":"Abdollah"},{"family":"Mohammadzadeh","given":"Ibrahim"},{"family":"Mohammadzadeh","given":"Ramin"},{"family":"Mohammed","given":"Ammas Siraj"},{"family":"Mohammed","given":"Hussen"},{"family":"Mohammed","given":"Omer"},{"family":"Mohammed","given":"Shafiu"},{"family":"Mohammed","given":"Suleiman"},{"family":"Mohammed","given":"Yahaya"},{"family":"Mohan","given":"Syam"},{"family":"Mohanta","given":"Yugal Kishore"},{"family":"Mohseni","given":"Mohammad"},{"family":"Mokari-Yamchi","given":"Amin"},{"family":"Mokdad","given":"Ali H."},{"family":"Mokhirev","given":"Alexandr"},{"family":"Mokhtarzadehazar","given":"Peyman"},{"family":"Molinaro","given":"Sabrina"},{"family":"Mollaei","given":"Amirabbas"},{"family":"Momani","given":"Shaher"},{"family":"Monasta","given":"Lorenzo"},{"family":"Monazzami","given":"Amirabbas"},{"family":"Mondal","given":"Himel"},{"family":"Mondello","given":"Stefania"},{"family":"Montasir","given":"Ahmed Al"},{"family":"Moore","given":"Catrin E."},{"family":"Moradi","given":"Yousef"},{"family":"Moradi-Lakeh","given":"Maziar"},{"family":"Moraga","given":"Paula"},{"family":"Morawska","given":"Lidia"},{"family":"Moreira","given":"Rafael Silveira"},{"family":"Morgan","given":"Brooks W."},{"family":"Morovatdar","given":"Negar"},{"family":"Morovvati","given":"Mahdis"},{"family":"Morsy","given":"Mahmoud M."},{"family":"Morze","given":"Jakub"},{"family":"Heris","given":"Reza Mosaddeghi"},{"family":"Mosser","given":"Jonathan F."},{"family":"Motamedgorji","given":"Nogol"},{"family":"Mougin","given":"Vincent"},{"family":"Mouodi","given":"Simin"},{"family":"Mousavi","given":"Asma"},{"family":"Mousavi","given":"Seyede Zohre"},{"family":"Khaneghah","given":"Amin Mousavi"},{"family":"Kiasary","given":"Seyed Mohamad Sadegh Mousavi"},{"family":"Mousnad","given":"Mohamed Awad Abdalaziz"},{"family":"Movo","given":"Amanda"},{"family":"Mowafy","given":"Hagar Lotfy"},{"family":"Yousefi","given":"Kimia Mozahheb"},{"family":"Mrejen","given":"Matías"},{"family":"Msherghi","given":"Ahmed"},{"family":"Mubarak","given":"Rabia"},{"family":"Mubarik","given":"Sumaira"},{"family":"Mudgal","given":"Shiv K."},{"family":"Muhammad","given":"Syed Aun"},{"family":"Muhtar","given":"Muhammad Solihuddin"},{"family":"Mukherjee","given":"Sukhes"},{"family":"Mukherjee","given":"Sumoni"},{"family":"Mukhopadhyay","given":"Amartya"},{"family":"Mukhopadhyay","given":"Satinath"},{"family":"Muktadir","given":"M. A."},{"family":"Mulatu","given":"Sileshi"},{"family":"Mulita","given":"Francesk"},{"family":"Mulu","given":"Getaneh Baye"},{"family":"Mulugeta","given":"Chalie"},{"family":"Mulyadi","given":"Mulyadi"},{"family":"Muneer","given":"Muneeb Ahmad"},{"family":"Muniyandi","given":"Malaisamy"},{"family":"Munjal","given":"Kavita"},{"family":"Munkhsaikhan","given":"Yanjinlkham"},{"family":"Laguna","given":"Javier Muñoz"},{"family":"Munshi","given":"Anjana"},{"family":"Muragundi","given":"Pradeep Manohar"},{"family":"Murakami","given":"Michio"},{"family":"Muse","given":"Yahye Hassan"},{"family":"Mushtaq","given":"Ali"},{"family":"Mustafa","given":"Ghulam"},{"family":"Mustafa","given":"Sherzad Ibrahim"},{"family":"Mustapha","given":"Mubarak Taiwo"},{"family":"Muthu","given":"Sathish"},{"family":"Muthupandian","given":"Saravanan"},{"family":"Muvunyi","given":"Claude Mambo"},{"family":"Muzaffar","given":"Muhammad"},{"family":"Myung","given":"Woojae"},{"family":"Nabavi","given":"Amin"},{"family":"Naddafi","given":"Fatemehzahra"},{"family":"Nagarajan","given":"Ahamarshan Jayaraman"},{"family":"Nagaraju","given":"Shankar Prasad"},{"family":"Naghavi","given":"Mohsen"},{"family":"Naghavi","given":"Pirouz"},{"family":"Naik","given":"Ganesh R."},{"family":"Naik","given":"Gurudatta"},{"family":"Naik","given":"Hiten"},{"family":"Nainu","given":"Firzan"},{"family":"Nair","given":"Sanjeev"},{"family":"Najdaghi","given":"Soroush"},{"family":"Ansari","given":"Noureddin Nakhostin"},{"family":"Nam","given":"Paul"},{"family":"Nangia","given":"Vinay"},{"family":"Nansseu","given":"Jobert Richie"},{"family":"Naqid","given":"Ibrahim A."},{"family":"Nargus","given":"Shumaila"},{"family":"Davani","given":"Delaram Narimani"},{"family":"Nartey","given":"Yvonne"},{"family":"Nascimento","given":"Bruno Ramos"},{"family":"Nascimento","given":"Gustavo G."},{"family":"Naser","given":"Abdallah Y."},{"family":"Naser","given":"Mohammad"},{"family":"Nashwan","given":"Abdulqadir J."},{"family":"Nasiri","given":"Hamide"},{"family":"Nassar","given":"Mahmoud"},{"family":"Natto","given":"Zuhair S."},{"family":"Nauman","given":"Javaid"},{"family":"Naureen","given":"Zakira"},{"family":"Navaratna","given":"Samidi Nirasha Kumari"},{"family":"Nawaz","given":"Anum"},{"family":"Nawaz","given":"M. Omar"},{"family":"Nayak","given":"Biswa Prakash"},{"family":"Nayak","given":"Shalini Ganesh"},{"family":"Nazari","given":"Javad"},{"family":"Nchanji","given":"G. Takop"},{"family":"Ndejjo","given":"Rawlance"},{"family":"Ndungu","given":"Anthony Wainaina"},{"family":"Nega","given":"Amanuel Tebabal"},{"family":"Negash","given":"Abigia Ashenafi"},{"family":"Negoi","given":"Ionut"},{"family":"Negoi","given":"Ruxandra Irina"},{"family":"Negru","given":"Alina Gabriela"},{"family":"Nejati","given":"Jalil"},{"family":"Nejjari","given":"Chakib"},{"family":"Nepal","given":"Samata"},{"family":"Nesbit","given":"Olivia D."},{"family":"Netsere","given":"Henok Biresaw"},{"family":"Newton","given":"Charles Richard James"},{"family":"Ng","given":"Marie"},{"family":"Nguefack-Tsague","given":"Georges"},{"family":"Ngunjiri","given":"Josephine W."},{"family":"Nguyen","given":"Anh Thy H."},{"family":"Nguyen","given":"Cuong Tat"},{"family":"Nguyen","given":"Huong Lan Thi"},{"family":"Nguyen","given":"Huong-Dung Thi"},{"family":"Nguyen","given":"Nghia Phu"},{"family":"Nguyen","given":"Phat Tuan"},{"family":"Nguyen","given":"The Phuong"},{"family":"Nguyen","given":"Trang"},{"family":"Nguyen","given":"Tu Anh"},{"family":"Nguyen","given":"Van Thanh"},{"family":"Ngwa","given":"Ambe Marius"},{"family":"Niazi","given":"Robina Khan"},{"family":"Nie","given":"Jing"},{"family":"Nieddu","given":"Luciano"},{"family":"Nigatu","given":"Yeshambel T."},{"family":"Nikoobar","given":"Ali"},{"family":"Ningrum","given":"Dina Nur Anggraini"},{"family":"Niranjan","given":"Vikram"},{"family":"Nisro","given":"Abebe Melis"},{"family":"Nkeck","given":"Jan Rene"},{"family":"Nkrumah-Boateng","given":"Princess Afia"},{"family":"Nnaji","given":"Chukwudi A."},{"family":"Noman","given":"Efaq Ali"},{"family":"Nomura","given":"Shuhei"},{"family":"Noor","given":"Syed Toukir Ahmed"},{"family":"Noorafrooz","given":"Mohammadamin"},{"family":"Noormohammadpour","given":"Pardis"},{"family":"Noreen","given":"Mamoona"},{"family":"Noroozi","given":"Masoud"},{"family":"Noubiap","given":"Jean Jacques"},{"family":"Noyes","given":"Taylor"},{"family":"Nriagu","given":"Valentine C."},{"family":"Nri-Ezedi","given":"Chisom Adaobi"},{"family":"Nshimiyimana","given":"Jean Claude"},{"family":"Nugen","given":"Fred"},{"family":"Nugusa","given":"Atoma Negera"},{"family":"Nunemo","given":"Mengistu H."},{"family":"Nur","given":"Aqsha"},{"family":"Nurrika","given":"Dieta"},{"family":"Nyadanu","given":"Sylvester Dodzi"},{"family":"Nyande","given":"Felix Kwasi"},{"family":"Nzoputam","given":"Chimezie Igwegbe"},{"family":"Nzoputam","given":"Ogochukwu Janet"},{"family":"Oancea","given":"Bogdan"},{"family":"Obaido","given":"George"},{"family":"O'Connell","given":"Erin M."},{"family":"Odama","given":"Adashi Margaret"},{"family":"Odat","given":"Ramez M."},{"family":"Oddi","given":"Fabio Massimo"},{"family":"Odetokun","given":"Ismail A."},{"family":"Odukoya","given":"Oluwakemi Ololade"},{"family":"Oduro","given":"Joseph Kojo"},{"family":"Oduro","given":"Michael Safo"},{"family":"Oghenetega","given":"Onome Bright"},{"family":"Ogundijo","given":"Oluwaseun Adeolu"},{"family":"Ogunkoya","given":"Abiola"},{"family":"Oguta","given":"James Odhiambo"},{"family":"Oh","given":"Doori"},{"family":"Oh","given":"Sarah"},{"family":"O'Hagan","given":"Edel T."},{"family":"Okati-Aliabad","given":"Hassan"},{"family":"Okeke","given":"Sylvester Reuben"},{"family":"Okeke-Obayemi","given":"Deborah Oluwatosin"},{"family":"Okekunle","given":"Akinkunmi Paul"},{"family":"Okesanya","given":"Olalekan John"},{"family":"Okoli","given":"Onyedika A."},{"family":"Okonji","given":"Osaretin Christabel"},{"family":"Okunlola","given":"John Olayemi"},{"family":"Okunlola","given":"Oluyemi Adewole"},{"family":"Olabisi","given":"Oluwaseyi Isaiah"},{"family":"Olagunju","given":"Andrew T."},{"family":"Olalusi","given":"Oladotun Victor"},{"family":"Olatubi","given":"Matthew Idowu"},{"family":"Oliveira","given":"Arão Belitardo"},{"family":"Oliveira","given":"Gláucia Maria Moraes"},{"family":"Olorukooba","given":"Abdulhakeem Abayomi"},{"family":"Olson","given":"Erik J."},{"family":"Oludoye","given":"Oluseye Olalekan"},{"family":"Olum","given":"Ronald"},{"family":"Olusanya","given":"Bolajoko Olubukunola"},{"family":"Olusanya","given":"Jacob Olusegun"},{"family":"Oluwole","given":"Oluwafemi G."},{"family":"Omage","given":"Folorunsho Bright"},{"family":"Omar","given":"Hany A."},{"family":"Omer","given":"Goran Latif"},{"family":"Ong","given":"Qi Chwen"},{"family":"Onie","given":"Sandersan"},{"family":"Onwujekwe","given":"Obinna E."},{"family":"Opara","given":"Franklyn"},{"family":"Opitz","given":"Marcel"},{"family":"Ordak","given":"Michal"},{"family":"Orish","given":"Verner N."},{"family":"Ornello","given":"Raffaele"},{"family":"Orscelik","given":"Atakan"},{"family":"Ortiz","given":"Alberto"},{"family":"Ortiz-Prado","given":"Esteban"},{"family":"Osborne","given":"Augustus"},{"family":"Osei","given":"Eric"},{"family":"Ostroff","given":"Samuel M."},{"family":"Ostrominski","given":"John W."},{"family":"Osuagwu","given":"Uchechukwu Levi"},{"family":"Osuolale","given":"Olayinka"},{"family":"Otchere","given":"Godfred"},{"family":"Othman","given":"Elham H."},{"family":"Othman","given":"Mostafa Monier"},{"family":"Otoiu","given":"Adrian"},{"family":"Otorkpa","given":"Oche Joseph"},{"family":"Oumer","given":"Abdu"},{"family":"Ouner","given":"Jerry John"},{"family":"Ouyahia","given":"Amel"},{"family":"Ouyang","given":"Guoqing"},{"family":"Owolabi","given":"Mayowa O."},{"family":"Owusu","given":"Irene Amoakoh"},{"family":"Oyebola","given":"Kolapo"},{"family":"Oyelade","given":"Tope"},{"family":"Oyeyemi","given":"Oyetunde T."},{"family":"Ozsahin","given":"Ilker"},{"family":"A","given":"Mahesh P."},{"family":"Pacheco-Barrios","given":"Kevin"},{"family":"Padda","given":"Inderbir"},{"family":"Padron-Monedero","given":"Alicia"},{"family":"Padubidri","given":"Jagadish Rao"},{"family":"Pak","given":"Anton"},{"family":"Pal","given":"Pramod Kumar"},{"family":"Palicz","given":"Tamás"},{"family":"Palladino","given":"Raffaele"},{"family":"Palma-Alvarez","given":"Raul Felipe"},{"family":"Paluvai","given":"Tejasri"},{"family":"Pan","given":"Feng"},{"family":"Pan","given":"Hai-Feng"},{"family":"Panahi","given":"Parsa"},{"family":"Panda","given":"Sujogya Kumar"},{"family":"Panda-Jonas","given":"Songhomitra"},{"family":"Katare","given":"Deepshikha Pande"},{"family":"Pang","given":"Ke"},{"family":"Pangaribuan","given":"Helena Ullyartha"},{"family":"Panos","given":"Georgios D."},{"family":"Panos","given":"Leonidas D."},{"family":"Pantazopoulos","given":"Ioannis"},{"family":"Paolino","given":"Giovanni"},{"family":"Papa","given":"Mario Virgilio"},{"family":"Papadimopoulos","given":"Ilias"},{"family":"Papadopoulou","given":"Paraskevi"},{"family":"Parekh","given":"Utsav"},{"family":"Roudsari","given":"Peyvand Parhizkar"},{"family":"Parida","given":"Amrita"},{"family":"Park","given":"Chulwoo"},{"family":"Park","given":"Eun-Kee"},{"family":"Park","given":"Seoyeon"},{"family":"Parmar","given":"Arpit"},{"family":"Parve","given":"Swapnil"},{"family":"Pashaei","given":"Ava"},{"family":"Passera","given":"Roberto"},{"family":"Patel","given":"Bhumi Hemal"},{"family":"Patel","given":"Hemal M."},{"family":"Patel","given":"Mitesh"},{"family":"Patel","given":"Neel Navinkumar"},{"family":"Patel","given":"Satyananda"},{"family":"Patil","given":"Ashlesh"},{"family":"Patil","given":"Shankargouda"},{"family":"Patoulias","given":"Dimitrios"},{"family":"Patra","given":"Apurba"},{"family":"Patwary","given":"Mohammad Hridoy"},{"family":"Paul","given":"Hilary"},{"family":"Pawar","given":"Shrikant"},{"family":"Pawar","given":"Shubhadarshini"},{"family":"Toroudi","given":"Hamidreza Pazoki"},{"family":"Peden","given":"Amy E."},{"family":"Pedersini","given":"Paolo"},{"family":"Pekarcikova","given":"Jarmila"},{"family":"Pepito","given":"Veincent Christian Filipino"},{"family":"Peprah","given":"Prince"},{"family":"Perdigão","given":"João"},{"family":"Pereira","given":"Gavin"},{"family":"Pereira","given":"Maria Odete"},{"family":"Perez-Lopez","given":"Pablo"},{"family":"Perico","given":"Norberto"},{"family":"Perna","given":"Simone"},{"family":"Pesudovs","given":"Konrad"},{"family":"Petakh","given":"Pavlo"},{"family":"Peter","given":"Olumuyiwa James"},{"family":"Petermann-Rocha","given":"Fanny Emily"},{"family":"Pham","given":"Hoang Nhat"},{"family":"Pham","given":"Nhat Truong"},{"family":"Pham","given":"Tung Thanh"},{"family":"Philip","given":"Anil K."},{"family":"Phillips","given":"Michael R."},{"family":"Phyo","given":"Zayar"},{"family":"Pickering","given":"Brandon V."},{"family":"Pigott","given":"David M."},{"family":"Pillay","given":"Julian David"},{"family":"Rocha","given":"Luane Pinheiro Pinheiro"},{"family":"Piracha","given":"Zahra Zahid"},{"family":"Piradov","given":"Michael A."},{"family":"Pirera","given":"Edoardo"},{"family":"Pisoni","given":"Enrico"},{"family":"Plass","given":"Dietrich"},{"family":"Plotnikov","given":"Evgenii"},{"family":"Podder","given":"Indrashis"},{"family":"Poddighe","given":"Dimitri"},{"family":"Polibin","given":"Roman V."},{"family":"Pollner","given":"Peter"},{"family":"Poluru","given":"Ramesh"},{"family":"Avudaiappan","given":"Arjun Pon"},{"family":"Pond","given":"Constance Dimity"},{"family":"Ponkilainen","given":"Ville T."},{"family":"Popa","given":"Ion"},{"family":"Popova","given":"Svetlana"},{"family":"Popovic","given":"Djordje S."},{"family":"Postma","given":"Maarten J."},{"family":"Pourasghary","given":"Sajjad"},{"family":"Pourbabaki","given":"Reza"},{"family":"Pourghazi","given":"Farzad"},{"family":"Poursadeqiyan","given":"Mohsen"},{"family":"Pourtaheri","given":"Naeimeh"},{"family":"Prabhu","given":"Attur Ravindra"},{"family":"Prada","given":"Sergio I."},{"family":"Pradhan","given":"Jalandhar"},{"family":"Pradhan","given":"Pranil Man Singh"},{"family":"Pradipta","given":"Rifky Octavia"},{"family":"Prakash","given":"Peralam Yegneswaran"},{"family":"Prasad","given":"Chandra P."},{"family":"Prashant","given":"Akila"},{"family":"Prates","given":"Elton Junio Sady"},{"family":"Priscilla","given":"Tina"},{"family":"Pritchett","given":"Natalie"},{"family":"Priya","given":"Harsh"},{"family":"Purnobasuki","given":"Hery"},{"family":"Purohit","given":"Bharathi M."},{"family":"Puvvula","given":"Jagadeesh"},{"family":"Qasim","given":"Nameer Hashim"},{"family":"Qi","given":"Xiang"},{"family":"Qi","given":"Zhipeng"},{"family":"Qiu","given":"Jia-Yong"},{"family":"Quazi","given":"Zahiruddin Syed"},{"family":"Qurashi","given":"Shahazad Niwazi"},{"family":"R","given":"Deepthi"},{"family":"Rabiee","given":"Navid"},{"family":"Rachmat","given":"Basuki"},{"family":"Radhakrishnan","given":"Raghu Anekal"},{"family":"Radhakrishnan","given":"Venkatraman"},{"family":"Radojčić","given":"Maja R."},{"family":"Shahraki","given":"Hadi Raeisi"},{"family":"Rafique","given":"Ibrar"},{"family":"Raghav","given":"Pankaja"},{"family":"Raghuveer","given":"Pracheth"},{"family":"Rahbarnia","given":"Leila"},{"family":"Rahim","given":"Fakher"},{"family":"Rahim","given":"Hawbash Mohammed-Amin"},{"family":"Rahimi","given":"Sajjad"},{"family":"Rahimi-Movaghar","given":"Afarin"},{"family":"Rahimi-Movaghar","given":"Vafa"},{"family":"Rahman","given":"Fryad Majeed"},{"family":"Rahman","given":"Mahbubur"},{"family":"Rahman","given":"Mahfuzur"},{"family":"Rahman","given":"Md Mosfequr"},{"family":"Rahman","given":"Mohammad Hifz Ur"},{"family":"Rahman","given":"Mohammad Meshbahur"},{"family":"Rahman","given":"Mosiur"},{"family":"Rahmani","given":"Saeed"},{"family":"Rahmati","given":"Masoud"},{"family":"Rokni","given":"Ghasem Rahmatpour"},{"family":"Rahmoune","given":"Hakim"},{"family":"Rai","given":"Pramila"},{"family":"Raimondo","given":"Diego"},{"family":"Raimondo","given":"Ivano"},{"family":"Raina","given":"Sunil Kumar"},{"family":"Raj","given":"Jeffrey Pradeep"},{"family":"Raja","given":"Adarsh"},{"family":"Raja","given":"Sandesh"},{"family":"Rajaa","given":"Sathish"},{"family":"Rajabi","given":"Erta"},{"family":"Firouzabadi","given":"Shahryar Rajai"},{"family":"Rajendran","given":"Gunaseelan"},{"family":"Rajendran","given":"Judah"},{"family":"Rajendran","given":"Vinoth"},{"family":"Rajindrajith","given":"Shaman"},{"family":"Rajizadeh","given":"Mohammad Amin"},{"family":"Rajput","given":"Prashant"},{"family":"Ramadan","given":"Mahmoud Mohammed"},{"family":"Ramadan","given":"Majed"},{"family":"Ramadhan","given":"Kadar"},{"family":"Ramasamy","given":"Chitra"},{"family":"Ramasamy","given":"Shakthi Kumaran"},{"family":"Ramazanu","given":"Sheena"},{"family":"Ramezani","given":"Zahra"},{"family":"Farani","given":"Marzieh Ramezani"},{"family":"Ramteke","given":"Pramod W."},{"family":"Rana","given":"Juwel"},{"family":"Rana","given":"Shailendra Singh"},{"family":"Ranabhat","given":"Chhabi Lal"},{"family":"Rancic","given":"Nemanja"},{"family":"Rani","given":"Smitha"},{"family":"Noei","given":"Fatemeh Ranjbar"},{"family":"Rao","given":"Chythra R."},{"family":"Rao","given":"Kumuda"},{"family":"Rao","given":"Mithun"},{"family":"Rao","given":"Sowmya J."},{"family":"Rasella","given":"Davide"},{"family":"Rashedi","given":"Vahid"},{"family":"Rashidi","given":"Mohammad-Mahdi"},{"family":"Rasouli","given":"Mohammad Aziz"},{"family":"Rasouli-Saravani","given":"Ashkan"},{"family":"Rastogi","given":"Prateek"},{"family":"Rasul","given":"Azad"},{"family":"Rathish","given":"Devarajan"},{"family":"Rauf","given":"Abdur"},{"family":"Rauniyar","given":"Santosh Kumar"},{"family":"Rautalin","given":"Ilari"},{"family":"Ravangard","given":"Ramin"},{"family":"Ravi","given":"Dhwani"},{"family":"Rawaf","given":"David Laith"},{"family":"Rawaf","given":"Salman"},{"family":"Rawassizadeh","given":"Reza"},{"family":"Rawat","given":"Ramu"},{"family":"Ray","given":"Ayita"},{"family":"Rayati","given":"Mohammad"},{"family":"Razeghian","given":"Iman"},{"family":"Razi","given":"Bahman"},{"family":"Razo","given":"Christian"},{"family":"Recenti","given":"Filippo"},{"family":"Reddy","given":"Murali Mohan Rama Krishna"},{"family":"Redwan","given":"Elrashdy"},{"family":"Rege","given":"Sanika"},{"family":"Rehman","given":"Wajiha"},{"family":"Reifels","given":"Lennart"},{"family":"Remuzzi","given":"Giuseppe"},{"family":"Ren","given":"Longbing"},{"family":"Renzaho","given":"Andre M. N."},{"family":"Resnikoff","given":"Serge"},{"family":"Reyes","given":"Luis Felipe"},{"family":"Rezaei","given":"Mina"},{"family":"Rezaei","given":"Nazila"},{"family":"Rezaei","given":"Negar"},{"family":"Rezaei","given":"Nima"},{"family":"Rezaeian","given":"Mohsen"},{"family":"Rhee","given":"Taeho Gregory"},{"family":"Riaz","given":"Mavra A."},{"family":"Ribeiro","given":"Antonio Luiz P."},{"family":"Rickard","given":"Jennifer"},{"family":"Rizvi","given":"Moattar Raza"},{"family":"Robinson-Oden","given":"Hannah Elizabeth"},{"family":"Rocha","given":"Hermano Alexandre Lima"},{"family":"Rocha-Gomes","given":"João Rocha"},{"family":"Rodrigues","given":"Mónica"},{"family":"Roever","given":"Leonardo"},{"family":"Rohloff","given":"Peter"},{"family":"Rohmah","given":"Iftitakhur"},{"family":"Röhr","given":"Susanne"},{"family":"Rojas-Rueda","given":"David"},{"family":"Rolfzen","given":"Megan L."},{"family":"Romadlon","given":"Debby Syahru"},{"family":"Romoli","given":"Michele"},{"family":"Romozzi","given":"Marina"},{"family":"Ronfani","given":"Luca"},{"family":"Rosauer","given":"Jennifer Jacqueline"},{"family":"Roshanshad","given":"Amirhossein"},{"family":"Rostamian","given":"Morteza"},{"family":"Roth","given":"Gregory A."},{"family":"Rotimi","given":"Kunle"},{"family":"Rout","given":"Himanshu Sekhar"},{"family":"Rouzbahani","given":"Hanieh"},{"family":"Rouzbahani","given":"Reza"},{"family":"Rouzbahani","given":"Shiva"},{"family":"Roy","given":"Bedanta"},{"family":"Roy","given":"Nitai"},{"family":"Roy","given":"Parimal"},{"family":"Roy","given":"Poulami"},{"family":"Roy","given":"Priyanka"},{"family":"Roy","given":"Sharmistha"},{"family":"Roy","given":"Shubhanjali"},{"family":"Chowdhury","given":"Susovan Roy"},{"family":"Parthasarathy","given":"Parameswari Royapuram"},{"family":"Rubagotti","given":"Enrico"},{"family":"Ruela","given":"Guilherme de Andrade"},{"family":"Rumisha","given":"Susan Fred"},{"family":"Russo","given":"Michele"},{"family":"Rwegerera","given":"Godfrey Mutashambara"},{"family":"S","given":"Manjula"},{"family":"N","given":"Chandan S."},{"family":"Saad","given":"Aly M. A."},{"family":"Eddin","given":"Adnan Saad"},{"family":"Saadatian","given":"Zahra"},{"family":"Saber-Ayad","given":"Maha Mohamed"},{"family":"Sabet","given":"Cameron John"},{"family":"Sabour","given":"Siamak"},{"family":"Sadarangani","given":"Kabir P."},{"family":"Rafiei","given":"Seyed Kiarash Sadat"},{"family":"Saddik","given":"Basema Ahmad"},{"family":"Sadee","given":"Bashdar Abuzed"},{"family":"Sadegh","given":"Tarannom"},{"family":"Sadeghi","given":"Ehsan"},{"family":"Sadeghi","given":"Erfan"},{"family":"Sadeghi-Ghyassi","given":"Fatemeh"},{"family":"Saeed","given":"Mohd"},{"family":"Saeed","given":"Umar"},{"family":"Saeedi","given":"Maryam"},{"family":"Safari","given":"Mehdi"},{"family":"Safi","given":"Sare"},{"family":"Safi","given":"Sher Zaman"},{"family":"Sagar","given":"Rajesh"},{"family":"Sagharichi","given":"Mastooreh"},{"family":"Sagoe","given":"Dominic"},{"family":"Saha","given":"Nondo"},{"family":"Sharif-Askari","given":"Fatemeh Saheb"},{"family":"Sharif-Askari","given":"Narjes Saheb"},{"family":"Sahebkar","given":"Amirhossein"},{"family":"Sahoo","given":"Pragyan Monalisa"},{"family":"Sahu","given":"Kirti Sundar"},{"family":"Said","given":"Muhammad Soaib"},{"family":"Saif","given":"Zahra"},{"family":"Sajadi","given":"S. Mohammad"},{"family":"Sajib","given":"Md Refat Uz Zaman"},{"family":"Sajid","given":"Mirza Rizwan"},{"family":"Saki","given":"Morteza"},{"family":"Salam","given":"Nasir"},{"family":"Salamati","given":"Payman"},{"family":"Salaroli","given":"Luciane B."},{"family":"Saleh","given":"Mohamed A."},{"family":"Salehi","given":"Leili"},{"family":"Salehi","given":"Mahdi"},{"family":"Salem","given":"Marwa Rashad"},{"family":"Salem","given":"Mohammed Z. Y."},{"family":"Salihu","given":"Dauda"},{"family":"Salimi","given":"Sohrab"},{"family":"Sallam","given":"Malik"},{"family":"Salum","given":"Giovanni A."},{"family":"Salvi","given":"Sundeep Santosh"},{"family":"Kafil","given":"Hossein Samadi"},{"family":"Samaranayake","given":"Jayami Eshana"},{"family":"Sami","given":"Waqas"},{"family":"Samodra","given":"Yoseph Leonardo"},{"family":"Samuel","given":"Vijaya Paul"},{"family":"Samy","given":"Abdallah M."},{"family":"Sangle","given":"Sandeep G."},{"family":"Sanjari","given":"Elaheh"},{"family":"Sankar","given":"Sathish"},{"family":"Sanmarchi","given":"Francesco"},{"family":"Sanna","given":"Francesca"},{"family":"Santos","given":"Lucas H. C. C."},{"family":"Santric-Milicevic","given":"Milena M."},{"family":"Jose","given":"Bruno Piassi Sao"},{"family":"Sapkota","given":"Krishna Prasad"},{"family":"Saraswathy","given":"Sivan Yegnanarayana Iyer"},{"family":"Sarfo","given":"Jacob Owusu"},{"family":"Sarikhani","given":"Yaser"},{"family":"Sarma","given":"Hemen"},{"family":"Sarmadi","given":"Mohammad"},{"family":"Sarode","given":"Gargi Sachin"},{"family":"Sarode","given":"Sachin C."},{"family":"Saroshe","given":"Satish"},{"family":"Sassano","given":"Michele"},{"family":"Sathian","given":"Brijesh"},{"family":"Narayanan","given":"Mukesh Kumar Sathya"},{"family":"Saunders","given":"Paul A."},{"family":"Far","given":"Mehrdad Savabi"},{"family":"Sawhney","given":"Monika"},{"family":"Saxena","given":"Sangeeta Gopal"},{"family":"Saya","given":"Ganesh Kumar"},{"family":"Sayeed","given":"Abu"},{"family":"Saylan","given":"Mete"},{"family":"Schinckus","given":"Christophe"},{"family":"Schneider","given":"Ione Jayce Ceola"},{"family":"Schneider","given":"Rachel D."},{"family":"Schuermans","given":"Art"},{"family":"Schumacher","given":"Austin E."},{"family":"Schwarz","given":"Ghil"},{"family":"Schwebel","given":"David C."},{"family":"Schwendicke","given":"Falk"},{"family":"Schwinger","given":"Catherine"},{"family":"Sedigh","given":"Amin"},{"family":"Sekaran","given":"Saravanan"},{"family":"Šekerija","given":"Mario"},{"family":"Selvamani","given":"Muthamizh"},{"family":"Selvaraj","given":"Vimalraj"},{"family":"Semenova","given":"Yuliya"},{"family":"Semreen","given":"Mohammad H."},{"family":"Sendeku","given":"Fikadu Waltengus"},{"family":"Senol","given":"Yigit Can"},{"family":"Senthilkumaran","given":"Subramanian"},{"family":"Sepanlou","given":"Sadaf G."},{"family":"Serban","given":"Andreea Claudia"},{"family":"Serván-Mori","given":"Edson"},{"family":"Sethi","given":"Yashendra"},{"family":"Sewor","given":"Christian"},{"family":"Alshohadaei","given":"Seyed Mohammad Seyed"},{"family":"Seylani","given":"Allen"},{"family":"Seymour","given":"Matthew"},{"family":"Shadid","given":"Jamileh"},{"family":"Shah","given":"Nilay S."},{"family":"Shah","given":"Sweni"},{"family":"Shaharudin","given":"Shazlin"},{"family":"Shahbaz","given":"Muhammad"},{"family":"Shahid","given":"Samiah"},{"family":"Shahid","given":"Syed Ahsan"},{"family":"Shahid","given":"Wajeehah"},{"family":"Shahini","given":"Endrit"},{"family":"Shahrahmani","given":"Fatemeh"},{"family":"Shahsavari","given":"Hamid R."},{"family":"Shahwan","given":"Moyad Jamal"},{"family":"Shaikh","given":"Masood Ali"},{"family":"Shakeri","given":"Alireza"},{"family":"Shakerimoghaddam","given":"Ali"},{"family":"Shalash","given":"Ali S."},{"family":"Sham","given":"Sunder"},{"family":"Shamim","given":"Muhammad Aaqib"},{"family":"Shams","given":"Farzane"},{"family":"Shams-Beyranvand","given":"Mehran"},{"family":"Shamshirgaran","given":"Mohammad Ali"},{"family":"Shamsi","given":"Anas"},{"family":"Shamsutdinova","given":"Alfiya"},{"family":"Shan","given":"Dan"},{"family":"Shankar","given":"Abhishek"},{"family":"Shannawaz","given":"Mohammed"},{"family":"Shao","given":"Xian"},{"family":"Sharifan","given":"Amin"},{"family":"Rad","given":"Javad Sharifi"},{"family":"Sharma","given":"Avimanu"},{"family":"Sharma","given":"Bhoopesh Kumar"},{"family":"Sharma","given":"Bunty"},{"family":"Sharma","given":"Kamal"},{"family":"Sharma","given":"Manoj"},{"family":"Sharma","given":"Sourabh"},{"family":"Sharma","given":"Ujjawal"},{"family":"Sharma","given":"Vishal"},{"family":"Shastry","given":"Rajesh P."},{"family":"Shastry","given":"Shamee"},{"family":"Shavandi","given":"Armin"},{"family":"Shawahna","given":"Ramzi"},{"family":"Shayan","given":"Maryam"},{"family":"Bappah","given":"Babangida Shehu"},{"family":"Sheidaei","given":"Ali"},{"family":"Shenoy","given":"Suchitra M."},{"family":"Sherchan","given":"Samendra P."},{"family":"Shetty","given":"Suraj S."},{"family":"Shi","given":"Fang"},{"family":"Shi","given":"Lin-Hong"},{"family":"Shibani","given":"Mosa"},{"family":"Shibesh","given":"Belayneh Fentahun"},{"family":"Shibuya","given":"Kenji"},{"family":"Shiferaw","given":"Desalegn"},{"family":"Shimul","given":"Md Monir Hossain"},{"family":"Shin","given":"Jae Il"},{"family":"Shin","given":"Min-Jeong"},{"family":"Shiri","given":"Rahman"},{"family":"Shirkoohi","given":"Reza"},{"family":"Shittu","given":"Aminu"},{"family":"Shitu","given":"Abdul-karim Olayinka"},{"family":"Shiue","given":"Ivy"},{"family":"Shivarov","given":"Velizar"},{"family":"Shlobin","given":"Nathan A."},{"family":"Shojaei","given":"Shayan"},{"family":"Eshkiki","given":"Zahra Shokati"},{"family":"Shokri","given":"Azad"},{"family":"Shongwe","given":"Sinegugu Nosipho"},{"family":"Shool","given":"Sina"},{"family":"Shorofi","given":"Seyed Afshin"},{"family":"Shrestha","given":"Gambhir"},{"family":"Shrestha","given":"Sunil"},{"family":"Shuval","given":"Kerem"},{"family":"Sibuyi","given":"Nicole Remaliah Samantha"},{"family":"Siddig","given":"Emmanuel Edwar"},{"family":"Sidiq","given":"Mohammad"},{"family":"Siegel","given":"Martin"},{"family":"Silva","given":"Diego Augusto Santos"},{"family":"Silva","given":"Gustavo Correia Basto","dropping-particle":"da"},{"family":"Silva","given":"João Pedro"},{"family":"Silva","given":"Juan Carlos"},{"family":"Silva","given":"Luís Manuel Lopes Rodrigues"},{"family":"Leonardi","given":"Noah Joseph Bernard Silva","dropping-particle":"de"},{"family":"Simkhada","given":"Padam Prasad"},{"family":"Singh","given":"Abhinav"},{"family":"Singh","given":"Akanksha"},{"family":"Singh","given":"Ambrish"},{"family":"Singh","given":"Baljinder"},{"family":"Singh","given":"Bhim Pratap"},{"family":"Singh","given":"Harmanjit"},{"family":"Singh","given":"Harpreet"},{"family":"Singh","given":"Jasbir"},{"family":"Singh","given":"Jasvinder A."},{"family":"Singh","given":"Kalpana"},{"family":"Singh","given":"Lucky"},{"family":"Singh","given":"Narinder Pal"},{"family":"Singh","given":"Paramdeep"},{"family":"Singh","given":"Poornima Suryanath"},{"family":"Singh","given":"Prashant Kumar"},{"family":"Singh","given":"Puneetpal"},{"family":"Singh","given":"Rakesh K."},{"family":"Singh","given":"Samer"},{"family":"Singh","given":"Satwinder"},{"family":"Singh","given":"Surendra"},{"family":"Sinha","given":"Mukesh Kumar"},{"family":"Sinha","given":"Ratnesh"},{"family":"Sinto","given":"Robert"},{"family":"Sirota","given":"Sarah Brooke"},{"family":"Skou","given":"Søren T."},{"family":"Sleet","given":"David A."},{"family":"Slepak","given":"Erica Leigh N."},{"family":"Sobia","given":"Farrukh"},{"family":"Sohel","given":"MdSalman"},{"family":"Sohrabi","given":"Somaye"},{"family":"Sokhal","given":"Balamrit Singh"},{"family":"Solanki","given":"Ranjan"},{"family":"Solikhah","given":"Solikhah"},{"family":"Soliman","given":"Sameh S. M."},{"family":"Song","given":"Weiyi"},{"family":"Song","given":"Younseong"},{"family":"Sood","given":"Aayushi"},{"family":"Sood","given":"Prashant"},{"family":"Soraneh","given":"Soroush"},{"family":"Sorensen","given":"Reed J. D."},{"family":"Soriano","given":"Joan B."},{"family":"Sorrentino","given":"Michele"},{"family":"Sousa","given":"Fernando"},{"family":"Sousa","given":"Marco Aurelio"},{"family":"Soylu","given":"Ceren"},{"family":"Spartalis","given":"Michael"},{"family":"Spearman","given":"Sandra"},{"family":"Sra","given":"Manraj Singh"},{"family":"Sreeramareddy","given":"Chandrashekhar T."},{"family":"Srichawla","given":"Bahadar S."},{"family":"Srinivasamurthy","given":"Suresh Kumar"},{"family":"Sriram","given":"Shyamkumar"},{"family":"Stafford","given":"Lauryn K."},{"family":"Stanaway","given":"Jeffrey D."},{"family":"Starodubova","given":"Antonina V."},{"family":"Ştefan","given":"Simona Cătălina"},{"family":"Stein","given":"Caroline"},{"family":"Stein","given":"Dan J."},{"family":"Steiner","given":"Caitlyn"},{"family":"Steiner","given":"Timothy J."},{"family":"Steinmetz","given":"Jaimie D."},{"family":"Steiropoulos","given":"Paschalis"},{"family":"Stevanović","given":"Aleksandar"},{"family":"Stockfelt","given":"Leo"},{"family":"Stovner","given":"Lars Jacob"},{"family":"Straif","given":"Kurt"},{"family":"Stubbs","given":"Peter"},{"family":"Su","given":"Yu"},{"family":"Subasi","given":"Omer"},{"family":"Subedi","given":"Narayan"},{"family":"Suemoto","given":"Claudia Kimie"},{"family":"Suhag","given":"Alisha"},{"family":"Sui","given":"Liang"},{"family":"Sukaew","given":"Thitiporn"},{"family":"Sulaiman","given":"Surajo Kamilu"},{"family":"Suleiman","given":"Auwal Garba"},{"family":"Odidi","given":"Muritala Suleiman"},{"family":"Suleman","given":"Muhammad"},{"family":"Sulistiyorini","given":"Desy"},{"family":"Sullman","given":"Mark J. M."},{"family":"Meo","given":"Anusha Sultan"},{"family":"Sun","given":"Haitong Zhe"},{"family":"Sun","given":"Jing"},{"family":"Sun","given":"Mao-ling"},{"family":"Sun","given":"Xiaodong"},{"family":"Sun","given":"Zhong"},{"family":"Sun","given":"Zhuanlan"},{"family":"Sundaragiri","given":"Suraj"},{"family":"Sundaram","given":"Thanigaivel"},{"family":"Sundström","given":"Johan"},{"family":"Sunkersing","given":"David"},{"family":"Sunny","given":"Sumam"},{"family":"Suresh","given":"Vinay"},{"family":"Swain","given":"Chandan Kumar"},{"family":"Swart","given":"Vivianne M."},{"family":"Syaiful","given":"Dayinta Annisa"},{"family":"Szarpak","given":"Lukasz"},{"family":"Szeto","given":"Mindy D."},{"family":"Y","given":"Sree Sudha T."},{"family":"Damavandi","given":"Payam Tabaee"},{"family":"Tabarés-Seisdedos","given":"Rafael"},{"family":"Tabatabaeizadeh","given":"Seyed-Amir"},{"family":"Tabatabai","given":"Shima"},{"family":"Tabche","given":"Celine"},{"family":"Tabibi","given":"Ramin"},{"family":"Tabish","given":"Mohammad"},{"family":"Tadakamadla","given":"Jyothi"},{"family":"Tadakamadla","given":"Santosh Kumar"},{"family":"Tafida","given":"Buhari Abdullahi"},{"family":"Taghizadeh-Hesary","given":"Farzad"},{"family":"Abkenar","given":"Yasaman Taheri"},{"family":"Soodejani","given":"Moslem Taheri"},{"family":"Taherkhani","given":"Amir"},{"family":"Taiba","given":"Jabeen"},{"family":"Tajabadi","given":"Shima"},{"family":"Talaat","given":"Iman M."},{"family":"Talic","given":"Stella"},{"family":"Talukder","given":"Byomkesh"},{"family":"Tampa","given":"Mircea"},{"family":"Tamuzi","given":"Jacques Lukenze"},{"family":"Tan","given":"Jianye"},{"family":"Tan","given":"Ker-Kan"},{"family":"Tanabayeva","given":"Shynar"},{"family":"Tang","given":"Haosu"},{"family":"Tantisattamo","given":"Ekamol"},{"family":"Tarigan","given":"Ingan Ukur"},{"family":"Tariku","given":"Mengistie Kassahun"},{"family":"Tariq","given":"Saba"},{"family":"Tariqujjaman","given":"Md"},{"family":"Tat","given":"Nathan Y."},{"family":"Oliaee","given":"Razieh Tavakoli"},{"family":"Tavakoly","given":"Rahele"},{"family":"Tavangar","given":"Seyed Mohammad"},{"family":"Tedla","given":"Mebrahtu G."},{"family":"Tefera","given":"Amare Teshome"},{"family":"Teimoori","given":"Mojtaba"},{"family":"Temsah","given":"Mohamad-Hani"},{"family":"Teply","given":"Corey"},{"family":"Teramoto","given":"Masayuki"},{"family":"Tesfaye","given":"Amensisa Hailu"},{"family":"Tesfu","given":"Azimeraw Arega"},{"family":"Tewari","given":"Jay"},{"family":"Teymouri","given":"Alireza"},{"family":"Thaher","given":"Omar"},{"family":"Thangaraju","given":"Pugazhenthan"},{"family":"Thankappan","given":"Kavumpurathu Raman"},{"family":"Thapar","given":"Rekha"},{"family":"Tharwat","given":"Ismaeel"},{"family":"Tharwat","given":"Samar"},{"family":"Theyra-Enias","given":"Hadiza"},{"family":"Thind","given":"Mehakpreet Kaur"},{"family":"Thirunavukarasu","given":"Arun James"},{"family":"Thiruvengadam","given":"Muthu"},{"family":"Thiruvengadam","given":"Rekha"},{"family":"Thiyagarajan","given":"Arulmani"},{"family":"Thomas","given":"Nihal"},{"family":"Thota","given":"Geethika P."},{"family":"Tian","given":"Wei"},{"family":"Ticoalu","given":"Jansje Henny Vera"},{"family":"Tiruye","given":"Tenaw Yimer"},{"family":"Tleshev","given":"Madi"},{"family":"Tolani","given":"Musliu Adetola"},{"family":"Tomo","given":"Sojit"},{"family":"Tonelli","given":"Marcello"},{"family":"Topor-Madry","given":"Roman"},{"family":"Torkashvand","given":"Ali"},{"family":"Touvier","given":"Mathilde"},{"family":"Tovani-Palone","given":"Marcos Roberto"},{"family":"Trabelsi","given":"Khaled"},{"family":"Traini","given":"Eugenio"},{"family":"Tran","given":"Mai Thi Ngoc"},{"family":"Tran","given":"Nghia Minh"},{"family":"Tran","given":"Ngoc Ha"},{"family":"Tran","given":"Quynh Thuy Huong"},{"family":"Tran","given":"Tam Quoc Minh"},{"family":"Tran","given":"Thang Huu"},{"family":"Duc","given":"Nguyen Tran Minh"},{"family":"Trico","given":"Domenico"},{"family":"Trihandini","given":"Indang"},{"family":"Tromans","given":"Samuel Joseph"},{"family":"Truong","given":"Quynh Xuan Nguyen"},{"family":"Truyen","given":"Thien Tan Tri Tai"},{"family":"Tsatsakis","given":"Aristidis"},{"family":"Tse","given":"Gary"},{"family":"Tsermpini","given":"Evangelia Eirini"},{"family":"Car","given":"Lorainne Tudor"},{"family":"Amirikah","given":"Mike Tuffour"},{"family":"Tumurkhuu","given":"Munkhtuya"},{"family":"Tuo","given":"Zhouting"},{"family":"Tye","given":"Sok Cin"},{"family":"Udoakang","given":"Aniefiok John"},{"family":"Ullah","given":"Atta"},{"family":"Ullah","given":"Himayat"},{"family":"Ullah","given":"Irfan"},{"family":"Ullah","given":"Saeed"},{"family":"Umair","given":"Muhammad"},{"family":"Umapathi","given":"Krishna Kishore"},{"family":"Umar","given":"Lawan"},{"family":"Umar","given":"Muhammad"},{"family":"Umar","given":"Shehu Salihu"},{"family":"Underwood-Nakamura","given":"Andrew"},{"family":"Upadhya","given":"Dinesh"},{"family":"Upadhyay","given":"Era"},{"family":"Uppal","given":"Dipan"},{"family":"Urso","given":"Daniele"},{"family":"Usman","given":"Jibrin Sammani"},{"family":"Uzor","given":"Kelechi Julian"},{"family":"Ozsahin","given":"Dilber Uzun"},{"family":"Uzunçıbuk","given":"Hande"},{"family":"Vadagam","given":"Pratyusha"},{"family":"Vahdati","given":"Sara"},{"family":"Vaithinathan","given":"Asokan Govindaraj"},{"family":"Vakili","given":"Omid"},{"family":"Vakilian","given":"Alireza"},{"family":"Valdez","given":"Pascual R."},{"family":"Valenti","given":"Mario"},{"family":"Valizadeh","given":"Gelareh"},{"family":"Eynde","given":"Jef Van","dropping-particle":"den"},{"family":"Walt","given":"Giloume Van Der"},{"family":"Donkelaar","given":"Aaron","dropping-particle":"van"},{"family":"Varasteh","given":"Javad"},{"family":"Varma","given":"Ravi Prasad"},{"family":"Vart","given":"Priya"},{"family":"Vasankari","given":"Tommi Juhani"},{"family":"Vasishta","given":"Sampara"},{"family":"Vasudevan","given":"Srivatsa Surya"},{"family":"Veginadu","given":"Prabhakar"},{"family":"Vella","given":"Ashleigh S."},{"family":"Vellingiri","given":"Balachandar"},{"family":"Venketasubramanian","given":"Narayanaswamy"},{"family":"Venkidasamy","given":"Baskar"},{"family":"Verma","given":"Megan"},{"family":"Verma","given":"Poonam"},{"family":"Veroux","given":"Massimiliano"},{"family":"Verras","given":"Georgios-Ioannis"},{"family":"Vervoort","given":"Dominique"},{"family":"Vidale","given":"Simone"},{"family":"Villa","given":"Simone"},{"family":"Villafañe","given":"Jorge Hugo"},{"family":"Villarreal-Zegarra","given":"David"},{"family":"Violante","given":"Francesco S."},{"family":"Vipparthy","given":"Sharath Chaitanya"},{"family":"Visontay","given":"Rachel"},{"family":"Vitorino","given":"Luciano Magalhães"},{"family":"Vlassov","given":"Vasily"},{"family":"Vojtek","given":"Martin"},{"family":"Vollset","given":"Stein Emil"},{"family":"Vongpradith","given":"Avina"},{"family":"Vosoughi","given":"Mehdi"},{"family":"Vounzoulaki","given":"Elpida"},{"family":"Vu","given":"Hai Nam"},{"family":"Vu","given":"Linh"},{"family":"Waheed","given":"Yasir"},{"family":"Wahidin","given":"Mugi"},{"family":"Walia","given":"Megha"},{"family":"Wamai","given":"Agnes Wamuyu"},{"family":"Wan","given":"Jin-Yi"},{"family":"Wang","given":"Cong"},{"family":"Wang","given":"Fang"},{"family":"Wang","given":"Lei"},{"family":"Wang","given":"Liang"},{"family":"Wang","given":"Ruixuan"},{"family":"Wang","given":"Shaopan"},{"family":"Wang","given":"Shu"},{"family":"Wang","given":"Wei"},{"family":"Wang","given":"Xing"},{"family":"Wang","given":"Xuequan"},{"family":"Wang","given":"Yanzhong"},{"family":"Wang","given":"Yichen"},{"family":"Wang","given":"Yuan-Pang"},{"family":"Wang","given":"Zhihua"},{"family":"Wani","given":"Tanveer A."},{"family":"Wanjau","given":"Mary Njeri"},{"family":"Waqar","given":"Ahmed Bilal"},{"family":"Waqas","given":"Muhammad"},{"family":"Ward","given":"Paul"},{"family":"Wassie","given":"Toyiba Hiyaru"},{"family":"Weerakoon","given":"Kosala Gayan"},{"family":"Weerasekara","given":"Ishanka"},{"family":"Wei","given":"Fei-Long"},{"family":"Wei","given":"Xueying"},{"family":"Weintraub","given":"Robert G."},{"family":"Weiss","given":"Daniel J."},{"family":"Weiss","given":"Eli J."},{"family":"Wen","given":"Yi Feng"},{"family":"Werdecker","given":"Andrea"},{"family":"Westerman","given":"Ronny"},{"family":"Whisnant","given":"Joanna L."},{"family":"Whiteford","given":"Harvey A."},{"family":"Wiangkham","given":"Taweewat"},{"family":"Wibowo","given":"Yohanes Cakrapradipta"},{"family":"Wicaksana","given":"Anggi Lukman"},{"family":"Wickramasinghe","given":"Dakshitha Praneeth"},{"family":"Wickramasinghe","given":"Nuwan Darshana"},{"family":"Wiebe","given":"Samuel"},{"family":"Wilandika","given":"Angga"},{"family":"Willeit","given":"Peter"},{"family":"Wilson","given":"Shadrach"},{"family":"Wireko","given":"Andrew Awuah"},{"family":"Wirtu","given":"Gemechu Kumera"},{"family":"Wiysonge","given":"Charles Shey"},{"family":"Woday","given":"Abay Tadesse"},{"family":"Wojewodzic","given":"Marcin W."},{"family":"Wolf","given":"Axel Walter"},{"family":"Wonde","given":"Tewodros Eshete"},{"family":"Wondmeneh","given":"Yohannes Chemere"},{"family":"Worede","given":"Daniel Tarekegn"},{"family":"Worku","given":"Minichil Chanie"},{"family":"Worku","given":"Nigus Kassie"},{"family":"Wu","given":"Ai-Min"},{"family":"Wu","given":"Chenkai"},{"family":"Wu","given":"Felicia"},{"family":"Wu","given":"James Fan"},{"family":"Wu","given":"Jiayuan"},{"family":"Wu","given":"Jinyi"},{"family":"Wu","given":"Shi-Nan"},{"family":"Wu","given":"Zenghong"},{"family":"Wubie","given":"Yihun Miskir"},{"family":"Xia","given":"Yanjie"},{"family":"Xia","given":"Zhijia"},{"family":"Xiao","given":"Guangqin"},{"family":"Xiao","given":"Hong"},{"family":"Xiao","given":"Na"},{"family":"Xie","given":"Wanqing"},{"family":"Xing","given":"Hongquan"},{"family":"Xu","given":"Site"},{"family":"Xu","given":"Suowen"},{"family":"Xu","given":"Wanqing"},{"family":"Xu","given":"Xiang"},{"family":"Xu","given":"Xiaoyue"},{"family":"Yadav","given":"Mukesh Kumar"},{"family":"Yadav","given":"Vikas"},{"family":"Yadollahi","given":"Mahnaz"},{"family":"Yaghoubi","given":"Sajad"},{"family":"Yahoo (Syed)","given":"Saba"},{"family":"Yahya","given":"Galal"},{"family":"Yamagishi","given":"Kazumasa"},{"family":"Yan","given":"Guangcan"},{"family":"Yang","given":"Haibo"},{"family":"Yang","given":"Weiguang"},{"family":"Yang","given":"Xinxin"},{"family":"Yano","given":"Yuichiro"},{"family":"Yao","given":"Haiqiang"},{"family":"Yao","given":"Laiang"},{"family":"Yarahmadi","given":"Amir"},{"family":"Yasin","given":"Haya"},{"family":"Yassin","given":"Mohamed A."},{"family":"Yasufuku","given":"Yuichi"},{"family":"Yaya","given":"Sanni"},{"family":"Ye","given":"Pengpeng"},{"family":"Yeganeh","given":"Meghdad"},{"family":"Yekdeş","given":"Ali Cem"},{"family":"YektaKooshali","given":"Mohammad Hossein"},{"family":"Yergaliyev","given":"Kuanysh A."},{"family":"Yesodharan","given":"Renjulal"},{"family":"Yesuf","given":"Subah Abderehim"},{"family":"Yezli","given":"Saber"},{"family":"Yi","given":"Siyan"},{"family":"Yigezu","given":"Muluken"},{"family":"Yigzaw","given":"Zeamanuel Anteneh"},{"family":"Yin","given":"Dehui"},{"family":"Yin","given":"Yulai"},{"family":"Yip","given":"Paul"},{"family":"Yismaw","given":"Malede Berihun"},{"family":"Yismaw","given":"Yazachew Engida"},{"family":"Yon","given":"Dong Keon"},{"family":"Yonemoto","given":"Naohiro"},{"family":"Younis","given":"Mustafa Z."},{"family":"Yousuf","given":"Abdilahi"},{"family":"Yu","given":"Chuanhua"},{"family":"Yu","given":"Jian"},{"family":"Yu","given":"Yong"},{"family":"Yuh","given":"Faith H."},{"family":"Yunus","given":"Ghazala"},{"family":"Yunusa","given":"Umar"},{"family":"Yusuf","given":"Aminu Abba"},{"family":"Yuwanati","given":"Monal"},{"family":"Zadey","given":"Siddhesh"},{"family":"Zadnik","given":"Vesna"},{"family":"Zafar","given":"Mubashir"},{"family":"Zaghampour","given":"Manijeh"},{"family":"Abidin","given":"Emilia Zainal"},{"family":"Zakham","given":"Fathiah"},{"family":"Zaki","given":"Nazar"},{"family":"Zamagni","given":"Giulia"},{"family":"Zaman","given":"Burhan Abdullah"},{"family":"Zaman","given":"Sojib Bin"},{"family":"Zamani","given":"Abu Sarwar"},{"family":"Zamora","given":"Nelson"},{"family":"Zanghì","given":"Aurora"},{"family":"Zar","given":"Heather J."},{"family":"Zarea","given":"Kourosh"},{"family":"Zawiah","given":"Mohammed"},{"family":"Zeariya","given":"Mohammed G. M."},{"family":"Zenebe","given":"Abay Mulu"},{"family":"Zensen","given":"Sebastian"},{"family":"Zeru","given":"Eyael M."},{"family":"Zhan","given":"Tiansong"},{"family":"Zhan","given":"Yongle"},{"family":"Zhang","given":"Beijian"},{"family":"Zhang","given":"Casper J. P."},{"family":"Zhang","given":"Haijun"},{"family":"Zhang","given":"Jingya"},{"family":"Zhang","given":"Liqun"},{"family":"Zhang","given":"Meixin"},{"family":"Zhang","given":"Xiaoyi"},{"family":"Zhang","given":"Yunquan"},{"family":"Zhang","given":"Zhiqiang"},{"family":"Zhao","given":"Jianhui"},{"family":"Zhao","given":"Sheng"},{"family":"Zhao","given":"Zhongyi"},{"family":"Zheng","given":"Jinxin"},{"family":"Zheng","given":"Ming-Hua"},{"family":"Zheng","given":"Peng"},{"family":"Zhong","given":"Claire Chenwen"},{"family":"Zhou","given":"Jiayan"},{"family":"Zhou","given":"Juexiao"},{"family":"Zhou","given":"Maigeng"},{"family":"Zhu","given":"Bin"},{"family":"Zhu","given":"Zhengyang"},{"family":"Zhumagaliuly","given":"Abzal"},{"family":"Zielińska","given":"Magdalena"},{"family":"Zihao","given":"Liu"},{"family":"Zoghi","given":"Ghazal"},{"family":"Zoromba","given":"Mohamed Ali"},{"family":"Zou","given":"Zhiyong"},{"family":"Zrieq","given":"Rafat Mohammad"},{"family":"Zuhlke","given":"Liesl J."},{"family":"Zuhriyah","given":"Lilik"},{"family":"Zumla","given":"Alimuddin"},{"family":"Zyoud","given":"Ahed H."},{"family":"Zyoud","given":"Sa'ed H."},{"family":"Zyoud","given":"Shaher H."},{"family":"Brauer","given":"Michael"},{"family":"Vos","given":"Theo"},{"family":"Murray","given":"Christopher J. L."},{"family":"Gakidou","given":"Emmanuela"}],"issued":{"date-parts":[["2025",10,18]]}}},{"id":1496,"uris":["http://zotero.org/groups/5889362/items/FPEFLGHH"],"itemData":{"id":1496,"type":"article-journal","container-title":"The Lancet","DOI":"10.1016/S0140-6736(25)01917-8","ISSN":"0140-6736, 1474-547X","issue":"10513","journalAbbreviation":"The Lancet","language":"English","note":"publisher: Elsevier\nPMID: 41092928","page":"1811-1872","source":"www.thelancet.com","title":"Global burden of 292 causes of death in 204 countries and territories and 660 subnational locations, 1990–2023: a systematic analysis for the Global Burden of Disease Study 2023","title-short":"Global burden of 292 causes of death in 204 countries and territories and 660 subnational locations, 1990–2023","volume":"406","author":[{"family":"Naghavi","given":"Mohsen"},{"family":"Kyu","given":"Hmwe Hmwe"},{"family":"A","given":"Bhoomadevi"},{"family":"Aalipour","given":"Mohammad Amin"},{"family":"Aalruz","given":"Hasan"},{"family":"Ababneh","given":"Hazim S."},{"family":"Abafita","given":"Bedru J."},{"family":"Abaraogu","given":"Ukachukwu O."},{"family":"Abbafati","given":"Cristiana"},{"family":"Abbasi","given":"Madineh"},{"family":"Abbaspour","given":"Faezeh"},{"family":"Abbastabar","given":"Hedayat"},{"family":"Magied","given":"Abdallah H. A. Abd Al"},{"family":"ElHafeez","given":"Samar Abd"},{"family":"Abdalla","given":"Ashraf Nabiel"},{"family":"Abdalla","given":"Mohammed Altigani"},{"family":"Abdallah","given":"Emad M."},{"family":"Abdeeq","given":"Barkhad Aden"},{"family":"Razeq","given":"Nadin M. I. Abdel"},{"family":"Abdelgalil","given":"Ahmed Abdelrahman"},{"family":"Abdel-Hameed","given":"Reda"},{"family":"Abdelmasseh","given":"Michael"},{"family":"Abdelnabi","given":"Mahmoud"},{"family":"Abdel-Rahman","given":"Wael M."},{"family":"Abdous","given":"Arman"},{"family":"Abdrabou","given":"Mostafa M."},{"family":"Aziz","given":"Jeza Muhamad Abdul"},{"family":"Abdulah","given":"Deldar Morad"},{"family":"Abdullahi","given":"Auwal"},{"family":"Abdul-Rahman","given":"Toufik"},{"family":"Getahun","given":"Habtamu Abebe"},{"family":"Abedi","given":"Aidin"},{"family":"Abedi","given":"Armita"},{"family":"Abedi","given":"Parisa"},{"family":"Abejew","given":"Asrat Agalu"},{"family":"Zuñiga","given":"Roberto Ariel Abeldaño"},{"family":"Abid","given":"Shehab Uddin Al"},{"family":"Abidi","given":"Syed Hani"},{"family":"Abie","given":"Alemwork"},{"family":"Abiodun","given":"Olugbenga Olusola"},{"family":"Aboagye","given":"Richard Gyan"},{"family":"Abohashem","given":"Shady"},{"family":"Abolhassani","given":"Hassan"},{"family":"Abonie","given":"Ulric Sena"},{"family":"Abourashed","given":"Nagah M."},{"family":"Abouzid","given":"Mohamed"},{"family":"Abramov","given":"Dmitry"},{"family":"Abreu","given":"Lucas Guimarães"},{"family":"Abtahi","given":"Dariush"},{"family":"Farha","given":"Rana Kamal Abu"},{"family":"Abuadas","given":"Fuad Hamdi A."},{"family":"Abubakar","given":"Aminu Kende"},{"family":"Abu-Elala","given":"Nermeen"},{"family":"Abu-Gharbieh","given":"Eman"},{"family":"Abuhammad","given":"Sawsan"},{"family":"Abuhelwa","given":"Ahmad Y."},{"family":"Abukhadijah","given":"Hana J."},{"family":"Abu-Rmeileh","given":"Niveen ME"},{"family":"Aburuz","given":"Salahdein"},{"family":"Abushanab","given":"Dina"},{"family":"Accrombessi","given":"Manfred Mario Kokou"},{"family":"Acharya","given":"Anirudh Balakrishna"},{"family":"Acharya","given":"Apurba"},{"family":"Adal","given":"Ousman"},{"family":"Adams","given":"Lisa C."},{"family":"Adamu","given":"Abdu A."},{"family":"Addo","given":"Isaac Yeboah"},{"family":"Adeagbo","given":"Oluwafemi Atanda"},{"family":"Adebisi","given":"Tajudeen Adesanmi"},{"family":"Adedeji","given":"Isaac Akinkunmi"},{"family":"Adedokun","given":"Kamoru Ademola"},{"family":"Adegbile","given":"Oluwatobi E."},{"family":"Adegoke","given":"Nurudeen A."},{"family":"Adeleke","given":"Olumide Thomas"},{"family":"Adema","given":"Bulcha Guye"},{"family":"Aden","given":"Bashir"},{"family":"Adesina","given":"Isaac Ayodeji"},{"family":"Adesina","given":"Miracle Ayomikun"},{"family":"Adetunji","given":"Juliana Bunmi"},{"family":"Adewuyi","given":"Habeeb Omoponle"},{"family":"Adeyeoluwa","given":"Temitayo Esther"},{"family":"Adhana","given":"Mache Tsadik"},{"family":"Adhikary","given":"Ripon Kumar"},{"family":"Adiga","given":"Usha"},{"family":"Parvar","given":"Tanin Adl"},{"family":"Adnan","given":"Mohd"},{"family":"Adnani","given":"Qorinah Estiningtyas Sakilah"},{"family":"Adoma","given":"Prince Owusu"},{"family":"Adzigbli","given":"Leticia Akua"},{"family":"Adzrago","given":"David"},{"family":"Affinito","given":"Giuseppina"},{"family":"Afifi","given":"Ahmed M."},{"family":"Afoakwah","given":"Clifford"},{"family":"Afolabi","given":"Aanuoluwapo Adeyimika"},{"family":"Afolabi","given":"Rotimi Felix"},{"family":"Afrăsânie","given":"Vlad-Adrian"},{"family":"Afzal","given":"Saira"},{"family":"Agafari","given":"Gizachew Beykaso"},{"family":"Agampodi","given":"Suneth Buddhika"},{"family":"Agampodi","given":"Thilini Chanchala"},{"family":"Aggarwal","given":"Navidha"},{"family":"Aghaalikhani","given":"Mahdi"},{"family":"Aghajanian","given":"Sepehr"},{"family":"Aghamir","given":"Seyed Mohammad Kazem"},{"family":"Agide","given":"Feleke Doyore"},{"family":"Sobrinho","given":"César Agostinis"},{"family":"Agrawal","given":"Anurag"},{"family":"Agyemang-Duah","given":"Williams"},{"family":"Ahadi","given":"Mahsa"},{"family":"Ahinkorah","given":"Bright Opoku"},{"family":"Ahmad","given":"Aqeel"},{"family":"Ahmad","given":"Danish"},{"family":"Ahmad","given":"Faisal"},{"family":"Ahmad","given":"Ijaz"},{"family":"Ahmad","given":"Khabir"},{"family":"Ahmad","given":"Khurshid"},{"family":"Ahmad","given":"Sajjad"},{"family":"Ahmad","given":"Tauseef"},{"family":"Ahmad","given":"Waqas"},{"family":"Ahmadi","given":"Negar Sadat"},{"family":"Ahmed","given":"Ali"},{"family":"Ahmed","given":"Ayman"},{"family":"Ahmed","given":"Gasha Salih"},{"family":"Ahmed","given":"Haroon"},{"family":"Ahmed","given":"Junaid"},{"family":"Ahmed","given":"Luai A."},{"family":"Ahmed","given":"MD Faisal"},{"family":"Ahmed","given":"Mehrunnisha Sharif"},{"family":"Ahmed","given":"Meqdad Saleh"},{"family":"Ahmed","given":"Muktar Beshir"},{"family":"Ahmed","given":"Mushood"},{"family":"Ahmed","given":"Shabbir"},{"family":"Ahmed","given":"Sindew Mahmud"},{"family":"Ahmed","given":"Syed Anees"},{"family":"Aimagambetova","given":"Gulzhanat"},{"family":"Ajami","given":"Marjan"},{"family":"Aji","given":"Budi"},{"family":"Akbarialiabad","given":"Hossein"},{"family":"Akbarifard","given":"Saeid"},{"family":"Akeju","given":"Oluwasefunmi"},{"family":"Akhigbe","given":"Roland Eghoghosoa"},{"family":"Akhmedullin","given":"Ruslan"},{"family":"Akinkuotu","given":"Olufemi Ambrose"},{"family":"Akkaif","given":"Mohammed Ahmed"},{"family":"Akosile","given":"Wole"},{"family":"Akrami","given":"Ashley E."},{"family":"Akyea","given":"Ralph Kwame"},{"family":"Amiry","given":"Alaa Al"},{"family":"Awaidy","given":"Salah Al"},{"family":"Hasan","given":"Syed Mahfuz Al"},{"family":"Homsi","given":"Ammar Al"},{"family":"Nawayseh","given":"Mohammad Khaled Al"},{"family":"Omari","given":"Omar Al"},{"family":"Ta'ani","given":"Zain Al"},{"family":"Thaher","given":"Yazan Al"},{"family":"Zaabi","given":"Omar Ali Mohammed Al"},{"family":"Zoubi","given":"Mohammad Ahmmad Mahmoud Al"},{"family":"Al-Abbadi","given":"Mousa Ali"},{"family":"Alalwan","given":"Tariq A."},{"family":"Al-Aly","given":"Ziyad"},{"family":"Alam","given":"Khurshid"},{"family":"Alam","given":"Manjurul"},{"family":"Alam","given":"Mohammad Khursheed"},{"family":"Alam","given":"Mostafa"},{"family":"Al-Amer","given":"Rasmieh Mustafa"},{"family":"Alamrew","given":"Abebaw"},{"family":"Alansari","given":"Amani"},{"family":"Alanzi","given":"Turki M."},{"family":"Al-Ashwal","given":"Fahmi Y."},{"family":"Albashtawy","given":"Mohammed"},{"family":"Aldhaleei","given":"Wafa A."},{"family":"Aldossary","given":"Mohammed S."},{"family":"Aldridge","given":"Robert W."},{"family":"Aleidi","given":"Shereen M."},{"family":"Alemayehu","given":"Bezawit Abeje"},{"family":"Alemnew","given":"Fentahun"},{"family":"Alemu","given":"Melaku Birhanu"},{"family":"Alene","given":"Kefyalew Addis"},{"family":"Al-Eyadhy","given":"Ayman"},{"family":"Alfalki","given":"Ali M."},{"family":"Algahtani","given":"Fahad D."},{"family":"Algammal","given":"Abdelazeem M."},{"family":"Al-Habbal","given":"Khairat"},{"family":"Alhaji","given":"Nma Bida"},{"family":"Al-Hajj","given":"Samar"},{"family":"Alhalaiqa","given":"Fadwa Naji"},{"family":"Al-Hanawi","given":"Mohammed Khaled"},{"family":"Alhasan","given":"Khalid A."},{"family":"Alhumaidi","given":"Ashraf"},{"family":"Alhumaydhi","given":"Fahad A."},{"family":"Ali","given":"Amjad"},{"family":"Ali","given":"Haroon Muhammad"},{"family":"Ali","given":"Irfan"},{"family":"Ali","given":"Liaqat"},{"family":"Ali","given":"Maratab"},{"family":"Ali","given":"Mohammad Daud"},{"family":"Ali","given":"Mohammed Usman"},{"family":"Ali","given":"Rafat"},{"family":"Ali","given":"Shahid"},{"family":"Ali","given":"Syed Shujait"},{"family":"Ali","given":"Waad"},{"family":"Alicandro","given":"Gianfranco"},{"family":"Al-Iede","given":"Montaha"},{"family":"Alif","given":"Sheikh Mohammad"},{"family":"Rokny","given":"Hamid Alinejad"},{"family":"Alipour","given":"Morteza"},{"family":"Al-Jabi","given":"Samah W."},{"family":"Aljofan","given":"Mohamad"},{"family":"Aljohani","given":"Moath Saleh"},{"family":"Aljunid","given":"Syed Mohamed"},{"family":"Alkhatib","given":"Ahmad"},{"family":"Alkhawam","given":"Mustafa"},{"family":"Allebeck","given":"Peter"},{"family":"Allemailem","given":"Khaled S."},{"family":"Allouh","given":"Mohammed Z."},{"family":"Almagharbeh","given":"Wesam Taher"},{"family":"Al-Marwani","given":"Sabah"},{"family":"Almasri","given":"Nihad A."},{"family":"Almazan","given":"Joseph Uy"},{"family":"Al-Mekhlafi","given":"Hesham M."},{"family":"Almidani","given":"Omar"},{"family":"Almobayed","given":"Amr"},{"family":"Alnawafleh","given":"Khaldoon Aied"},{"family":"Alniss","given":"Hasan Yaser"},{"family":"Sukumar","given":"Margret Beaula Alocious"},{"family":"Alomari","given":"Mahmoud A."},{"family":"Alosta","given":"Mohammad R."},{"family":"Alqahtani","given":"Jaber S."},{"family":"Alqahtani","given":"Saleh A."},{"family":"Alqudimat","given":"Mohammad R."},{"family":"Al-Qudimat","given":"Ahmad Rajeh"},{"family":"Alrimawi","given":"Intima"},{"family":"Alrousan","given":"Sahel Majed"},{"family":"Al-Sabah","given":"Salman Khalifah"},{"family":"Alsabri","given":"Mohammed A."},{"family":"Altaany","given":"Zaid"},{"family":"Altaf","given":"Awais"},{"family":"Al-Tammemi","given":"Alaa B."},{"family":"Al-Tawfiq","given":"Jaffar A."},{"family":"Althobiani","given":"Malik A."},{"family":"Altirkawi","given":"Khalid A."},{"family":"Alvarez-Galvez","given":"Javier"},{"family":"Alvis-Guzman","given":"Nelson"},{"family":"Alvis-Zakzuk","given":"Nelson J."},{"family":"Alwafi","given":"Hassan"},{"family":"Al-Wardat","given":"Mohammad"},{"family":"Al-Worafi","given":"Yaser Mohammed"},{"family":"Aly","given":"Hany"},{"family":"Alyahya","given":"Mohammad Sharif Ibrahim"},{"family":"Alzahrani","given":"Hosam"},{"family":"Alzoubi","given":"Karem H."},{"family":"Al-Zubairi","given":"Adel Sharaf"},{"family":"Amafah","given":"Ekiyor Joseph"},{"family":"Amafah","given":"Joy"},{"family":"Amani-Beni","given":"Reza"},{"family":"Amer","given":"Faten"},{"family":"Amidi","given":"Bardia"},{"family":"Amin","given":"Amr"},{"family":"Amin","given":"Tarek Tawfik"},{"family":"Amindarolzarbi","given":"Alireza"},{"family":"Amini","given":"Saeed"},{"family":"Amini-Salehi","given":"Ehsan"},{"family":"Aminzare","given":"Majid"},{"family":"Amiri","given":"Sohrab"},{"family":"Amlag","given":"Joanne O."},{"family":"Amugsi","given":"Dickson A."},{"family":"Amusa","given":"Ganiyu Adeniyi"},{"family":"Anagnostakis","given":"Filippos"},{"family":"Ananda","given":"Roshan A."},{"family":"Anaraki","given":"Nazanin"},{"family":"Ancuceanu","given":"Robert"},{"family":"Anderlini","given":"Deanna"},{"family":"Anderson","given":"David B."},{"family":"Anh","given":"Nguyen Hoang"},{"family":"Anjorin","given":"Abdul-Azeez Adeyemi"},{"family":"Ankomah","given":"Samuel Egyakwa"},{"family":"Annadurai","given":"Kabilan"},{"family":"Ansari","given":"Sumbul"},{"family":"Ansari-Moghaddam","given":"Alireza"},{"family":"Antony","given":"Catherine M."},{"family":"Antriyandarti","given":"Ernoiz"},{"family":"Anuoluwa","given":"Boluwatife Stephen"},{"family":"Anuoluwa","given":"Iyadunni Adesola"},{"family":"Anvari","given":"Saeid"},{"family":"Anwar","given":"Saleha"},{"family":"Anwar","given":"Sumadi Lukman"},{"family":"Anwer","given":"Razique"},{"family":"Anwer","given":"Shahnawaz"},{"family":"Anyasodor","given":"Anayochukwu Edward"},{"family":"Appiah","given":"Francis"},{"family":"Arab","given":"Juan Pablo"},{"family":"Arabi","given":"Hossein"},{"family":"Arabloo","given":"Jalal"},{"family":"Arafat","given":"Mosab"},{"family":"Araki","given":"Daniel T."},{"family":"Aravkin","given":"Aleksandr Y."},{"family":"Areda","given":"Demelash"},{"family":"Aregu","given":"Getnet Mesfin"},{"family":"Torre","given":"Jorge Arias","dropping-particle":"de la"},{"family":"Arjmand","given":"Ghazal"},{"family":"Armocida","given":"Benedetta"},{"family":"Ärnlöv","given":"Johan"},{"family":"Arockiaraj","given":"Jesu"},{"family":"Arooj","given":"Mahwish"},{"family":"Artamonov","given":"Anton A."},{"family":"Arumugam","given":"Ashokan"},{"family":"Arumuganainar","given":"Deepavalli"},{"family":"Aryal","given":"Umesh Raj"},{"family":"Aryntayeva","given":"Nurila"},{"family":"Anar","given":"Mahsa Asadi"},{"family":"Asaduzzaman","given":"Muhammad"},{"family":"Asdaq","given":"Syed Mohammed Basheeruddin"},{"family":"Asemahagn","given":"Mulusew Andualem A."},{"family":"Asemu","given":"Mulu Tiruneh"},{"family":"Asgary","given":"Saeed"},{"family":"Asghari-Jafarabadi","given":"Mohammad"},{"family":"Ashraf","given":"Syed Amir"},{"family":"Ashraf","given":"Tahira"},{"family":"Ashrafi","given":"Mitra"},{"family":"Ashrafizadeh","given":"Milad"},{"family":"Asiamah-Asare","given":"Bernard Kwadwo Yeboah"},{"family":"Aslani","given":"Saeed"},{"family":"Asri","given":"Yuni"},{"family":"Assembekov","given":"Batyrbek"},{"family":"Athari","given":"Seyyed Shamsadin"},{"family":"Atreya","given":"Alok"},{"family":"Atta","given":"Julie Alaere"},{"family":"Atwan","given":"Zeenah A."},{"family":"Aurangzeb","given":"Khursheed"},{"family":"Ausloos","given":"Marcel"},{"family":"Avan","given":"Abolfazl"},{"family":"Avelar","given":"Núbia Carelli Pereira"},{"family":"Awan","given":"Sana Javaid"},{"family":"Awotidebe","given":"Adedapo Wasiu"},{"family":"Ayana","given":"Lemessa Assefa A."},{"family":"Ayatollahi","given":"Haleh"},{"family":"Ayipo","given":"Yusuf Oloruntoyin"},{"family":"Ayyoubzadeh","given":"Seyed Mohammad"},{"family":"Azadnajafabad","given":"Sina"},{"family":"Azadnia","given":"Arian"},{"family":"Azam","given":"James Mba"},{"family":"Azarboo","given":"Alireza"},{"family":"Azene","given":"Zelalem Nigussie"},{"family":"Azhar","given":"Gulrez Shah"},{"family":"Azimi","given":"Amirali"},{"family":"Azimi","given":"Farya"},{"family":"Aziz","given":"Mohd Yusmaidie"},{"family":"Aziz","given":"Sadat Abdulla"},{"family":"Azizan","given":"Amin"},{"family":"Azzam","given":"Ahmed Y."},{"family":"Babu","given":"Giridhara Rathnaiah"},{"family":"Bae","given":"Youngoh"},{"family":"Bagga","given":"Arvind"},{"family":"Bagheri","given":"Nasser"},{"family":"Bagheri","given":"Sara"},{"family":"Baghizadeh","given":"Elahe"},{"family":"Baghizadeh","given":"Fereshteh"},{"family":"Baghizadeh","given":"Sana"},{"family":"Baghlaf","given":"Khlood K."},{"family":"Bahmanziari","given":"Najmeh"},{"family":"Bai","given":"Ruhai"},{"family":"Baklola","given":"Mohamed Ibrahem"},{"family":"Bako","given":"Abdulaziz T."},{"family":"Balcha","given":"Wondu Feyisa"},{"family":"Balkis","given":"Maher"},{"family":"Balmori-de-la-Miyar","given":"Jose"},{"family":"Hasankhani","given":"Mohammadreza Balooch"},{"family":"Baltatu","given":"Ovidiu Constantin"},{"family":"Bandyopadhyay","given":"Soham"},{"family":"Banik","given":"Palash Chandra"},{"family":"Barengo","given":"Noel C."},{"family":"Barker-Collo","given":"Suzanne Lyn"},{"family":"Barqawi","given":"Hiba Jawdat"},{"family":"Barrow","given":"Amadou"},{"family":"Barteit","given":"Sandra"},{"family":"Barua","given":"Lingkan"},{"family":"Bashar","given":"MD Abu"},{"family":"Bashir","given":"Shahid"},{"family":"Basile","given":"Guido"},{"family":"Basri","given":"Rehana"},{"family":"Bassat","given":"Quique"},{"family":"Bastan","given":"Mohammad-Mahdi"},{"family":"Batiha","given":"Abdul-Monim"},{"family":"Batra","given":"Kavita"},{"family":"Bauckneht","given":"Matteo"},{"family":"Bayat","given":"Mahdis"},{"family":"Tork","given":"Mohammad Amin Bayat"},{"family":"Beaney","given":"Thomas"},{"family":"Bedi","given":"Neeraj"},{"family":"Beeraka","given":"Narasimha M."},{"family":"Beghi","given":"Massimiliano"},{"family":"Behjati","given":"Jina"},{"family":"Bekele","given":"Bezawit K."},{"family":"Belay","given":"Almaz Nibret"},{"family":"Belay","given":"Demeke Mesfin"},{"family":"Belayneh","given":"Asnake Gashaw"},{"family":"Belayneh","given":"Melesse"},{"family":"Belete","given":"Abel Cherkos"},{"family":"Bilgin","given":"Gokce Belge"},{"family":"Bello","given":"Muhammad Bashir"},{"family":"Bello","given":"Olorunjuwon Omolaja"},{"family":"Bello","given":"Umar Muhammad"},{"family":"Belo","given":"Luis"},{"family":"Beloukas","given":"Apostolos"},{"family":"Bendardaf","given":"Riyad"},{"family":"Bensenor","given":"Isabela M."},{"family":"Tune","given":"Samiun Nazrin Bente Kamal"},{"family":"Bergami","given":"Maria"},{"family":"Berhie","given":"Alemshet Yirga"},{"family":"Berihun","given":"Abiye Assefa"},{"family":"Bermudez","given":"Amiel Nazer C."},{"family":"Bernstein","given":"Robert S."},{"family":"Bertolacci","given":"Gregory J."},{"family":"Bertuccio","given":"Paola"},{"family":"Bettencourt","given":"Paulo J. G."},{"family":"Bhadoria","given":"Ajeet Singh"},{"family":"Bhagavathula","given":"Akshaya Srikanth"},{"family":"Bhala","given":"Neeraj"},{"family":"Bhandari","given":"Buna"},{"family":"Bhangdia","given":"Kayleigh"},{"family":"Bhanushali","given":"Charmi"},{"family":"Bhardwaj","given":"Nikha"},{"family":"Bhardwaj","given":"Pankaj"},{"family":"Bhargava","given":"Ashish"},{"family":"Bhaskar","given":"Sonu"},{"family":"Bhat","given":"Anup"},{"family":"Bhattacharjee","given":"Priyadarshini"},{"family":"Bhattacharjee","given":"Shuvarthi"},{"family":"Bhatti","given":"Gurjit Kaur"},{"family":"Bhatti","given":"Jasvinder Singh"},{"family":"Bhuiyan","given":"Mohiuddin Ahmed"},{"family":"Bhutta","given":"Zulfiqar A."},{"family":"Bhuyan","given":"Soumitra S."},{"family":"Bi","given":"Haoran"},{"family":"Biadgilign","given":"Sibhatu Kassa"},{"family":"Bievel-Radulescu","given":"Raluca"},{"family":"Binsaleh","given":"Naif Kandash"},{"family":"Bisignano","given":"Catherine"},{"family":"Biswas","given":"Atanu"},{"family":"Biswas","given":"Bijit"},{"family":"Biswas","given":"Mohammad Shahangir"},{"family":"Bitar","given":"Ahmad Naoras"},{"family":"Bitew","given":"Molalegne"},{"family":"Bizzozero-Peroni","given":"Bruno"},{"family":"Bjørge","given":"Tone"},{"family":"Bodolica","given":"Virginia"},{"family":"Bogale","given":"Eyob Ketema"},{"family":"Bohn","given":"Lucimere"},{"family":"Bolarinwa","given":"Obasanjo Afolabi"},{"family":"Bolourinejad","given":"Paria"},{"family":"Bonny","given":"Aime"},{"family":"Boppana","given":"Sri Harsha"},{"family":"Borhany","given":"Hamed"},{"family":"Borran","given":"Mina"},{"family":"Bose","given":"Sudipta"},{"family":"Bosoka","given":"Samuel Adolf"},{"family":"Carvajal","given":"Alejandro Botero"},{"family":"Boufous","given":"Soufiane"},{"family":"Boxe","given":"Christopher"},{"family":"Braithwaite","given":"Dejana"},{"family":"Brant","given":"Luisa C."},{"family":"Brauer","given":"Michael"},{"family":"Breitborde","given":"Nicholas J. K."},{"family":"Breitner","given":"Susanne"},{"family":"Brenner","given":"Hermann"},{"family":"Brewer","given":"Edmond D."},{"family":"Vega","given":"Maria L. Bringas"},{"family":"Brown","given":"Julie"},{"family":"Browne","given":"Annie J."},{"family":"Brugha","given":"Traolach"},{"family":"Bugiardini","given":"Raffaele"},{"family":"Bulamu","given":"Norma B."},{"family":"Bunare","given":"Tsion Samuel"},{"family":"Buonsenso","given":"Danilo"},{"family":"Burns","given":"Richard A."},{"family":"Busari","given":"Akeem Olayinka"},{"family":"Busch","given":"Felix"},{"family":"Bustanji","given":"Yasser"},{"family":"Butt","given":"Nadeem Shafique"},{"family":"Butt","given":"Zahid A."},{"family":"J","given":"Sanjay C."},{"family":"Cai","given":"Tianji"},{"family":"Cairns","given":"Rose"},{"family":"Barsbay","given":"Mehtap Çakmak"},{"family":"Calina","given":"Daniela"},{"family":"Cámera","given":"Luis Alberto"},{"family":"Campos","given":"Luciana Aparecida"},{"family":"Campos-Nonato","given":"Ismael"},{"family":"Cao","given":"Fan"},{"family":"Cao","given":"Si"},{"family":"Capodici","given":"Angelo"},{"family":"Cárdenas","given":"Rosario"},{"family":"Carreras","given":"Giulia"},{"family":"Carrero","given":"Juan Jesus"},{"family":"Carugno","given":"Andrea"},{"family":"Carvalho","given":"Andre F."},{"family":"Carvalho","given":"Felix"},{"family":"Carvalho","given":"Márcia"},{"family":"Carvalho-e-Silva","given":"Ana Paula"},{"family":"Castaldelli-Maia","given":"Joao Mauricio"},{"family":"Castañeda-Orjuela","given":"Carlos A."},{"family":"Castelpietra","given":"Giulio"},{"family":"Catalá-López","given":"Ferrán"},{"family":"Catapano","given":"Alberico L."},{"family":"Cattaruzza","given":"Maria Sofia"},{"family":"Cegolon","given":"Luca"},{"family":"Cembranel","given":"Francieli"},{"family":"Cenderadewi","given":"Muthia"},{"family":"Cercy","given":"Kelly M."},{"family":"Cerin","given":"Ester"},{"family":"Chacón-Uscamaita","given":"Pamela Roxana"},{"family":"Chakraborty","given":"Chiranjib"},{"family":"Chakraborty","given":"Sandip"},{"family":"Chandan","given":"Joht Singh"},{"family":"Chandika","given":"Rama Mohan"},{"family":"Chandradasa","given":"Miyuru"},{"family":"Chandrasekaran","given":"Baskaran"},{"family":"Chattu","given":"Vijay Kumar"},{"family":"Chatzimavridou-Grigoriadou","given":"Victoria"},{"family":"Chaudhary","given":"Anis Ahmad"},{"family":"Chaudhuri","given":"Sirshendu"},{"family":"Chaurasia","given":"Akhilanand"},{"family":"Chen","given":"An-Tian"},{"family":"Chen","given":"Catherine S."},{"family":"Chen","given":"Guangjin"},{"family":"Chen","given":"Haiyan"},{"family":"Chen","given":"Hana"},{"family":"Chen","given":"Haowei"},{"family":"Chen","given":"Hui"},{"family":"Chen","given":"Rucheng"},{"family":"Chen","given":"Shanquan"},{"family":"Chen","given":"Simiao"},{"family":"Chen","given":"Xiang"},{"family":"Cheng","given":"Haojin"},{"family":"Cheung","given":"Ka Ching"},{"family":"Chew","given":"Nicholas WS"},{"family":"Chi","given":"Gerald"},{"family":"Chichagi","given":"Fatemeh"},{"family":"Chihara","given":"Izumi"},{"family":"Chimed-Ochir","given":"Odgerel"},{"family":"Ching","given":"Patrick R."},{"family":"Chirinos-Caceres","given":"Jesus Lorenzo"},{"family":"Cho","given":"Daniel Youngwhan"},{"family":"Cho","given":"William C. S."},{"family":"Chong","given":"Bryan"},{"family":"Chong","given":"Yuen Yu"},{"family":"Chou","given":"Hou In"},{"family":"Chowdhury","given":"Enayet Karim"},{"family":"Chowdhury","given":"Sreshtha"},{"family":"Christensen","given":"Hanne"},{"family":"Chuang","given":"Ting-Wu"},{"family":"Chukwu","given":"Isaac Sunday"},{"family":"Chung","given":"Erin"},{"family":"Chung","given":"Sheng-Chia"},{"family":"Chung","given":"Sunghyun"},{"family":"Chutiyami","given":"Muhammad"},{"family":"Cicero","given":"Arrigo Francesco Giuseppe"},{"family":"Clark","given":"Cain C. T."},{"family":"Cohen","given":"Fred"},{"family":"Columbus","given":"Alyssa"},{"family":"Conde","given":"Joao"},{"family":"Congly","given":"Stephen E."},{"family":"Conrad","given":"Nathalie"},{"family":"Cooper","given":"Leslie Trumbull"},{"family":"Corlateanu","given":"Alexandru"},{"family":"Cortese","given":"Samuele"},{"family":"Cortesi","given":"Paolo Angelo"},{"family":"Cosma","given":"Claudia"},{"family":"Cousin","given":"Ewerton"},{"family":"Cowart","given":"Emma Johnson"},{"family":"Criqui","given":"Michael H."},{"family":"Crist","given":"Andrew"},{"family":"Cruz","given":"Jessica A."},{"family":"Cruz-Martins","given":"Natalia"},{"family":"Cui","given":"Xiaolin"},{"family":"Culbreth","given":"Garland T."},{"family":"Cullen","given":"Patricia"},{"family":"Cunningham","given":"Matthew"},{"family":"Dababo","given":"Nour"},{"family":"Dabbagh","given":"Ali"},{"family":"Dadras","given":"Omid"},{"family":"Dahiru","given":"Tukur"},{"family":"Dai","given":"Xiaochen"},{"family":"Dai","given":"Zhaoli"},{"family":"Dalakoti","given":"Mayank"},{"family":"Dalal","given":"Koustuv"},{"family":"Costa","given":"Gloria Dalla"},{"family":"D'Amico","given":"Emanuele"},{"family":"Daniel","given":"Roy Arokiam"},{"family":"D'Anna","given":"Lucio"},{"family":"Danpanichkul","given":"Pojsakorn"},{"family":"Danso","given":"Samuel E."},{"family":"Darcho","given":"Samuel Demissie"},{"family":"Dardas","given":"Latefa Ali"},{"family":"Dare","given":"Chengetai"},{"family":"Darouei","given":"Bahar"},{"family":"Soltani","given":"Reza Darvishi Cheshmeh"},{"family":"Das","given":"Sayan Kumar"},{"family":"Dávila-Cervantes","given":"Claudio Alberto"},{"family":"Weaver","given":"Nicole Davis"},{"family":"Davletov","given":"Dimash"},{"family":"Davletov","given":"Kairat"},{"family":"Hoz","given":"Fernando Pio De","dropping-particle":"la"},{"family":"Torre-Luque","given":"Alejandro","dropping-particle":"de la"},{"family":"Dee","given":"Edward Christopher"},{"family":"Deekonda","given":"Sindhura"},{"family":"Deen","given":"Amanda"},{"family":"Degenhardt","given":"Louisa"},{"family":"Dehesh","given":"Paria"},{"family":"Delbari","given":"Pouria"},{"family":"Delgado-Ortiz","given":"Laura"},{"family":"Delsoz","given":"Mohammad"},{"family":"Demetriades","given":"Andreas K."},{"family":"Denova-Gutiérrez","given":"Edgar"},{"family":"Derese","given":"Tadios Niguss"},{"family":"Dergaa","given":"Ismail"},{"family":"Deribe","given":"Kebede"},{"family":"Derseh","given":"Hunegnaw Almaw"},{"family":"Dervenis","given":"Nikolaos"},{"family":"Dervišević","given":"Emina"},{"family":"Desai","given":"Hardik Dineshbhai"},{"family":"Desta","given":"Abraham Aregay"},{"family":"Devanbu","given":"Vinoth Gnana Chellaiyan"},{"family":"Devarakonda","given":"Pradeep Kumar"},{"family":"Dewan","given":"Syed Masudur Rahman"},{"family":"Dhali","given":"Arkadeep"},{"family":"Dhama","given":"Kuldeep"},{"family":"Dharmagadda","given":"Sreedhar"},{"family":"Dhimal","given":"Mandira Lamichhane"},{"family":"Dhimal","given":"Meghnath"},{"family":"Dhungel","given":"Bibha"},{"family":"Pumpo","given":"Marcello Di"},{"family":"Silva","given":"Diana Dias","dropping-particle":"da"},{"family":"Diaz","given":"Daniel"},{"family":"Diaz","given":"Luis Antonio"},{"family":"Didehvar","given":"Kimia"},{"family":"Dilipan","given":"Elangovan"},{"family":"Dillard","given":"Lauren K."},{"family":"Ding","given":"Xueting"},{"family":"Doaei","given":"Saeid"},{"family":"Dohare","given":"Sushil"},{"family":"Dokova","given":"Klara Georgieva"},{"family":"D'Oria","given":"Mario"},{"family":"Dorostkar","given":"Fariba"},{"family":"Dorsey","given":"E. Ray"},{"family":"Doshi","given":"Ojas Prakashbhai"},{"family":"Doshmangir","given":"Leila"},{"family":"Dowou","given":"Robert Kokou"},{"family":"Dresse","given":"Menayit Tamrat"},{"family":"Driscoll","given":"Tim Robert"},{"family":"Dsouza","given":"Ashel Chelsea"},{"family":"Du","given":"Jiang"},{"family":"Dube","given":"John"},{"family":"Dubno","given":"Judy R."},{"family":"Dumbili","given":"Emeka W."},{"family":"Dumith","given":"Samuel C."},{"family":"Duncan","given":"Bruce B."},{"family":"Duraes","given":"Andre Rodrigues"},{"family":"Durojaiye","given":"Oyewole Christopher"},{"family":"Dutta","given":"Ashit Kumar"},{"family":"Dutta","given":"Siddhartha"},{"family":"Dutta","given":"Sulagna"},{"family":"Ebohon","given":"Osamudiamen"},{"family":"Eboreime","given":"Ejemai"},{"family":"Ebraheim","given":"Lamiaa Labieb Mahmoud"},{"family":"Ebrahimi","given":"Alireza"},{"family":"Ebrahimi","given":"Mohammad Hossein"},{"family":"Ed-Dra","given":"Abdelaziz"},{"family":"Edvardsson","given":"David"},{"family":"Efendi","given":"Ferry"},{"family":"Eftekhari","given":"Behrad"},{"family":"Eghbali","given":"Foolad"},{"family":"Sedeh","given":"Ashkan Eighaei"},{"family":"Eikemo","given":"Terje Andreas"},{"family":"Eini","given":"Ebrahim"},{"family":"Ekholuenetale","given":"Michael"},{"family":"Ekundayo","given":"Temitope Cyrus"},{"family":"Arab","given":"Rabie Adel El"},{"family":"Omri","given":"Abdelfatteh EL"},{"family":"Zaki","given":"Maysaa El Sayed"},{"family":"Eladl","given":"Mohamed Ahmed"},{"family":"Elahi","given":"Reza"},{"family":"El-Ashker","given":"Said"},{"family":"Elbeshbeishy","given":"Rana"},{"family":"Elemam","given":"Noha Mousaad"},{"family":"ElGohary","given":"Ghada Metwally Tawfik"},{"family":"Elhadi","given":"Muhammed"},{"family":"Elhoumed","given":"Mohamed"},{"family":"El-Huneidi","given":"Waseem"},{"family":"Elmeligy","given":"Omar Abdelsadek Abdou"},{"family":"Elmonem","given":"Mohamed A."},{"family":"Elmorsi","given":"Rami"},{"family":"Elnaem","given":"Mohamed Hassan"},{"family":"ELNahas","given":"Gihan"},{"family":"Elshaer","given":"Mohammed"},{"family":"Elsohaby","given":"Ibrahim"},{"family":"Eltahawy","given":"Abdelgawad Salah"},{"family":"Emagneneh","given":"Tadele"},{"family":"Endriyas","given":"Misganu"},{"family":"Erkhembayar","given":"Ryenchindorj"},{"family":"Esezobor","given":"Christopher Imokhuede"},{"family":"Eshetu","given":"Derese"},{"family":"Eslami","given":"Majid"},{"family":"Eslami","given":"Narges"},{"family":"Santo","given":"Rafaela Cavalheiro do Espírito"},{"family":"Estep","given":"Kara"},{"family":"Eyawo","given":"Oghenowede"},{"family":"Eze","given":"Ugochukwu Anthony"},{"family":"Ezenwankwo","given":"Elochukwu"},{"family":"Fadavian","given":"Heidar"},{"family":"Fagbamigbe","given":"Adeniyi Francis"},{"family":"Fagbule","given":"Omotayo Francis"},{"family":"Fahim","given":"Ayesha"},{"family":"Fahimi","given":"Saman"},{"family":"Fahira","given":"Aamir"},{"family":"Fakhradiyev","given":"Ildar Ravisovich"},{"family":"Fakhri-Demeshghieh","given":"Aliasghar"},{"family":"Falzone","given":"Luca"},{"family":"Fan","given":"Qiping"},{"family":"Farahmand","given":"Mohammad"},{"family":"Faramarzi","given":"Ali"},{"family":"Fareed","given":"Mohammad"},{"family":"Farhana","given":"Zaki"},{"family":"Faria","given":"Liliana"},{"family":"Farinha","given":"Carla Sofia e Sá"},{"family":"Faris","given":"MoezAlIslam Ezzat Mahmoud"},{"family":"Faro","given":"Andre"},{"family":"Farooq","given":"Syed Muhammad Yousaf"},{"family":"Farrokhpour","given":"Hossein"},{"family":"Farshad","given":"Fatemeh"},{"family":"Farsi","given":"Farima"},{"family":"Fasina","given":"Folorunso Oludayo"},{"family":"Fasina","given":"Modupe Margaret"},{"family":"Fatehizadeh","given":"Ali"},{"family":"Fathi","given":"Davood"},{"family":"Fatima","given":"Zareen"},{"family":"Fayaz","given":"Mohammad"},{"family":"Fazeli","given":"Pooria"},{"family":"Feigin","given":"Valery L."},{"family":"Feizkhah","given":"Alireza"},{"family":"Fekadu","given":"Gelana"},{"family":"Fekadu","given":"Ginenus"},{"family":"Femoe","given":"Ulrich Membe"},{"family":"Ferdous","given":"Talukdar Raian"},{"family":"Fereshtehnejad","given":"Seyed-Mohammad"},{"family":"Fernandez-Jimenez","given":"Rodrigo"},{"family":"Ferrara","given":"Pietro"},{"family":"Ferrari","given":"Alize J."},{"family":"Ferreira","given":"Nuno"},{"family":"Fetensa","given":"Getahun"},{"family":"Feyisa","given":"Bikila Regassa"},{"family":"Finnemore","given":"Alexander"},{"family":"Fiorilla","given":"Claudio"},{"family":"Fischer","given":"Florian"},{"family":"Fitriana","given":"Ida"},{"family":"Fogacci","given":"Federica"},{"family":"Folayan","given":"Morenike Oluwatoyin"},{"family":"Fomenkov","given":"Artem Alekseevich"},{"family":"Fonzo","given":"Marco"},{"family":"Force","given":"Lisa M."},{"family":"Fortuna","given":"Daniela"},{"family":"Foschi","given":"Matteo"},{"family":"Fotouhi","given":"Maryam"},{"family":"Fowobaje","given":"Kayode Raphael"},{"family":"Franklin","given":"Richard Charles"},{"family":"Freitas","given":"Alberto"},{"family":"Fu","given":"Jinming"},{"family":"Fukumoto","given":"Takeshi"},{"family":"Fukunaga","given":"Ami"},{"family":"Fuller","given":"John E."},{"family":"G","given":"Sridevi"},{"family":"Gaal","given":"Peter Andras"},{"family":"Gadanya","given":"Muktar A."},{"family":"Gadeka","given":"Dominic Dormenyo"},{"family":"Gafane-Matemane","given":"Lebo Francina"},{"family":"Gajdács","given":"Márió"},{"family":"Galali","given":"Yaseen"},{"family":"Galiyeva","given":"Dinara"},{"family":"Gallus","given":"Silvano"},{"family":"Ganapathy","given":"Dhanraj"},{"family":"Ganesan","given":"Balasankar"},{"family":"Gangachannaiah","given":"Shivaprakash"},{"family":"Gao","given":"Xiang"},{"family":"Gao","given":"Yijie"},{"family":"Garba","given":"Bashiru"},{"family":"Garcia-Argibay","given":"Miguel"},{"family":"Garcia-Azorin","given":"David"},{"family":"Gardner","given":"William M."},{"family":"Espinoza","given":"Wendy Paola Gastélum"},{"family":"Gatzioufas","given":"Zisis"},{"family":"Gautam","given":"Prem"},{"family":"Gautam","given":"Rupesh K."},{"family":"Gaye","given":"Bamba"},{"family":"Ge","given":"Hong-Han"},{"family":"Gebre","given":"Feven Sahle"},{"family":"Gebregergis","given":"Miglas Welay"},{"family":"Gebrehiwot","given":"Mesfin"},{"family":"Gelchu","given":"Miesa"},{"family":"Gelibter","given":"Stefano"},{"family":"George","given":"Nsikakabasi Samuel"},{"family":"Getacher","given":"Lemma"},{"family":"Getahun","given":"Genanew K."},{"family":"Gete","given":"Kalab Yigermal"},{"family":"Gething","given":"Peter W."},{"family":"Ghadiri","given":"Keyghobad"},{"family":"Ghadirian","given":"Fataneh"},{"family":"Jolfayi","given":"Amir Ghaffari"},{"family":"Ghamkhar","given":"Arin"},{"family":"Assl","given":"Shakiba Ghasemi"},{"family":"Ghassemi","given":"Fariba"},{"family":"Ghazy","given":"Ramy Mohamed"},{"family":"Ghoba","given":"Sama"},{"family":"Gholamalizadeh","given":"Maryam"},{"family":"Gholami","given":"Zainab"},{"family":"Gholizadeh","given":"Nasim"},{"family":"Ghorbani","given":"Zeinab"},{"family":"Ghotbi","given":"Elena"},{"family":"Ghuge","given":"Arun"},{"family":"Gialluisi","given":"Alessandro"},{"family":"Giannakis","given":"Konstantinos"},{"family":"Gilani","given":"Syed Abdullah"},{"family":"Gill","given":"Tiffany K."},{"family":"Giri","given":"Bikash Ranjan"},{"family":"Girmay","given":"Alem Abera"},{"family":"Girombelli","given":"Alessandro"},{"family":"Göbölös","given":"Laszlo"},{"family":"Goel","given":"Anil Kumar"},{"family":"Goel","given":"Archit"},{"family":"Goel","given":"Rajesh Kumar"},{"family":"Goh","given":"Lay Hoon"},{"family":"Gohari","given":"Kimiya"},{"family":"Golechha","given":"Mahaveer"},{"family":"Golestani","given":"Ali"},{"family":"Golinelli","given":"Davide"},{"family":"Golmohammadi","given":"Melika"},{"family":"Gong","given":"Wenping"},{"family":"Goulart","given":"Alessandra C."},{"family":"Grada","given":"Ayman"},{"family":"Graham","given":"Simon Matthew"},{"family":"Grivna","given":"Michal"},{"family":"Guan","given":"Shi-Yang"},{"family":"Guarducci","given":"Giovanni"},{"family":"Gubari","given":"Mohammed Ibrahim Mohialdeen"},{"family":"Gudeta","given":"Mesay Dechasa"},{"family":"Guha","given":"Avirup"},{"family":"Guicciardi","given":"Stefano"},{"family":"Gulati","given":"Sheffali"},{"family":"Gunturu","given":"Sasidhar"},{"family":"Guo","given":"Cui"},{"family":"Guo","given":"Xingzhi"},{"family":"Guo","given":"Zhaoyu"},{"family":"Guo","given":"Zhifeng"},{"family":"Gupta","given":"Bhawna"},{"family":"Gupta","given":"Gaurav"},{"family":"Gupta","given":"Lalit"},{"family":"Gupta","given":"Rajeev"},{"family":"Gutiérrez","given":"Reyna Alma"},{"family":"Gutiérrez-Murillo","given":"Roberth Steven"},{"family":"Guzman-Esquivel","given":"Jose"},{"family":"Habteyes","given":"Abrham Tesfaye"},{"family":"Habteyohannes","given":"Awoke Derbie"},{"family":"Hadaro","given":"Tesfahun Simon"},{"family":"Hadi","given":"Najah R."},{"family":"Hadian","given":"Zahra"},{"family":"Hafiz","given":"Abdul"},{"family":"Hafsia","given":"Sarah"},{"family":"Haghdoost","given":"Faraidoon"},{"family":"Haghtalab","given":"Arian"},{"family":"Nam","given":"Nguyen Hai"},{"family":"Haile","given":"Addisalem"},{"family":"Haile","given":"Demewoz"},{"family":"Halder","given":"Pritam"},{"family":"Haller","given":"Sebastian"},{"family":"Halwani","given":"Rabih"},{"family":"Aziz","given":"Kosar Hikmat Hama"},{"family":"Hamad","given":"Islam M."},{"family":"Hamadeh","given":"Randah R."},{"family":"Hamidi","given":"Samer"},{"family":"Hamilton","given":"Erin B."},{"family":"Hammoud","given":"Ahmad"},{"family":"Han","given":"Chieh"},{"family":"Han","given":"Hannah"},{"family":"Hanif","given":"Asif"},{"family":"Hanifi","given":"Nasrin"},{"family":"Hankey","given":"Graeme J."},{"family":"Hanna","given":"Fahad"},{"family":"Haque","given":"Ashanul"},{"family":"Haque","given":"Md Nuruzzaman"},{"family":"Haque","given":"Obaid I."},{"family":"Hargono","given":"Arief"},{"family":"Hariandja","given":"Andy Martahan Andreas"},{"family":"Haro","given":"Josep Maria"},{"family":"Harris","given":"Ashley Ann"},{"family":"Hasaballah","given":"Ahmed I."},{"family":"Hasan","given":"Faizul"},{"family":"Hasan","given":"Md Kamrul"},{"family":"Hasan","given":"Towhid"},{"family":"Hasani","given":"Hamidreza"},{"family":"Dehkordi","given":"Ali Hasanpour-"},{"family":"Hashempur","given":"Mohammad Hashem"},{"family":"Hashim","given":"Nada Tawfig"},{"family":"Hasnain","given":"Ammarah"},{"family":"Hassan","given":"Abbas M."},{"family":"Hassan","given":"Amr"},{"family":"Hassan","given":"Ibrahim Nagmeldin"},{"family":"Hassan","given":"Ikrama"},{"family":"Hassan","given":"Nageeb"},{"family":"Ahmed","given":"Omed Hassan"},{"family":"Wada","given":"Yusuf Hassan"},{"family":"Tabatabaei","given":"Mahgol Sadat Hassan Zadeh"},{"family":"Hassanipour","given":"Soheil"},{"family":"Hathagoda","given":"Lasanthi Wathsala"},{"family":"Haubold","given":"Johannes"},{"family":"Havmoeller","given":"Rasmus J."},{"family":"Hay","given":"Simon I."},{"family":"Hbid","given":"Youssef"},{"family":"He","given":"Jiawei"},{"family":"Hebert","given":"Jeffrey J."},{"family":"Heidari","given":"Golnaz"},{"family":"Heidari","given":"Mohammad"},{"family":"Heydari","given":"Mojtaba"},{"family":"Hezam","given":"Kamal"},{"family":"Hiraike","given":"Yuta"},{"family":"Horita","given":"Nobuyuki"},{"family":"Hossain","given":"Alamgir"},{"family":"Hossain","given":"Lubna"},{"family":"Hossain","given":"Md Belal"},{"family":"Hossain","given":"Md Mahbub"},{"family":"Hossain","given":"Md Sabbir"},{"family":"Hossain","given":"Mohammad Bellal"},{"family":"Hosseini","given":"Fatemeh Sadat"},{"family":"Hosseinzadeh","given":"Mehdi"},{"family":"Hostiuc","given":"Mihaela"},{"family":"Hostiuc","given":"Sorin"},{"family":"Hotez","given":"Peter J."},{"family":"Hotwani","given":"Priya"},{"family":"Hoven","given":"Hanno"},{"family":"Hu","given":"Chengxi"},{"family":"Hu","given":"Yifei"},{"family":"Huang","given":"Junjie"},{"family":"Huang","given":"Weijun"},{"family":"Huang","given":"Yefei"},{"family":"Huang","given":"Yuting"},{"family":"Huang","given":"Zhenyao"},{"family":"Huda","given":"Mega Hasanul"},{"family":"Humayun","given":"Ayesha"},{"family":"Husain","given":"Waqar"},{"family":"Hushmandi","given":"Kiavash"},{"family":"Hussain","given":"Javid"},{"family":"Hussein","given":"Nawfal R."},{"family":"Husseiny","given":"Mohamed Ibrahim"},{"family":"Iannone","given":"Luigi Francesco"},{"family":"Ibitoye","given":"Segun Emmanuel"},{"family":"Ibrahim","given":"Khalid S."},{"family":"Ibrahim","given":"Ramzi"},{"family":"Ibrahim","given":"Reem"},{"family":"Ibrahim","given":"Umar Idris"},{"family":"Ibrayeva","given":"Anel"},{"family":"Ida","given":"Fidelia"},{"family":"Ikuta","given":"Kevin S."},{"family":"Ilesanmi","given":"Olayinka Stephen"},{"family":"Ilic","given":"Irena M."},{"family":"Ilic","given":"Milena D."},{"family":"Ilyas","given":"Muhammad Hamza"},{"family":"Imam","given":"Mohammad Tarique"},{"family":"Imani","given":"Masoud"},{"family":"Imoh","given":"Lucius Chidiebere"},{"family":"Inok","given":"Arit"},{"family":"Iqbal","given":"Meesha"},{"family":"Iqbal","given":"Mujahid"},{"family":"Irham","given":"Lalu Muhammad"},{"family":"Isa","given":"Mustafa Alhaji"},{"family":"Iskandar","given":"Benni"},{"family":"Iskander","given":"Teresa R."},{"family":"Islam","given":"Md Rabiul"},{"family":"Islam","given":"Md Shahinul"},{"family":"Islam","given":"Md Shariful"},{"family":"Islam","given":"Sheikh Mohammed Shariful"},{"family":"Islami","given":"Farhad"},{"family":"Ismail","given":"Faisal"},{"family":"Ismail","given":"Nahlah Elkudssiah"},{"family":"Ismoldayev","given":"Yerlan"},{"family":"Isola","given":"Gaetano"},{"family":"Iwagami","given":"Masao"},{"family":"Iyamu","given":"Ihoghosa Osamuyi"},{"family":"J","given":"Vinothini"},{"family":"Jaafari","given":"Jalil"},{"family":"Jacob","given":"Louis"},{"family":"Jacobsen","given":"Kathryn H."},{"family":"Jadidi","given":"Ali"},{"family":"Jadidi-Niaragh","given":"Farhad"},{"family":"Jafari","given":"Mohammadsadegh"},{"family":"Jafarinia","given":"Morteza"},{"family":"Jafarzadeh","given":"Abdollah"},{"family":"Jaffar","given":"Shabbar"},{"family":"Jahrami","given":"Haitham"},{"family":"Jairoun","given":"Ammar Abdulrahman"},{"family":"Jaiswal","given":"Vikash"},{"family":"Jaka","given":"Sanobar"},{"family":"Jakovljevic","given":"Mihajlo"},{"family":"Yengejeh","given":"Reza Jalilzadeh"},{"family":"Jalloh","given":"Mohamed"},{"family":"Jamal","given":"Armaan"},{"family":"Jamal","given":"Qazi Mohammad Sajid"},{"family":"Jamaluddin","given":"Jazlan"},{"family":"James","given":"Jerin"},{"family":"Jamil","given":"Hasan"},{"family":"Jamil","given":"Safayet"},{"family":"Jamora","given":"Roland Dominic G."},{"family":"Jamshidi","given":"Masoud"},{"family":"JamshidiRastabi","given":"Shaghayegh"},{"family":"Janardhanan","given":"Rajiv"},{"family":"Jani","given":"Chinmay T."},{"family":"Jarrahi","given":"Esmaeil"},{"family":"Javaheri","given":"Tahereh"},{"family":"Javaid","given":"Syed Sarmad"},{"family":"Javanmardi","given":"Anita"},{"family":"Javidnia","given":"Javad"},{"family":"Jawaid","given":"Talha"},{"family":"Abed","given":"Qassim Jawell Odah"},{"family":"Jayapal","given":"Sathish Kumar"},{"family":"Jayaram","given":"Shubha"},{"family":"Jayasinghe","given":"Ruwan Duminda"},{"family":"Jayasinghe","given":"Yovanthi Anurangi"},{"family":"Jee","given":"Sun Ha"},{"family":"Jeganathan","given":"Jayakumar"},{"family":"Jena","given":"Diptismita"},{"family":"Jeong","given":"Seogsong"},{"family":"Jeswani","given":"Bijay Mukesh"},{"family":"Jha","given":"Vivekanand"},{"family":"Ji","given":"John S."},{"family":"Jiang","given":"Min"},{"family":"Jin","given":"Wenyi"},{"family":"Jomehzadeh","given":"Nabi"},{"family":"Jonas","given":"Jost B."},{"family":"Joo","given":"Tamas"},{"family":"Jor","given":"Abu"},{"family":"Joseph","given":"Abel"},{"family":"Joseph","given":"Nitin"},{"family":"Joshi","given":"Meha"},{"family":"Joy","given":"George"},{"family":"Jozwiak","given":"Jacek Jerzy"},{"family":"Jürisson","given":"Mikk"},{"family":"K","given":"Vaishali"},{"family":"Kaambwa","given":"Billingsley"},{"family":"Kabir","given":"Ali"},{"family":"Kabir","given":"Zubair"},{"family":"Kadel","given":"Rajendra"},{"family":"Kadir","given":"Dler H. Hussein"},{"family":"Kakkar","given":"Ashish Kumar"},{"family":"Kakodkar","given":"Pradnya Vishal"},{"family":"Kalani","given":"Rizwan"},{"family":"Kalavani","given":"Khalil"},{"family":"Kaliyadan","given":"Feroze"},{"family":"Kalra","given":"Sanjay"},{"family":"Kamal","given":"Md Moustafa"},{"family":"Kamal","given":"Mehnaz"},{"family":"Kamarajah","given":"Sivesh Kathir"},{"family":"Kamath","given":"Rajesh"},{"family":"Kamenova","given":"Saltanat"},{"family":"Kamireddy","given":"Arun"},{"family":"Kamorudeen","given":"Ramat T."},{"family":"Kamtam","given":"Devanish Narasimhasanth"},{"family":"Kamyari","given":"Naser"},{"family":"Kamyshnyi","given":"Oleksandr"},{"family":"Kanaan","given":"Mona"},{"family":"Kanaan","given":"Saddam Fuad"},{"family":"Kang","given":"Jiseung"},{"family":"Kanmodi","given":"Kehinde Kazeem"},{"family":"S","given":"Suthanthira Kannan"},{"family":"Kantar","given":"Rami S."},{"family":"Kar","given":"Debasish"},{"family":"Kar","given":"Sujita Kumar"},{"family":"Karakasis","given":"Paschalis"},{"family":"Karami","given":"Jafar"},{"family":"Karasneh","given":"Reema A."},{"family":"Karimi","given":"Mohammad Amin"},{"family":"Karimi","given":"Salah Eddin"},{"family":"Behnagh","given":"Arman Karimi"},{"family":"Karobari","given":"Mohmed Isaqali"},{"family":"Karpiński","given":"Tomasz M."},{"family":"Katamreddy","given":"Adarsh"},{"family":"Kauppila","given":"Joonas H."},{"family":"Kaushal","given":"Kanica"},{"family":"Kazemi","given":"Foad"},{"family":"Rad","given":"Nastaran Kazemi"},{"family":"Kazemian","given":"Sina"},{"family":"Kebede","given":"Hafte Kahsay"},{"family":"Kebede","given":"Yabets Tesfaye"},{"family":"Keflie","given":"Tibebeselassie S."},{"family":"Kempegowda","given":"Swetha N."},{"family":"Kerai","given":"Salima"},{"family":"Kerr","given":"Jessica A."},{"family":"Keshri","given":"Vikash Ranjan"},{"family":"Keshtkar","given":"Kamyab"},{"family":"Kesse-Guyot","given":"Emmanuelle"},{"family":"Khademi","given":"Reza"},{"family":"Khader","given":"Yousef Saleh"},{"family":"Khalid","given":"Sidra"},{"family":"Khalifa","given":"Hazim O."},{"family":"Khalifeh","given":"Anas Husam"},{"family":"Khalil","given":"Anees Ahmed"},{"family":"Khalili","given":"Anita"},{"family":"Khalili","given":"Pantea"},{"family":"Khalilian","given":"Alireza"},{"family":"Khalili-Tanha","given":"Ghazaleh"},{"family":"Khalis","given":"Mohamed"},{"family":"Khamesipour","given":"Faham"},{"family":"Khan","given":"Ajmal"},{"family":"Khan","given":"Fayaz"},{"family":"Khan","given":"Gulfaraz"},{"family":"Khan","given":"Iman Waheed"},{"family":"Khan","given":"Maseer"},{"family":"Khan","given":"Md Abdullah Saeed"},{"family":"Khan","given":"Mohammad Jobair"},{"family":"Khan","given":"Muhammad Hamza"},{"family":"Khan","given":"Muhammad Mueed"},{"family":"Khan","given":"Muhammad Umair"},{"family":"Khan","given":"Muhammad Umer"},{"family":"Khan","given":"Salman Ali"},{"family":"Khan","given":"Serab"},{"family":"Khan","given":"Sumaiya"},{"family":"Khan","given":"Ubaid"},{"family":"Khan","given":"Yusuf Saleem"},{"family":"Khan","given":"Zahid"},{"family":"Khanal","given":"Vishnu"},{"family":"Khanmohammadi","given":"Shaghayegh"},{"family":"Khasbage","given":"Sameer Uttamaro"},{"family":"Khashim","given":"Zenith"},{"family":"Khatab","given":"Khaled"},{"family":"Khatatbeh","given":"Haitham"},{"family":"Khatatbeh","given":"Moawiah Mohammad"},{"family":"Khatib","given":"Mahalaqua Nazli"},{"family":"Khatri","given":"Kavin"},{"family":"Kashani","given":"Hamid Reza Khayat"},{"family":"Kheirallah","given":"Khalid A."},{"family":"Khokhar","given":"Sunil Kumar"},{"family":"Khoshnaw","given":"Najmaddin Salih Husen"},{"family":"Khosla","given":"Atulya Aman"},{"family":"Khosravi","given":"Ardeshir"},{"family":"Khosravi","given":"Farbod"},{"family":"Khosravi","given":"Sepehr"},{"family":"Khosrowjerdi","given":"Mahmood"},{"family":"Khuman","given":"P. Ratan"},{"family":"Kifle","given":"Zemene Demelash"},{"family":"Kim","given":"Hye Jun"},{"family":"Kim","given":"Jinho"},{"family":"Kim","given":"Kwanghyun"},{"family":"Kim","given":"Min Seo"},{"family":"Kim","given":"Yun Jin"},{"family":"Kimokoti","given":"Ruth W."},{"family":"Kinati","given":"Tadele"},{"family":"Kinfu","given":"Yohannes"},{"family":"B","given":"Sanjay Kini"},{"family":"Kirk","given":"Mary"},{"family":"Kisa","given":"Adnan"},{"family":"Kisa","given":"Sezer"},{"family":"Kissimova-Skarbek","given":"Katarzyna"},{"family":"Kitaw","given":"Tegene Atamenta"},{"family":"Kivimäki","given":"Mika"},{"family":"Km","given":"Abdul Basith"},{"family":"Km","given":"Shivakumar"},{"family":"Knudsen","given":"Ann Kristin Skrindo"},{"family":"Kobyliak","given":"Nazarii"},{"family":"Kocarnik","given":"Jonathan M."},{"family":"Kochhar","given":"Sonali"},{"family":"Kodali","given":"Prakash Babu"},{"family":"Kokkorakis","given":"Michail"},{"family":"Kolahi","given":"Ali-Asghar"},{"family":"Tcheumeni","given":"Diana Gladys Kolieghu"},{"family":"Kolves","given":"Kairi"},{"family":"Komesuor","given":"Joyce"},{"family":"Kompani","given":"Farzad"},{"family":"Kondybayeva","given":"Aida"},{"family":"Koomson","given":"Isaac"},{"family":"Koren","given":"Gerbrand"},{"family":"Kormoker","given":"Tapos"},{"family":"Korshunov","given":"Vladimir Andreevich"},{"family":"Korzh","given":"Oleksii"},{"family":"Kosen","given":"Soewarta"},{"family":"Kostev","given":"Karel"},{"family":"Koul","given":"Parvaiz A."},{"family":"Kretchy","given":"Irene Akwo"},{"family":"Kretchy","given":"James-Paul"},{"family":"Krishan","given":"Kewal"},{"family":"Kua","given":"Chong-Han"},{"family":"Kuanar","given":"Ananya"},{"family":"Defo","given":"Barthelemy Kuate"},{"family":"Kuddus","given":"Mohammed"},{"family":"Kuitunen","given":"Ilari"},{"family":"Kulimbet","given":"Mukhtar"},{"family":"Kulshreshtha","given":"Shweta"},{"family":"Kumar","given":"Dewesh"},{"family":"Kumar","given":"Dhasarathi"},{"family":"Kumar","given":"Jogender"},{"family":"Kumar","given":"Kamal"},{"family":"Kumar","given":"Mukesh"},{"family":"Kumar","given":"Nitesh"},{"family":"Kumar","given":"Nithin"},{"family":"Kumar","given":"Tarun"},{"family":"Kumar","given":"Tushar"},{"family":"Kumar","given":"Vijay"},{"family":"Kumar","given":"Vikash"},{"family":"Kumaran","given":"Subramanian"},{"family":"Kunjavara","given":"Jibin"},{"family":"Kunutsor","given":"Setor K."},{"family":"Kurmanova","given":"Almagul"},{"family":"Kurmi","given":"Om P."},{"family":"Kurniasari","given":"Maria Dyah"},{"family":"Kurpad","given":"Krishna Prasad"},{"family":"Kusnali","given":"Asep"},{"family":"Kustanti","given":"Christina Yeni"},{"family":"Kusuma","given":"Dian"},{"family":"Kutluk","given":"Tezer"},{"family":"Kuttybayev","given":"Assylkhan"},{"family":"Kyei","given":"Evans F."},{"family":"Kyei","given":"Grace Kwakyewaa"},{"family":"Kyei-Arthur","given":"Frank"},{"family":"Kytö","given":"Ville"},{"family":"C","given":"Pallavi L."},{"family":"Vecchia","given":"Adriano La"},{"family":"Vecchia","given":"Carlo La"},{"family":"Lachi","given":"Alessio"},{"family":"Ladan","given":"Muhammad Awwal"},{"family":"Lagat","given":"Abraham K."},{"family":"Lahariya","given":"Chandrakant"},{"family":"Lai","given":"Daphne Teck Ching"},{"family":"Lakanova","given":"Balzhan"},{"family":"Lakhani","given":"Anita"},{"family":"Lallukka","given":"Tea"},{"family":"Lám","given":"Judit"},{"family":"Landires","given":"Iván"},{"family":"Langguth","given":"Berthold"},{"family":"Laplante-Lévesque","given":"Ariane"},{"family":"Lara-Castor","given":"Laura"},{"family":"Lasrado","given":"Savita"},{"family":"Latief","given":"Kamaluddin"},{"family":"Latif","given":"Areeba"},{"family":"Latif","given":"Mahrukh"},{"family":"Lau","given":"Jerrald"},{"family":"Lauriola","given":"Paolo"},{"family":"Lawan","given":"Aliyu"},{"family":"Lawanson","given":"Teniola"},{"family":"Lawford","given":"Harriet L. S."},{"family":"Lazarus","given":"Eilean Rathinasamy"},{"family":"Le","given":"Dai Quang"},{"family":"Le","given":"Duc Tin"},{"family":"Le","given":"Thao Thi Thu"},{"family":"Ledda","given":"Caterina"},{"family":"Lee","given":"Ivan"},{"family":"Lee","given":"Paul H."},{"family":"Lee","given":"Seung Won"},{"family":"Lee","given":"Yo Han"},{"family":"Leigh","given":"James"},{"family":"Leivaditis","given":"Vasileios"},{"family":"Lennon","given":"Matthew J."},{"family":"Leonardi","given":"Matilde"},{"family":"Leong","given":"Elvynna"},{"family":"Letafatkar","given":"Negin"},{"family":"Li","given":"Chengfeng"},{"family":"Li","given":"Hui"},{"family":"Li","given":"Jiaying"},{"family":"Li","given":"Jie"},{"family":"Li","given":"Ming-Chieh"},{"family":"Li","given":"Si"},{"family":"Li","given":"Wei"},{"family":"Li","given":"Weilong"},{"family":"Li","given":"Zhaolong Adrian"},{"family":"Li","given":"Zhengrui"},{"family":"Lian","given":"Yanxue"},{"family":"Liao","given":"Chen"},{"family":"Lim","given":"Stephen S."},{"family":"Lin","given":"Jialing"},{"family":"Lin","given":"Queran"},{"family":"Lin","given":"Shuzhi"},{"family":"Lindholm","given":"Daniel"},{"family":"Linehan","given":"Christine"},{"family":"Ling","given":"Yuewei"},{"family":"Linn","given":"Shai"},{"family":"Liu","given":"Haipeng"},{"family":"Liu","given":"Jue"},{"family":"Liu","given":"Xianliang"},{"family":"Liu","given":"Xiaofeng"},{"family":"Liu","given":"Xuefeng"},{"family":"Liu","given":"Zhe"},{"family":"Liu","given":"Zhenyu"},{"family":"Llanaj","given":"Erand"},{"family":"Loftus","given":"Michael J."},{"family":"Lohner","given":"Valerie"},{"family":"López-Gil","given":"José Francisco"},{"family":"Lopukhov","given":"Platon D."},{"family":"Lorkowski","given":"Stefan"},{"family":"Lozano","given":"Rafael"},{"family":"Luan","given":"Shanjie"},{"family":"Lubinda","given":"Jailos"},{"family":"Lucas","given":"Taraneh"},{"family":"Lucchetti","given":"Giancarlo"},{"family":"Lugo","given":"Alessandra"},{"family":"Lunevicius","given":"Raimundas"},{"family":"Luo","given":"Huaxia"},{"family":"Luo","given":"Lisha"},{"family":"Luo","given":"Susu"},{"family":"Lv","given":"Lei"},{"family":"Lytras","given":"Miltiadis D."},{"family":"Lytvyak","given":"Ellina"},{"family":"Ma","given":"Kevin Sheng-Kai"},{"family":"Ma","given":"Zheng Feei"},{"family":"Maalman","given":"Raymond Saa-Eru"},{"family":"Maass","given":"Kelsey Lynn"},{"family":"Mabrok","given":"Mahmoud"},{"family":"Machairas","given":"Nikolaos"},{"family":"Machoy","given":"Monika"},{"family":"Madinezad","given":"Seyed Ataollah"},{"family":"Madureira-Carvalho","given":"Aurea Marilia"},{"family":"Maffia","given":"Pasquale"},{"family":"Mahalingam","given":"Sasikumar"},{"family":"Mahamed","given":"Samatar Abshir"},{"family":"Mahmood","given":"Nozad Hussein"},{"family":"Mahmood","given":"Shakeel Ahmed Ibne"},{"family":"Mahmoudi","given":"Alireza"},{"family":"Mai","given":"My Tra"},{"family":"Xuan","given":"Hao Mai"},{"family":"Maiti","given":"Rituparna"},{"family":"Majdan","given":"Marek"},{"family":"Makram","given":"Abdelrahman M."},{"family":"Makram","given":"Omar M."},{"family":"Malekpour","given":"Mohammad-Reza"},{"family":"Malekzadeh","given":"Reza"},{"family":"Malhotra","given":"Hardeep Singh"},{"family":"Malik","given":"Ahmad Azam"},{"family":"Malik","given":"Farihah"},{"family":"Malta","given":"Deborah Carvalho"},{"family":"Mangdow","given":"Mustapha"},{"family":"Manikkath","given":"Jyothsna"},{"family":"Manla","given":"Yosef"},{"family":"Mannan","given":"Fahmida"},{"family":"Mansoor","given":"Farheen"},{"family":"Mansourian","given":"Marjan"},{"family":"Mansournia","given":"Mohammad Ali"},{"family":"Mantovani","given":"Lorenzo Giovanni"},{"family":"Mao","given":"Changkun"},{"family":"Maqbool","given":"Tahir"},{"family":"Marasini","given":"Bishnu P."},{"family":"Marateb","given":"Hamid Reza"},{"family":"Maravilla","given":"Joemer C."},{"family":"Marques","given":"Adilson"},{"family":"Martinez-Guerra","given":"Bernardo Alfonso"},{"family":"Martinez-Piedra","given":"Ramon"},{"family":"Martini","given":"Daniela"},{"family":"Martini","given":"Santi"},{"family":"Martins-Melo","given":"Francisco Rogerlândio"},{"family":"Martorell","given":"Miquel"},{"family":"März","given":"Winfried"},{"family":"Marzo","given":"Roy Rillera"},{"family":"Marzouk","given":"Sammer"},{"family":"Mashudi","given":"Sugeng"},{"family":"Masi","given":"Stefano"},{"family":"Mathangasinghe","given":"Yasith"},{"family":"Mathieson","given":"Stephanie"},{"family":"Mathioudakis","given":"Alexander G."},{"family":"Mathur","given":"Medha"},{"family":"Mathur","given":"Neeta"},{"family":"Mattiello","given":"Rita"},{"family":"Maude","given":"Richard James"},{"family":"Maulik","given":"Pallab K."},{"family":"May","given":"Miranda L."},{"family":"Mayeli","given":"Mahsa"},{"family":"Mazidi","given":"Mohsen"},{"family":"Mazzotti","given":"Antonio"},{"family":"Mbachu","given":"Ikechukwu Innocent"},{"family":"McKee","given":"Martin"},{"family":"McPhail","given":"Michael A."},{"family":"McPhail","given":"Steven M."},{"family":"Mediratta","given":"Rishi P."},{"family":"Meena","given":"Jitendra"},{"family":"Mehari","given":"Medhin"},{"family":"Mehboob","given":"Riffat"},{"family":"Mehrotra","given":"Ravi"},{"family":"Mehta","given":"Vini"},{"family":"Meto","given":"Tesfahun Mekene"},{"family":"Meles","given":"Hadush Negash"},{"family":"Melese","given":"Addisu"},{"family":"Melwani","given":"Satish"},{"family":"Memetova","given":"Aishe"},{"family":"Mendoza","given":"Walter"},{"family":"Menezes","given":"Godfred Antony"},{"family":"Menezes","given":"Ritesh G."},{"family":"Mengistie","given":"Emiru Ayalew"},{"family":"Mensah","given":"George A."},{"family":"Meo","given":"Sultan Ayoub"},{"family":"Mercogliano","given":"Michelangelo"},{"family":"Meretoja","given":"Atte"},{"family":"Meretoja","given":"Tuomo J."},{"family":"Mestrovic","given":"Tomislav"},{"family":"Mettananda","given":"Chamila Dinushi Kukulege"},{"family":"Mettananda","given":"Sachith"},{"family":"Metwally","given":"Mohamed M. M."},{"family":"Mhlanga","given":"Adquate"},{"family":"Miazgowski","given":"Tomasz"},{"family":"Michalek","given":"Irmina Maria"},{"family":"Michelerio","given":"Andrea"},{"family":"Mideksa","given":"Hiwot Soboksa"},{"family":"Mihretie","given":"Kebadnew Mulatu"},{"family":"Miller","given":"Ted R."},{"family":"Minervini","given":"Giuseppe"},{"family":"Ming","given":"Wai-kit"},{"family":"Mini","given":"G. K."},{"family":"Mirghafourvand","given":"Mojgan"},{"family":"Mirica","given":"Andreea"},{"family":"Mirkheshti","given":"Alireza"},{"family":"Mirshahvalad","given":"Seyed Ali"},{"family":"Mirutse","given":"Mizan Kiros"},{"family":"Mirzaei","given":"Maryam"},{"family":"Mishra","given":"Archana"},{"family":"Mishra","given":"Ashim"},{"family":"Mishra","given":"Vinaytosh"},{"family":"Mitchell","given":"Philip B."},{"family":"Mitra","given":"Sayan"},{"family":"Mittal","given":"Chaitanya"},{"family":"Mobayen","given":"Mohammadreza"},{"family":"Moberg","given":"Madeline E."},{"family":"Modi","given":"Shivani"},{"family":"Mohamed","given":"Ahmed Ismail"},{"family":"Mohamed","given":"Heba M."},{"family":"Mohamed","given":"Jama"},{"family":"Mohamed","given":"Mona Gamal"},{"family":"Mohamed","given":"Nouh Saad"},{"family":"Ahmed","given":"Khabab Abbasher Hussien Mohamed"},{"family":"Mohammad","given":"Taj"},{"family":"Mohammadi","given":"Abdolreza"},{"family":"Mohammadi","given":"Mohammad Reza"},{"family":"Mohammadian-Hafshejani","given":"Abdollah"},{"family":"Mohammadzadeh","given":"Ibrahim"},{"family":"Mohammed","given":"Abdulwase"},{"family":"Mohammed","given":"Ammas Siraj"},{"family":"Mohammed","given":"Hussen"},{"family":"Mohammed","given":"Omer"},{"family":"Mohammed","given":"Shafiu"},{"family":"Mohammed","given":"Suleiman"},{"family":"Mohammed","given":"Yahaya"},{"family":"Mohseni","given":"Mohammad"},{"family":"Mok","given":"Tsz-ngai"},{"family":"Mokari-Yamchi","given":"Amin"},{"family":"Mokdad","given":"Ali H."},{"family":"Molinaro","given":"Sabrina"},{"family":"Mollaei","given":"Amirabbas"},{"family":"Momani","given":"Shaher"},{"family":"Monasta","given":"Lorenzo"},{"family":"Monazzami","given":"Amirabbas"},{"family":"Mondal","given":"Himel"},{"family":"Montalti","given":"Marco"},{"family":"Moradi","given":"Yousef"},{"family":"Moradi-Joo","given":"Mohammad"},{"family":"Moradi-Lakeh","given":"Maziar"},{"family":"Moraga","given":"Paula"},{"family":"Morawska","given":"Lidia"},{"family":"Moreira","given":"Rafael Silveira"},{"family":"Morsy","given":"Mahmoud M."},{"family":"Heris","given":"Reza Mosaddeghi"},{"family":"Mosser","given":"Jonathan F."},{"family":"Mossialos","given":"Elias"},{"family":"Motavvef","given":"Maha"},{"family":"Mougin","given":"Vincent"},{"family":"Mousavi","given":"Asma"},{"family":"Mousavi","given":"Seyede Zohre"},{"family":"Khaneghah","given":"Amin Mousavi"},{"family":"Kiasary","given":"Seyed Mohamad Sadegh Mousavi"},{"family":"Movo","given":"Amanda"},{"family":"Mowafy","given":"Hagar Lotfy"},{"family":"Yousefi","given":"Kimia Mozahheb"},{"family":"Mrejen","given":"Matías"},{"family":"Mubarak","given":"Rabia"},{"family":"Mubarik","given":"Sumaira"},{"family":"Mudenda","given":"Steward"},{"family":"Mughal","given":"Faraz"},{"family":"Muhammad","given":"Syed Aun"},{"family":"Muhtar","given":"Muhammad Solihuddin"},{"family":"Mujica","given":"Oscar J."},{"family":"Mukherjee","given":"Sukhes"},{"family":"Mukherjee","given":"Sumoni"},{"family":"Mukhopadhyay","given":"Amartya"},{"family":"Muktadir","given":"M. A."},{"family":"Mulatu","given":"Sileshi"},{"family":"Mulita","given":"Francesk"},{"family":"Mulugeta","given":"Chalie"},{"family":"Mulwa","given":"Damaris Felistus"},{"family":"Laguna","given":"Javier Muñoz"},{"family":"Munshi","given":"Anjana"},{"family":"Murillo-Zamora","given":"Efren"},{"family":"Mushtaq","given":"Ali"},{"family":"Mustapha","given":"Mubarak Taiwo"},{"family":"Muthu","given":"Sathish"},{"family":"Muthupandian","given":"Saravanan"},{"family":"Muvunyi","given":"Claude Mambo"},{"family":"Myung","given":"Woojae"},{"family":"Nabavi","given":"Amin"},{"family":"Naddafi","given":"Fatemehzahra"},{"family":"Nafei","given":"Ayoub"},{"family":"Nagarajan","given":"Ahamarshan Jayaraman"},{"family":"Naik","given":"Ganesh R."},{"family":"Naik","given":"Gurudatta"},{"family":"Nainu","given":"Firzan"},{"family":"Nair","given":"Sanjeev"},{"family":"Najmuldeen","given":"Hastyar Hama Rashid"},{"family":"Ansari","given":"Noureddin Nakhostin"},{"family":"Nambi","given":"Gopal"},{"family":"Nanditha","given":"Ni Gusti Ayu"},{"family":"Nangia","given":"Vinay"},{"family":"Nansseu","given":"Jobert Richie"},{"family":"Naqid","given":"Ibrahim A."},{"family":"Narayana","given":"Aparna Ichalangod"},{"family":"Nargus","given":"Shumaila"},{"family":"Davani","given":"Delaram Narimani"},{"family":"Nartey","given":"Yvonne"},{"family":"Nascimento","given":"Bruno Ramos"},{"family":"Nascimento","given":"Gustavo G."},{"family":"Naser","given":"Abdallah Y."},{"family":"Nashwan","given":"Abdulqadir J."},{"family":"Nasiri","given":"Hamide"},{"family":"Nassar","given":"Mahmoud"},{"family":"Natto","given":"Zuhair S."},{"family":"Nauman","given":"Javaid"},{"family":"Navaratna","given":"Samidi Nirasha Kumari"},{"family":"Nayak","given":"Biswa Prakash"},{"family":"Nayak","given":"Shalini Ganesh"},{"family":"Nayak","given":"Vinod C."},{"family":"Naz","given":"Shumaila"},{"family":"Nazri-Panjaki","given":"Athare"},{"family":"Nchanji","given":"G. Takop"},{"family":"Nduaguba","given":"Sabina Onyinye"},{"family":"Nega","given":"Amanuel Tebabal"},{"family":"Negassa","given":"Meti T."},{"family":"Negesse","given":"Chernet Tafere"},{"family":"Negoi","given":"Ionut"},{"family":"Negoi","given":"Ruxandra Irina"},{"family":"Negru","given":"Alina Gabriela"},{"family":"Nejjari","given":"Chakib"},{"family":"Nepal","given":"Samata"},{"family":"Nesbit","given":"Olivia D."},{"family":"Netsere","given":"Henok Biresaw"},{"family":"Ng","given":"Marie"},{"family":"Nguefack-Tsague","given":"Georges"},{"family":"Ngunjiri","given":"Josephine W."},{"family":"Nguyen","given":"Cuong Tat"},{"family":"Nguyen","given":"Dang"},{"family":"Nguyen","given":"Huong-Dung Thi"},{"family":"Nguyen","given":"Nghia Phu"},{"family":"Nguyen","given":"The Phuong"},{"family":"Nguyen","given":"Van Thanh"},{"family":"Ngwa","given":"Ambe Marius"},{"family":"Niazi","given":"Robina Khan"},{"family":"Nieddu","given":"Luciano"},{"family":"Nigatu","given":"Yeshambel T."},{"family":"Nikoobar","given":"Ali"},{"family":"Niranjan","given":"Vikram"},{"family":"Nisro","given":"Abebe Melis"},{"family":"Nnaji","given":"Chukwudi A."},{"family":"Nomura","given":"Shuhei"},{"family":"Noor","given":"Syed Toukir Ahmed"},{"family":"Noorafrooz","given":"Mohammadamin"},{"family":"Noreen","given":"Mamoona"},{"family":"Noroozi","given":"Masoud"},{"family":"Noubiap","given":"Jean Jacques"},{"family":"Nouri","given":"Mehran"},{"family":"Noyes","given":"Taylor"},{"family":"Nriagu","given":"Valentine C."},{"family":"Nri-Ezedi","given":"Chisom Adaobi"},{"family":"Nshimiyimana","given":"Jean Claude"},{"family":"Nugen","given":"Fred"},{"family":"Nunemo","given":"Mengistu H."},{"family":"Nurfatimah","given":"Nurfatimah"},{"family":"Nurrika","given":"Dieta"},{"family":"Nyadanu","given":"Sylvester Dodzi"},{"family":"Nyande","given":"Felix Kwasi"},{"family":"Oancea","given":"Bogdan"},{"family":"Odat","given":"Ramez M."},{"family":"Oddi","given":"Fabio Massimo"},{"family":"Odetokun","given":"Ismail A."},{"family":"Odukoya","given":"Oluwakemi Ololade"},{"family":"Oduro","given":"Joseph Kojo"},{"family":"Oduro","given":"Michael Safo"},{"family":"Ogundeko-Olugbami","given":"Oluwafunmilayo Tosin"},{"family":"Ogunkoya","given":"Abiola"},{"family":"Ogunmiluyi","given":"Oluwafunmbi Ebenezer"},{"family":"Oh","given":"In-Hwan"},{"family":"Oh","given":"Sarah"},{"family":"Okati-Aliabad","given":"Hassan"},{"family":"Okeke","given":"Sylvester Reuben"},{"family":"Okeke-Obayemi","given":"Deborah Oluwatosin"},{"family":"Okekunle","given":"Akinkunmi Paul"},{"family":"Okesanya","given":"Olalekan John"},{"family":"Okonji","given":"Osaretin Christabel"},{"family":"Ola","given":"Bolanle Adeyemi"},{"family":"Olabisi","given":"Oluwaseyi Isaiah"},{"family":"Olalusi","given":"Oladotun Victor"},{"family":"Olatubi","given":"Matthew Idowu"},{"family":"Oliveira","given":"Arão Belitardo"},{"family":"Oliveira","given":"Gláucia Maria Moraes"},{"family":"Olorukooba","given":"Abdulhakeem Abayomi"},{"family":"Oludoye","given":"Oluseye Olalekan"},{"family":"Olum","given":"Ronald"},{"family":"Olusanya","given":"Bolajoko Olubukunola"},{"family":"Olusanya","given":"Jacob Olusegun"},{"family":"Oluwole","given":"Oluwafemi G."},{"family":"Omage","given":"Folorunsho Bright"},{"family":"Omer","given":"Goran Latif"},{"family":"Omonisi","given":"Abidemi E."},{"family":"Ong","given":"Kanyin Liane"},{"family":"Onie","given":"Sandersan"},{"family":"Onwujekwe","given":"Obinna E."},{"family":"Opesemowo","given":"Oluwaseyi Aina Gbolade"},{"family":"Opio","given":"John Nelson"},{"family":"Opitz","given":"Marcel"},{"family":"Oradova","given":"Aksoltan Shyhdurdyevna"},{"family":"Ordak","given":"Michal"},{"family":"Orish","given":"Verner N."},{"family":"Ornello","given":"Raffaele"},{"family":"Orscelik","given":"Atakan"},{"family":"Ortiz","given":"Alberto"},{"family":"Ortiz-Prado","given":"Esteban"},{"family":"Osborne","given":"Augustus"},{"family":"Ostroff","given":"Samuel M."},{"family":"Ostrominski","given":"John W."},{"family":"Osuagwu","given":"Uchechukwu Levi"},{"family":"Osuolale","given":"Olayinka"},{"family":"Othman","given":"Elham H."},{"family":"Otoiu","given":"Adrian"},{"family":"Oumer","given":"Abdu"},{"family":"Ouner","given":"Jerry John"},{"family":"Ouyahia","given":"Amel"},{"family":"Owolabi","given":"Mayowa O."},{"family":"Owusu","given":"Irene Amoakoh"},{"family":"Oyebanji","given":"Oladayo Ayobami"},{"family":"Oyebola","given":"Kolapo"},{"family":"Oyelade","given":"Tope"},{"family":"Oyeniran","given":"Kehinde Adewole"},{"family":"Oyeyemi","given":"Oyetunde T."},{"family":"Ozsahin","given":"Ilker"},{"family":"A","given":"Mahesh P."},{"family":"Pacheco-Barrios","given":"Kevin"},{"family":"Padron-Monedero","given":"Alicia"},{"family":"Padubidri","given":"Jagadish Rao"},{"family":"Paija","given":"Dimpal Manilal"},{"family":"Pak","given":"Anton"},{"family":"Pakbaz","given":"Yeganeh"},{"family":"Pal","given":"Pramod Kumar"},{"family":"Palicz","given":"Tamás"},{"family":"Palladino","given":"Raffaele"},{"family":"Paluvai","given":"Tejasri"},{"family":"Pan","given":"Feng"},{"family":"Panda","given":"Sujogya Kumar"},{"family":"Panda-Jonas","given":"Songhomitra"},{"family":"Katare","given":"Deepshikha Pande"},{"family":"Pandi-Perumal","given":"Seithikurippu R."},{"family":"Pando-Robles","given":"Victoria"},{"family":"Pandya","given":"Apurvakumar"},{"family":"Pangaribuan","given":"Helena Ullyartha"},{"family":"Panos","given":"Georgios D."},{"family":"Panos","given":"Leonidas D."},{"family":"Pantazopoulos","given":"Ioannis"},{"family":"Stoian","given":"Anca Pantea"},{"family":"Paolino","given":"Giovanni"},{"family":"Papa","given":"Mario Virgilio"},{"family":"Papadimopoulos","given":"Ilias"},{"family":"Papadopoulou","given":"Paraskevi"},{"family":"Roudsari","given":"Peyvand Parhizkar"},{"family":"Parikh","given":"Romil R."},{"family":"Park","given":"Chulwoo"},{"family":"Park","given":"Seoyeon"},{"family":"Parmar","given":"Arpit"},{"family":"Passera","given":"Roberto"},{"family":"Patel","given":"Jay"},{"family":"Patel","given":"Mitesh"},{"family":"Patel","given":"Neel Navinkumar"},{"family":"Patel","given":"Sangram Kishor"},{"family":"Patel","given":"Satyananda"},{"family":"Patil","given":"Bharat Smita Umakant"},{"family":"Patil","given":"Shankargouda"},{"family":"Patoulias","given":"Dimitrios"},{"family":"Patra","given":"Apurba"},{"family":"Patthipati","given":"Venkata Suresh"},{"family":"Pawar","given":"Shrikant"},{"family":"Pawar","given":"Shubhadarshini"},{"family":"Toroudi","given":"Hamidreza Pazoki"},{"family":"Pearce","given":"Neil"},{"family":"Peden","given":"Amy E."},{"family":"Pedersini","given":"Paolo"},{"family":"Pekarcikova","given":"Jarmila"},{"family":"Penberthy","given":"Louise"},{"family":"Pepito","given":"Veincent Christian Filipino"},{"family":"Peprah","given":"Emmanuel K."},{"family":"Peprah","given":"Prince"},{"family":"Perdigão","given":"João"},{"family":"Pereira","given":"Gavin"},{"family":"Chacon","given":"Gladymar Perez"},{"family":"Perianayagam","given":"Arokiasamy"},{"family":"Perico","given":"Norberto"},{"family":"Perna","given":"Simone"},{"family":"Pesudovs","given":"Konrad"},{"family":"Petakh","given":"Pavlo"},{"family":"Petcu","given":"Ionela-Roxana"},{"family":"Peter","given":"Olumuyiwa James"},{"family":"Petermann-Rocha","given":"Fanny Emily"},{"family":"Petri","given":"William A."},{"family":"Pham","given":"Hoang Nhat"},{"family":"Pham","given":"Hoang Tran"},{"family":"Pham","given":"Tung Thanh"},{"family":"Philip","given":"Anil K."},{"family":"Phillips","given":"Michael R."},{"family":"Piracha","given":"Zahra Zahid"},{"family":"Pirera","given":"Edoardo"},{"family":"Piroozkhkah","given":"Moein"},{"family":"Pirouzpanah","given":"Saeed"},{"family":"Pisoni","given":"Enrico"},{"family":"Plotnikov","given":"Evgenii"},{"family":"Podder","given":"Indrashis"},{"family":"Poddighe","given":"Dimitri"},{"family":"Polibin","given":"Roman V."},{"family":"Poluru","given":"Ramesh"},{"family":"Avudaiappan","given":"Arjun Pon"},{"family":"Ponkilainen","given":"Ville T."},{"family":"Popa","given":"Ion"},{"family":"Popovic","given":"Djordje S."},{"family":"Porntaveetus","given":"Thantrira"},{"family":"Pourasghary","given":"Sajjad"},{"family":"Pourbabaki","given":"Reza"},{"family":"Pourghazi","given":"Farzad"},{"family":"Pourtaheri","given":"Naeimeh"},{"family":"Prada","given":"Sergio I."},{"family":"Pradhan","given":"Jalandhar"},{"family":"Pradipta","given":"Rifky Octavia"},{"family":"Prashant","given":"Akila"},{"family":"Prates","given":"Elton Junio Sady"},{"family":"Pritchett","given":"Natalie"},{"family":"Priya","given":"Harsh"},{"family":"Pugliese","given":"Nicola Riccardo"},{"family":"Puvvula","given":"Jagadeesh"},{"family":"Qasim","given":"Nameer Hashim"},{"family":"Qattea","given":"Ibrahim"},{"family":"Qi","given":"Xiang"},{"family":"Qi","given":"Zhipeng"},{"family":"Qiao","given":"Yanan"},{"family":"Quazi","given":"Zahiruddin Syed"},{"family":"Rabiee","given":"Navid"},{"family":"Rabiei","given":"Reza"},{"family":"Rachmat","given":"Basuki"},{"family":"Radhakrishnan","given":"Raghu Anekal"},{"family":"Radhakrishnan","given":"Venkatraman"},{"family":"Radojčić","given":"Maja R."},{"family":"Radpour","given":"Negar"},{"family":"Shahraki","given":"Hadi Raeisi"},{"family":"Rafati","given":"Lida"},{"family":"Rafique","given":"Ibrar"},{"family":"Raghuveer","given":"Pracheth"},{"family":"Rahim","given":"Fakher"},{"family":"Rahim","given":"Hawbash Mohammed-Amin"},{"family":"Rahimi","given":"Sajjad"},{"family":"Rahimi-Movaghar","given":"Vafa"},{"family":"Rahman","given":"Fryad Majeed"},{"family":"Rahman","given":"Mahbubur"},{"family":"Rahman","given":"Md Mosfequr"},{"family":"Rahman","given":"Mohammad Hifz Ur"},{"family":"Rahman","given":"Mohammad Meshbahur"},{"family":"Rahman","given":"Mosiur"},{"family":"Rahmani","given":"Amir Masoud"},{"family":"Rahmani","given":"Saeed"},{"family":"Rahmati","given":"Masoud"},{"family":"Rokni","given":"Ghasem Rahmatpour"},{"family":"Rahmoune","given":"Hakim"},{"family":"Raimondo","given":"Diego"},{"family":"Raimondo","given":"Ivano"},{"family":"Raina","given":"Sunil Kumar"},{"family":"Raj","given":"Jeffrey Pradeep"},{"family":"Raja","given":"Adarsh"},{"family":"Rajaa","given":"Sathish"},{"family":"Rajabi","given":"Erta"},{"family":"Rajendran","given":"Gunaseelan"},{"family":"Rajendran","given":"Judah"},{"family":"Rajendran","given":"Vinoth"},{"family":"Rajindrajith","given":"Shaman"},{"family":"Rajpoot","given":"Pushp Lata"},{"family":"Rajput","given":"Prashant"},{"family":"Ramadan","given":"Mahmoud Mohammed"},{"family":"Ramadan","given":"Majed"},{"family":"Ramadhan","given":"Kadar"},{"family":"Ramasamy","given":"Chitra"},{"family":"Ramasamy","given":"Shakthi Kumaran"},{"family":"Ramezani","given":"Zahra"},{"family":"Farani","given":"Marzieh Ramezani"},{"family":"Ramírez-Vélez","given":"Robinson"},{"family":"Rana","given":"Juwel"},{"family":"Rana","given":"Kirtan"},{"family":"Rana","given":"Shailendra Singh"},{"family":"Ranabhat","given":"Chhabi Lal"},{"family":"Rancic","given":"Nemanja"},{"family":"Rani","given":"Smitha"},{"family":"Noei","given":"Fatemeh-Ranjbar"},{"family":"Rao","given":"Chythra R."},{"family":"Rao","given":"Kumuda"},{"family":"Rao","given":"Mithun"},{"family":"Rasella","given":"Davide"},{"family":"Rashedi","given":"Sina"},{"family":"Rashedi","given":"Vahid"},{"family":"Rashid","given":"Mamunur"},{"family":"Rashidi","given":"Mohammad-Mahdi"},{"family":"Rasouli","given":"Mohammad Aziz"},{"family":"Rasouli-Saravani","given":"Ashkan"},{"family":"Rasul","given":"Azad"},{"family":"Rathish","given":"Devarajan"},{"family":"Rauf","given":"Abdur"},{"family":"Rauniyar","given":"Santosh Kumar"},{"family":"Rautalin","given":"Ilari"},{"family":"Ravangard","given":"Ramin"},{"family":"Rawaf","given":"David Laith"},{"family":"Rawal","given":"Lal"},{"family":"Rawassizadeh","given":"Reza"},{"family":"Razi","given":"Bahman"},{"family":"Reategui-Rivera","given":"C. Mahony"},{"family":"Redwan","given":"Elrashdy"},{"family":"Rehman","given":"Aqeeb Ur"},{"family":"Rehman","given":"Faizan Ur"},{"family":"Rehman","given":"Wajiha"},{"family":"Reifels","given":"Lennart"},{"family":"Reile","given":"Rainer"},{"family":"Remuzzi","given":"Giuseppe"},{"family":"Reshmi","given":"Bhageerathy"},{"family":"Restaino","given":"Stefano"},{"family":"Reyes","given":"Luis Felipe"},{"family":"Rezaei","given":"Mina"},{"family":"Rezaei","given":"Nazila"},{"family":"Rezaei","given":"Nima"},{"family":"Rezaeian","given":"Mohsen"},{"family":"Eidgahi","given":"Donya Rezazadeh"},{"family":"Rhee","given":"Taeho Gregory"},{"family":"Rias","given":"Yohanes Andy"},{"family":"Ribeiro","given":"Antonio Luiz P."},{"family":"Silva","given":"Tércia Moreira Ribeiro","dropping-particle":"da"},{"family":"Rickard","given":"Jennifer"},{"family":"Rizvi","given":"Moattar Raza"},{"family":"Robinson-Oden","given":"Hannah Elizabeth"},{"family":"Rocha","given":"Hermano Alexandre Lima"},{"family":"Rocha-Gomes","given":"João Rocha"},{"family":"Rodrigues","given":"Mónica"},{"family":"Silva","given":"Thales Philipe Rodrigues","dropping-particle":"da"},{"family":"Rodriguez","given":"Jefferson Antonio Buendia"},{"family":"Roever","given":"Leonardo"},{"family":"Rohloff","given":"Peter"},{"family":"Rohmah","given":"Iftitakhur"},{"family":"Röhr","given":"Susanne"},{"family":"Rojas-Rueda","given":"David"},{"family":"Rolfzen","given":"Megan L."},{"family":"Romadlon","given":"Debby Syahru"},{"family":"Romoli","given":"Michele"},{"family":"Ronfani","given":"Luca"},{"family":"Root","given":"Kevin T."},{"family":"Rosenblad","given":"Emily"},{"family":"Roshanshad","given":"Amirhossein"},{"family":"Rostamian","given":"Morteza"},{"family":"Roth","given":"Gregory A."},{"family":"Rotimi","given":"Kunle"},{"family":"Rout","given":"Himanshu Sekhar"},{"family":"Rouzbahani","given":"Hanieh"},{"family":"Rouzbahani","given":"Reza"},{"family":"Rowlands","given":"Jemma V."},{"family":"Roy","given":"Adrija"},{"family":"Roy","given":"Bedanta"},{"family":"Roy","given":"Priyanka"},{"family":"Roy","given":"Sharmistha"},{"family":"Roy","given":"Shubhanjali"},{"family":"Roy","given":"Simanta"},{"family":"Parthasarathy","given":"Parameswari Royapuram"},{"family":"Rubagotti","given":"Enrico"},{"family":"Rumisha","given":"Susan Fred"},{"family":"Russo","given":"Michele"},{"family":"Rwegerera","given":"Godfrey Mutashambara"},{"family":"Saad","given":"Aly M. A."},{"family":"Sabbatucci","given":"Michela"},{"family":"Saber-Ayad","given":"Maha Mohamed"},{"family":"Sabour","given":"Siamak"},{"family":"Sachdev","given":"Perminder S."},{"family":"Rafiei","given":"Seyed Kiarash Sadat"},{"family":"Saddik","given":"Basema Ahmad"},{"family":"Sadee","given":"Bashdar Abuzed"},{"family":"Sadegh","given":"Tarannom"},{"family":"Sadeghi","given":"Ehsan"},{"family":"Sadeghi","given":"Erfan"},{"family":"Sadeghi-Ghyassi","given":"Fatemeh"},{"family":"Saeed","given":"Mohd"},{"family":"Saeed","given":"Umar"},{"family":"Saeedi","given":"Maryam"},{"family":"Safdarian","given":"Mahdi"},{"family":"Safi","given":"Sare"},{"family":"Safi","given":"Sher Zaman"},{"family":"Sagar","given":"Rajesh"},{"family":"Sagharichi","given":"Mastooreh"},{"family":"Saghazadeh","given":"Amene"},{"family":"Sagoe","given":"Dominic"},{"family":"Saha","given":"Indranil"},{"family":"Saha","given":"Nondo"},{"family":"Sharif-Askari","given":"Fatemeh Saheb"},{"family":"Sharif-Askari","given":"Narjes Saheb"},{"family":"Sahebkar","given":"Amirhossein"},{"family":"Sahu","given":"Kirti Sundar"},{"family":"Saif","given":"Zahra"},{"family":"Sajadi","given":"S. Mohammad"},{"family":"Sajib","given":"Md Refat Uz Zaman"},{"family":"Sajid","given":"Mirza Rizwan"},{"family":"Salabat","given":"Dorsa"},{"family":"Salamati","given":"Payman"},{"family":"Salaroli","given":"Luciane B."},{"family":"Saleh","given":"Mohamed A."},{"family":"Salehi","given":"Leili"},{"family":"Salehi","given":"Mahdi"},{"family":"Salem","given":"Marwa Rashad"},{"family":"Salem","given":"Mohammed Z. Y."},{"family":"Salemcity","given":"Aanuoluwa James"},{"family":"Salihu","given":"Dauda"},{"family":"Salimi","given":"Sohrab"},{"family":"Sallam","given":"Malik"},{"family":"Kafil","given":"Hossein Samadi"},{"family":"Samaranayake","given":"Jayami Eshana"},{"family":"Samargandy","given":"Saad"},{"family":"Sami","given":"Waqas"},{"family":"Samodra","given":"Yoseph Leonardo"},{"family":"Samy","given":"Abdallah M."},{"family":"Sangle","given":"Sandeep G."},{"family":"Sanjari","given":"Elaheh"},{"family":"Sankar","given":"Sathish"},{"family":"Sanmarchi","given":"Francesco"},{"family":"Sanna","given":"Francesca"},{"family":"Santomauro","given":"Damian F."},{"family":"Santos","given":"Itamar S."},{"family":"Santos","given":"Lucas H. C. C."},{"family":"Santric-Milicevic","given":"Milena M."},{"family":"Sanyaolu","given":"Adekunle"},{"family":"Jose","given":"Bruno Piassi Sao"},{"family":"Sapkota","given":"Krishna Prasad"},{"family":"Saraswathy","given":"Sivan Yegnanarayana Iyer"},{"family":"Sarikhani","given":"Yaser"},{"family":"Sarma","given":"Hemen"},{"family":"Sarmadi","given":"Mohammad"},{"family":"Sarode","given":"Gargi Sachin"},{"family":"Sarode","given":"Sachin C."},{"family":"Sartorius","given":"Benn"},{"family":"Sarveazad","given":"Arash"},{"family":"Sassano","given":"Michele"},{"family":"Narayanan","given":"Mukesh Kumar Sathya"},{"family":"Satpathy","given":"Maheswar"},{"family":"Sattarpour","given":"Reza"},{"family":"Sattin","given":"Davide"},{"family":"Far","given":"Mehrdad Savabi"},{"family":"Sawhney","given":"Monika"},{"family":"Saxena","given":"Sangeeta Gopal"},{"family":"Saya","given":"Ganesh Kumar"},{"family":"Sayeed","given":"Abu"},{"family":"Schinckus","given":"Christophe"},{"family":"Schmidt","given":"Jurgen Carlo"},{"family":"Schmidt","given":"Maria Inês"},{"family":"Schneider","given":"Rachel D."},{"family":"Schuermans","given":"Art"},{"family":"Schumacher","given":"Austin E."},{"family":"Schutte","given":"Aletta Elisabeth"},{"family":"Schwarz","given":"Ghil"},{"family":"Schwebel","given":"David C."},{"family":"Schwendicke","given":"Falk"},{"family":"Sebastian","given":"Sneha Annie"},{"family":"Sedigh","given":"Amin"},{"family":"Seedat","given":"Soraya"},{"family":"Šekerija","given":"Mario"},{"family":"Selvamani","given":"Muthamizh"},{"family":"Selvaraj","given":"Vimalraj"},{"family":"Semenova","given":"Yuliya"},{"family":"Semreen","given":"Mohammad H."},{"family":"Sendeku","given":"Fikadu Waltengus"},{"family":"Sengupta","given":"Pallav"},{"family":"Senol","given":"Yigit Can"},{"family":"Senthilkumaran","given":"Subramanian"},{"family":"Sepanlou","given":"Sadaf G."},{"family":"Serván-Mori","given":"Edson"},{"family":"Sethi","given":"Yashendra"},{"family":"Alshohadaei","given":"Seyed Mohammad Seyed"},{"family":"Seylani","given":"Allen"},{"family":"Sha'aban","given":"Abubakar"},{"family":"Shafie","given":"Mahan"},{"family":"Shafieioun","given":"Arezoo"},{"family":"Shaharudin","given":"Shazlin"},{"family":"Shahbaz","given":"Muhammad"},{"family":"Shahid","given":"Samiah"},{"family":"Shahid","given":"Syed Ahsan"},{"family":"Shahini","given":"Endrit"},{"family":"Shahrahmani","given":"Fatemeh"},{"family":"Shahsavari","given":"Hamid R."},{"family":"Shahwan","given":"Moyad Jamal"},{"family":"Shaikh","given":"Masood Ali"},{"family":"Shakeri","given":"Alireza"},{"family":"Shakerimoghaddam","given":"Ali"},{"family":"Shalash","given":"Ali S."},{"family":"Shamim","given":"Muhammad Aaqib"},{"family":"Shams","given":"Farzane"},{"family":"Shams-Beyranvand","given":"Mehran"},{"family":"Shamsi","given":"Anas"},{"family":"Shamsutdinova","given":"Alfiya"},{"family":"Shan","given":"Dan"},{"family":"Shan","given":"Shan"},{"family":"Shanawaz","given":"Mohd"},{"family":"Sharifan","given":"Amin"},{"family":"Rad","given":"Javad Sharifi"},{"family":"Sharma","given":"Avimanu"},{"family":"Sharma","given":"Bhoopesh Kumar"},{"family":"Sharma","given":"Bunty"},{"family":"Sharma","given":"Gaurav"},{"family":"Sharma","given":"Kamal"},{"family":"Sharma","given":"Kamlesh"},{"family":"Sharma","given":"Manoj"},{"family":"Sharma","given":"Ravi Kumar"},{"family":"Sharma","given":"Ujjawal"},{"family":"Sharma","given":"Vishal"},{"family":"Shastry","given":"Shamee"},{"family":"Shayan","given":"Maryam"},{"family":"Bappah","given":"Babangida Shehu"},{"family":"Sheida","given":"Fateme"},{"family":"Sheidaei","given":"Ali"},{"family":"Sheikhy","given":"Ali"},{"family":"Shenoy","given":"Rekha Raghuveer"},{"family":"Sherchan","given":"Samendra P."},{"family":"Shetty","given":"B. Suresh Kumar"},{"family":"Shetty","given":"Shiran"},{"family":"Shi","given":"Fanchao"},{"family":"Shi","given":"Fang"},{"family":"Shiani","given":"Amir"},{"family":"Shibesh","given":"Belayneh Fentahun"},{"family":"Shibuya","given":"Kenji"},{"family":"Shiferaw","given":"Desalegn"},{"family":"Shimels","given":"Tariku"},{"family":"Shimul","given":"Md Monir Hossain"},{"family":"Shin","given":"Min-Jeong"},{"family":"Shiri","given":"Rahman"},{"family":"Shirkoohi","given":"Reza"},{"family":"Shittu","given":"Aminu"},{"family":"Shitu","given":"Abdul-karim Olayinka"},{"family":"Shiue","given":"Ivy"},{"family":"Shivarov","given":"Velizar"},{"family":"Shlobin","given":"Nathan A."},{"family":"Shoaib","given":"Ambreen"},{"family":"Shojaei","given":"Shayan"},{"family":"Shool","given":"Sina"},{"family":"Shorofi","given":"Seyed Afshin"},{"family":"Shrestha","given":"Sunil"},{"family":"Shuaibu","given":"Suleiman Adeiza"},{"family":"Shuval","given":"Kerem"},{"family":"Siavashpour","given":"Zahra"},{"family":"Sibuyi","given":"Nicole Remaliah Samantha"},{"family":"Siddig","given":"Emmanuel Edwar"},{"family":"Siddiqi","given":"Ahmed Kamal"},{"family":"Silva","given":"Diego Augusto Santos"},{"family":"Silva","given":"João Pedro"},{"family":"Silva","given":"Luís Manuel Lopes Rodrigues"},{"family":"Simkhada","given":"Padam Prasad"},{"family":"Simonetti","given":"Biagio"},{"family":"Singh","given":"Abhinav"},{"family":"Singh","given":"Amit"},{"family":"Singh","given":"Balbir Bagicha"},{"family":"Singh","given":"Baljinder"},{"family":"Singh","given":"Bhim Pratap"},{"family":"Singh","given":"Harmanjit"},{"family":"Singh","given":"Harpreet"},{"family":"Singh","given":"Jasvinder A."},{"family":"Singh","given":"Jawahar"},{"family":"Singh","given":"Kalpana"},{"family":"Singh","given":"Mayank"},{"family":"Singh","given":"Narinder Pal"},{"family":"Singh","given":"Paramdeep"},{"family":"Singh","given":"Poornima Suryanath"},{"family":"Singh","given":"Puneetpal"},{"family":"Singh","given":"Rakesh K."},{"family":"Singh","given":"Samer"},{"family":"Singh","given":"Satwinder"},{"family":"Singh","given":"Surendra"},{"family":"Singh","given":"Surjit"},{"family":"Sinha","given":"Mukesh Kumar"},{"family":"Sinto","given":"Robert"},{"family":"Sirota","given":"Sarah Brooke"},{"family":"Siyoum","given":"Dagne Feleke"},{"family":"Skhvitaridze","given":"Natia"},{"family":"Skryabina","given":"Anna Aleksandrovna"},{"family":"Sleet","given":"David A."},{"family":"SobhZahedi","given":"Mahdieh"},{"family":"Soheili","given":"Marzieh"},{"family":"Sohel","given":"MdSalman"},{"family":"Sohrabi","given":"Somaye"},{"family":"Solanki","given":"Shipra"},{"family":"Solbana","given":"Lencho Kajela"},{"family":"Solikhah","given":"Solikhah"},{"family":"Soliman","given":"Sameh S. M."},{"family":"Song","given":"Weiyi"},{"family":"Sood","given":"Aayushi"},{"family":"Sood","given":"Prashant"},{"family":"Soraneh","given":"Soroush"},{"family":"Sorensen","given":"Reed J. D."},{"family":"Soriano","given":"Joan B."},{"family":"Sousa","given":"Fernando"},{"family":"Sousa","given":"Marco Aurelio"},{"family":"Soyiri","given":"Ireneous N."},{"family":"Soylu","given":"Ceren"},{"family":"Spartalis","given":"Michael"},{"family":"Sreeramareddy","given":"Chandrashekhar T."},{"family":"Srinivasamurthy","given":"Suresh Kumar"},{"family":"Sriram","given":"Shyamkumar"},{"family":"Srivastav","given":"Prateek"},{"family":"Srivastava","given":"Devin Bailey"},{"family":"Stafford","given":"Lauryn K."},{"family":"Stanaway","given":"Jeffrey D."},{"family":"Stanikzai","given":"Muhammad Haroon"},{"family":"Steckling-Muschack","given":"Nadine"},{"family":"Stein","given":"Dan J."},{"family":"Steiner","given":"Caitlyn"},{"family":"Steinmetz","given":"Jaimie D."},{"family":"Steiropoulos","given":"Paschalis"},{"family":"Stephan","given":"Blossom Christa Maree"},{"family":"Stevanović","given":"Aleksandar"},{"family":"Stockfelt","given":"Leo"},{"family":"Straube","given":"Sebastian"},{"family":"Stubbs","given":"Jacob L."},{"family":"Stubbs","given":"Peter"},{"family":"Subasi","given":"Omer"},{"family":"Subedi","given":"Narayan"},{"family":"Suhag","given":"Alisha"},{"family":"Sujon","given":"Hasnat"},{"family":"Sukaew","given":"Thitiporn"},{"family":"Sulaiman","given":"Surajo Kamilu"},{"family":"Suleiman","given":"Auwal Garba"},{"family":"Odidi","given":"Muritala Suleiman"},{"family":"Suleman","given":"Muhammad"},{"family":"Sullman","given":"Mark J. M."},{"family":"Meo","given":"Anusha Sultan"},{"family":"Sun","given":"Haitong Zhe"},{"family":"Sun","given":"Jing"},{"family":"Sun","given":"Mao-ling"},{"family":"Sun","given":"Xiaodong"},{"family":"Sun","given":"Xiaohui"},{"family":"Sun","given":"Zhong"},{"family":"Sun","given":"Zhuanlan"},{"family":"Sundaragiri","given":"Suraj"},{"family":"Sundaram","given":"Thanigaivel"},{"family":"Sundström","given":"Johan"},{"family":"Sunkersing","given":"David"},{"family":"Sunny","given":"Sumam"},{"family":"Suresh","given":"Vinay"},{"family":"Susianti","given":"Hani"},{"family":"Swain","given":"Chandan Kumar"},{"family":"Swart","given":"Vivianne M."},{"family":"Syaiful","given":"Dayinta Annisa"},{"family":"Symons","given":"Tasmin L."},{"family":"Szarpak","given":"Lukasz"},{"family":"Szeto","given":"Mindy D."},{"family":"Y","given":"Sree Sudha T."},{"family":"Damavandi","given":"Payam Tabaee"},{"family":"Tabarés-Seisdedos","given":"Rafael"},{"family":"Tabatabaei","given":"Fatemeh Sadat"},{"family":"Tabatabaei","given":"Seyed Shahaboddin"},{"family":"Tabatabaei","given":"Seyyed Mohammad"},{"family":"Tabatabaeizadeh","given":"Seyed-Amir"},{"family":"Tabatabai","given":"Shima"},{"family":"Tabche","given":"Celine"},{"family":"Tabish","given":"Mohammad"},{"family":"Tabuchi","given":"Takahiro"},{"family":"Tadesse","given":"Getu Ferenji"},{"family":"Taghizadeh-Hesary","given":"Farzad"},{"family":"Taha","given":"Zanan Mohammed-Ameen"},{"family":"Taiba","given":"Jabeen"},{"family":"Tajabadi","given":"Shima"},{"family":"Talaat","given":"Iman M."},{"family":"Tampa","given":"Mircea"},{"family":"Tamuzi","given":"Jacques Lukenze"},{"family":"Tan","given":"Ker-Kan"},{"family":"Tanashat","given":"Mohammad"},{"family":"Tang","given":"Haosu"},{"family":"Tanveer","given":"Mohsan"},{"family":"Tareke","given":"Abiyu Abadi"},{"family":"Taridashti","given":"Sarvenaz"},{"family":"Tarigan","given":"Ingan Ukur"},{"family":"Tariku","given":"Mengistie Kassahun"},{"family":"Tariq","given":"Saba"},{"family":"Tazhiyeva","given":"Aigul Yelgondiyevna"},{"family":"Temedie-Asogwa","given":"Tarilate"},{"family":"Temsah","given":"Mohamad-Hani"},{"family":"Teramoto","given":"Masayuki"},{"family":"Tesfu","given":"Azimeraw Arega"},{"family":"Teshager","given":"Nahom Worku"},{"family":"Tessema","given":"Gizachew A."},{"family":"Tewari","given":"Jay"},{"family":"Teymouri","given":"Alireza"},{"family":"Thakur","given":"Chandan Kumar"},{"family":"Thankappan","given":"Kavumpurathu Raman"},{"family":"Thapar","given":"Rekha"},{"family":"Tharwat","given":"Ismaeel"},{"family":"Tharwat","given":"Samar"},{"family":"Thayakaran","given":"Rasiah"},{"family":"Thiruvengadam","given":"Muthu"},{"family":"Thomas","given":"Manuel Sebastian"},{"family":"Tian","given":"Wei"},{"family":"Ticoalu","given":"Jansje Henny Vera"},{"family":"Tleshev","given":"Madi"},{"family":"Tomo","given":"Sojit"},{"family":"Tonelli","given":"Marcello"},{"family":"Topor-Madry","given":"Roman"},{"family":"Touvier","given":"Mathilde"},{"family":"Tovani-Palone","given":"Marcos Roberto"},{"family":"Trabelsi","given":"Khaled"},{"family":"Tran","given":"Quynh Thuy Huong"},{"family":"Tran","given":"Tam Quoc Minh"},{"family":"Tran","given":"Thang Huu"},{"family":"Duc","given":"Nguyen Tran Minh"},{"family":"Trico","given":"Domenico"},{"family":"Trihandini","given":"Indang"},{"family":"Tripathi","given":"Manjari"},{"family":"Tripathi","given":"Tulika"},{"family":"Tromans","given":"Samuel Joseph"},{"family":"Truong","given":"Quynh Xuan Nguyen"},{"family":"Truyen","given":"Thien Tan Tri Tai"},{"family":"Tse","given":"Gary"},{"family":"Tseriotis","given":"Vasilis-Spyridon"},{"family":"Tsermpini","given":"Evangelia Eirini"},{"family":"Car","given":"Lorainne Tudor"},{"family":"Tumurkhuu","given":"Munkhtuya"},{"family":"Tuo","given":"Zhouting"},{"family":"Tusa","given":"Biruk Shalmeno"},{"family":"Tye","given":"Sok Cin"},{"family":"Tyrovolas","given":"Stefanos"},{"family":"Udoakang","given":"Aniefiok John"},{"family":"Ullah","given":"Atta"},{"family":"Ullah","given":"Himayat"},{"family":"Ullah","given":"Saeed"},{"family":"Umair","given":"Muhammad"},{"family":"Umar","given":"Hauwa Onozasi"},{"family":"Umar","given":"Lawan"},{"family":"Umar‡","given":"Muhammad"},{"family":"Umar§","given":"Muhammad"},{"family":"Umar","given":"Shehu Salihu"},{"family":"Undurraga","given":"Eduardo A."},{"family":"Unnikrishnan","given":"Bhaskaran"},{"family":"Upadhya","given":"Dinesh"},{"family":"Upadhyay","given":"Era"},{"family":"Uppal","given":"Dipan"},{"family":"Urso","given":"Daniele"},{"family":"Usman","given":"Jibrin Sammani"},{"family":"Uzor","given":"Kelechi Julian"},{"family":"Uzunçıbuk","given":"Hande"},{"family":"Vadagam","given":"Pratyusha"},{"family":"Vaithinathan","given":"Asokan Govindaraj"},{"family":"Valdez","given":"Pascual R."},{"family":"Valenti","given":"Mario"},{"family":"Vally","given":"Zahir"},{"family":"Eynde","given":"Jef Van","dropping-particle":"den"},{"family":"Varasteh","given":"Javad"},{"family":"Varghese","given":"Joe"},{"family":"Varma","given":"Pavani"},{"family":"Vasankari","given":"Tommi Juhani"},{"family":"Vasishta","given":"Sampara"},{"family":"Vasudevan","given":"Srivatsa Surya"},{"family":"Vaysi","given":"Alireza"},{"family":"Vaziri","given":"Siavash"},{"family":"Venketasubramanian","given":"Narayanaswamy"},{"family":"Verma","given":"Madhur"},{"family":"Verma","given":"Megan"},{"family":"Verma","given":"Poonam"},{"family":"Veroux","given":"Massimiliano"},{"family":"Verras","given":"Georgios-Ioannis"},{"family":"Vidale","given":"Simone"},{"family":"Vijayageetha","given":"Mathavaswami"},{"family":"Villa","given":"Simone"},{"family":"Villafañe","given":"Jorge Hugo"},{"family":"Villani","given":"Leonardo"},{"family":"Villarreal-Zegarra","given":"David"},{"family":"Violante","given":"Francesco S."},{"family":"Ambi","given":"Senthil Visaga"},{"family":"Vitorino","given":"Luciano Magalhães"},{"family":"Vlassov","given":"Vasily"},{"family":"Vollset","given":"Stein Emil"},{"family":"Vongpradith","given":"Avina"},{"family":"Vos","given":"Theo"},{"family":"Vosoughi","given":"Mehdi"},{"family":"Vounzoulaki","given":"Elpida"},{"family":"Vu","given":"Linh"},{"family":"Vujcic","given":"Isidora S."},{"family":"Vyas","given":"Krishna Dhavan"},{"family":"Wada","given":"Henok Toga"},{"family":"Waheed","given":"Yasir"},{"family":"Wahid","given":"Mohd"},{"family":"Wahidin","given":"Mugi"},{"family":"Walde","given":"Mandaras Tariku"},{"family":"Walia","given":"Megha"},{"family":"Wan","given":"Jin-Yi"},{"family":"Wander","given":"Arvinder"},{"family":"Wang","given":"Fang"},{"family":"Wang","given":"Fulin"},{"family":"Wang","given":"Junshi"},{"family":"Wang","given":"Liang"},{"family":"Wang","given":"Qingzhi"},{"family":"Wang","given":"Ruixuan"},{"family":"Wang","given":"Shu"},{"family":"Wang","given":"Wanzhou"},{"family":"Wang","given":"Xing"},{"family":"Wang","given":"Xuequan"},{"family":"Wang","given":"Yan"},{"family":"Wang","given":"Yanzhong"},{"family":"Wang","given":"Yichen"},{"family":"Wang","given":"Youxin"},{"family":"Wang","given":"Yuan-Pang"},{"family":"Wang","given":"Zhihua"},{"family":"Wani","given":"Tanveer A."},{"family":"Wanjau","given":"Mary Njeri"},{"family":"Waqar","given":"Ahmed Bilal"},{"family":"Waqas","given":"Muhammad"},{"family":"Ward","given":"John W."},{"family":"Ward","given":"Paul"},{"family":"Wassie","given":"Toyiba Hiyaru"},{"family":"Watson","given":"Stefanie"},{"family":"Weerasekara","given":"Ishanka"},{"family":"Wei","given":"Fei-Long"},{"family":"Wei","given":"Xueying"},{"family":"Weintraub","given":"Robert G."},{"family":"Weiss","given":"Daniel J."},{"family":"Weiss","given":"Eli J."},{"family":"Wells","given":"Katherine M."},{"family":"Werdecker","given":"Andrea"},{"family":"Westerman","given":"Ronny"},{"family":"Wiangkham","given":"Taweewat"},{"family":"Wibowo","given":"Yohanes Cakrapradipta"},{"family":"Wickramasinghe","given":"Dakshitha Praneeth"},{"family":"Wickramasinghe","given":"Nuwan Darshana"},{"family":"Wiebe","given":"Samuel"},{"family":"Wilandika","given":"Angga"},{"family":"Willeit","given":"Peter"},{"family":"Wilson","given":"Shadrach"},{"family":"Wireko","given":"Andrew Awuah"},{"family":"Wiysonge","given":"Charles Shey"},{"family":"Woday","given":"Abay Tadesse"},{"family":"Wojtyniak","given":"Bogdan"},{"family":"Woldehana","given":"Nathnael Abera"},{"family":"Woldeyes","given":"Dawit Habte"},{"family":"Wolf","given":"Axel Walter"},{"family":"Wonde","given":"Tewodros Eshete"},{"family":"Wong","given":"Yen Jun"},{"family":"Worede","given":"Daniel Tarekegn"},{"family":"Workicho","given":"Abdulhalik"},{"family":"Worku","given":"Minichil Chanie"},{"family":"Wu","given":"Ai-Min"},{"family":"Wu","given":"Chenkai"},{"family":"Wu","given":"Felicia"},{"family":"Wu","given":"James Fan"},{"family":"Wu","given":"Jinyi"},{"family":"Wu","given":"Peng"},{"family":"Wu","given":"Zenghong"},{"family":"Wubie","given":"Yihun Miskir"},{"family":"Wulandari","given":"Ratna Dwi"},{"family":"Xia","given":"Zhijia"},{"family":"Xiao","given":"Guangqin"},{"family":"Xiao","given":"Lishun"},{"family":"Xiao","given":"Na"},{"family":"Xie","given":"Wanqing"},{"family":"Xu","given":"Site"},{"family":"Xu","given":"Suowen"},{"family":"Xu","given":"Xiaoyue"},{"family":"Xu","given":"Yvonne Yiru"},{"family":"Yadav","given":"Mukesh Kumar"},{"family":"Yadav","given":"Vikas"},{"family":"Yadollahi","given":"Mahnaz"},{"family":"Yahoo (Syed)","given":"Saba"},{"family":"Yahya","given":"Galal"},{"family":"Yamagishi","given":"Kazumasa"},{"family":"Yan","given":"Guangcan"},{"family":"Yang","given":"Haibo"},{"family":"Yano","given":"Yuichiro"},{"family":"Yao","given":"Haiqiang"},{"family":"Yao","given":"Laiang"},{"family":"Yarahmadi","given":"Amir"},{"family":"Yaribeygi","given":"Habib"},{"family":"Yasin","given":"Haya"},{"family":"Yassin","given":"Mohamed A."},{"family":"Yasufuku","given":"Yuichi"},{"family":"Yaya","given":"Sanni"},{"family":"Ye","given":"Pengpeng"},{"family":"Yeganeh","given":"Meghdad"},{"family":"Yekdeş","given":"Ali Cem"},{"family":"YektaKooshali","given":"Mohammad Hossein"},{"family":"Yergaliyev","given":"Kuanysh A."},{"family":"Yesuf","given":"Subah Abderehim"},{"family":"Yezli","given":"Saber"},{"family":"Yi","given":"Siyan"},{"family":"Yin","given":"Dehui"},{"family":"Yip","given":"Paul"},{"family":"Yismaw","given":"Malede Berihun"},{"family":"Yismaw","given":"Yazachew Engida"},{"family":"Yon","given":"Dong Keon"},{"family":"Yonemoto","given":"Naohiro"},{"family":"Yoon","given":"Seok-Jun"},{"family":"Younis","given":"Mustafa Z."},{"family":"Yousefi","given":"Saideh"},{"family":"Yousuf","given":"Abdilahi"},{"family":"Yu","given":"Chuanhua"},{"family":"Yu","given":"Yong"},{"family":"Yuan","given":"Hui"},{"family":"Yuh","given":"Faith H."},{"family":"Yunus","given":"Ghazala"},{"family":"Yunusa","given":"Umar"},{"family":"Zadey","given":"Siddhesh"},{"family":"Zadnik","given":"Vesna"},{"family":"Zafar","given":"Mubashir"},{"family":"Zaghampour","given":"Manijeh"},{"family":"Abidin","given":"Emilia Zainal"},{"family":"Zakham","given":"Fathiah"},{"family":"Zaki","given":"Nazar"},{"family":"Zamagni","given":"Giulia"},{"family":"Zamora","given":"Nelson"},{"family":"Zandam","given":"Hussaini"},{"family":"Zanghì","given":"Aurora"},{"family":"Zar","given":"Heather J."},{"family":"Zarea","given":"Kourosh"},{"family":"Zawiah","given":"Mohammed"},{"family":"Zeariya","given":"Mohammed G. M."},{"family":"Zenebe","given":"Abay Mulu"},{"family":"Zensen","given":"Sebastian"},{"family":"Zepro","given":"Nejimu Biza"},{"family":"Zeru","given":"Eyael M."},{"family":"Zhan","given":"Tiansong"},{"family":"Zhan","given":"Yongle"},{"family":"Zhang","given":"Beijian"},{"family":"Zhang","given":"Casper J. P."},{"family":"Zhang","given":"Haijun"},{"family":"Zhang","given":"Julio Min Fei"},{"family":"Zhang","given":"Kexin"},{"family":"Zhang","given":"Liqun"},{"family":"Zhang","given":"Meixin"},{"family":"Zhang","given":"Xiaoyi"},{"family":"Zhang","given":"Xiu-Hang"},{"family":"Zhang","given":"Yunquan"},{"family":"Zhang","given":"Zhiqiang"},{"family":"Zhangelova","given":"Sholpan Bolatovna"},{"family":"Zhao","given":"Hanqing"},{"family":"Zhao","given":"Jianhui"},{"family":"Zhao","given":"Jiefeng"},{"family":"Zhao","given":"Yang"},{"family":"Zhao","given":"Zhongyi"},{"family":"Zhong","given":"Anthony"},{"family":"Zhong","given":"Claire Chenwen"},{"family":"Zhou","given":"Jiayan"},{"family":"Zhou","given":"Juexiao"},{"family":"Zhu","given":"Bin"},{"family":"Zhumagaliuly","given":"Abzal"},{"family":"Zielińska","given":"Magdalena"},{"family":"Zoghi","given":"Ghazal"},{"family":"Zoromba","given":"Mohamed Ali"},{"family":"Zou","given":"Zhiyong"},{"family":"Zrieq","given":"Rafat Mohammad"},{"family":"Zuhlke","given":"Liesl J."},{"family":"Zuhriyah","given":"Lilik"},{"family":"Zumla","given":"Alimuddin"},{"family":"Zyoud","given":"Ahed H."},{"family":"Zyoud","given":"Sa'ed H."},{"family":"Zyoud","given":"Shaher H."},{"family":"Wool","given":"Eve E."},{"family":"Murray","given":"Christopher J. L."}],"issued":{"date-parts":[["2025",10,18]]}}}],"schema":"https://github.com/citation-style-language/schema/raw/master/csl-citation.json"} </w:instrText>
      </w:r>
      <w:r w:rsidR="0033053F">
        <w:rPr>
          <w:rFonts w:ascii="Times New Roman" w:eastAsia="Times New Roman" w:hAnsi="Times New Roman" w:cs="Times New Roman"/>
          <w:sz w:val="24"/>
          <w:szCs w:val="24"/>
        </w:rPr>
        <w:fldChar w:fldCharType="separate"/>
      </w:r>
      <w:r w:rsidR="00777247" w:rsidRPr="00777247">
        <w:rPr>
          <w:rFonts w:ascii="Times New Roman" w:hAnsi="Times New Roman" w:cs="Times New Roman"/>
          <w:sz w:val="24"/>
          <w:vertAlign w:val="superscript"/>
        </w:rPr>
        <w:t>1,2</w:t>
      </w:r>
      <w:r w:rsidR="0033053F">
        <w:rPr>
          <w:rFonts w:ascii="Times New Roman" w:eastAsia="Times New Roman" w:hAnsi="Times New Roman" w:cs="Times New Roman"/>
          <w:sz w:val="24"/>
          <w:szCs w:val="24"/>
        </w:rPr>
        <w:fldChar w:fldCharType="end"/>
      </w:r>
      <w:r w:rsidR="2ADDABCB" w:rsidRPr="225637D3">
        <w:rPr>
          <w:rFonts w:ascii="Times New Roman" w:eastAsia="Times New Roman" w:hAnsi="Times New Roman" w:cs="Times New Roman"/>
          <w:sz w:val="24"/>
          <w:szCs w:val="24"/>
          <w:vertAlign w:val="superscript"/>
        </w:rPr>
        <w:t xml:space="preserve"> </w:t>
      </w:r>
      <w:r w:rsidR="2ADDABCB" w:rsidRPr="225637D3">
        <w:rPr>
          <w:rFonts w:ascii="Times New Roman" w:eastAsia="Times New Roman" w:hAnsi="Times New Roman" w:cs="Times New Roman"/>
          <w:sz w:val="24"/>
          <w:szCs w:val="24"/>
        </w:rPr>
        <w:t>and previous IHME work on antimicrobial resistance</w:t>
      </w:r>
      <w:r w:rsidR="49603B11" w:rsidRPr="225637D3">
        <w:rPr>
          <w:rFonts w:ascii="Times New Roman" w:eastAsia="Times New Roman" w:hAnsi="Times New Roman" w:cs="Times New Roman"/>
          <w:sz w:val="24"/>
          <w:szCs w:val="24"/>
        </w:rPr>
        <w:t>.</w:t>
      </w:r>
      <w:r w:rsidR="0033053F">
        <w:rPr>
          <w:rFonts w:ascii="Times New Roman" w:eastAsia="Times New Roman" w:hAnsi="Times New Roman" w:cs="Times New Roman"/>
          <w:sz w:val="24"/>
          <w:szCs w:val="24"/>
        </w:rPr>
        <w:fldChar w:fldCharType="begin"/>
      </w:r>
      <w:r w:rsidR="00777247">
        <w:rPr>
          <w:rFonts w:ascii="Times New Roman" w:eastAsia="Times New Roman" w:hAnsi="Times New Roman" w:cs="Times New Roman"/>
          <w:sz w:val="24"/>
          <w:szCs w:val="24"/>
        </w:rPr>
        <w:instrText xml:space="preserve"> ADDIN ZOTERO_ITEM CSL_CITATION {"citationID":"v4WybXqc","properties":{"formattedCitation":"\\super 3\\nosupersub{}","plainCitation":"3","noteIndex":0},"citationItems":[{"id":1293,"uris":["http://zotero.org/groups/5889362/items/YYKEV4B6"],"itemData":{"id":1293,"type":"article-journal","container-title":"The Lancet","DOI":"10.1016/S0140-6736(24)01867-1","ISSN":"0140-6736, 1474-547X","issue":"10459","journalAbbreviation":"The Lancet","language":"English","note":"publisher: Elsevier\nPMID: 39299261","page":"1199-1226","source":"www.thelancet.com","title":"Global burden of bacterial antimicrobial resistance 1990–2021: a systematic analysis with forecasts to 2050","title-short":"Global burden of bacterial antimicrobial resistance 1990–2021","volume":"404","author":[{"family":"Naghavi","given":"Mohsen"},{"family":"Vollset","given":"Stein Emil"},{"family":"Ikuta","given":"Kevin S."},{"family":"Swetschinski","given":"Lucien R."},{"family":"Gray","given":"Authia P."},{"family":"Wool","given":"Eve E."},{"family":"Aguilar","given":"Gisela Robles"},{"family":"Mestrovic","given":"Tomislav"},{"family":"Smith","given":"Georgia"},{"family":"Han","given":"Chieh"},{"family":"Hsu","given":"Rebecca L."},{"family":"Chalek","given":"Julian"},{"family":"Araki","given":"Daniel T."},{"family":"Chung","given":"Erin"},{"family":"Raggi","given":"Catalina"},{"family":"Hayoon","given":"Anna Gershberg"},{"family":"Weaver","given":"Nicole Davis"},{"family":"Lindstedt","given":"Paulina A."},{"family":"Smith","given":"Amanda E."},{"family":"Altay","given":"Umut"},{"family":"Bhattacharjee","given":"Natalia V."},{"family":"Giannakis","given":"Konstantinos"},{"family":"Fell","given":"Frederick"},{"family":"McManigal","given":"Barney"},{"family":"Ekapirat","given":"Nattwut"},{"family":"Mendes","given":"Jessica Andretta"},{"family":"Runghien","given":"Tilleye"},{"family":"Srimokla","given":"Oraya"},{"family":"Abdelkader","given":"Atef"},{"family":"Abd-Elsalam","given":"Sherief"},{"family":"Aboagye","given":"Richard Gyan"},{"family":"Abolhassani","given":"Hassan"},{"family":"Abualruz","given":"Hasan"},{"family":"Abubakar","given":"Usman"},{"family":"Abukhadijah","given":"Hana J."},{"family":"Aburuz","given":"Salahdein"},{"family":"Abu-Zaid","given":"Ahmed"},{"family":"Achalapong","given":"Sureerak"},{"family":"Addo","given":"Isaac Yeboah"},{"family":"Adekanmbi","given":"Victor"},{"family":"Adeyeoluwa","given":"Temitayo Esther"},{"family":"Adnani","given":"Qorinah Estiningtyas Sakilah"},{"family":"Adzigbli","given":"Leticia Akua"},{"family":"Afzal","given":"Muhammad Sohail"},{"family":"Afzal","given":"Saira"},{"family":"Agodi","given":"Antonella"},{"family":"Ahlstrom","given":"Austin J."},{"family":"Ahmad","given":"Aqeel"},{"family":"Ahmad","given":"Sajjad"},{"family":"Ahmad","given":"Tauseef"},{"family":"Ahmadi","given":"Ali"},{"family":"Ahmed","given":"Ayman"},{"family":"Ahmed","given":"Haroon"},{"family":"Ahmed","given":"Ibrar"},{"family":"Ahmed","given":"Mohammed"},{"family":"Ahmed","given":"Saeed"},{"family":"Ahmed","given":"Syed Anees"},{"family":"Akkaif","given":"Mohammed Ahmed"},{"family":"Awaidy","given":"Salah Al"},{"family":"Thaher","given":"Yazan Al"},{"family":"Alalalmeh","given":"Samer O."},{"family":"AlBataineh","given":"Mohammad T."},{"family":"Aldhaleei","given":"Wafa A."},{"family":"Al-Gheethi","given":"Adel Ali Saeed"},{"family":"Alhaji","given":"Nma Bida"},{"family":"Ali","given":"Abid"},{"family":"Ali","given":"Liaqat"},{"family":"Ali","given":"Syed Shujait"},{"family":"Ali","given":"Waad"},{"family":"Allel","given":"Kasim"},{"family":"Al-Marwani","given":"Sabah"},{"family":"Alrawashdeh","given":"Ahmad"},{"family":"Altaf","given":"Awais"},{"family":"Al-Tammemi","given":"Alaa B."},{"family":"Al-Tawfiq","given":"Jaffar A."},{"family":"Alzoubi","given":"Karem H."},{"family":"Al-Zyoud","given":"Walid Adnan"},{"family":"Amos","given":"Ben"},{"family":"Amuasi","given":"John H."},{"family":"Ancuceanu","given":"Robert"},{"family":"Andrews","given":"Jason R."},{"family":"Anil","given":"Abhishek"},{"family":"Anuoluwa","given":"Iyadunni Adesola"},{"family":"Anvari","given":"Saeid"},{"family":"Anyasodor","given":"Anayochukwu Edward"},{"family":"Apostol","given":"Geminn Louis Carace"},{"family":"Arabloo","given":"Jalal"},{"family":"Arafat","given":"Mosab"},{"family":"Aravkin","given":"Aleksandr Y."},{"family":"Areda","given":"Demelash"},{"family":"Aremu","given":"Abdulfatai"},{"family":"Artamonov","given":"Anton A."},{"family":"Ashley","given":"Elizabeth A."},{"family":"Asika","given":"Marvellous O."},{"family":"Athari","given":"Seyyed Shamsadin"},{"family":"Atout","given":"Maha Moh'd Wahbi"},{"family":"Awoke","given":"Tewachew"},{"family":"Azadnajafabad","given":"Sina"},{"family":"Azam","given":"James Mba"},{"family":"Aziz","given":"Shahkaar"},{"family":"Azzam","given":"Ahmed Y."},{"family":"Babaei","given":"Mahsa"},{"family":"Babin","given":"Francois-Xavier"},{"family":"Badar","given":"Muhammad"},{"family":"Baig","given":"Atif Amin"},{"family":"Bajcetic","given":"Milica"},{"family":"Baker","given":"Stephen"},{"family":"Bardhan","given":"Mainak"},{"family":"Barqawi","given":"Hiba Jawdat"},{"family":"Basharat","given":"Zarrin"},{"family":"Basiru","given":"Afisu"},{"family":"Bastard","given":"Mathieu"},{"family":"Basu","given":"Saurav"},{"family":"Bayleyegn","given":"Nebiyou Simegnew"},{"family":"Belete","given":"Melaku Ashagrie"},{"family":"Bello","given":"Olorunjuwon Omolaja"},{"family":"Beloukas","given":"Apostolos"},{"family":"Berkley","given":"James A."},{"family":"Bhagavathula","given":"Akshaya Srikanth"},{"family":"Bhaskar","given":"Sonu"},{"family":"Bhuyan","given":"Soumitra S."},{"family":"Bielicki","given":"Julia A."},{"family":"Briko","given":"Nikolay Ivanovich"},{"family":"Brown","given":"Colin Stewart"},{"family":"Browne","given":"Annie J."},{"family":"Buonsenso","given":"Danilo"},{"family":"Bustanji","given":"Yasser"},{"family":"Carvalheiro","given":"Cristina G."},{"family":"Castañeda-Orjuela","given":"Carlos A."},{"family":"Cenderadewi","given":"Muthia"},{"family":"Chadwick","given":"Joshua"},{"family":"Chakraborty","given":"Sandip"},{"family":"Chandika","given":"Rama Mohan"},{"family":"Chandy","given":"Sara"},{"family":"Chansamouth","given":"Vilada"},{"family":"Chattu","given":"Vijay Kumar"},{"family":"Chaudhary","given":"Anis Ahmad"},{"family":"Ching","given":"Patrick R."},{"family":"Chopra","given":"Hitesh"},{"family":"Chowdhury","given":"Fazle Rabbi"},{"family":"Chu","given":"Dinh-Toi"},{"family":"Chutiyami","given":"Muhammad"},{"family":"Cruz-Martins","given":"Natalia"},{"family":"Silva","given":"Alanna Gomes","dropping-particle":"da"},{"family":"Dadras","given":"Omid"},{"family":"Dai","given":"Xiaochen"},{"family":"Darcho","given":"Samuel D."},{"family":"Das","given":"Saswati"},{"family":"Hoz","given":"Fernando Pio De","dropping-particle":"la"},{"family":"Dekker","given":"Denise Myriam"},{"family":"Dhama","given":"Kuldeep"},{"family":"Diaz","given":"Daniel"},{"family":"Dickson","given":"Benjamin Felix Rothschild"},{"family":"Djorie","given":"Serge Ghislain"},{"family":"Dodangeh","given":"Milad"},{"family":"Dohare","given":"Sushil"},{"family":"Dokova","given":"Klara Georgieva"},{"family":"Doshi","given":"Ojas Prakashbhai"},{"family":"Dowou","given":"Robert Kokou"},{"family":"Dsouza","given":"Haneil Larson"},{"family":"Dunachie","given":"Susanna J."},{"family":"Dziedzic","given":"Arkadiusz Marian"},{"family":"Eckmanns","given":"Tim"},{"family":"Ed-Dra","given":"Abdelaziz"},{"family":"Eftekharimehrabad","given":"Aziz"},{"family":"Ekundayo","given":"Temitope Cyrus"},{"family":"Sayed","given":"Iman El"},{"family":"Elhadi","given":"Muhammed"},{"family":"El-Huneidi","given":"Waseem"},{"family":"Elias","given":"Christelle"},{"family":"Ellis","given":"Sally J."},{"family":"Elsheikh","given":"Randa"},{"family":"Elsohaby","given":"Ibrahim"},{"family":"Eltaha","given":"Chadi"},{"family":"Eshrati","given":"Babak"},{"family":"Eslami","given":"Majid"},{"family":"Eyre","given":"David William"},{"family":"Fadaka","given":"Adewale Oluwaseun"},{"family":"Fagbamigbe","given":"Adeniyi Francis"},{"family":"Fahim","given":"Ayesha"},{"family":"Fakhri-Demeshghieh","given":"Aliasghar"},{"family":"Fasina","given":"Folorunso Oludayo"},{"family":"Fasina","given":"Modupe Margaret"},{"family":"Fatehizadeh","given":"Ali"},{"family":"Feasey","given":"Nicholas A."},{"family":"Feizkhah","given":"Alireza"},{"family":"Fekadu","given":"Ginenus"},{"family":"Fischer","given":"Florian"},{"family":"Fitriana","given":"Ida"},{"family":"Forrest","given":"Karen M."},{"family":"Rodrigues","given":"Celia Fortuna"},{"family":"Fuller","given":"John E."},{"family":"Gadanya","given":"Muktar A."},{"family":"Gajdács","given":"Márió"},{"family":"Gandhi","given":"Aravind P."},{"family":"Garcia-Gallo","given":"Esteban E."},{"family":"Garrett","given":"Denise O."},{"family":"Gautam","given":"Rupesh K."},{"family":"Gebregergis","given":"Miglas Welay"},{"family":"Gebrehiwot","given":"Mesfin"},{"family":"Gebremeskel","given":"Teferi Gebru"},{"family":"Geffers","given":"Christine"},{"family":"Georgalis","given":"Leonidas"},{"family":"Ghazy","given":"Ramy Mohamed"},{"family":"Golechha","given":"Mahaveer"},{"family":"Golinelli","given":"Davide"},{"family":"Gordon","given":"Melita"},{"family":"Gulati","given":"Snigdha"},{"family":"Gupta","given":"Rajat Das"},{"family":"Gupta","given":"Sapna"},{"family":"Gupta","given":"Vijai Kumar"},{"family":"Habteyohannes","given":"Awoke Derbie"},{"family":"Haller","given":"Sebastian"},{"family":"Harapan","given":"Harapan"},{"family":"Harrison","given":"Michelle L."},{"family":"Hasaballah","given":"Ahmed I."},{"family":"Hasan","given":"Ikramul"},{"family":"Hasan","given":"Rumina Syeda"},{"family":"Hasani","given":"Hamidreza"},{"family":"Haselbeck","given":"Andrea Haekyung"},{"family":"Hasnain","given":"Md Saquib"},{"family":"Hassan","given":"Ikrama Ibrahim"},{"family":"Hassan","given":"Shoaib"},{"family":"Tabatabaei","given":"Mahgol Sadat Hassan Zadeh"},{"family":"Hayat","given":"Khezar"},{"family":"He","given":"Jiawei"},{"family":"Hegazi","given":"Omar E."},{"family":"Heidari","given":"Mohammad"},{"family":"Hezam","given":"Kamal"},{"family":"Holla","given":"Ramesh"},{"family":"Holm","given":"Marianne"},{"family":"Hopkins","given":"Heidi"},{"family":"Hossain","given":"Md Mahbub"},{"family":"Hosseinzadeh","given":"Mehdi"},{"family":"Hostiuc","given":"Sorin"},{"family":"Hussein","given":"Nawfal R."},{"family":"Huy","given":"Le Duc"},{"family":"Ibáñez-Prada","given":"Elsa D."},{"family":"Ikiroma","given":"Adalia"},{"family":"Ilic","given":"Irena M."},{"family":"Islam","given":"Sheikh Mohammed Shariful"},{"family":"Ismail","given":"Faisal"},{"family":"Ismail","given":"Nahlah Elkudssiah"},{"family":"Iwu","given":"Chidozie Declan"},{"family":"Iwu-Jaja","given":"Chinwe Juliana"},{"family":"Jafarzadeh","given":"Abdollah"},{"family":"Jaiteh","given":"Fatoumatta"},{"family":"Yengejeh","given":"Reza Jalilzadeh"},{"family":"Jamora","given":"Roland Dominic G."},{"family":"Javidnia","given":"Javad"},{"family":"Jawaid","given":"Talha"},{"family":"Jenney","given":"Adam W. J."},{"family":"Jeon","given":"Hyon Jin"},{"family":"Jokar","given":"Mohammad"},{"family":"Jomehzadeh","given":"Nabi"},{"family":"Joo","given":"Tamas"},{"family":"Joseph","given":"Nitin"},{"family":"Kamal","given":"Zul"},{"family":"Kanmodi","given":"Kehinde Kazeem"},{"family":"Kantar","given":"Rami S."},{"family":"Kapisi","given":"James Apollo"},{"family":"Karaye","given":"Ibraheem M."},{"family":"Khader","given":"Yousef Saleh"},{"family":"Khajuria","given":"Himanshu"},{"family":"Khalid","given":"Nauman"},{"family":"Khamesipour","given":"Faham"},{"family":"Khan","given":"Ajmal"},{"family":"Khan","given":"Mohammad Jobair"},{"family":"Khan","given":"Muhammad Tariq"},{"family":"Khanal","given":"Vishnu"},{"family":"Khidri","given":"Feriha Fatima"},{"family":"Khubchandani","given":"Jagdish"},{"family":"Khusuwan","given":"Suwimon"},{"family":"Kim","given":"Min Seo"},{"family":"Kisa","given":"Adnan"},{"family":"Korshunov","given":"Vladimir Andreevich"},{"family":"Krapp","given":"Fiorella"},{"family":"Krumkamp","given":"Ralf"},{"family":"Kuddus","given":"Mohammed"},{"family":"Kulimbet","given":"Mukhtar"},{"family":"Kumar","given":"Dewesh"},{"family":"Kumaran","given":"Emmanuelle A. P."},{"family":"Kuttikkattu","given":"Ambily"},{"family":"Kyu","given":"Hmwe Hmwe"},{"family":"Landires","given":"Iván"},{"family":"Lawal","given":"Basira Kankia"},{"family":"Le","given":"Thao Thi Thu"},{"family":"Lederer","given":"Ingeborg Maria"},{"family":"Lee","given":"Munjae"},{"family":"Lee","given":"Seung Won"},{"family":"Lepape","given":"Alain"},{"family":"Lerango","given":"Temesgen Leka"},{"family":"Ligade","given":"Virendra S."},{"family":"Lim","given":"Cherry"},{"family":"Lim","given":"Stephen S."},{"family":"Limenh","given":"Liknaw Workie"},{"family":"Liu","given":"Chaojie"},{"family":"Liu","given":"Xiaofeng"},{"family":"Liu","given":"Xuefeng"},{"family":"Loftus","given":"Michael J."},{"family":"Amin","given":"Hawraz Ibrahim M."},{"family":"Maass","given":"Kelsey Lynn"},{"family":"Maharaj","given":"Sandeep B."},{"family":"Mahmoud","given":"Mansour Adam"},{"family":"Maikanti-Charalampous","given":"Panagiota"},{"family":"Makram","given":"Omar M."},{"family":"Malhotra","given":"Kashish"},{"family":"Malik","given":"Ahmad Azam"},{"family":"Mandilara","given":"Georgia D."},{"family":"Marks","given":"Florian"},{"family":"Martinez-Guerra","given":"Bernardo Alfonso"},{"family":"Martorell","given":"Miquel"},{"family":"Masoumi-Asl","given":"Hossein"},{"family":"Mathioudakis","given":"Alexander G."},{"family":"May","given":"Juergen"},{"family":"McHugh","given":"Theresa A."},{"family":"Meiring","given":"James"},{"family":"Meles","given":"Hadush Negash"},{"family":"Melese","given":"Addisu"},{"family":"Melese","given":"Endalkachew Belayneh"},{"family":"Minervini","given":"Giuseppe"},{"family":"Mohamed","given":"Nouh Saad"},{"family":"Mohammed","given":"Shafiu"},{"family":"Mohan","given":"Syam"},{"family":"Mokdad","given":"Ali H."},{"family":"Monasta","given":"Lorenzo"},{"family":"Ghalibaf","given":"AmirAli Moodi"},{"family":"Moore","given":"Catrin E."},{"family":"Moradi","given":"Yousef"},{"family":"Mossialos","given":"Elias"},{"family":"Mougin","given":"Vincent"},{"family":"Mukoro","given":"George Duke"},{"family":"Mulita","given":"Francesk"},{"family":"Muller-Pebody","given":"Berit"},{"family":"Murillo-Zamora","given":"Efren"},{"family":"Musa","given":"Sani"},{"family":"Musicha","given":"Patrick"},{"family":"Musila","given":"Lillian A."},{"family":"Muthupandian","given":"Saravanan"},{"family":"Nagarajan","given":"Ahamarshan Jayaraman"},{"family":"Naghavi","given":"Pirouz"},{"family":"Nainu","given":"Firzan"},{"family":"Nair","given":"Tapas Sadasivan"},{"family":"Najmuldeen","given":"Hastyar Hama Rashid"},{"family":"Natto","given":"Zuhair S."},{"family":"Nauman","given":"Javaid"},{"family":"Nayak","given":"Biswa Prakash"},{"family":"Nchanji","given":"G. Takop"},{"family":"Ndishimye","given":"Pacifique"},{"family":"Negoi","given":"Ionut"},{"family":"Negoi","given":"Ruxandra Irina"},{"family":"Nejadghaderi","given":"Seyed Aria"},{"family":"Nguyen","given":"QuynhAnh P."},{"family":"Noman","given":"Efaq Ali"},{"family":"Nwakanma","given":"Davis C."},{"family":"O'Brien","given":"Seamus"},{"family":"Ochoa","given":"Theresa J."},{"family":"Odetokun","given":"Ismail A."},{"family":"Ogundijo","given":"Oluwaseun Adeolu"},{"family":"Ojo-Akosile","given":"Tolulope R."},{"family":"Okeke","given":"Sylvester Reuben"},{"family":"Okonji","given":"Osaretin Christabel"},{"family":"Olagunju","given":"Andrew T."},{"family":"Olivas-Martinez","given":"Antonio"},{"family":"Olorukooba","given":"Abdulhakeem Abayomi"},{"family":"Olwoch","given":"Peter"},{"family":"Onyedibe","given":"Kenneth Ikenna"},{"family":"Ortiz-Brizuela","given":"Edgar"},{"family":"Osuolale","given":"Olayinka"},{"family":"Ounchanum","given":"Pradthana"},{"family":"Oyeyemi","given":"Oyetunde T."},{"family":"A","given":"Mahesh Padukudru P."},{"family":"Paredes","given":"Jose L."},{"family":"Parikh","given":"Romil R."},{"family":"Patel","given":"Jay"},{"family":"Patil","given":"Shankargouda"},{"family":"Pawar","given":"Shrikant"},{"family":"Peleg","given":"Anton Y."},{"family":"Peprah","given":"Prince"},{"family":"Perdigão","given":"João"},{"family":"Perrone","given":"Carlo"},{"family":"Petcu","given":"Ionela-Roxana"},{"family":"Phommasone","given":"Koukeo"},{"family":"Piracha","given":"Zahra Zahid"},{"family":"Poddighe","given":"Dimitri"},{"family":"Pollard","given":"Andrew J."},{"family":"Poluru","given":"Ramesh"},{"family":"Ponce-De-Leon","given":"Alfredo"},{"family":"Puvvula","given":"Jagadeesh"},{"family":"Qamar","given":"Farah Naz"},{"family":"Qasim","given":"Nameer Hashim"},{"family":"Rafai","given":"Clotaire Donatien"},{"family":"Raghav","given":"Pankaja"},{"family":"Rahbarnia","given":"Leila"},{"family":"Rahim","given":"Fakher"},{"family":"Rahimi-Movaghar","given":"Vafa"},{"family":"Rahman","given":"Mosiur"},{"family":"Rahman","given":"Muhammad Aziz"},{"family":"Ramadan","given":"Hazem"},{"family":"Ramasamy","given":"Shakthi Kumaran"},{"family":"Ramesh","given":"Pushkal Sinduvadi"},{"family":"Ramteke","given":"Pramod W."},{"family":"Rana","given":"Rishabh Kumar"},{"family":"Rani","given":"Usha"},{"family":"Rashidi","given":"Mohammad-Mahdi"},{"family":"Rathish","given":"Devarajan"},{"family":"Rattanavong","given":"Sayaphet"},{"family":"Rawaf","given":"Salman"},{"family":"Redwan","given":"Elrashdy Moustafa Mohamed"},{"family":"Reyes","given":"Luis Felipe"},{"family":"Roberts","given":"Tamalee"},{"family":"Robotham","given":"Julie V."},{"family":"Rosenthal","given":"Victor Daniel"},{"family":"Ross","given":"Allen Guy"},{"family":"Roy","given":"Nitai"},{"family":"Rudd","given":"Kristina E."},{"family":"Sabet","given":"Cameron John"},{"family":"Saddik","given":"Basema Ahmad"},{"family":"Saeb","given":"Mohammad Reza"},{"family":"Saeed","given":"Umar"},{"family":"Moghaddam","given":"Sahar Saeedi"},{"family":"Saengchan","given":"Weeravoot"},{"family":"Safaei","given":"Mohsen"},{"family":"Saghazadeh","given":"Amene"},{"family":"Sharif-Askari","given":"Narjes Saheb"},{"family":"Sahebkar","given":"Amirhossein"},{"family":"Sahoo","given":"Soumya Swaroop"},{"family":"Sahu","given":"Maitreyi"},{"family":"Saki","given":"Morteza"},{"family":"Salam","given":"Nasir"},{"family":"Saleem","given":"Zikria"},{"family":"Saleh","given":"Mohamed A."},{"family":"Samodra","given":"Yoseph Leonardo"},{"family":"Samy","given":"Abdallah M."},{"family":"Saravanan","given":"Aswini"},{"family":"Satpathy","given":"Maheswar"},{"family":"Schumacher","given":"Austin E."},{"family":"Sedighi","given":"Mansour"},{"family":"Seekaew","given":"Samroeng"},{"family":"Shafie","given":"Mahan"},{"family":"Shah","given":"Pritik A."},{"family":"Shahid","given":"Samiah"},{"family":"Shahwan","given":"Moyad Jamal"},{"family":"Shakoor","given":"Sadia"},{"family":"Shalev","given":"Noga"},{"family":"Shamim","given":"Muhammad Aaqib"},{"family":"Shamshirgaran","given":"Mohammad Ali"},{"family":"Shamsi","given":"Anas"},{"family":"Sharifan","given":"Amin"},{"family":"Shastry","given":"Rajesh P."},{"family":"Shetty","given":"Mahabalesh"},{"family":"Shittu","given":"Aminu"},{"family":"Shrestha","given":"Sunil"},{"family":"Siddig","given":"Emmanuel Edwar"},{"family":"Sideroglou","given":"Theologia"},{"family":"Sifuentes-Osornio","given":"Jose"},{"family":"Silva","given":"Luís Manuel Lopes Rodrigues"},{"family":"Simões","given":"Eric A. F."},{"family":"Simpson","given":"Andrew J. H."},{"family":"Singh","given":"Amit"},{"family":"Singh","given":"Surjit"},{"family":"Sinto","given":"Robert"},{"family":"Soliman","given":"Sameh S. M."},{"family":"Soraneh","given":"Soroush"},{"family":"Stoesser","given":"Nicole"},{"family":"Stoeva","given":"Temenuga Zhekova"},{"family":"Swain","given":"Chandan Kumar"},{"family":"Szarpak","given":"Lukasz"},{"family":"Y","given":"Sree Sudha T."},{"family":"Tabatabai","given":"Shima"},{"family":"Tabche","given":"Celine"},{"family":"Taha","given":"Zanan Mohammed-Ameen"},{"family":"Tan","given":"Ker-Kan"},{"family":"Tasak","given":"Nidanuch"},{"family":"Tat","given":"Nathan Y."},{"family":"Thaiprakong","given":"Areerat"},{"family":"Thangaraju","given":"Pugazhenthan"},{"family":"Tigoi","given":"Caroline Chepngeno"},{"family":"Tiwari","given":"Krishna"},{"family":"Tovani-Palone","given":"Marcos Roberto"},{"family":"Tran","given":"Thang Huu"},{"family":"Tumurkhuu","given":"Munkhtuya"},{"family":"Turner","given":"Paul"},{"family":"Udoakang","given":"Aniefiok John"},{"family":"Udoh","given":"Arit"},{"family":"Ullah","given":"Noor"},{"family":"Ullah","given":"Saeed"},{"family":"Vaithinathan","given":"Asokan Govindaraj"},{"family":"Valenti","given":"Mario"},{"family":"Vos","given":"Theo"},{"family":"Vu","given":"Huong T. L."},{"family":"Waheed","given":"Yasir"},{"family":"Walker","given":"Ann Sarah"},{"family":"Walson","given":"Judd L."},{"family":"Wangrangsimakul","given":"Tri"},{"family":"Weerakoon","given":"Kosala Gayan"},{"family":"Wertheim","given":"Heiman F. L."},{"family":"Williams","given":"Phoebe C. M."},{"family":"Wolde","given":"Asrat Arja"},{"family":"Wozniak","given":"Teresa M."},{"family":"Wu","given":"Felicia"},{"family":"Wu","given":"Zenghong"},{"family":"Yadav","given":"Mukesh Kumar Kumar"},{"family":"Yaghoubi","given":"Sajad"},{"family":"Yahaya","given":"Zwanden Sule"},{"family":"Yarahmadi","given":"Amir"},{"family":"Yezli","given":"Saber"},{"family":"Yismaw","given":"Yazachew Engida"},{"family":"Yon","given":"Dong Keon"},{"family":"Yuan","given":"Chun-Wei"},{"family":"Yusuf","given":"Hadiza"},{"family":"Zakham","given":"Fathiah"},{"family":"Zamagni","given":"Giulia"},{"family":"Zhang","given":"Haijun"},{"family":"Zhang","given":"Zhi-Jiang"},{"family":"Zielińska","given":"Magdalena"},{"family":"Zumla","given":"Alimuddin"},{"family":"Zyoud","given":"Sa'ed H. H."},{"family":"Zyoud","given":"Samer H."},{"family":"Hay","given":"Simon I."},{"family":"Stergachis","given":"Andy"},{"family":"Sartorius","given":"Benn"},{"family":"Cooper","given":"Ben S."},{"family":"Dolecek","given":"Christiane"},{"family":"Murray","given":"Christopher J. L."}],"issued":{"date-parts":[["2024",9,28]]}}}],"schema":"https://github.com/citation-style-language/schema/raw/master/csl-citation.json"} </w:instrText>
      </w:r>
      <w:r w:rsidR="0033053F">
        <w:rPr>
          <w:rFonts w:ascii="Times New Roman" w:eastAsia="Times New Roman" w:hAnsi="Times New Roman" w:cs="Times New Roman"/>
          <w:sz w:val="24"/>
          <w:szCs w:val="24"/>
        </w:rPr>
        <w:fldChar w:fldCharType="separate"/>
      </w:r>
      <w:r w:rsidR="00777247" w:rsidRPr="00777247">
        <w:rPr>
          <w:rFonts w:ascii="Times New Roman" w:hAnsi="Times New Roman" w:cs="Times New Roman"/>
          <w:sz w:val="24"/>
          <w:vertAlign w:val="superscript"/>
        </w:rPr>
        <w:t>3</w:t>
      </w:r>
      <w:r w:rsidR="0033053F">
        <w:rPr>
          <w:rFonts w:ascii="Times New Roman" w:eastAsia="Times New Roman" w:hAnsi="Times New Roman" w:cs="Times New Roman"/>
          <w:sz w:val="24"/>
          <w:szCs w:val="24"/>
        </w:rPr>
        <w:fldChar w:fldCharType="end"/>
      </w:r>
    </w:p>
    <w:p w14:paraId="5333D183" w14:textId="31D35BC2" w:rsidR="7EEF912B" w:rsidRDefault="7EEF912B" w:rsidP="7EEF912B"/>
    <w:p w14:paraId="5C0A46BB" w14:textId="1148A01E" w:rsidR="003F678F" w:rsidRDefault="003F678F">
      <w:pPr>
        <w:rPr>
          <w:rFonts w:asciiTheme="majorHAnsi" w:eastAsiaTheme="majorEastAsia" w:hAnsiTheme="majorHAnsi" w:cstheme="majorBidi"/>
          <w:color w:val="2F5496" w:themeColor="accent1" w:themeShade="BF"/>
          <w:sz w:val="26"/>
          <w:szCs w:val="26"/>
        </w:rPr>
      </w:pPr>
      <w:r>
        <w:br w:type="page"/>
      </w:r>
    </w:p>
    <w:sdt>
      <w:sdtPr>
        <w:rPr>
          <w:rFonts w:asciiTheme="minorHAnsi" w:eastAsiaTheme="minorEastAsia" w:hAnsiTheme="minorHAnsi" w:cstheme="minorBidi"/>
          <w:i/>
          <w:iCs/>
          <w:color w:val="auto"/>
          <w:sz w:val="24"/>
          <w:szCs w:val="24"/>
        </w:rPr>
        <w:id w:val="1998444405"/>
        <w:docPartObj>
          <w:docPartGallery w:val="Table of Contents"/>
          <w:docPartUnique/>
        </w:docPartObj>
      </w:sdtPr>
      <w:sdtContent>
        <w:p w14:paraId="6CC13A04" w14:textId="6B153B3A" w:rsidR="004E55CB" w:rsidRDefault="004E55CB">
          <w:pPr>
            <w:pStyle w:val="TOCHeading"/>
          </w:pPr>
          <w:r>
            <w:t>Table of Contents</w:t>
          </w:r>
        </w:p>
        <w:p w14:paraId="61EB5675" w14:textId="05F683F1" w:rsidR="00F91F31" w:rsidRDefault="002E410E">
          <w:pPr>
            <w:pStyle w:val="TOC1"/>
            <w:rPr>
              <w:rFonts w:eastAsiaTheme="minorEastAsia" w:cstheme="minorBidi"/>
              <w:b w:val="0"/>
              <w:bCs w:val="0"/>
              <w:i w:val="0"/>
              <w:iCs w:val="0"/>
              <w:noProof/>
              <w:kern w:val="2"/>
              <w14:ligatures w14:val="standardContextual"/>
            </w:rPr>
          </w:pPr>
          <w:r>
            <w:fldChar w:fldCharType="begin"/>
          </w:r>
          <w:r w:rsidR="00C65081">
            <w:instrText>TOC \o "1-3" \z \u \h</w:instrText>
          </w:r>
          <w:r>
            <w:fldChar w:fldCharType="separate"/>
          </w:r>
          <w:hyperlink w:anchor="_Toc213357080" w:history="1">
            <w:r w:rsidR="00F91F31" w:rsidRPr="00170798">
              <w:rPr>
                <w:rStyle w:val="Hyperlink"/>
                <w:noProof/>
              </w:rPr>
              <w:t>Appendix 1:</w:t>
            </w:r>
            <w:r w:rsidR="00F91F31" w:rsidRPr="00170798">
              <w:rPr>
                <w:rStyle w:val="Hyperlink"/>
                <w:noProof/>
                <w:lang w:val="en"/>
              </w:rPr>
              <w:t xml:space="preserve"> </w:t>
            </w:r>
            <w:r w:rsidR="00F91F31" w:rsidRPr="00170798">
              <w:rPr>
                <w:rStyle w:val="Hyperlink"/>
                <w:noProof/>
              </w:rPr>
              <w:t>Methods Appendix for “Global burden of meningitis, its risk factors, and aetiologies, 1990–2023: results from the Global Burden of Disease Study 2023”</w:t>
            </w:r>
            <w:r w:rsidR="00F91F31">
              <w:rPr>
                <w:noProof/>
                <w:webHidden/>
              </w:rPr>
              <w:tab/>
            </w:r>
            <w:r w:rsidR="00F91F31">
              <w:rPr>
                <w:noProof/>
                <w:webHidden/>
              </w:rPr>
              <w:fldChar w:fldCharType="begin"/>
            </w:r>
            <w:r w:rsidR="00F91F31">
              <w:rPr>
                <w:noProof/>
                <w:webHidden/>
              </w:rPr>
              <w:instrText xml:space="preserve"> PAGEREF _Toc213357080 \h </w:instrText>
            </w:r>
            <w:r w:rsidR="00F91F31">
              <w:rPr>
                <w:noProof/>
                <w:webHidden/>
              </w:rPr>
            </w:r>
            <w:r w:rsidR="00F91F31">
              <w:rPr>
                <w:noProof/>
                <w:webHidden/>
              </w:rPr>
              <w:fldChar w:fldCharType="separate"/>
            </w:r>
            <w:r w:rsidR="00F91F31">
              <w:rPr>
                <w:noProof/>
                <w:webHidden/>
              </w:rPr>
              <w:t>1</w:t>
            </w:r>
            <w:r w:rsidR="00F91F31">
              <w:rPr>
                <w:noProof/>
                <w:webHidden/>
              </w:rPr>
              <w:fldChar w:fldCharType="end"/>
            </w:r>
          </w:hyperlink>
        </w:p>
        <w:p w14:paraId="1C60C3C9" w14:textId="22AF61C3" w:rsidR="00F91F31" w:rsidRDefault="00F91F31">
          <w:pPr>
            <w:pStyle w:val="TOC1"/>
            <w:rPr>
              <w:rFonts w:eastAsiaTheme="minorEastAsia" w:cstheme="minorBidi"/>
              <w:b w:val="0"/>
              <w:bCs w:val="0"/>
              <w:i w:val="0"/>
              <w:iCs w:val="0"/>
              <w:noProof/>
              <w:kern w:val="2"/>
              <w14:ligatures w14:val="standardContextual"/>
            </w:rPr>
          </w:pPr>
          <w:hyperlink w:anchor="_Toc213357081" w:history="1">
            <w:r w:rsidRPr="00170798">
              <w:rPr>
                <w:rStyle w:val="Hyperlink"/>
                <w:noProof/>
              </w:rPr>
              <w:t>Methods</w:t>
            </w:r>
            <w:r>
              <w:rPr>
                <w:noProof/>
                <w:webHidden/>
              </w:rPr>
              <w:tab/>
            </w:r>
            <w:r>
              <w:rPr>
                <w:noProof/>
                <w:webHidden/>
              </w:rPr>
              <w:fldChar w:fldCharType="begin"/>
            </w:r>
            <w:r>
              <w:rPr>
                <w:noProof/>
                <w:webHidden/>
              </w:rPr>
              <w:instrText xml:space="preserve"> PAGEREF _Toc213357081 \h </w:instrText>
            </w:r>
            <w:r>
              <w:rPr>
                <w:noProof/>
                <w:webHidden/>
              </w:rPr>
            </w:r>
            <w:r>
              <w:rPr>
                <w:noProof/>
                <w:webHidden/>
              </w:rPr>
              <w:fldChar w:fldCharType="separate"/>
            </w:r>
            <w:r>
              <w:rPr>
                <w:noProof/>
                <w:webHidden/>
              </w:rPr>
              <w:t>3</w:t>
            </w:r>
            <w:r>
              <w:rPr>
                <w:noProof/>
                <w:webHidden/>
              </w:rPr>
              <w:fldChar w:fldCharType="end"/>
            </w:r>
          </w:hyperlink>
        </w:p>
        <w:p w14:paraId="4743C478" w14:textId="4CAB008C" w:rsidR="00F91F31" w:rsidRDefault="00F91F31">
          <w:pPr>
            <w:pStyle w:val="TOC3"/>
            <w:rPr>
              <w:rFonts w:eastAsiaTheme="minorEastAsia" w:cstheme="minorBidi"/>
              <w:noProof/>
              <w:kern w:val="2"/>
              <w:sz w:val="24"/>
              <w:szCs w:val="24"/>
              <w14:ligatures w14:val="standardContextual"/>
            </w:rPr>
          </w:pPr>
          <w:hyperlink w:anchor="_Toc213357082" w:history="1">
            <w:r w:rsidRPr="00170798">
              <w:rPr>
                <w:rStyle w:val="Hyperlink"/>
                <w:noProof/>
              </w:rPr>
              <w:t>Region Classification</w:t>
            </w:r>
            <w:r>
              <w:rPr>
                <w:noProof/>
                <w:webHidden/>
              </w:rPr>
              <w:tab/>
            </w:r>
            <w:r>
              <w:rPr>
                <w:noProof/>
                <w:webHidden/>
              </w:rPr>
              <w:fldChar w:fldCharType="begin"/>
            </w:r>
            <w:r>
              <w:rPr>
                <w:noProof/>
                <w:webHidden/>
              </w:rPr>
              <w:instrText xml:space="preserve"> PAGEREF _Toc213357082 \h </w:instrText>
            </w:r>
            <w:r>
              <w:rPr>
                <w:noProof/>
                <w:webHidden/>
              </w:rPr>
            </w:r>
            <w:r>
              <w:rPr>
                <w:noProof/>
                <w:webHidden/>
              </w:rPr>
              <w:fldChar w:fldCharType="separate"/>
            </w:r>
            <w:r>
              <w:rPr>
                <w:noProof/>
                <w:webHidden/>
              </w:rPr>
              <w:t>3</w:t>
            </w:r>
            <w:r>
              <w:rPr>
                <w:noProof/>
                <w:webHidden/>
              </w:rPr>
              <w:fldChar w:fldCharType="end"/>
            </w:r>
          </w:hyperlink>
        </w:p>
        <w:p w14:paraId="0DD51041" w14:textId="6E3DBC69" w:rsidR="00F91F31" w:rsidRDefault="00F91F31">
          <w:pPr>
            <w:pStyle w:val="TOC1"/>
            <w:rPr>
              <w:rFonts w:eastAsiaTheme="minorEastAsia" w:cstheme="minorBidi"/>
              <w:b w:val="0"/>
              <w:bCs w:val="0"/>
              <w:i w:val="0"/>
              <w:iCs w:val="0"/>
              <w:noProof/>
              <w:kern w:val="2"/>
              <w14:ligatures w14:val="standardContextual"/>
            </w:rPr>
          </w:pPr>
          <w:hyperlink w:anchor="_Toc213357083" w:history="1">
            <w:r w:rsidRPr="00170798">
              <w:rPr>
                <w:rStyle w:val="Hyperlink"/>
                <w:noProof/>
              </w:rPr>
              <w:t>Case Definition</w:t>
            </w:r>
            <w:r>
              <w:rPr>
                <w:noProof/>
                <w:webHidden/>
              </w:rPr>
              <w:tab/>
            </w:r>
            <w:r>
              <w:rPr>
                <w:noProof/>
                <w:webHidden/>
              </w:rPr>
              <w:fldChar w:fldCharType="begin"/>
            </w:r>
            <w:r>
              <w:rPr>
                <w:noProof/>
                <w:webHidden/>
              </w:rPr>
              <w:instrText xml:space="preserve"> PAGEREF _Toc213357083 \h </w:instrText>
            </w:r>
            <w:r>
              <w:rPr>
                <w:noProof/>
                <w:webHidden/>
              </w:rPr>
            </w:r>
            <w:r>
              <w:rPr>
                <w:noProof/>
                <w:webHidden/>
              </w:rPr>
              <w:fldChar w:fldCharType="separate"/>
            </w:r>
            <w:r>
              <w:rPr>
                <w:noProof/>
                <w:webHidden/>
              </w:rPr>
              <w:t>4</w:t>
            </w:r>
            <w:r>
              <w:rPr>
                <w:noProof/>
                <w:webHidden/>
              </w:rPr>
              <w:fldChar w:fldCharType="end"/>
            </w:r>
          </w:hyperlink>
        </w:p>
        <w:p w14:paraId="41DD4D3A" w14:textId="1D77FE5D" w:rsidR="00F91F31" w:rsidRDefault="00F91F31">
          <w:pPr>
            <w:pStyle w:val="TOC1"/>
            <w:rPr>
              <w:rFonts w:eastAsiaTheme="minorEastAsia" w:cstheme="minorBidi"/>
              <w:b w:val="0"/>
              <w:bCs w:val="0"/>
              <w:i w:val="0"/>
              <w:iCs w:val="0"/>
              <w:noProof/>
              <w:kern w:val="2"/>
              <w14:ligatures w14:val="standardContextual"/>
            </w:rPr>
          </w:pPr>
          <w:hyperlink w:anchor="_Toc213357084" w:history="1">
            <w:r w:rsidRPr="00170798">
              <w:rPr>
                <w:rStyle w:val="Hyperlink"/>
                <w:noProof/>
              </w:rPr>
              <w:t>Modelling fatal meningitis</w:t>
            </w:r>
            <w:r>
              <w:rPr>
                <w:noProof/>
                <w:webHidden/>
              </w:rPr>
              <w:tab/>
            </w:r>
            <w:r>
              <w:rPr>
                <w:noProof/>
                <w:webHidden/>
              </w:rPr>
              <w:fldChar w:fldCharType="begin"/>
            </w:r>
            <w:r>
              <w:rPr>
                <w:noProof/>
                <w:webHidden/>
              </w:rPr>
              <w:instrText xml:space="preserve"> PAGEREF _Toc213357084 \h </w:instrText>
            </w:r>
            <w:r>
              <w:rPr>
                <w:noProof/>
                <w:webHidden/>
              </w:rPr>
            </w:r>
            <w:r>
              <w:rPr>
                <w:noProof/>
                <w:webHidden/>
              </w:rPr>
              <w:fldChar w:fldCharType="separate"/>
            </w:r>
            <w:r>
              <w:rPr>
                <w:noProof/>
                <w:webHidden/>
              </w:rPr>
              <w:t>4</w:t>
            </w:r>
            <w:r>
              <w:rPr>
                <w:noProof/>
                <w:webHidden/>
              </w:rPr>
              <w:fldChar w:fldCharType="end"/>
            </w:r>
          </w:hyperlink>
        </w:p>
        <w:p w14:paraId="61E88C13" w14:textId="233126D5" w:rsidR="00F91F31" w:rsidRDefault="00F91F31">
          <w:pPr>
            <w:pStyle w:val="TOC2"/>
            <w:rPr>
              <w:rFonts w:eastAsiaTheme="minorEastAsia" w:cstheme="minorBidi"/>
              <w:b w:val="0"/>
              <w:bCs w:val="0"/>
              <w:noProof/>
              <w:kern w:val="2"/>
              <w:sz w:val="24"/>
              <w:szCs w:val="24"/>
              <w14:ligatures w14:val="standardContextual"/>
            </w:rPr>
          </w:pPr>
          <w:hyperlink w:anchor="_Toc213357085" w:history="1">
            <w:r w:rsidRPr="00170798">
              <w:rPr>
                <w:rStyle w:val="Hyperlink"/>
                <w:rFonts w:ascii="Calibri Light" w:eastAsia="Calibri Light" w:hAnsi="Calibri Light" w:cs="Calibri Light"/>
                <w:noProof/>
              </w:rPr>
              <w:t>Flowchart</w:t>
            </w:r>
            <w:r>
              <w:rPr>
                <w:noProof/>
                <w:webHidden/>
              </w:rPr>
              <w:tab/>
            </w:r>
            <w:r>
              <w:rPr>
                <w:noProof/>
                <w:webHidden/>
              </w:rPr>
              <w:fldChar w:fldCharType="begin"/>
            </w:r>
            <w:r>
              <w:rPr>
                <w:noProof/>
                <w:webHidden/>
              </w:rPr>
              <w:instrText xml:space="preserve"> PAGEREF _Toc213357085 \h </w:instrText>
            </w:r>
            <w:r>
              <w:rPr>
                <w:noProof/>
                <w:webHidden/>
              </w:rPr>
            </w:r>
            <w:r>
              <w:rPr>
                <w:noProof/>
                <w:webHidden/>
              </w:rPr>
              <w:fldChar w:fldCharType="separate"/>
            </w:r>
            <w:r>
              <w:rPr>
                <w:noProof/>
                <w:webHidden/>
              </w:rPr>
              <w:t>5</w:t>
            </w:r>
            <w:r>
              <w:rPr>
                <w:noProof/>
                <w:webHidden/>
              </w:rPr>
              <w:fldChar w:fldCharType="end"/>
            </w:r>
          </w:hyperlink>
        </w:p>
        <w:p w14:paraId="3152A539" w14:textId="633608C8" w:rsidR="00F91F31" w:rsidRDefault="00F91F31">
          <w:pPr>
            <w:pStyle w:val="TOC2"/>
            <w:rPr>
              <w:rFonts w:eastAsiaTheme="minorEastAsia" w:cstheme="minorBidi"/>
              <w:b w:val="0"/>
              <w:bCs w:val="0"/>
              <w:noProof/>
              <w:kern w:val="2"/>
              <w:sz w:val="24"/>
              <w:szCs w:val="24"/>
              <w14:ligatures w14:val="standardContextual"/>
            </w:rPr>
          </w:pPr>
          <w:hyperlink w:anchor="_Toc213357086" w:history="1">
            <w:r w:rsidRPr="00170798">
              <w:rPr>
                <w:rStyle w:val="Hyperlink"/>
                <w:rFonts w:ascii="Calibri Light" w:eastAsia="Calibri Light" w:hAnsi="Calibri Light" w:cs="Calibri Light"/>
                <w:noProof/>
              </w:rPr>
              <w:t>Input Data and Methodological Summary for Meningitis</w:t>
            </w:r>
            <w:r>
              <w:rPr>
                <w:noProof/>
                <w:webHidden/>
              </w:rPr>
              <w:tab/>
            </w:r>
            <w:r>
              <w:rPr>
                <w:noProof/>
                <w:webHidden/>
              </w:rPr>
              <w:fldChar w:fldCharType="begin"/>
            </w:r>
            <w:r>
              <w:rPr>
                <w:noProof/>
                <w:webHidden/>
              </w:rPr>
              <w:instrText xml:space="preserve"> PAGEREF _Toc213357086 \h </w:instrText>
            </w:r>
            <w:r>
              <w:rPr>
                <w:noProof/>
                <w:webHidden/>
              </w:rPr>
            </w:r>
            <w:r>
              <w:rPr>
                <w:noProof/>
                <w:webHidden/>
              </w:rPr>
              <w:fldChar w:fldCharType="separate"/>
            </w:r>
            <w:r>
              <w:rPr>
                <w:noProof/>
                <w:webHidden/>
              </w:rPr>
              <w:t>5</w:t>
            </w:r>
            <w:r>
              <w:rPr>
                <w:noProof/>
                <w:webHidden/>
              </w:rPr>
              <w:fldChar w:fldCharType="end"/>
            </w:r>
          </w:hyperlink>
        </w:p>
        <w:p w14:paraId="4A9939E6" w14:textId="1A92593F" w:rsidR="00F91F31" w:rsidRDefault="00F91F31">
          <w:pPr>
            <w:pStyle w:val="TOC3"/>
            <w:rPr>
              <w:rFonts w:eastAsiaTheme="minorEastAsia" w:cstheme="minorBidi"/>
              <w:noProof/>
              <w:kern w:val="2"/>
              <w:sz w:val="24"/>
              <w:szCs w:val="24"/>
              <w14:ligatures w14:val="standardContextual"/>
            </w:rPr>
          </w:pPr>
          <w:hyperlink w:anchor="_Toc213357087" w:history="1">
            <w:r w:rsidRPr="00170798">
              <w:rPr>
                <w:rStyle w:val="Hyperlink"/>
                <w:rFonts w:ascii="Calibri Light" w:eastAsia="Calibri Light" w:hAnsi="Calibri Light" w:cs="Calibri Light"/>
                <w:noProof/>
              </w:rPr>
              <w:t>Modelling strategy</w:t>
            </w:r>
            <w:r>
              <w:rPr>
                <w:noProof/>
                <w:webHidden/>
              </w:rPr>
              <w:tab/>
            </w:r>
            <w:r>
              <w:rPr>
                <w:noProof/>
                <w:webHidden/>
              </w:rPr>
              <w:fldChar w:fldCharType="begin"/>
            </w:r>
            <w:r>
              <w:rPr>
                <w:noProof/>
                <w:webHidden/>
              </w:rPr>
              <w:instrText xml:space="preserve"> PAGEREF _Toc213357087 \h </w:instrText>
            </w:r>
            <w:r>
              <w:rPr>
                <w:noProof/>
                <w:webHidden/>
              </w:rPr>
            </w:r>
            <w:r>
              <w:rPr>
                <w:noProof/>
                <w:webHidden/>
              </w:rPr>
              <w:fldChar w:fldCharType="separate"/>
            </w:r>
            <w:r>
              <w:rPr>
                <w:noProof/>
                <w:webHidden/>
              </w:rPr>
              <w:t>5</w:t>
            </w:r>
            <w:r>
              <w:rPr>
                <w:noProof/>
                <w:webHidden/>
              </w:rPr>
              <w:fldChar w:fldCharType="end"/>
            </w:r>
          </w:hyperlink>
        </w:p>
        <w:p w14:paraId="734EFD40" w14:textId="0B06975E" w:rsidR="00F91F31" w:rsidRDefault="00F91F31">
          <w:pPr>
            <w:pStyle w:val="TOC1"/>
            <w:rPr>
              <w:rFonts w:eastAsiaTheme="minorEastAsia" w:cstheme="minorBidi"/>
              <w:b w:val="0"/>
              <w:bCs w:val="0"/>
              <w:i w:val="0"/>
              <w:iCs w:val="0"/>
              <w:noProof/>
              <w:kern w:val="2"/>
              <w14:ligatures w14:val="standardContextual"/>
            </w:rPr>
          </w:pPr>
          <w:hyperlink w:anchor="_Toc213357088" w:history="1">
            <w:r w:rsidRPr="00170798">
              <w:rPr>
                <w:rStyle w:val="Hyperlink"/>
                <w:noProof/>
              </w:rPr>
              <w:t>Non-fatal Meningitis Modeling</w:t>
            </w:r>
            <w:r>
              <w:rPr>
                <w:noProof/>
                <w:webHidden/>
              </w:rPr>
              <w:tab/>
            </w:r>
            <w:r>
              <w:rPr>
                <w:noProof/>
                <w:webHidden/>
              </w:rPr>
              <w:fldChar w:fldCharType="begin"/>
            </w:r>
            <w:r>
              <w:rPr>
                <w:noProof/>
                <w:webHidden/>
              </w:rPr>
              <w:instrText xml:space="preserve"> PAGEREF _Toc213357088 \h </w:instrText>
            </w:r>
            <w:r>
              <w:rPr>
                <w:noProof/>
                <w:webHidden/>
              </w:rPr>
            </w:r>
            <w:r>
              <w:rPr>
                <w:noProof/>
                <w:webHidden/>
              </w:rPr>
              <w:fldChar w:fldCharType="separate"/>
            </w:r>
            <w:r>
              <w:rPr>
                <w:noProof/>
                <w:webHidden/>
              </w:rPr>
              <w:t>7</w:t>
            </w:r>
            <w:r>
              <w:rPr>
                <w:noProof/>
                <w:webHidden/>
              </w:rPr>
              <w:fldChar w:fldCharType="end"/>
            </w:r>
          </w:hyperlink>
        </w:p>
        <w:p w14:paraId="38567224" w14:textId="1AE1F0DF" w:rsidR="00F91F31" w:rsidRDefault="00F91F31">
          <w:pPr>
            <w:pStyle w:val="TOC1"/>
            <w:rPr>
              <w:rFonts w:eastAsiaTheme="minorEastAsia" w:cstheme="minorBidi"/>
              <w:b w:val="0"/>
              <w:bCs w:val="0"/>
              <w:i w:val="0"/>
              <w:iCs w:val="0"/>
              <w:noProof/>
              <w:kern w:val="2"/>
              <w14:ligatures w14:val="standardContextual"/>
            </w:rPr>
          </w:pPr>
          <w:hyperlink w:anchor="_Toc213357089" w:history="1">
            <w:r w:rsidRPr="00170798">
              <w:rPr>
                <w:rStyle w:val="Hyperlink"/>
                <w:noProof/>
              </w:rPr>
              <w:t>Aetiology Estimation</w:t>
            </w:r>
            <w:r>
              <w:rPr>
                <w:noProof/>
                <w:webHidden/>
              </w:rPr>
              <w:tab/>
            </w:r>
            <w:r>
              <w:rPr>
                <w:noProof/>
                <w:webHidden/>
              </w:rPr>
              <w:fldChar w:fldCharType="begin"/>
            </w:r>
            <w:r>
              <w:rPr>
                <w:noProof/>
                <w:webHidden/>
              </w:rPr>
              <w:instrText xml:space="preserve"> PAGEREF _Toc213357089 \h </w:instrText>
            </w:r>
            <w:r>
              <w:rPr>
                <w:noProof/>
                <w:webHidden/>
              </w:rPr>
            </w:r>
            <w:r>
              <w:rPr>
                <w:noProof/>
                <w:webHidden/>
              </w:rPr>
              <w:fldChar w:fldCharType="separate"/>
            </w:r>
            <w:r>
              <w:rPr>
                <w:noProof/>
                <w:webHidden/>
              </w:rPr>
              <w:t>15</w:t>
            </w:r>
            <w:r>
              <w:rPr>
                <w:noProof/>
                <w:webHidden/>
              </w:rPr>
              <w:fldChar w:fldCharType="end"/>
            </w:r>
          </w:hyperlink>
        </w:p>
        <w:p w14:paraId="6765AC83" w14:textId="4DE117F6" w:rsidR="00F91F31" w:rsidRDefault="00F91F31">
          <w:pPr>
            <w:pStyle w:val="TOC1"/>
            <w:rPr>
              <w:rFonts w:eastAsiaTheme="minorEastAsia" w:cstheme="minorBidi"/>
              <w:b w:val="0"/>
              <w:bCs w:val="0"/>
              <w:i w:val="0"/>
              <w:iCs w:val="0"/>
              <w:noProof/>
              <w:kern w:val="2"/>
              <w14:ligatures w14:val="standardContextual"/>
            </w:rPr>
          </w:pPr>
          <w:hyperlink w:anchor="_Toc213357090" w:history="1">
            <w:r w:rsidRPr="00170798">
              <w:rPr>
                <w:rStyle w:val="Hyperlink"/>
                <w:noProof/>
              </w:rPr>
              <w:t>Risk Factor Estimation</w:t>
            </w:r>
            <w:r>
              <w:rPr>
                <w:noProof/>
                <w:webHidden/>
              </w:rPr>
              <w:tab/>
            </w:r>
            <w:r>
              <w:rPr>
                <w:noProof/>
                <w:webHidden/>
              </w:rPr>
              <w:fldChar w:fldCharType="begin"/>
            </w:r>
            <w:r>
              <w:rPr>
                <w:noProof/>
                <w:webHidden/>
              </w:rPr>
              <w:instrText xml:space="preserve"> PAGEREF _Toc213357090 \h </w:instrText>
            </w:r>
            <w:r>
              <w:rPr>
                <w:noProof/>
                <w:webHidden/>
              </w:rPr>
            </w:r>
            <w:r>
              <w:rPr>
                <w:noProof/>
                <w:webHidden/>
              </w:rPr>
              <w:fldChar w:fldCharType="separate"/>
            </w:r>
            <w:r>
              <w:rPr>
                <w:noProof/>
                <w:webHidden/>
              </w:rPr>
              <w:t>39</w:t>
            </w:r>
            <w:r>
              <w:rPr>
                <w:noProof/>
                <w:webHidden/>
              </w:rPr>
              <w:fldChar w:fldCharType="end"/>
            </w:r>
          </w:hyperlink>
        </w:p>
        <w:p w14:paraId="42980AD6" w14:textId="58945D7A" w:rsidR="00F91F31" w:rsidRDefault="00F91F31">
          <w:pPr>
            <w:pStyle w:val="TOC2"/>
            <w:rPr>
              <w:rFonts w:eastAsiaTheme="minorEastAsia" w:cstheme="minorBidi"/>
              <w:b w:val="0"/>
              <w:bCs w:val="0"/>
              <w:noProof/>
              <w:kern w:val="2"/>
              <w:sz w:val="24"/>
              <w:szCs w:val="24"/>
              <w14:ligatures w14:val="standardContextual"/>
            </w:rPr>
          </w:pPr>
          <w:hyperlink w:anchor="_Toc213357091" w:history="1">
            <w:r w:rsidRPr="00170798">
              <w:rPr>
                <w:rStyle w:val="Hyperlink"/>
                <w:noProof/>
              </w:rPr>
              <w:t>Ambient particulate matter pollution</w:t>
            </w:r>
            <w:r>
              <w:rPr>
                <w:noProof/>
                <w:webHidden/>
              </w:rPr>
              <w:tab/>
            </w:r>
            <w:r>
              <w:rPr>
                <w:noProof/>
                <w:webHidden/>
              </w:rPr>
              <w:fldChar w:fldCharType="begin"/>
            </w:r>
            <w:r>
              <w:rPr>
                <w:noProof/>
                <w:webHidden/>
              </w:rPr>
              <w:instrText xml:space="preserve"> PAGEREF _Toc213357091 \h </w:instrText>
            </w:r>
            <w:r>
              <w:rPr>
                <w:noProof/>
                <w:webHidden/>
              </w:rPr>
            </w:r>
            <w:r>
              <w:rPr>
                <w:noProof/>
                <w:webHidden/>
              </w:rPr>
              <w:fldChar w:fldCharType="separate"/>
            </w:r>
            <w:r>
              <w:rPr>
                <w:noProof/>
                <w:webHidden/>
              </w:rPr>
              <w:t>40</w:t>
            </w:r>
            <w:r>
              <w:rPr>
                <w:noProof/>
                <w:webHidden/>
              </w:rPr>
              <w:fldChar w:fldCharType="end"/>
            </w:r>
          </w:hyperlink>
        </w:p>
        <w:p w14:paraId="5DE48723" w14:textId="10D2E4AF" w:rsidR="00F91F31" w:rsidRDefault="00F91F31">
          <w:pPr>
            <w:pStyle w:val="TOC2"/>
            <w:rPr>
              <w:rFonts w:eastAsiaTheme="minorEastAsia" w:cstheme="minorBidi"/>
              <w:b w:val="0"/>
              <w:bCs w:val="0"/>
              <w:noProof/>
              <w:kern w:val="2"/>
              <w:sz w:val="24"/>
              <w:szCs w:val="24"/>
              <w14:ligatures w14:val="standardContextual"/>
            </w:rPr>
          </w:pPr>
          <w:hyperlink w:anchor="_Toc213357092" w:history="1">
            <w:r w:rsidRPr="00170798">
              <w:rPr>
                <w:rStyle w:val="Hyperlink"/>
                <w:noProof/>
              </w:rPr>
              <w:t>Household Air Pollution</w:t>
            </w:r>
            <w:r>
              <w:rPr>
                <w:noProof/>
                <w:webHidden/>
              </w:rPr>
              <w:tab/>
            </w:r>
            <w:r>
              <w:rPr>
                <w:noProof/>
                <w:webHidden/>
              </w:rPr>
              <w:fldChar w:fldCharType="begin"/>
            </w:r>
            <w:r>
              <w:rPr>
                <w:noProof/>
                <w:webHidden/>
              </w:rPr>
              <w:instrText xml:space="preserve"> PAGEREF _Toc213357092 \h </w:instrText>
            </w:r>
            <w:r>
              <w:rPr>
                <w:noProof/>
                <w:webHidden/>
              </w:rPr>
            </w:r>
            <w:r>
              <w:rPr>
                <w:noProof/>
                <w:webHidden/>
              </w:rPr>
              <w:fldChar w:fldCharType="separate"/>
            </w:r>
            <w:r>
              <w:rPr>
                <w:noProof/>
                <w:webHidden/>
              </w:rPr>
              <w:t>56</w:t>
            </w:r>
            <w:r>
              <w:rPr>
                <w:noProof/>
                <w:webHidden/>
              </w:rPr>
              <w:fldChar w:fldCharType="end"/>
            </w:r>
          </w:hyperlink>
        </w:p>
        <w:p w14:paraId="232129ED" w14:textId="457D480C" w:rsidR="00F91F31" w:rsidRDefault="00F91F31">
          <w:pPr>
            <w:pStyle w:val="TOC2"/>
            <w:rPr>
              <w:rFonts w:eastAsiaTheme="minorEastAsia" w:cstheme="minorBidi"/>
              <w:b w:val="0"/>
              <w:bCs w:val="0"/>
              <w:noProof/>
              <w:kern w:val="2"/>
              <w:sz w:val="24"/>
              <w:szCs w:val="24"/>
              <w14:ligatures w14:val="standardContextual"/>
            </w:rPr>
          </w:pPr>
          <w:hyperlink w:anchor="_Toc213357093" w:history="1">
            <w:r w:rsidRPr="00170798">
              <w:rPr>
                <w:rStyle w:val="Hyperlink"/>
                <w:noProof/>
              </w:rPr>
              <w:t>Low birthweight and short gestation</w:t>
            </w:r>
            <w:r>
              <w:rPr>
                <w:noProof/>
                <w:webHidden/>
              </w:rPr>
              <w:tab/>
            </w:r>
            <w:r>
              <w:rPr>
                <w:noProof/>
                <w:webHidden/>
              </w:rPr>
              <w:fldChar w:fldCharType="begin"/>
            </w:r>
            <w:r>
              <w:rPr>
                <w:noProof/>
                <w:webHidden/>
              </w:rPr>
              <w:instrText xml:space="preserve"> PAGEREF _Toc213357093 \h </w:instrText>
            </w:r>
            <w:r>
              <w:rPr>
                <w:noProof/>
                <w:webHidden/>
              </w:rPr>
            </w:r>
            <w:r>
              <w:rPr>
                <w:noProof/>
                <w:webHidden/>
              </w:rPr>
              <w:fldChar w:fldCharType="separate"/>
            </w:r>
            <w:r>
              <w:rPr>
                <w:noProof/>
                <w:webHidden/>
              </w:rPr>
              <w:t>63</w:t>
            </w:r>
            <w:r>
              <w:rPr>
                <w:noProof/>
                <w:webHidden/>
              </w:rPr>
              <w:fldChar w:fldCharType="end"/>
            </w:r>
          </w:hyperlink>
        </w:p>
        <w:p w14:paraId="4A522544" w14:textId="612E9098" w:rsidR="00F91F31" w:rsidRDefault="00F91F31">
          <w:pPr>
            <w:pStyle w:val="TOC1"/>
            <w:rPr>
              <w:rFonts w:eastAsiaTheme="minorEastAsia" w:cstheme="minorBidi"/>
              <w:b w:val="0"/>
              <w:bCs w:val="0"/>
              <w:i w:val="0"/>
              <w:iCs w:val="0"/>
              <w:noProof/>
              <w:kern w:val="2"/>
              <w14:ligatures w14:val="standardContextual"/>
            </w:rPr>
          </w:pPr>
          <w:hyperlink w:anchor="_Toc213357094" w:history="1">
            <w:r w:rsidRPr="00170798">
              <w:rPr>
                <w:rStyle w:val="Hyperlink"/>
                <w:noProof/>
              </w:rPr>
              <w:t>Statement of GATHER Compliance</w:t>
            </w:r>
            <w:r>
              <w:rPr>
                <w:noProof/>
                <w:webHidden/>
              </w:rPr>
              <w:tab/>
            </w:r>
            <w:r>
              <w:rPr>
                <w:noProof/>
                <w:webHidden/>
              </w:rPr>
              <w:fldChar w:fldCharType="begin"/>
            </w:r>
            <w:r>
              <w:rPr>
                <w:noProof/>
                <w:webHidden/>
              </w:rPr>
              <w:instrText xml:space="preserve"> PAGEREF _Toc213357094 \h </w:instrText>
            </w:r>
            <w:r>
              <w:rPr>
                <w:noProof/>
                <w:webHidden/>
              </w:rPr>
            </w:r>
            <w:r>
              <w:rPr>
                <w:noProof/>
                <w:webHidden/>
              </w:rPr>
              <w:fldChar w:fldCharType="separate"/>
            </w:r>
            <w:r>
              <w:rPr>
                <w:noProof/>
                <w:webHidden/>
              </w:rPr>
              <w:t>75</w:t>
            </w:r>
            <w:r>
              <w:rPr>
                <w:noProof/>
                <w:webHidden/>
              </w:rPr>
              <w:fldChar w:fldCharType="end"/>
            </w:r>
          </w:hyperlink>
        </w:p>
        <w:p w14:paraId="4C6C7612" w14:textId="627473B3" w:rsidR="00F91F31" w:rsidRDefault="00F91F31">
          <w:pPr>
            <w:pStyle w:val="TOC1"/>
            <w:rPr>
              <w:rFonts w:eastAsiaTheme="minorEastAsia" w:cstheme="minorBidi"/>
              <w:b w:val="0"/>
              <w:bCs w:val="0"/>
              <w:i w:val="0"/>
              <w:iCs w:val="0"/>
              <w:noProof/>
              <w:kern w:val="2"/>
              <w14:ligatures w14:val="standardContextual"/>
            </w:rPr>
          </w:pPr>
          <w:hyperlink w:anchor="_Toc213357095" w:history="1">
            <w:r w:rsidRPr="00170798">
              <w:rPr>
                <w:rStyle w:val="Hyperlink"/>
                <w:noProof/>
              </w:rPr>
              <w:t>References</w:t>
            </w:r>
            <w:r>
              <w:rPr>
                <w:noProof/>
                <w:webHidden/>
              </w:rPr>
              <w:tab/>
            </w:r>
            <w:r>
              <w:rPr>
                <w:noProof/>
                <w:webHidden/>
              </w:rPr>
              <w:fldChar w:fldCharType="begin"/>
            </w:r>
            <w:r>
              <w:rPr>
                <w:noProof/>
                <w:webHidden/>
              </w:rPr>
              <w:instrText xml:space="preserve"> PAGEREF _Toc213357095 \h </w:instrText>
            </w:r>
            <w:r>
              <w:rPr>
                <w:noProof/>
                <w:webHidden/>
              </w:rPr>
            </w:r>
            <w:r>
              <w:rPr>
                <w:noProof/>
                <w:webHidden/>
              </w:rPr>
              <w:fldChar w:fldCharType="separate"/>
            </w:r>
            <w:r>
              <w:rPr>
                <w:noProof/>
                <w:webHidden/>
              </w:rPr>
              <w:t>77</w:t>
            </w:r>
            <w:r>
              <w:rPr>
                <w:noProof/>
                <w:webHidden/>
              </w:rPr>
              <w:fldChar w:fldCharType="end"/>
            </w:r>
          </w:hyperlink>
        </w:p>
        <w:p w14:paraId="0700ADBA" w14:textId="77FA7E9B" w:rsidR="002E410E" w:rsidRDefault="002E410E" w:rsidP="7DF1BB67">
          <w:pPr>
            <w:pStyle w:val="TOC1"/>
            <w:tabs>
              <w:tab w:val="clear" w:pos="9350"/>
              <w:tab w:val="right" w:leader="dot" w:pos="9345"/>
            </w:tabs>
            <w:rPr>
              <w:rStyle w:val="Hyperlink"/>
              <w:noProof/>
              <w:kern w:val="2"/>
              <w14:ligatures w14:val="standardContextual"/>
            </w:rPr>
          </w:pPr>
          <w:r>
            <w:fldChar w:fldCharType="end"/>
          </w:r>
        </w:p>
      </w:sdtContent>
    </w:sdt>
    <w:p w14:paraId="302ECFE2" w14:textId="40156228" w:rsidR="00C65081" w:rsidRDefault="00C65081" w:rsidP="2C7FAE65">
      <w:pPr>
        <w:pStyle w:val="TOC2"/>
        <w:tabs>
          <w:tab w:val="clear" w:pos="9350"/>
          <w:tab w:val="right" w:leader="dot" w:pos="9345"/>
        </w:tabs>
        <w:rPr>
          <w:rStyle w:val="Hyperlink"/>
          <w:noProof/>
          <w:kern w:val="2"/>
          <w14:ligatures w14:val="standardContextual"/>
        </w:rPr>
      </w:pPr>
    </w:p>
    <w:p w14:paraId="7854AAB2" w14:textId="7D770B5C" w:rsidR="00150DCC" w:rsidRDefault="00150DCC" w:rsidP="002A0B57">
      <w:pPr>
        <w:pStyle w:val="TOC2"/>
        <w:rPr>
          <w:rStyle w:val="Hyperlink"/>
          <w:noProof/>
        </w:rPr>
      </w:pPr>
    </w:p>
    <w:p w14:paraId="4BDB940D" w14:textId="632578FB" w:rsidR="004E55CB" w:rsidRDefault="004E55CB"/>
    <w:p w14:paraId="6FF9A895" w14:textId="30EECB1C" w:rsidR="00A7440E" w:rsidRDefault="00A7440E"/>
    <w:p w14:paraId="7B14D6D8" w14:textId="5E20B63C" w:rsidR="624EA952" w:rsidRDefault="624EA952" w:rsidP="624EA952"/>
    <w:p w14:paraId="36692178" w14:textId="72D12A13" w:rsidR="007C3CCD" w:rsidRDefault="2ED53CB8" w:rsidP="00292416">
      <w:pPr>
        <w:ind w:firstLine="720"/>
      </w:pPr>
      <w:r>
        <w:tab/>
      </w:r>
      <w:r w:rsidR="38E44A2F">
        <w:t xml:space="preserve"> </w:t>
      </w:r>
    </w:p>
    <w:p w14:paraId="305EE27D" w14:textId="77777777" w:rsidR="00292416" w:rsidRDefault="00292416">
      <w:pPr>
        <w:rPr>
          <w:rFonts w:asciiTheme="majorHAnsi" w:eastAsiaTheme="majorEastAsia" w:hAnsiTheme="majorHAnsi" w:cstheme="majorBidi"/>
          <w:color w:val="2F5496" w:themeColor="accent1" w:themeShade="BF"/>
          <w:sz w:val="26"/>
          <w:szCs w:val="26"/>
        </w:rPr>
      </w:pPr>
      <w:r>
        <w:br w:type="page"/>
      </w:r>
    </w:p>
    <w:p w14:paraId="7EEB0C06" w14:textId="334C9A11" w:rsidR="0BB36B9D" w:rsidRPr="008C2C5F" w:rsidRDefault="69BC74A6" w:rsidP="00844D4A">
      <w:pPr>
        <w:pStyle w:val="Heading1"/>
        <w:rPr>
          <w:rFonts w:ascii="Calibri Light" w:hAnsi="Calibri Light"/>
        </w:rPr>
      </w:pPr>
      <w:bookmarkStart w:id="1" w:name="_Toc129079614"/>
      <w:bookmarkStart w:id="2" w:name="_Toc213357081"/>
      <w:r>
        <w:t>Methods</w:t>
      </w:r>
      <w:bookmarkEnd w:id="1"/>
      <w:bookmarkEnd w:id="2"/>
    </w:p>
    <w:p w14:paraId="78773CB1" w14:textId="7FBA9939" w:rsidR="00AC4FC7" w:rsidRPr="00A7440E" w:rsidRDefault="005C68D1" w:rsidP="00AC4FC7">
      <w:pPr>
        <w:pStyle w:val="Heading3"/>
        <w:rPr>
          <w:rStyle w:val="SubtleEmphasis"/>
          <w:i w:val="0"/>
          <w:iCs w:val="0"/>
          <w:color w:val="1F3763" w:themeColor="accent1" w:themeShade="7F"/>
        </w:rPr>
      </w:pPr>
      <w:bookmarkStart w:id="3" w:name="_Toc213357082"/>
      <w:bookmarkStart w:id="4" w:name="_Toc129079615"/>
      <w:r>
        <w:rPr>
          <w:rStyle w:val="SubtleEmphasis"/>
          <w:i w:val="0"/>
          <w:iCs w:val="0"/>
          <w:color w:val="1F3763"/>
        </w:rPr>
        <w:t>Region Classification</w:t>
      </w:r>
      <w:bookmarkEnd w:id="3"/>
    </w:p>
    <w:p w14:paraId="3EFC71BD" w14:textId="2987F173" w:rsidR="002A0B57" w:rsidRDefault="005C68D1" w:rsidP="00AC4FC7">
      <w:pPr>
        <w:rPr>
          <w:rFonts w:ascii="Calibri" w:eastAsia="Calibri" w:hAnsi="Calibri" w:cs="Calibri"/>
        </w:rPr>
      </w:pPr>
      <w:r>
        <w:rPr>
          <w:rFonts w:ascii="Calibri" w:eastAsia="Calibri" w:hAnsi="Calibri" w:cs="Calibri"/>
        </w:rPr>
        <w:t>Regions</w:t>
      </w:r>
      <w:r w:rsidR="002A0B57">
        <w:rPr>
          <w:rFonts w:ascii="Calibri" w:eastAsia="Calibri" w:hAnsi="Calibri" w:cs="Calibri"/>
        </w:rPr>
        <w:t xml:space="preserve"> and super-regions</w:t>
      </w:r>
      <w:r>
        <w:rPr>
          <w:rFonts w:ascii="Calibri" w:eastAsia="Calibri" w:hAnsi="Calibri" w:cs="Calibri"/>
        </w:rPr>
        <w:t xml:space="preserve"> are classified as described in the GBD 2010 capstone paper, </w:t>
      </w:r>
      <w:r w:rsidR="0026535C">
        <w:rPr>
          <w:rFonts w:ascii="Calibri" w:eastAsia="Calibri" w:hAnsi="Calibri" w:cs="Calibri"/>
        </w:rPr>
        <w:t>appendix, page 6.</w:t>
      </w:r>
      <w:r w:rsidR="00BD3E2E">
        <w:rPr>
          <w:rFonts w:ascii="Calibri" w:eastAsia="Calibri" w:hAnsi="Calibri" w:cs="Calibri"/>
        </w:rPr>
        <w:fldChar w:fldCharType="begin"/>
      </w:r>
      <w:r w:rsidR="00777247">
        <w:rPr>
          <w:rFonts w:ascii="Calibri" w:eastAsia="Calibri" w:hAnsi="Calibri" w:cs="Calibri"/>
        </w:rPr>
        <w:instrText xml:space="preserve"> ADDIN ZOTERO_ITEM CSL_CITATION {"citationID":"2YF72mlC","properties":{"formattedCitation":"\\super 4\\nosupersub{}","plainCitation":"4","noteIndex":0},"citationItems":[{"id":1354,"uris":["http://zotero.org/groups/5889358/items/64F5FUGT"],"itemData":{"id":1354,"type":"article-journal","container-title":"The Lancet","DOI":"10.1016/S0140-6736(12)61899-6","ISSN":"0140-6736, 1474-547X","issue":"9859","journalAbbreviation":"The Lancet","language":"English","note":"publisher: Elsevier\nPMID: 23245602","page":"2063-2066","source":"www.thelancet.com","title":"GBD 2010: design, definitions, and metrics","title-short":"GBD 2010","volume":"380","author":[{"family":"Murray","given":"Christopher JL"},{"family":"Ezzati","given":"Majid"},{"family":"Flaxman","given":"Abraham D."},{"family":"Lim","given":"Stephen"},{"family":"Lozano","given":"Rafael"},{"family":"Michaud","given":"Catherine"},{"family":"Naghavi","given":"Mohsen"},{"family":"Salomon","given":"Joshua A."},{"family":"Shibuya","given":"Kenji"},{"family":"Vos","given":"Theo"},{"family":"Wikler","given":"Daniel"},{"family":"Lopez","given":"Alan D."}],"issued":{"date-parts":[["2012",12,15]]}}}],"schema":"https://github.com/citation-style-language/schema/raw/master/csl-citation.json"} </w:instrText>
      </w:r>
      <w:r w:rsidR="00BD3E2E">
        <w:rPr>
          <w:rFonts w:ascii="Calibri" w:eastAsia="Calibri" w:hAnsi="Calibri" w:cs="Calibri"/>
        </w:rPr>
        <w:fldChar w:fldCharType="separate"/>
      </w:r>
      <w:r w:rsidR="00777247" w:rsidRPr="00777247">
        <w:rPr>
          <w:rFonts w:ascii="Calibri" w:hAnsi="Calibri" w:cs="Calibri"/>
          <w:vertAlign w:val="superscript"/>
        </w:rPr>
        <w:t>4</w:t>
      </w:r>
      <w:r w:rsidR="00BD3E2E">
        <w:rPr>
          <w:rFonts w:ascii="Calibri" w:eastAsia="Calibri" w:hAnsi="Calibri" w:cs="Calibri"/>
        </w:rPr>
        <w:fldChar w:fldCharType="end"/>
      </w:r>
      <w:r w:rsidR="0026535C">
        <w:rPr>
          <w:rFonts w:ascii="Calibri" w:eastAsia="Calibri" w:hAnsi="Calibri" w:cs="Calibri"/>
        </w:rPr>
        <w:t xml:space="preserve"> </w:t>
      </w:r>
      <w:r w:rsidR="009A1E06">
        <w:rPr>
          <w:rFonts w:ascii="Calibri" w:eastAsia="Calibri" w:hAnsi="Calibri" w:cs="Calibri"/>
        </w:rPr>
        <w:t xml:space="preserve">A copy of </w:t>
      </w:r>
      <w:r w:rsidR="002A0B57">
        <w:rPr>
          <w:rFonts w:ascii="Calibri" w:eastAsia="Calibri" w:hAnsi="Calibri" w:cs="Calibri"/>
        </w:rPr>
        <w:t>Web Figure 2 from that study’s appendix is provided below.</w:t>
      </w:r>
    </w:p>
    <w:p w14:paraId="1E181646" w14:textId="53E20C5D" w:rsidR="002A0B57" w:rsidRPr="00C949DD" w:rsidRDefault="002A0B57" w:rsidP="002A0B57">
      <w:pPr>
        <w:pStyle w:val="Heading4"/>
        <w:rPr>
          <w:rStyle w:val="SubtleEmphasis"/>
          <w:i/>
          <w:iCs/>
          <w:color w:val="2F5496" w:themeColor="accent1" w:themeShade="BF"/>
        </w:rPr>
      </w:pPr>
      <w:r w:rsidRPr="00C949DD">
        <w:rPr>
          <w:rStyle w:val="SubtleEmphasis"/>
          <w:i/>
          <w:iCs/>
          <w:color w:val="2F5496" w:themeColor="accent1" w:themeShade="BF"/>
        </w:rPr>
        <w:t xml:space="preserve">Appendix Figure 1: </w:t>
      </w:r>
      <w:r>
        <w:rPr>
          <w:rStyle w:val="SubtleEmphasis"/>
          <w:i/>
          <w:iCs/>
          <w:color w:val="2F5496" w:themeColor="accent1" w:themeShade="BF"/>
        </w:rPr>
        <w:t>GBD regions and super-regions</w:t>
      </w:r>
      <w:r w:rsidRPr="00C949DD">
        <w:rPr>
          <w:rStyle w:val="SubtleEmphasis"/>
          <w:i/>
          <w:iCs/>
          <w:color w:val="2F5496" w:themeColor="accent1" w:themeShade="BF"/>
        </w:rPr>
        <w:t xml:space="preserve"> </w:t>
      </w:r>
    </w:p>
    <w:p w14:paraId="11603E0D" w14:textId="6C95842C" w:rsidR="00AC4FC7" w:rsidRPr="002C0377" w:rsidRDefault="009A1E06" w:rsidP="00AC4FC7">
      <w:pPr>
        <w:rPr>
          <w:rFonts w:ascii="Calibri" w:hAnsi="Calibri" w:cs="Times New Roman"/>
        </w:rPr>
      </w:pPr>
      <w:r w:rsidRPr="009A1E06">
        <w:rPr>
          <w:rFonts w:ascii="Calibri" w:eastAsia="Calibri" w:hAnsi="Calibri" w:cs="Calibri"/>
          <w:noProof/>
        </w:rPr>
        <w:drawing>
          <wp:inline distT="0" distB="0" distL="0" distR="0" wp14:anchorId="6981C07C" wp14:editId="31C2387A">
            <wp:extent cx="5362851" cy="3914976"/>
            <wp:effectExtent l="0" t="0" r="9525" b="9525"/>
            <wp:docPr id="556983965" name="Picture 556983965" descr="A map of the world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983965" name="Picture 1" descr="A map of the world with different colors&#10;&#10;Description automatically generated"/>
                    <pic:cNvPicPr/>
                  </pic:nvPicPr>
                  <pic:blipFill>
                    <a:blip r:embed="rId11"/>
                    <a:stretch>
                      <a:fillRect/>
                    </a:stretch>
                  </pic:blipFill>
                  <pic:spPr>
                    <a:xfrm>
                      <a:off x="0" y="0"/>
                      <a:ext cx="5362851" cy="3914976"/>
                    </a:xfrm>
                    <a:prstGeom prst="rect">
                      <a:avLst/>
                    </a:prstGeom>
                  </pic:spPr>
                </pic:pic>
              </a:graphicData>
            </a:graphic>
          </wp:inline>
        </w:drawing>
      </w:r>
    </w:p>
    <w:p w14:paraId="52081491" w14:textId="3B8EB244" w:rsidR="00C65081" w:rsidRDefault="00C65081">
      <w:pPr>
        <w:rPr>
          <w:rStyle w:val="SubtleEmphasis"/>
          <w:rFonts w:asciiTheme="majorHAnsi" w:eastAsiaTheme="majorEastAsia" w:hAnsiTheme="majorHAnsi" w:cstheme="majorBidi"/>
          <w:i w:val="0"/>
          <w:iCs w:val="0"/>
          <w:color w:val="1F3763"/>
          <w:sz w:val="24"/>
          <w:szCs w:val="24"/>
        </w:rPr>
      </w:pPr>
      <w:r>
        <w:rPr>
          <w:rStyle w:val="SubtleEmphasis"/>
          <w:i w:val="0"/>
          <w:iCs w:val="0"/>
          <w:color w:val="1F3763"/>
        </w:rPr>
        <w:br w:type="page"/>
      </w:r>
    </w:p>
    <w:p w14:paraId="7A7B5821" w14:textId="77777777" w:rsidR="0033641C" w:rsidRPr="0033641C" w:rsidRDefault="0033641C" w:rsidP="0033641C">
      <w:pPr>
        <w:pStyle w:val="Heading1"/>
        <w:rPr>
          <w:color w:val="404040" w:themeColor="text1" w:themeTint="BF"/>
        </w:rPr>
      </w:pPr>
      <w:bookmarkStart w:id="5" w:name="_Toc129098734"/>
      <w:bookmarkStart w:id="6" w:name="_Toc213357083"/>
      <w:bookmarkStart w:id="7" w:name="_Toc129079621"/>
      <w:bookmarkEnd w:id="4"/>
      <w:r w:rsidRPr="0033641C">
        <w:t>Case Definition</w:t>
      </w:r>
      <w:bookmarkEnd w:id="5"/>
      <w:bookmarkEnd w:id="6"/>
    </w:p>
    <w:p w14:paraId="1AC31DB4" w14:textId="77777777" w:rsidR="00FD58EF" w:rsidRDefault="00FD58EF" w:rsidP="00334652">
      <w:pPr>
        <w:pStyle w:val="BodyText"/>
      </w:pPr>
      <w:bookmarkStart w:id="8" w:name="_Toc129079616"/>
      <w:bookmarkStart w:id="9" w:name="_Toc129098735"/>
      <w:r w:rsidRPr="00FD58EF">
        <w:t>Meningitis is a disease caused by inflammation of the meninges, the protective membrane surrounding the brain and spinal cord, and is typically caused by an infection in the cerebrospinal fluid. Symptoms include headache, fever, stiff neck, and sometimes seizures. Included in the GBD modelling were cases meeting ICD-10 diagnostic criteria for meningitis due to bacteria or viruses (A39-A39.9, A87-A87.9, G00.0-G00.8, and G00-G03.0).  </w:t>
      </w:r>
    </w:p>
    <w:p w14:paraId="49D41815" w14:textId="77777777" w:rsidR="0033641C" w:rsidRPr="0033641C" w:rsidRDefault="0033641C" w:rsidP="0033641C">
      <w:pPr>
        <w:pStyle w:val="Heading1"/>
      </w:pPr>
      <w:bookmarkStart w:id="10" w:name="_Toc129079617"/>
      <w:bookmarkStart w:id="11" w:name="_Toc129098736"/>
      <w:bookmarkStart w:id="12" w:name="_Toc213357084"/>
      <w:bookmarkEnd w:id="8"/>
      <w:bookmarkEnd w:id="9"/>
      <w:r>
        <w:t>Modelling fatal meningitis</w:t>
      </w:r>
      <w:bookmarkEnd w:id="10"/>
      <w:bookmarkEnd w:id="11"/>
      <w:bookmarkEnd w:id="12"/>
      <w:r>
        <w:t xml:space="preserve"> </w:t>
      </w:r>
    </w:p>
    <w:p w14:paraId="76BB7639" w14:textId="5191F636" w:rsidR="0033641C" w:rsidRDefault="0033641C" w:rsidP="21C4AC11">
      <w:pPr>
        <w:pStyle w:val="Heading2"/>
        <w:rPr>
          <w:rFonts w:ascii="Calibri Light" w:eastAsia="Calibri Light" w:hAnsi="Calibri Light" w:cs="Calibri Light"/>
          <w:color w:val="2E74B5" w:themeColor="accent5" w:themeShade="BF"/>
        </w:rPr>
      </w:pPr>
      <w:r w:rsidRPr="21C4AC11">
        <w:rPr>
          <w:rFonts w:asciiTheme="minorHAnsi" w:eastAsiaTheme="minorEastAsia" w:hAnsiTheme="minorHAnsi" w:cstheme="minorBidi"/>
          <w:color w:val="auto"/>
          <w:sz w:val="22"/>
          <w:szCs w:val="22"/>
        </w:rPr>
        <w:br w:type="page"/>
      </w:r>
      <w:bookmarkStart w:id="13" w:name="_Toc213357085"/>
      <w:r w:rsidR="23EBB06C" w:rsidRPr="21C4AC11">
        <w:rPr>
          <w:rFonts w:ascii="Calibri Light" w:eastAsia="Calibri Light" w:hAnsi="Calibri Light" w:cs="Calibri Light"/>
          <w:color w:val="2E74B5" w:themeColor="accent5" w:themeShade="BF"/>
        </w:rPr>
        <w:t>Flowchart</w:t>
      </w:r>
      <w:bookmarkEnd w:id="13"/>
    </w:p>
    <w:p w14:paraId="20732E58" w14:textId="045548A9" w:rsidR="23EBB06C" w:rsidRDefault="23EBB06C" w:rsidP="2D2B5386">
      <w:pPr>
        <w:keepNext/>
        <w:keepLines/>
        <w:spacing w:before="40" w:after="0"/>
      </w:pPr>
      <w:r>
        <w:br/>
      </w:r>
      <w:r w:rsidR="722C97C3">
        <w:rPr>
          <w:noProof/>
        </w:rPr>
        <w:drawing>
          <wp:inline distT="0" distB="0" distL="0" distR="0" wp14:anchorId="6045B94A" wp14:editId="65DF4705">
            <wp:extent cx="5943600" cy="2076450"/>
            <wp:effectExtent l="0" t="0" r="0" b="0"/>
            <wp:docPr id="3989546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5461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76450"/>
                    </a:xfrm>
                    <a:prstGeom prst="rect">
                      <a:avLst/>
                    </a:prstGeom>
                  </pic:spPr>
                </pic:pic>
              </a:graphicData>
            </a:graphic>
          </wp:inline>
        </w:drawing>
      </w:r>
    </w:p>
    <w:p w14:paraId="1F7EAB78" w14:textId="30503AEF" w:rsidR="21C4AC11" w:rsidRDefault="21C4AC11" w:rsidP="21C4AC11">
      <w:pPr>
        <w:keepNext/>
        <w:keepLines/>
        <w:spacing w:before="40" w:after="0"/>
        <w:rPr>
          <w:rFonts w:ascii="Calibri Light" w:eastAsia="Calibri Light" w:hAnsi="Calibri Light" w:cs="Calibri Light"/>
          <w:color w:val="2E74B5" w:themeColor="accent5" w:themeShade="BF"/>
          <w:sz w:val="26"/>
          <w:szCs w:val="26"/>
        </w:rPr>
      </w:pPr>
    </w:p>
    <w:p w14:paraId="6DDB647D" w14:textId="196E6E0E" w:rsidR="23EBB06C" w:rsidRDefault="23EBB06C" w:rsidP="21C4AC11">
      <w:pPr>
        <w:pStyle w:val="Heading2"/>
        <w:rPr>
          <w:rFonts w:ascii="Calibri Light" w:eastAsia="Calibri Light" w:hAnsi="Calibri Light" w:cs="Calibri Light"/>
          <w:color w:val="2E74B5" w:themeColor="accent5" w:themeShade="BF"/>
        </w:rPr>
      </w:pPr>
      <w:bookmarkStart w:id="14" w:name="_Toc213357086"/>
      <w:r w:rsidRPr="21C4AC11">
        <w:rPr>
          <w:rFonts w:ascii="Calibri Light" w:eastAsia="Calibri Light" w:hAnsi="Calibri Light" w:cs="Calibri Light"/>
          <w:color w:val="2E74B5" w:themeColor="accent5" w:themeShade="BF"/>
        </w:rPr>
        <w:t>Input Data and Methodological Summary for Meningitis</w:t>
      </w:r>
      <w:bookmarkEnd w:id="14"/>
    </w:p>
    <w:p w14:paraId="76E92B79" w14:textId="0E63D5AD" w:rsidR="23EBB06C" w:rsidRDefault="23EBB06C" w:rsidP="21C4AC11">
      <w:pPr>
        <w:keepNext/>
        <w:keepLines/>
        <w:spacing w:before="40" w:after="0"/>
        <w:rPr>
          <w:rFonts w:ascii="Calibri Light" w:eastAsia="Calibri Light" w:hAnsi="Calibri Light" w:cs="Calibri Light"/>
          <w:color w:val="1F4D78"/>
          <w:sz w:val="24"/>
          <w:szCs w:val="24"/>
        </w:rPr>
      </w:pPr>
      <w:r>
        <w:br/>
      </w:r>
      <w:r w:rsidRPr="21C4AC11">
        <w:rPr>
          <w:rFonts w:ascii="Calibri Light" w:eastAsia="Calibri Light" w:hAnsi="Calibri Light" w:cs="Calibri Light"/>
          <w:color w:val="1F4D78"/>
          <w:sz w:val="24"/>
          <w:szCs w:val="24"/>
        </w:rPr>
        <w:t>Input data</w:t>
      </w:r>
    </w:p>
    <w:p w14:paraId="3A934ED8" w14:textId="5A0DF159" w:rsidR="23EBB06C" w:rsidRDefault="23EBB06C" w:rsidP="21C4AC11">
      <w:pPr>
        <w:rPr>
          <w:rFonts w:ascii="Calibri" w:eastAsia="Calibri" w:hAnsi="Calibri" w:cs="Calibri"/>
          <w:color w:val="000000" w:themeColor="text1"/>
        </w:rPr>
      </w:pPr>
      <w:r w:rsidRPr="21C4AC11">
        <w:rPr>
          <w:rFonts w:ascii="Calibri" w:eastAsia="Calibri" w:hAnsi="Calibri" w:cs="Calibri"/>
          <w:color w:val="000000" w:themeColor="text1"/>
        </w:rPr>
        <w:t xml:space="preserve">Input data for the overall meningitis model came from the cause of death database, which includes vital registration (VR) and verbal autopsy (VA) data. We </w:t>
      </w:r>
      <w:proofErr w:type="spellStart"/>
      <w:r w:rsidRPr="21C4AC11">
        <w:rPr>
          <w:rFonts w:ascii="Calibri" w:eastAsia="Calibri" w:hAnsi="Calibri" w:cs="Calibri"/>
          <w:color w:val="000000" w:themeColor="text1"/>
        </w:rPr>
        <w:t>outliered</w:t>
      </w:r>
      <w:proofErr w:type="spellEnd"/>
      <w:r w:rsidRPr="21C4AC11">
        <w:rPr>
          <w:rFonts w:ascii="Calibri" w:eastAsia="Calibri" w:hAnsi="Calibri" w:cs="Calibri"/>
          <w:color w:val="000000" w:themeColor="text1"/>
        </w:rPr>
        <w:t xml:space="preserve"> data in instances where garbage code redistribution and noise reduction, in combination with small sample sizes, resulted in unreasonable cause fractions when compared to regional, super-regional, and global rates, and data that violated well-established time or age trends. </w:t>
      </w:r>
      <w:proofErr w:type="spellStart"/>
      <w:r w:rsidRPr="21C4AC11">
        <w:rPr>
          <w:rFonts w:ascii="Calibri" w:eastAsia="Calibri" w:hAnsi="Calibri" w:cs="Calibri"/>
          <w:color w:val="000000" w:themeColor="text1"/>
        </w:rPr>
        <w:t>Outliering</w:t>
      </w:r>
      <w:proofErr w:type="spellEnd"/>
      <w:r w:rsidRPr="21C4AC11">
        <w:rPr>
          <w:rFonts w:ascii="Calibri" w:eastAsia="Calibri" w:hAnsi="Calibri" w:cs="Calibri"/>
          <w:color w:val="000000" w:themeColor="text1"/>
        </w:rPr>
        <w:t xml:space="preserve"> methods were consistent across both VR and VA data.</w:t>
      </w:r>
    </w:p>
    <w:p w14:paraId="47081B4B" w14:textId="62A55E07" w:rsidR="21C4AC11" w:rsidRDefault="21C4AC11" w:rsidP="21C4AC11">
      <w:pPr>
        <w:rPr>
          <w:rFonts w:ascii="Calibri" w:eastAsia="Calibri" w:hAnsi="Calibri" w:cs="Calibri"/>
          <w:color w:val="000000" w:themeColor="text1"/>
        </w:rPr>
      </w:pPr>
    </w:p>
    <w:p w14:paraId="5701F497" w14:textId="38B392F7" w:rsidR="23EBB06C" w:rsidRDefault="23EBB06C" w:rsidP="21C4AC11">
      <w:pPr>
        <w:pStyle w:val="Heading3"/>
        <w:rPr>
          <w:rFonts w:ascii="Calibri Light" w:eastAsia="Calibri Light" w:hAnsi="Calibri Light" w:cs="Calibri Light"/>
          <w:color w:val="1F4D78"/>
        </w:rPr>
      </w:pPr>
      <w:bookmarkStart w:id="15" w:name="_Toc213357087"/>
      <w:r w:rsidRPr="21C4AC11">
        <w:rPr>
          <w:rFonts w:ascii="Calibri Light" w:eastAsia="Calibri Light" w:hAnsi="Calibri Light" w:cs="Calibri Light"/>
          <w:color w:val="1F4D78"/>
        </w:rPr>
        <w:t>Modelling strategy</w:t>
      </w:r>
      <w:bookmarkEnd w:id="15"/>
      <w:r w:rsidRPr="21C4AC11">
        <w:rPr>
          <w:rFonts w:ascii="Calibri Light" w:eastAsia="Calibri Light" w:hAnsi="Calibri Light" w:cs="Calibri Light"/>
          <w:color w:val="1F4D78"/>
        </w:rPr>
        <w:t xml:space="preserve"> </w:t>
      </w:r>
    </w:p>
    <w:p w14:paraId="0B6385FF" w14:textId="6E62B7CB" w:rsidR="23EBB06C" w:rsidRDefault="23EBB06C" w:rsidP="21C4AC11">
      <w:pPr>
        <w:spacing w:after="0"/>
        <w:rPr>
          <w:rFonts w:ascii="Calibri" w:eastAsia="Calibri" w:hAnsi="Calibri" w:cs="Calibri"/>
          <w:color w:val="000000" w:themeColor="text1"/>
        </w:rPr>
      </w:pPr>
      <w:r w:rsidRPr="21C4AC11">
        <w:rPr>
          <w:rFonts w:ascii="Calibri" w:eastAsia="Calibri" w:hAnsi="Calibri" w:cs="Calibri"/>
          <w:color w:val="000000" w:themeColor="text1"/>
        </w:rPr>
        <w:t>We modelled deaths due to all meningitis with two CODEm models, separately for each sex and two age categories – under 5 and 5 years and above. The mortality trends differ substantially between children and adults, and a significant number of data sources only have data for children under 5. The two models used the same covariates (with the exception of the covariate for underweight, which is age-specific in the under-5 model and age-</w:t>
      </w:r>
      <w:proofErr w:type="spellStart"/>
      <w:r w:rsidRPr="21C4AC11">
        <w:rPr>
          <w:rFonts w:ascii="Calibri" w:eastAsia="Calibri" w:hAnsi="Calibri" w:cs="Calibri"/>
          <w:color w:val="000000" w:themeColor="text1"/>
        </w:rPr>
        <w:t>standardised</w:t>
      </w:r>
      <w:proofErr w:type="spellEnd"/>
      <w:r w:rsidRPr="21C4AC11">
        <w:rPr>
          <w:rFonts w:ascii="Calibri" w:eastAsia="Calibri" w:hAnsi="Calibri" w:cs="Calibri"/>
          <w:color w:val="000000" w:themeColor="text1"/>
        </w:rPr>
        <w:t xml:space="preserve"> in the 5+ model) and otherwise standard CODEm parameters</w:t>
      </w:r>
      <w:r w:rsidRPr="21C4AC11">
        <w:rPr>
          <w:rFonts w:ascii="Calibri" w:eastAsia="Calibri" w:hAnsi="Calibri" w:cs="Calibri"/>
        </w:rPr>
        <w:t xml:space="preserve"> (see Table 1)</w:t>
      </w:r>
      <w:r w:rsidRPr="21C4AC11">
        <w:rPr>
          <w:rFonts w:ascii="Calibri" w:eastAsia="Calibri" w:hAnsi="Calibri" w:cs="Calibri"/>
          <w:color w:val="000000" w:themeColor="text1"/>
        </w:rPr>
        <w:t xml:space="preserve">. The final sex-specific models for deaths due to all meningitis were a </w:t>
      </w:r>
      <w:proofErr w:type="spellStart"/>
      <w:r w:rsidRPr="21C4AC11">
        <w:rPr>
          <w:rFonts w:ascii="Calibri" w:eastAsia="Calibri" w:hAnsi="Calibri" w:cs="Calibri"/>
          <w:color w:val="000000" w:themeColor="text1"/>
        </w:rPr>
        <w:t>hybridised</w:t>
      </w:r>
      <w:proofErr w:type="spellEnd"/>
      <w:r w:rsidRPr="21C4AC11">
        <w:rPr>
          <w:rFonts w:ascii="Calibri" w:eastAsia="Calibri" w:hAnsi="Calibri" w:cs="Calibri"/>
          <w:color w:val="000000" w:themeColor="text1"/>
        </w:rPr>
        <w:t xml:space="preserve"> model of separate global and data-rich models for males and females.</w:t>
      </w:r>
    </w:p>
    <w:p w14:paraId="73E6FBE7" w14:textId="37ABCC18" w:rsidR="21C4AC11" w:rsidRDefault="21C4AC11" w:rsidP="21C4AC11">
      <w:pPr>
        <w:spacing w:after="0"/>
        <w:rPr>
          <w:rFonts w:ascii="Calibri" w:eastAsia="Calibri" w:hAnsi="Calibri" w:cs="Calibri"/>
          <w:color w:val="000000" w:themeColor="text1"/>
        </w:rPr>
      </w:pPr>
    </w:p>
    <w:p w14:paraId="002D55AE" w14:textId="33D131B2" w:rsidR="23EBB06C" w:rsidRDefault="23EBB06C" w:rsidP="21C4AC11">
      <w:pPr>
        <w:rPr>
          <w:rFonts w:ascii="Calibri" w:eastAsia="Calibri" w:hAnsi="Calibri" w:cs="Calibri"/>
          <w:color w:val="000000" w:themeColor="text1"/>
        </w:rPr>
      </w:pPr>
      <w:r w:rsidRPr="21C4AC11">
        <w:rPr>
          <w:rFonts w:ascii="Calibri" w:eastAsia="Calibri" w:hAnsi="Calibri" w:cs="Calibri"/>
          <w:b/>
          <w:bCs/>
          <w:color w:val="000000" w:themeColor="text1"/>
        </w:rPr>
        <w:t>Table 1. Covariates used in meningitis mortality modelling (0–4 years, 5–95+ years)</w:t>
      </w:r>
    </w:p>
    <w:tbl>
      <w:tblPr>
        <w:tblStyle w:val="TableGrid"/>
        <w:tblW w:w="0" w:type="auto"/>
        <w:tblBorders>
          <w:top w:val="single" w:sz="6" w:space="0" w:color="auto"/>
          <w:left w:val="single" w:sz="6" w:space="0" w:color="auto"/>
          <w:bottom w:val="single" w:sz="6" w:space="0" w:color="auto"/>
          <w:right w:val="single" w:sz="6" w:space="0" w:color="auto"/>
          <w:insideH w:val="single" w:sz="4" w:space="0" w:color="000000" w:themeColor="text1"/>
          <w:insideV w:val="single" w:sz="4" w:space="0" w:color="000000" w:themeColor="text1"/>
        </w:tblBorders>
        <w:tblLayout w:type="fixed"/>
        <w:tblLook w:val="04A0" w:firstRow="1" w:lastRow="0" w:firstColumn="1" w:lastColumn="0" w:noHBand="0" w:noVBand="1"/>
      </w:tblPr>
      <w:tblGrid>
        <w:gridCol w:w="1245"/>
        <w:gridCol w:w="5880"/>
        <w:gridCol w:w="1935"/>
      </w:tblGrid>
      <w:tr w:rsidR="21C4AC11" w14:paraId="685D16C3" w14:textId="77777777" w:rsidTr="21C4AC11">
        <w:trPr>
          <w:trHeight w:val="300"/>
        </w:trPr>
        <w:tc>
          <w:tcPr>
            <w:tcW w:w="1245" w:type="dxa"/>
            <w:tcMar>
              <w:left w:w="105" w:type="dxa"/>
              <w:right w:w="105" w:type="dxa"/>
            </w:tcMar>
          </w:tcPr>
          <w:p w14:paraId="1E780E9C" w14:textId="09FB0D3C" w:rsidR="21C4AC11" w:rsidRDefault="21C4AC11" w:rsidP="21C4AC11">
            <w:pPr>
              <w:rPr>
                <w:rFonts w:ascii="Calibri" w:eastAsia="Calibri" w:hAnsi="Calibri" w:cs="Calibri"/>
              </w:rPr>
            </w:pPr>
            <w:r w:rsidRPr="21C4AC11">
              <w:rPr>
                <w:rFonts w:ascii="Calibri" w:eastAsia="Calibri" w:hAnsi="Calibri" w:cs="Calibri"/>
                <w:b/>
                <w:bCs/>
              </w:rPr>
              <w:t>Level</w:t>
            </w:r>
          </w:p>
        </w:tc>
        <w:tc>
          <w:tcPr>
            <w:tcW w:w="5880" w:type="dxa"/>
            <w:tcMar>
              <w:left w:w="105" w:type="dxa"/>
              <w:right w:w="105" w:type="dxa"/>
            </w:tcMar>
          </w:tcPr>
          <w:p w14:paraId="32523F98" w14:textId="538F7A10" w:rsidR="21C4AC11" w:rsidRDefault="21C4AC11" w:rsidP="21C4AC11">
            <w:pPr>
              <w:rPr>
                <w:rFonts w:ascii="Calibri" w:eastAsia="Calibri" w:hAnsi="Calibri" w:cs="Calibri"/>
              </w:rPr>
            </w:pPr>
            <w:r w:rsidRPr="21C4AC11">
              <w:rPr>
                <w:rFonts w:ascii="Calibri" w:eastAsia="Calibri" w:hAnsi="Calibri" w:cs="Calibri"/>
                <w:b/>
                <w:bCs/>
              </w:rPr>
              <w:t>Covariate</w:t>
            </w:r>
          </w:p>
        </w:tc>
        <w:tc>
          <w:tcPr>
            <w:tcW w:w="1935" w:type="dxa"/>
            <w:tcMar>
              <w:left w:w="105" w:type="dxa"/>
              <w:right w:w="105" w:type="dxa"/>
            </w:tcMar>
          </w:tcPr>
          <w:p w14:paraId="0575B838" w14:textId="1CB93132" w:rsidR="21C4AC11" w:rsidRDefault="21C4AC11" w:rsidP="21C4AC11">
            <w:pPr>
              <w:jc w:val="center"/>
              <w:rPr>
                <w:rFonts w:ascii="Calibri" w:eastAsia="Calibri" w:hAnsi="Calibri" w:cs="Calibri"/>
              </w:rPr>
            </w:pPr>
            <w:r w:rsidRPr="21C4AC11">
              <w:rPr>
                <w:rFonts w:ascii="Calibri" w:eastAsia="Calibri" w:hAnsi="Calibri" w:cs="Calibri"/>
                <w:b/>
                <w:bCs/>
              </w:rPr>
              <w:t>Direction</w:t>
            </w:r>
          </w:p>
        </w:tc>
      </w:tr>
      <w:tr w:rsidR="21C4AC11" w14:paraId="4AAC4E22" w14:textId="77777777" w:rsidTr="21C4AC11">
        <w:trPr>
          <w:trHeight w:val="300"/>
        </w:trPr>
        <w:tc>
          <w:tcPr>
            <w:tcW w:w="1245" w:type="dxa"/>
            <w:vMerge w:val="restart"/>
            <w:tcMar>
              <w:left w:w="105" w:type="dxa"/>
              <w:right w:w="105" w:type="dxa"/>
            </w:tcMar>
            <w:vAlign w:val="center"/>
          </w:tcPr>
          <w:p w14:paraId="3CB953D1" w14:textId="542A2718" w:rsidR="21C4AC11" w:rsidRDefault="21C4AC11" w:rsidP="21C4AC11">
            <w:pPr>
              <w:jc w:val="center"/>
              <w:rPr>
                <w:rFonts w:ascii="Calibri" w:eastAsia="Calibri" w:hAnsi="Calibri" w:cs="Calibri"/>
              </w:rPr>
            </w:pPr>
            <w:r w:rsidRPr="21C4AC11">
              <w:rPr>
                <w:rFonts w:ascii="Calibri" w:eastAsia="Calibri" w:hAnsi="Calibri" w:cs="Calibri"/>
              </w:rPr>
              <w:t>1</w:t>
            </w:r>
          </w:p>
        </w:tc>
        <w:tc>
          <w:tcPr>
            <w:tcW w:w="5880" w:type="dxa"/>
            <w:tcMar>
              <w:left w:w="105" w:type="dxa"/>
              <w:right w:w="105" w:type="dxa"/>
            </w:tcMar>
          </w:tcPr>
          <w:p w14:paraId="3BBE57DD" w14:textId="10DABF4E" w:rsidR="21C4AC11" w:rsidRDefault="21C4AC11" w:rsidP="21C4AC11">
            <w:pPr>
              <w:jc w:val="both"/>
              <w:rPr>
                <w:rFonts w:ascii="Calibri" w:eastAsia="Calibri" w:hAnsi="Calibri" w:cs="Calibri"/>
              </w:rPr>
            </w:pPr>
            <w:r w:rsidRPr="21C4AC11">
              <w:rPr>
                <w:rFonts w:ascii="Calibri" w:eastAsia="Calibri" w:hAnsi="Calibri" w:cs="Calibri"/>
              </w:rPr>
              <w:t>Meningitis belt (proportion of population in belt)</w:t>
            </w:r>
          </w:p>
        </w:tc>
        <w:tc>
          <w:tcPr>
            <w:tcW w:w="1935" w:type="dxa"/>
            <w:tcMar>
              <w:left w:w="105" w:type="dxa"/>
              <w:right w:w="105" w:type="dxa"/>
            </w:tcMar>
          </w:tcPr>
          <w:p w14:paraId="0F1C243B" w14:textId="6F24FB70"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5E0847FA" w14:textId="77777777" w:rsidTr="21C4AC11">
        <w:trPr>
          <w:trHeight w:val="300"/>
        </w:trPr>
        <w:tc>
          <w:tcPr>
            <w:tcW w:w="1245" w:type="dxa"/>
            <w:vMerge/>
            <w:vAlign w:val="center"/>
          </w:tcPr>
          <w:p w14:paraId="75077891" w14:textId="77777777" w:rsidR="00B7126F" w:rsidRDefault="00B7126F"/>
        </w:tc>
        <w:tc>
          <w:tcPr>
            <w:tcW w:w="5880" w:type="dxa"/>
            <w:tcMar>
              <w:left w:w="105" w:type="dxa"/>
              <w:right w:w="105" w:type="dxa"/>
            </w:tcMar>
          </w:tcPr>
          <w:p w14:paraId="56BFD0F8" w14:textId="39D4D467" w:rsidR="21C4AC11" w:rsidRDefault="21C4AC11" w:rsidP="21C4AC11">
            <w:pPr>
              <w:jc w:val="both"/>
              <w:rPr>
                <w:rFonts w:ascii="Calibri" w:eastAsia="Calibri" w:hAnsi="Calibri" w:cs="Calibri"/>
              </w:rPr>
            </w:pPr>
            <w:proofErr w:type="spellStart"/>
            <w:r w:rsidRPr="21C4AC11">
              <w:rPr>
                <w:rFonts w:ascii="Calibri" w:eastAsia="Calibri" w:hAnsi="Calibri" w:cs="Calibri"/>
              </w:rPr>
              <w:t>MenAfriVac</w:t>
            </w:r>
            <w:proofErr w:type="spellEnd"/>
            <w:r w:rsidRPr="21C4AC11">
              <w:rPr>
                <w:rFonts w:ascii="Calibri" w:eastAsia="Calibri" w:hAnsi="Calibri" w:cs="Calibri"/>
              </w:rPr>
              <w:t xml:space="preserve"> coverage</w:t>
            </w:r>
          </w:p>
        </w:tc>
        <w:tc>
          <w:tcPr>
            <w:tcW w:w="1935" w:type="dxa"/>
            <w:tcMar>
              <w:left w:w="105" w:type="dxa"/>
              <w:right w:w="105" w:type="dxa"/>
            </w:tcMar>
          </w:tcPr>
          <w:p w14:paraId="2A20F726" w14:textId="27FB8A88"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1D0F8614" w14:textId="77777777" w:rsidTr="21C4AC11">
        <w:trPr>
          <w:trHeight w:val="300"/>
        </w:trPr>
        <w:tc>
          <w:tcPr>
            <w:tcW w:w="1245" w:type="dxa"/>
            <w:vMerge/>
            <w:vAlign w:val="center"/>
          </w:tcPr>
          <w:p w14:paraId="0DE439C5" w14:textId="77777777" w:rsidR="00B7126F" w:rsidRDefault="00B7126F"/>
        </w:tc>
        <w:tc>
          <w:tcPr>
            <w:tcW w:w="5880" w:type="dxa"/>
            <w:tcMar>
              <w:left w:w="105" w:type="dxa"/>
              <w:right w:w="105" w:type="dxa"/>
            </w:tcMar>
          </w:tcPr>
          <w:p w14:paraId="607AA9FA" w14:textId="5423790F" w:rsidR="21C4AC11" w:rsidRDefault="21C4AC11" w:rsidP="21C4AC11">
            <w:pPr>
              <w:jc w:val="both"/>
              <w:rPr>
                <w:rFonts w:ascii="Calibri" w:eastAsia="Calibri" w:hAnsi="Calibri" w:cs="Calibri"/>
              </w:rPr>
            </w:pPr>
            <w:r w:rsidRPr="21C4AC11">
              <w:rPr>
                <w:rFonts w:ascii="Calibri" w:eastAsia="Calibri" w:hAnsi="Calibri" w:cs="Calibri"/>
              </w:rPr>
              <w:t>Hib3 vaccine coverage proportion, indirect</w:t>
            </w:r>
          </w:p>
        </w:tc>
        <w:tc>
          <w:tcPr>
            <w:tcW w:w="1935" w:type="dxa"/>
            <w:tcMar>
              <w:left w:w="105" w:type="dxa"/>
              <w:right w:w="105" w:type="dxa"/>
            </w:tcMar>
          </w:tcPr>
          <w:p w14:paraId="6D9B9B83" w14:textId="4951C1C4"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286BC0D7" w14:textId="77777777" w:rsidTr="21C4AC11">
        <w:trPr>
          <w:trHeight w:val="300"/>
        </w:trPr>
        <w:tc>
          <w:tcPr>
            <w:tcW w:w="1245" w:type="dxa"/>
            <w:vMerge/>
            <w:vAlign w:val="center"/>
          </w:tcPr>
          <w:p w14:paraId="3D67AE80" w14:textId="77777777" w:rsidR="00B7126F" w:rsidRDefault="00B7126F"/>
        </w:tc>
        <w:tc>
          <w:tcPr>
            <w:tcW w:w="5880" w:type="dxa"/>
            <w:tcMar>
              <w:left w:w="105" w:type="dxa"/>
              <w:right w:w="105" w:type="dxa"/>
            </w:tcMar>
          </w:tcPr>
          <w:p w14:paraId="3CFE6184" w14:textId="68C48922" w:rsidR="21C4AC11" w:rsidRDefault="21C4AC11" w:rsidP="21C4AC11">
            <w:pPr>
              <w:jc w:val="both"/>
              <w:rPr>
                <w:rFonts w:ascii="Calibri" w:eastAsia="Calibri" w:hAnsi="Calibri" w:cs="Calibri"/>
              </w:rPr>
            </w:pPr>
            <w:r w:rsidRPr="21C4AC11">
              <w:rPr>
                <w:rFonts w:ascii="Calibri" w:eastAsia="Calibri" w:hAnsi="Calibri" w:cs="Calibri"/>
              </w:rPr>
              <w:t>PCV3 vaccine coverage proportion, lagged, COVID-inclusive</w:t>
            </w:r>
          </w:p>
        </w:tc>
        <w:tc>
          <w:tcPr>
            <w:tcW w:w="1935" w:type="dxa"/>
            <w:tcMar>
              <w:left w:w="105" w:type="dxa"/>
              <w:right w:w="105" w:type="dxa"/>
            </w:tcMar>
          </w:tcPr>
          <w:p w14:paraId="7761D0C3" w14:textId="0CA21A3D"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2B70FE3C" w14:textId="77777777" w:rsidTr="21C4AC11">
        <w:trPr>
          <w:trHeight w:val="300"/>
        </w:trPr>
        <w:tc>
          <w:tcPr>
            <w:tcW w:w="1245" w:type="dxa"/>
            <w:vMerge w:val="restart"/>
            <w:tcMar>
              <w:left w:w="105" w:type="dxa"/>
              <w:right w:w="105" w:type="dxa"/>
            </w:tcMar>
            <w:vAlign w:val="center"/>
          </w:tcPr>
          <w:p w14:paraId="42C28FD6" w14:textId="28B19BF8" w:rsidR="21C4AC11" w:rsidRDefault="21C4AC11" w:rsidP="21C4AC11">
            <w:pPr>
              <w:jc w:val="center"/>
              <w:rPr>
                <w:rFonts w:ascii="Calibri" w:eastAsia="Calibri" w:hAnsi="Calibri" w:cs="Calibri"/>
              </w:rPr>
            </w:pPr>
            <w:r w:rsidRPr="21C4AC11">
              <w:rPr>
                <w:rFonts w:ascii="Calibri" w:eastAsia="Calibri" w:hAnsi="Calibri" w:cs="Calibri"/>
              </w:rPr>
              <w:t>2</w:t>
            </w:r>
          </w:p>
        </w:tc>
        <w:tc>
          <w:tcPr>
            <w:tcW w:w="5880" w:type="dxa"/>
            <w:tcMar>
              <w:left w:w="105" w:type="dxa"/>
              <w:right w:w="105" w:type="dxa"/>
            </w:tcMar>
          </w:tcPr>
          <w:p w14:paraId="6072FEF2" w14:textId="2B197006" w:rsidR="0DEC65B8" w:rsidRDefault="0DEC65B8" w:rsidP="21C4AC11">
            <w:pPr>
              <w:jc w:val="both"/>
              <w:rPr>
                <w:rFonts w:ascii="Calibri" w:eastAsia="Calibri" w:hAnsi="Calibri" w:cs="Calibri"/>
              </w:rPr>
            </w:pPr>
            <w:r w:rsidRPr="21C4AC11">
              <w:rPr>
                <w:rFonts w:ascii="Calibri" w:eastAsia="Calibri" w:hAnsi="Calibri" w:cs="Calibri"/>
              </w:rPr>
              <w:t>U</w:t>
            </w:r>
            <w:r w:rsidR="21C4AC11" w:rsidRPr="21C4AC11">
              <w:rPr>
                <w:rFonts w:ascii="Calibri" w:eastAsia="Calibri" w:hAnsi="Calibri" w:cs="Calibri"/>
              </w:rPr>
              <w:t>nderweight</w:t>
            </w:r>
          </w:p>
        </w:tc>
        <w:tc>
          <w:tcPr>
            <w:tcW w:w="1935" w:type="dxa"/>
            <w:tcMar>
              <w:left w:w="105" w:type="dxa"/>
              <w:right w:w="105" w:type="dxa"/>
            </w:tcMar>
          </w:tcPr>
          <w:p w14:paraId="54827056" w14:textId="36C750DD"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1CFF5940" w14:textId="77777777" w:rsidTr="21C4AC11">
        <w:trPr>
          <w:trHeight w:val="300"/>
        </w:trPr>
        <w:tc>
          <w:tcPr>
            <w:tcW w:w="1245" w:type="dxa"/>
            <w:vMerge/>
            <w:vAlign w:val="center"/>
          </w:tcPr>
          <w:p w14:paraId="2E7B127E" w14:textId="77777777" w:rsidR="00B7126F" w:rsidRDefault="00B7126F"/>
        </w:tc>
        <w:tc>
          <w:tcPr>
            <w:tcW w:w="5880" w:type="dxa"/>
            <w:tcMar>
              <w:left w:w="105" w:type="dxa"/>
              <w:right w:w="105" w:type="dxa"/>
            </w:tcMar>
          </w:tcPr>
          <w:p w14:paraId="68F7B4DB" w14:textId="56DD28F1" w:rsidR="21C4AC11" w:rsidRDefault="21C4AC11" w:rsidP="21C4AC11">
            <w:pPr>
              <w:jc w:val="both"/>
              <w:rPr>
                <w:rFonts w:ascii="Calibri" w:eastAsia="Calibri" w:hAnsi="Calibri" w:cs="Calibri"/>
              </w:rPr>
            </w:pPr>
            <w:r w:rsidRPr="21C4AC11">
              <w:rPr>
                <w:rFonts w:ascii="Calibri" w:eastAsia="Calibri" w:hAnsi="Calibri" w:cs="Calibri"/>
              </w:rPr>
              <w:t>Logit-transformed water (proportion with access)</w:t>
            </w:r>
          </w:p>
        </w:tc>
        <w:tc>
          <w:tcPr>
            <w:tcW w:w="1935" w:type="dxa"/>
            <w:tcMar>
              <w:left w:w="105" w:type="dxa"/>
              <w:right w:w="105" w:type="dxa"/>
            </w:tcMar>
          </w:tcPr>
          <w:p w14:paraId="0F5A6421" w14:textId="398B1EE2"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2C008337" w14:textId="77777777" w:rsidTr="21C4AC11">
        <w:trPr>
          <w:trHeight w:val="300"/>
        </w:trPr>
        <w:tc>
          <w:tcPr>
            <w:tcW w:w="1245" w:type="dxa"/>
            <w:vMerge/>
            <w:vAlign w:val="center"/>
          </w:tcPr>
          <w:p w14:paraId="17BD2E74" w14:textId="77777777" w:rsidR="00B7126F" w:rsidRDefault="00B7126F"/>
        </w:tc>
        <w:tc>
          <w:tcPr>
            <w:tcW w:w="5880" w:type="dxa"/>
            <w:tcMar>
              <w:left w:w="105" w:type="dxa"/>
              <w:right w:w="105" w:type="dxa"/>
            </w:tcMar>
          </w:tcPr>
          <w:p w14:paraId="6B72484B" w14:textId="00000A46" w:rsidR="21C4AC11" w:rsidRDefault="21C4AC11" w:rsidP="21C4AC11">
            <w:pPr>
              <w:jc w:val="both"/>
              <w:rPr>
                <w:rFonts w:ascii="Calibri" w:eastAsia="Calibri" w:hAnsi="Calibri" w:cs="Calibri"/>
              </w:rPr>
            </w:pPr>
            <w:r w:rsidRPr="21C4AC11">
              <w:rPr>
                <w:rFonts w:ascii="Calibri" w:eastAsia="Calibri" w:hAnsi="Calibri" w:cs="Calibri"/>
              </w:rPr>
              <w:t xml:space="preserve">Maternal care and </w:t>
            </w:r>
            <w:proofErr w:type="spellStart"/>
            <w:r w:rsidRPr="21C4AC11">
              <w:rPr>
                <w:rFonts w:ascii="Calibri" w:eastAsia="Calibri" w:hAnsi="Calibri" w:cs="Calibri"/>
              </w:rPr>
              <w:t>immunisation</w:t>
            </w:r>
            <w:proofErr w:type="spellEnd"/>
          </w:p>
        </w:tc>
        <w:tc>
          <w:tcPr>
            <w:tcW w:w="1935" w:type="dxa"/>
            <w:tcMar>
              <w:left w:w="105" w:type="dxa"/>
              <w:right w:w="105" w:type="dxa"/>
            </w:tcMar>
          </w:tcPr>
          <w:p w14:paraId="3E342A07" w14:textId="541009F9"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685254B1" w14:textId="77777777" w:rsidTr="21C4AC11">
        <w:trPr>
          <w:trHeight w:val="300"/>
        </w:trPr>
        <w:tc>
          <w:tcPr>
            <w:tcW w:w="1245" w:type="dxa"/>
            <w:vMerge/>
            <w:vAlign w:val="center"/>
          </w:tcPr>
          <w:p w14:paraId="432CAF3B" w14:textId="77777777" w:rsidR="00B7126F" w:rsidRDefault="00B7126F"/>
        </w:tc>
        <w:tc>
          <w:tcPr>
            <w:tcW w:w="5880" w:type="dxa"/>
            <w:tcMar>
              <w:left w:w="105" w:type="dxa"/>
              <w:right w:w="105" w:type="dxa"/>
            </w:tcMar>
          </w:tcPr>
          <w:p w14:paraId="3576AC8F" w14:textId="3A438B6D" w:rsidR="21C4AC11" w:rsidRDefault="21C4AC11" w:rsidP="21C4AC11">
            <w:pPr>
              <w:jc w:val="both"/>
              <w:rPr>
                <w:rFonts w:ascii="Calibri" w:eastAsia="Calibri" w:hAnsi="Calibri" w:cs="Calibri"/>
              </w:rPr>
            </w:pPr>
            <w:r w:rsidRPr="21C4AC11">
              <w:rPr>
                <w:rFonts w:ascii="Calibri" w:eastAsia="Calibri" w:hAnsi="Calibri" w:cs="Calibri"/>
              </w:rPr>
              <w:t>Healthcare Access and Quality (HAQ) Index</w:t>
            </w:r>
          </w:p>
        </w:tc>
        <w:tc>
          <w:tcPr>
            <w:tcW w:w="1935" w:type="dxa"/>
            <w:tcMar>
              <w:left w:w="105" w:type="dxa"/>
              <w:right w:w="105" w:type="dxa"/>
            </w:tcMar>
          </w:tcPr>
          <w:p w14:paraId="1C577C7E" w14:textId="7E1F846F"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6C081B50" w14:textId="77777777" w:rsidTr="21C4AC11">
        <w:trPr>
          <w:trHeight w:val="300"/>
        </w:trPr>
        <w:tc>
          <w:tcPr>
            <w:tcW w:w="1245" w:type="dxa"/>
            <w:vMerge w:val="restart"/>
            <w:tcMar>
              <w:left w:w="105" w:type="dxa"/>
              <w:right w:w="105" w:type="dxa"/>
            </w:tcMar>
            <w:vAlign w:val="center"/>
          </w:tcPr>
          <w:p w14:paraId="76BBCA65" w14:textId="68C5E844" w:rsidR="21C4AC11" w:rsidRDefault="21C4AC11" w:rsidP="21C4AC11">
            <w:pPr>
              <w:jc w:val="center"/>
              <w:rPr>
                <w:rFonts w:ascii="Calibri" w:eastAsia="Calibri" w:hAnsi="Calibri" w:cs="Calibri"/>
              </w:rPr>
            </w:pPr>
            <w:r w:rsidRPr="21C4AC11">
              <w:rPr>
                <w:rFonts w:ascii="Calibri" w:eastAsia="Calibri" w:hAnsi="Calibri" w:cs="Calibri"/>
              </w:rPr>
              <w:t>3</w:t>
            </w:r>
          </w:p>
        </w:tc>
        <w:tc>
          <w:tcPr>
            <w:tcW w:w="5880" w:type="dxa"/>
            <w:tcMar>
              <w:left w:w="105" w:type="dxa"/>
              <w:right w:w="105" w:type="dxa"/>
            </w:tcMar>
          </w:tcPr>
          <w:p w14:paraId="66C886DC" w14:textId="7B809490" w:rsidR="21C4AC11" w:rsidRDefault="21C4AC11" w:rsidP="21C4AC11">
            <w:pPr>
              <w:jc w:val="both"/>
              <w:rPr>
                <w:rFonts w:ascii="Calibri" w:eastAsia="Calibri" w:hAnsi="Calibri" w:cs="Calibri"/>
              </w:rPr>
            </w:pPr>
            <w:r w:rsidRPr="21C4AC11">
              <w:rPr>
                <w:rFonts w:ascii="Calibri" w:eastAsia="Calibri" w:hAnsi="Calibri" w:cs="Calibri"/>
              </w:rPr>
              <w:t>Log-transformed lag-distributed income</w:t>
            </w:r>
          </w:p>
        </w:tc>
        <w:tc>
          <w:tcPr>
            <w:tcW w:w="1935" w:type="dxa"/>
            <w:tcMar>
              <w:left w:w="105" w:type="dxa"/>
              <w:right w:w="105" w:type="dxa"/>
            </w:tcMar>
          </w:tcPr>
          <w:p w14:paraId="349D3D93" w14:textId="73B2C358"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378E8368" w14:textId="77777777" w:rsidTr="21C4AC11">
        <w:trPr>
          <w:trHeight w:val="300"/>
        </w:trPr>
        <w:tc>
          <w:tcPr>
            <w:tcW w:w="1245" w:type="dxa"/>
            <w:vMerge/>
            <w:vAlign w:val="center"/>
          </w:tcPr>
          <w:p w14:paraId="24EFE47F" w14:textId="77777777" w:rsidR="00B7126F" w:rsidRDefault="00B7126F"/>
        </w:tc>
        <w:tc>
          <w:tcPr>
            <w:tcW w:w="5880" w:type="dxa"/>
            <w:tcMar>
              <w:left w:w="105" w:type="dxa"/>
              <w:right w:w="105" w:type="dxa"/>
            </w:tcMar>
          </w:tcPr>
          <w:p w14:paraId="58799603" w14:textId="635B0084" w:rsidR="21C4AC11" w:rsidRDefault="21C4AC11" w:rsidP="21C4AC11">
            <w:pPr>
              <w:jc w:val="both"/>
              <w:rPr>
                <w:rFonts w:ascii="Calibri" w:eastAsia="Calibri" w:hAnsi="Calibri" w:cs="Calibri"/>
              </w:rPr>
            </w:pPr>
            <w:r w:rsidRPr="21C4AC11">
              <w:rPr>
                <w:rFonts w:ascii="Calibri" w:eastAsia="Calibri" w:hAnsi="Calibri" w:cs="Calibri"/>
              </w:rPr>
              <w:t>Sanitation (proportion with access)</w:t>
            </w:r>
          </w:p>
        </w:tc>
        <w:tc>
          <w:tcPr>
            <w:tcW w:w="1935" w:type="dxa"/>
            <w:tcMar>
              <w:left w:w="105" w:type="dxa"/>
              <w:right w:w="105" w:type="dxa"/>
            </w:tcMar>
          </w:tcPr>
          <w:p w14:paraId="6457BD41" w14:textId="7F2B85F8"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0F739BAA" w14:textId="77777777" w:rsidTr="21C4AC11">
        <w:trPr>
          <w:trHeight w:val="300"/>
        </w:trPr>
        <w:tc>
          <w:tcPr>
            <w:tcW w:w="1245" w:type="dxa"/>
            <w:vMerge/>
            <w:vAlign w:val="center"/>
          </w:tcPr>
          <w:p w14:paraId="5D803B3E" w14:textId="77777777" w:rsidR="00B7126F" w:rsidRDefault="00B7126F"/>
        </w:tc>
        <w:tc>
          <w:tcPr>
            <w:tcW w:w="5880" w:type="dxa"/>
            <w:tcMar>
              <w:left w:w="105" w:type="dxa"/>
              <w:right w:w="105" w:type="dxa"/>
            </w:tcMar>
          </w:tcPr>
          <w:p w14:paraId="6D812111" w14:textId="43F6A0E6" w:rsidR="21C4AC11" w:rsidRDefault="21C4AC11" w:rsidP="21C4AC11">
            <w:pPr>
              <w:jc w:val="both"/>
              <w:rPr>
                <w:rFonts w:ascii="Calibri" w:eastAsia="Calibri" w:hAnsi="Calibri" w:cs="Calibri"/>
              </w:rPr>
            </w:pPr>
            <w:r w:rsidRPr="21C4AC11">
              <w:rPr>
                <w:rFonts w:ascii="Calibri" w:eastAsia="Calibri" w:hAnsi="Calibri" w:cs="Calibri"/>
              </w:rPr>
              <w:t>Maternal education (years per capita)</w:t>
            </w:r>
          </w:p>
        </w:tc>
        <w:tc>
          <w:tcPr>
            <w:tcW w:w="1935" w:type="dxa"/>
            <w:tcMar>
              <w:left w:w="105" w:type="dxa"/>
              <w:right w:w="105" w:type="dxa"/>
            </w:tcMar>
          </w:tcPr>
          <w:p w14:paraId="4AE62EE2" w14:textId="2AFCE958" w:rsidR="21C4AC11" w:rsidRDefault="21C4AC11" w:rsidP="21C4AC11">
            <w:pPr>
              <w:jc w:val="center"/>
              <w:rPr>
                <w:rFonts w:ascii="Calibri" w:eastAsia="Calibri" w:hAnsi="Calibri" w:cs="Calibri"/>
              </w:rPr>
            </w:pPr>
            <w:r w:rsidRPr="21C4AC11">
              <w:rPr>
                <w:rFonts w:ascii="Calibri" w:eastAsia="Calibri" w:hAnsi="Calibri" w:cs="Calibri"/>
              </w:rPr>
              <w:t>-</w:t>
            </w:r>
          </w:p>
        </w:tc>
      </w:tr>
      <w:tr w:rsidR="21C4AC11" w14:paraId="4854BBE1" w14:textId="77777777" w:rsidTr="21C4AC11">
        <w:trPr>
          <w:trHeight w:val="300"/>
        </w:trPr>
        <w:tc>
          <w:tcPr>
            <w:tcW w:w="1245" w:type="dxa"/>
            <w:vMerge/>
            <w:vAlign w:val="center"/>
          </w:tcPr>
          <w:p w14:paraId="0E446511" w14:textId="77777777" w:rsidR="00B7126F" w:rsidRDefault="00B7126F"/>
        </w:tc>
        <w:tc>
          <w:tcPr>
            <w:tcW w:w="5880" w:type="dxa"/>
            <w:tcMar>
              <w:left w:w="105" w:type="dxa"/>
              <w:right w:w="105" w:type="dxa"/>
            </w:tcMar>
          </w:tcPr>
          <w:p w14:paraId="1BF93A5D" w14:textId="5B9663F6" w:rsidR="21C4AC11" w:rsidRDefault="21C4AC11" w:rsidP="21C4AC11">
            <w:pPr>
              <w:jc w:val="both"/>
              <w:rPr>
                <w:rFonts w:ascii="Calibri" w:eastAsia="Calibri" w:hAnsi="Calibri" w:cs="Calibri"/>
              </w:rPr>
            </w:pPr>
            <w:r w:rsidRPr="21C4AC11">
              <w:rPr>
                <w:rFonts w:ascii="Calibri" w:eastAsia="Calibri" w:hAnsi="Calibri" w:cs="Calibri"/>
              </w:rPr>
              <w:t>Socio-demographic Index</w:t>
            </w:r>
          </w:p>
        </w:tc>
        <w:tc>
          <w:tcPr>
            <w:tcW w:w="1935" w:type="dxa"/>
            <w:tcMar>
              <w:left w:w="105" w:type="dxa"/>
              <w:right w:w="105" w:type="dxa"/>
            </w:tcMar>
          </w:tcPr>
          <w:p w14:paraId="6209455F" w14:textId="1063E92C" w:rsidR="21C4AC11" w:rsidRDefault="21C4AC11" w:rsidP="21C4AC11">
            <w:pPr>
              <w:jc w:val="center"/>
              <w:rPr>
                <w:rFonts w:ascii="Calibri" w:eastAsia="Calibri" w:hAnsi="Calibri" w:cs="Calibri"/>
              </w:rPr>
            </w:pPr>
            <w:r w:rsidRPr="21C4AC11">
              <w:rPr>
                <w:rFonts w:ascii="Calibri" w:eastAsia="Calibri" w:hAnsi="Calibri" w:cs="Calibri"/>
              </w:rPr>
              <w:t>-</w:t>
            </w:r>
          </w:p>
        </w:tc>
      </w:tr>
    </w:tbl>
    <w:p w14:paraId="7C1386E4" w14:textId="1AB65BAC" w:rsidR="21C4AC11" w:rsidRDefault="21C4AC11" w:rsidP="21C4AC11">
      <w:pPr>
        <w:spacing w:after="0"/>
        <w:rPr>
          <w:rFonts w:ascii="Calibri" w:eastAsia="Calibri" w:hAnsi="Calibri" w:cs="Calibri"/>
          <w:color w:val="000000" w:themeColor="text1"/>
        </w:rPr>
      </w:pPr>
    </w:p>
    <w:p w14:paraId="1C7E552E" w14:textId="3C53612F" w:rsidR="21C4AC11" w:rsidRDefault="21C4AC11" w:rsidP="21C4AC11"/>
    <w:p w14:paraId="62942D36" w14:textId="04401180" w:rsidR="00A90313" w:rsidRDefault="00E63126" w:rsidP="00C31303">
      <w:pPr>
        <w:rPr>
          <w:rFonts w:ascii="Calibri Light" w:eastAsia="Calibri Light" w:hAnsi="Calibri Light" w:cs="Calibri Light"/>
          <w:color w:val="215E99"/>
          <w:sz w:val="26"/>
          <w:szCs w:val="26"/>
        </w:rPr>
        <w:sectPr w:rsidR="00A90313" w:rsidSect="00E63126">
          <w:footerReference w:type="even" r:id="rId13"/>
          <w:footerReference w:type="default" r:id="rId14"/>
          <w:pgSz w:w="12240" w:h="15840"/>
          <w:pgMar w:top="1440" w:right="1440" w:bottom="1440" w:left="1440" w:header="720" w:footer="720" w:gutter="0"/>
          <w:cols w:space="720"/>
          <w:docGrid w:linePitch="299"/>
        </w:sectPr>
      </w:pPr>
      <w:r w:rsidRPr="31F26954">
        <w:rPr>
          <w:rFonts w:ascii="Calibri Light" w:eastAsia="Calibri Light" w:hAnsi="Calibri Light" w:cs="Calibri Light"/>
          <w:color w:val="215E99"/>
          <w:sz w:val="26"/>
          <w:szCs w:val="26"/>
        </w:rPr>
        <w:br w:type="page"/>
      </w:r>
    </w:p>
    <w:p w14:paraId="68996891" w14:textId="261E4F60" w:rsidR="00E63126" w:rsidRDefault="002B58C6" w:rsidP="31F26954">
      <w:pPr>
        <w:pStyle w:val="Heading1"/>
      </w:pPr>
      <w:bookmarkStart w:id="16" w:name="_Toc213357088"/>
      <w:r>
        <w:t>Non-fatal Meningitis Modeling</w:t>
      </w:r>
      <w:bookmarkEnd w:id="16"/>
    </w:p>
    <w:p w14:paraId="7E5580B3" w14:textId="76696654" w:rsidR="08E73539" w:rsidRDefault="08E73539" w:rsidP="21C4AC11">
      <w:pPr>
        <w:spacing w:before="160" w:after="80" w:line="278" w:lineRule="auto"/>
      </w:pPr>
      <w:r w:rsidRPr="21C4AC11">
        <w:rPr>
          <w:rFonts w:ascii="Calibri Light" w:eastAsia="Calibri Light" w:hAnsi="Calibri Light" w:cs="Calibri Light"/>
          <w:color w:val="215E99"/>
          <w:sz w:val="26"/>
          <w:szCs w:val="26"/>
        </w:rPr>
        <w:t>Flowchart</w:t>
      </w:r>
    </w:p>
    <w:p w14:paraId="60BA2806" w14:textId="679CA00A" w:rsidR="08E73539" w:rsidRDefault="002B58C6" w:rsidP="21C4AC11">
      <w:pPr>
        <w:spacing w:before="160" w:after="80" w:line="278" w:lineRule="auto"/>
      </w:pPr>
      <w:r>
        <w:rPr>
          <w:noProof/>
        </w:rPr>
        <w:drawing>
          <wp:inline distT="0" distB="0" distL="0" distR="0" wp14:anchorId="5247B788" wp14:editId="7A28A104">
            <wp:extent cx="8498229" cy="3220278"/>
            <wp:effectExtent l="0" t="0" r="0" b="5715"/>
            <wp:docPr id="1003010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10114" name="Picture 100301011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509437" cy="3224525"/>
                    </a:xfrm>
                    <a:prstGeom prst="rect">
                      <a:avLst/>
                    </a:prstGeom>
                  </pic:spPr>
                </pic:pic>
              </a:graphicData>
            </a:graphic>
          </wp:inline>
        </w:drawing>
      </w:r>
    </w:p>
    <w:p w14:paraId="459A1612" w14:textId="77777777" w:rsidR="00A90313" w:rsidRDefault="00E63126">
      <w:pPr>
        <w:sectPr w:rsidR="00A90313" w:rsidSect="00C31303">
          <w:pgSz w:w="15840" w:h="12240" w:orient="landscape"/>
          <w:pgMar w:top="1440" w:right="1440" w:bottom="1440" w:left="1440" w:header="720" w:footer="720" w:gutter="0"/>
          <w:cols w:space="720"/>
          <w:docGrid w:linePitch="299"/>
        </w:sectPr>
      </w:pPr>
      <w:r>
        <w:br w:type="page"/>
      </w:r>
    </w:p>
    <w:p w14:paraId="2FDC3D36" w14:textId="75B0866F" w:rsidR="00E63126" w:rsidRDefault="00E63126"/>
    <w:p w14:paraId="227276FE" w14:textId="2FCCB7F4" w:rsidR="08E73539" w:rsidRDefault="08E73539" w:rsidP="21C4AC11">
      <w:pPr>
        <w:spacing w:before="160" w:after="80" w:line="257" w:lineRule="auto"/>
      </w:pPr>
      <w:r w:rsidRPr="21C4AC11">
        <w:rPr>
          <w:rFonts w:ascii="Calibri Light" w:eastAsia="Calibri Light" w:hAnsi="Calibri Light" w:cs="Calibri Light"/>
          <w:color w:val="215E99"/>
          <w:sz w:val="26"/>
          <w:szCs w:val="26"/>
        </w:rPr>
        <w:t>Input data and methodological summary for meningitis</w:t>
      </w:r>
    </w:p>
    <w:p w14:paraId="190CDC72" w14:textId="13F4234B" w:rsidR="08E73539" w:rsidRDefault="08E73539" w:rsidP="21C4AC11">
      <w:pPr>
        <w:spacing w:before="160" w:after="80" w:line="278" w:lineRule="auto"/>
      </w:pPr>
      <w:r w:rsidRPr="21C4AC11">
        <w:rPr>
          <w:rFonts w:ascii="Calibri Light" w:eastAsia="Calibri Light" w:hAnsi="Calibri Light" w:cs="Calibri Light"/>
          <w:color w:val="215E99"/>
          <w:sz w:val="26"/>
          <w:szCs w:val="26"/>
        </w:rPr>
        <w:t>Case definition</w:t>
      </w:r>
    </w:p>
    <w:p w14:paraId="38AD62FF" w14:textId="178C9F77" w:rsidR="08E73539" w:rsidRDefault="08E73539" w:rsidP="21C4AC11">
      <w:pPr>
        <w:spacing w:line="257" w:lineRule="auto"/>
      </w:pPr>
      <w:r w:rsidRPr="21C4AC11">
        <w:rPr>
          <w:rFonts w:ascii="Calibri" w:eastAsia="Calibri" w:hAnsi="Calibri" w:cs="Calibri"/>
        </w:rPr>
        <w:t xml:space="preserve">Meningitis is a disease caused by inflammation of the meninges, the protective membrane surrounding the brain and spinal cord, and is typically caused by an infection in the cerebrospinal fluid. Symptoms include headache, fever, stiff neck, and sometimes seizures. Included in the GBD modelling were cases meeting ICD-10 diagnostic criteria for meningitis due to bacteria or viruses (A39-A39.9, A87-A87.9, G00.0-G00.8, and G00-G03.0). </w:t>
      </w:r>
    </w:p>
    <w:p w14:paraId="1447FE0B" w14:textId="1858661F" w:rsidR="08E73539" w:rsidRDefault="08E73539" w:rsidP="21C4AC11">
      <w:pPr>
        <w:spacing w:line="257" w:lineRule="auto"/>
      </w:pPr>
      <w:r w:rsidRPr="21C4AC11">
        <w:rPr>
          <w:rFonts w:ascii="Calibri" w:eastAsia="Calibri" w:hAnsi="Calibri" w:cs="Calibri"/>
        </w:rPr>
        <w:t>The case definitions accepted for meningitis are shown below.</w:t>
      </w:r>
    </w:p>
    <w:tbl>
      <w:tblPr>
        <w:tblStyle w:val="TableGrid"/>
        <w:tblW w:w="0" w:type="auto"/>
        <w:tblLayout w:type="fixed"/>
        <w:tblLook w:val="00A0" w:firstRow="1" w:lastRow="0" w:firstColumn="1" w:lastColumn="0" w:noHBand="0" w:noVBand="0"/>
      </w:tblPr>
      <w:tblGrid>
        <w:gridCol w:w="2889"/>
        <w:gridCol w:w="1300"/>
        <w:gridCol w:w="4487"/>
      </w:tblGrid>
      <w:tr w:rsidR="21C4AC11" w14:paraId="3C54FBFC" w14:textId="77777777" w:rsidTr="21C4AC11">
        <w:trPr>
          <w:trHeight w:val="270"/>
        </w:trPr>
        <w:tc>
          <w:tcPr>
            <w:tcW w:w="2889" w:type="dxa"/>
            <w:tcBorders>
              <w:top w:val="single" w:sz="8" w:space="0" w:color="auto"/>
              <w:left w:val="single" w:sz="8" w:space="0" w:color="auto"/>
              <w:bottom w:val="single" w:sz="8" w:space="0" w:color="auto"/>
              <w:right w:val="single" w:sz="8" w:space="0" w:color="auto"/>
            </w:tcBorders>
            <w:tcMar>
              <w:left w:w="108" w:type="dxa"/>
              <w:right w:w="108" w:type="dxa"/>
            </w:tcMar>
          </w:tcPr>
          <w:p w14:paraId="5BDBF2BF" w14:textId="78638493" w:rsidR="21C4AC11" w:rsidRDefault="21C4AC11" w:rsidP="21C4AC11">
            <w:r w:rsidRPr="21C4AC11">
              <w:rPr>
                <w:rFonts w:ascii="Calibri" w:eastAsia="Calibri" w:hAnsi="Calibri" w:cs="Calibri"/>
                <w:b/>
                <w:bCs/>
                <w:sz w:val="20"/>
                <w:szCs w:val="20"/>
              </w:rPr>
              <w:t>Quantity of interest</w:t>
            </w:r>
          </w:p>
        </w:tc>
        <w:tc>
          <w:tcPr>
            <w:tcW w:w="1300" w:type="dxa"/>
            <w:tcBorders>
              <w:top w:val="single" w:sz="8" w:space="0" w:color="auto"/>
              <w:left w:val="single" w:sz="8" w:space="0" w:color="auto"/>
              <w:bottom w:val="single" w:sz="8" w:space="0" w:color="auto"/>
              <w:right w:val="single" w:sz="8" w:space="0" w:color="auto"/>
            </w:tcBorders>
            <w:tcMar>
              <w:left w:w="108" w:type="dxa"/>
              <w:right w:w="108" w:type="dxa"/>
            </w:tcMar>
          </w:tcPr>
          <w:p w14:paraId="0DEA0244" w14:textId="311E812B" w:rsidR="21C4AC11" w:rsidRDefault="21C4AC11" w:rsidP="21C4AC11">
            <w:r w:rsidRPr="21C4AC11">
              <w:rPr>
                <w:rFonts w:ascii="Calibri" w:eastAsia="Calibri" w:hAnsi="Calibri" w:cs="Calibri"/>
                <w:b/>
                <w:bCs/>
                <w:sz w:val="20"/>
                <w:szCs w:val="20"/>
              </w:rPr>
              <w:t>Reference or alternative</w:t>
            </w:r>
          </w:p>
        </w:tc>
        <w:tc>
          <w:tcPr>
            <w:tcW w:w="4487" w:type="dxa"/>
            <w:tcBorders>
              <w:top w:val="single" w:sz="8" w:space="0" w:color="auto"/>
              <w:left w:val="single" w:sz="8" w:space="0" w:color="auto"/>
              <w:bottom w:val="single" w:sz="8" w:space="0" w:color="auto"/>
              <w:right w:val="single" w:sz="8" w:space="0" w:color="auto"/>
            </w:tcBorders>
            <w:tcMar>
              <w:left w:w="108" w:type="dxa"/>
              <w:right w:w="108" w:type="dxa"/>
            </w:tcMar>
          </w:tcPr>
          <w:p w14:paraId="6617689D" w14:textId="78C59BE5" w:rsidR="21C4AC11" w:rsidRDefault="21C4AC11" w:rsidP="21C4AC11">
            <w:r w:rsidRPr="21C4AC11">
              <w:rPr>
                <w:rFonts w:ascii="Calibri" w:eastAsia="Calibri" w:hAnsi="Calibri" w:cs="Calibri"/>
                <w:b/>
                <w:bCs/>
                <w:sz w:val="20"/>
                <w:szCs w:val="20"/>
              </w:rPr>
              <w:t>Definition</w:t>
            </w:r>
          </w:p>
        </w:tc>
      </w:tr>
      <w:tr w:rsidR="21C4AC11" w14:paraId="7FD795B7" w14:textId="77777777" w:rsidTr="21C4AC11">
        <w:trPr>
          <w:trHeight w:val="270"/>
        </w:trPr>
        <w:tc>
          <w:tcPr>
            <w:tcW w:w="2889" w:type="dxa"/>
            <w:tcBorders>
              <w:top w:val="single" w:sz="8" w:space="0" w:color="auto"/>
              <w:left w:val="single" w:sz="8" w:space="0" w:color="auto"/>
              <w:bottom w:val="single" w:sz="8" w:space="0" w:color="auto"/>
              <w:right w:val="single" w:sz="8" w:space="0" w:color="auto"/>
            </w:tcBorders>
            <w:tcMar>
              <w:left w:w="108" w:type="dxa"/>
              <w:right w:w="108" w:type="dxa"/>
            </w:tcMar>
          </w:tcPr>
          <w:p w14:paraId="31929BCB" w14:textId="778B88F3" w:rsidR="21C4AC11" w:rsidRDefault="21C4AC11" w:rsidP="21C4AC11">
            <w:r w:rsidRPr="21C4AC11">
              <w:rPr>
                <w:rFonts w:ascii="Calibri" w:eastAsia="Calibri" w:hAnsi="Calibri" w:cs="Calibri"/>
                <w:sz w:val="20"/>
                <w:szCs w:val="20"/>
              </w:rPr>
              <w:t>Incidence of meningitis</w:t>
            </w:r>
          </w:p>
        </w:tc>
        <w:tc>
          <w:tcPr>
            <w:tcW w:w="1300" w:type="dxa"/>
            <w:tcBorders>
              <w:top w:val="single" w:sz="8" w:space="0" w:color="auto"/>
              <w:left w:val="single" w:sz="8" w:space="0" w:color="auto"/>
              <w:bottom w:val="single" w:sz="8" w:space="0" w:color="auto"/>
              <w:right w:val="single" w:sz="8" w:space="0" w:color="auto"/>
            </w:tcBorders>
            <w:tcMar>
              <w:left w:w="108" w:type="dxa"/>
              <w:right w:w="108" w:type="dxa"/>
            </w:tcMar>
          </w:tcPr>
          <w:p w14:paraId="0882A7EC" w14:textId="1B7C6347" w:rsidR="21C4AC11" w:rsidRDefault="21C4AC11" w:rsidP="21C4AC11">
            <w:r w:rsidRPr="21C4AC11">
              <w:rPr>
                <w:rFonts w:ascii="Calibri" w:eastAsia="Calibri" w:hAnsi="Calibri" w:cs="Calibri"/>
                <w:sz w:val="20"/>
                <w:szCs w:val="20"/>
              </w:rPr>
              <w:t>Reference</w:t>
            </w:r>
          </w:p>
        </w:tc>
        <w:tc>
          <w:tcPr>
            <w:tcW w:w="4487" w:type="dxa"/>
            <w:tcBorders>
              <w:top w:val="single" w:sz="8" w:space="0" w:color="auto"/>
              <w:left w:val="single" w:sz="8" w:space="0" w:color="auto"/>
              <w:bottom w:val="single" w:sz="8" w:space="0" w:color="auto"/>
              <w:right w:val="single" w:sz="8" w:space="0" w:color="auto"/>
            </w:tcBorders>
            <w:tcMar>
              <w:left w:w="108" w:type="dxa"/>
              <w:right w:w="108" w:type="dxa"/>
            </w:tcMar>
          </w:tcPr>
          <w:p w14:paraId="0E909E88" w14:textId="78960C7F" w:rsidR="21C4AC11" w:rsidRDefault="21C4AC11" w:rsidP="21C4AC11">
            <w:r w:rsidRPr="21C4AC11">
              <w:rPr>
                <w:rFonts w:ascii="Calibri" w:eastAsia="Calibri" w:hAnsi="Calibri" w:cs="Calibri"/>
                <w:sz w:val="20"/>
                <w:szCs w:val="20"/>
              </w:rPr>
              <w:t>Meningitis from inpatient hospital in clinical data or from literature, where cases are diagnosed by antigen test, blood test, cerebrospinal fluid test, polymerase chain reaction test, or latex agglutination test.</w:t>
            </w:r>
          </w:p>
        </w:tc>
      </w:tr>
      <w:tr w:rsidR="21C4AC11" w14:paraId="24E3FFCF" w14:textId="77777777" w:rsidTr="21C4AC11">
        <w:trPr>
          <w:trHeight w:val="270"/>
        </w:trPr>
        <w:tc>
          <w:tcPr>
            <w:tcW w:w="2889" w:type="dxa"/>
            <w:tcBorders>
              <w:top w:val="single" w:sz="8" w:space="0" w:color="auto"/>
              <w:left w:val="single" w:sz="8" w:space="0" w:color="auto"/>
              <w:bottom w:val="single" w:sz="8" w:space="0" w:color="auto"/>
              <w:right w:val="single" w:sz="8" w:space="0" w:color="auto"/>
            </w:tcBorders>
            <w:tcMar>
              <w:left w:w="108" w:type="dxa"/>
              <w:right w:w="108" w:type="dxa"/>
            </w:tcMar>
          </w:tcPr>
          <w:p w14:paraId="101C92A8" w14:textId="1284393B" w:rsidR="21C4AC11" w:rsidRDefault="21C4AC11" w:rsidP="21C4AC11">
            <w:r w:rsidRPr="21C4AC11">
              <w:rPr>
                <w:rFonts w:ascii="Calibri" w:eastAsia="Calibri" w:hAnsi="Calibri" w:cs="Calibri"/>
                <w:sz w:val="20"/>
                <w:szCs w:val="20"/>
              </w:rPr>
              <w:t>Incidence of meningitis</w:t>
            </w:r>
          </w:p>
        </w:tc>
        <w:tc>
          <w:tcPr>
            <w:tcW w:w="1300" w:type="dxa"/>
            <w:tcBorders>
              <w:top w:val="single" w:sz="8" w:space="0" w:color="auto"/>
              <w:left w:val="single" w:sz="8" w:space="0" w:color="auto"/>
              <w:bottom w:val="single" w:sz="8" w:space="0" w:color="auto"/>
              <w:right w:val="single" w:sz="8" w:space="0" w:color="auto"/>
            </w:tcBorders>
            <w:tcMar>
              <w:left w:w="108" w:type="dxa"/>
              <w:right w:w="108" w:type="dxa"/>
            </w:tcMar>
          </w:tcPr>
          <w:p w14:paraId="4DAB4CC8" w14:textId="7817BC22" w:rsidR="21C4AC11" w:rsidRDefault="21C4AC11" w:rsidP="21C4AC11">
            <w:r w:rsidRPr="21C4AC11">
              <w:rPr>
                <w:rFonts w:ascii="Calibri" w:eastAsia="Calibri" w:hAnsi="Calibri" w:cs="Calibri"/>
                <w:sz w:val="20"/>
                <w:szCs w:val="20"/>
              </w:rPr>
              <w:t>Alternative</w:t>
            </w:r>
          </w:p>
        </w:tc>
        <w:tc>
          <w:tcPr>
            <w:tcW w:w="4487" w:type="dxa"/>
            <w:tcBorders>
              <w:top w:val="single" w:sz="8" w:space="0" w:color="auto"/>
              <w:left w:val="single" w:sz="8" w:space="0" w:color="auto"/>
              <w:bottom w:val="single" w:sz="8" w:space="0" w:color="auto"/>
              <w:right w:val="single" w:sz="8" w:space="0" w:color="auto"/>
            </w:tcBorders>
            <w:tcMar>
              <w:left w:w="108" w:type="dxa"/>
              <w:right w:w="108" w:type="dxa"/>
            </w:tcMar>
          </w:tcPr>
          <w:p w14:paraId="7BEB7458" w14:textId="455885AA" w:rsidR="21C4AC11" w:rsidRDefault="21C4AC11" w:rsidP="21C4AC11">
            <w:r w:rsidRPr="21C4AC11">
              <w:rPr>
                <w:rFonts w:ascii="Calibri" w:eastAsia="Calibri" w:hAnsi="Calibri" w:cs="Calibri"/>
                <w:sz w:val="20"/>
                <w:szCs w:val="20"/>
              </w:rPr>
              <w:t>Meningitis from private claims data.</w:t>
            </w:r>
          </w:p>
        </w:tc>
      </w:tr>
      <w:tr w:rsidR="21C4AC11" w14:paraId="1CAEA88F" w14:textId="77777777" w:rsidTr="21C4AC11">
        <w:trPr>
          <w:trHeight w:val="270"/>
        </w:trPr>
        <w:tc>
          <w:tcPr>
            <w:tcW w:w="2889" w:type="dxa"/>
            <w:tcBorders>
              <w:top w:val="single" w:sz="8" w:space="0" w:color="auto"/>
              <w:left w:val="single" w:sz="8" w:space="0" w:color="auto"/>
              <w:bottom w:val="single" w:sz="8" w:space="0" w:color="auto"/>
              <w:right w:val="single" w:sz="8" w:space="0" w:color="auto"/>
            </w:tcBorders>
            <w:tcMar>
              <w:left w:w="108" w:type="dxa"/>
              <w:right w:w="108" w:type="dxa"/>
            </w:tcMar>
          </w:tcPr>
          <w:p w14:paraId="30953E7B" w14:textId="4549C3E7" w:rsidR="21C4AC11" w:rsidRDefault="21C4AC11" w:rsidP="21C4AC11">
            <w:r w:rsidRPr="21C4AC11">
              <w:rPr>
                <w:rFonts w:ascii="Calibri" w:eastAsia="Calibri" w:hAnsi="Calibri" w:cs="Calibri"/>
                <w:sz w:val="20"/>
                <w:szCs w:val="20"/>
              </w:rPr>
              <w:t>Incidence of meningitis</w:t>
            </w:r>
          </w:p>
        </w:tc>
        <w:tc>
          <w:tcPr>
            <w:tcW w:w="1300" w:type="dxa"/>
            <w:tcBorders>
              <w:top w:val="single" w:sz="8" w:space="0" w:color="auto"/>
              <w:left w:val="single" w:sz="8" w:space="0" w:color="auto"/>
              <w:bottom w:val="single" w:sz="8" w:space="0" w:color="auto"/>
              <w:right w:val="single" w:sz="8" w:space="0" w:color="auto"/>
            </w:tcBorders>
            <w:tcMar>
              <w:left w:w="108" w:type="dxa"/>
              <w:right w:w="108" w:type="dxa"/>
            </w:tcMar>
          </w:tcPr>
          <w:p w14:paraId="5B0C4FE0" w14:textId="5F2BA335" w:rsidR="21C4AC11" w:rsidRDefault="21C4AC11" w:rsidP="21C4AC11">
            <w:r w:rsidRPr="21C4AC11">
              <w:rPr>
                <w:rFonts w:ascii="Calibri" w:eastAsia="Calibri" w:hAnsi="Calibri" w:cs="Calibri"/>
                <w:sz w:val="20"/>
                <w:szCs w:val="20"/>
              </w:rPr>
              <w:t>Alternative</w:t>
            </w:r>
          </w:p>
        </w:tc>
        <w:tc>
          <w:tcPr>
            <w:tcW w:w="4487" w:type="dxa"/>
            <w:tcBorders>
              <w:top w:val="single" w:sz="8" w:space="0" w:color="auto"/>
              <w:left w:val="single" w:sz="8" w:space="0" w:color="auto"/>
              <w:bottom w:val="single" w:sz="8" w:space="0" w:color="auto"/>
              <w:right w:val="single" w:sz="8" w:space="0" w:color="auto"/>
            </w:tcBorders>
            <w:tcMar>
              <w:left w:w="108" w:type="dxa"/>
              <w:right w:w="108" w:type="dxa"/>
            </w:tcMar>
          </w:tcPr>
          <w:p w14:paraId="70A4878A" w14:textId="66847EF3" w:rsidR="21C4AC11" w:rsidRDefault="21C4AC11" w:rsidP="21C4AC11">
            <w:r w:rsidRPr="21C4AC11">
              <w:rPr>
                <w:rFonts w:ascii="Calibri" w:eastAsia="Calibri" w:hAnsi="Calibri" w:cs="Calibri"/>
                <w:sz w:val="20"/>
                <w:szCs w:val="20"/>
              </w:rPr>
              <w:t>Cases detected by epidemiological surveillance.</w:t>
            </w:r>
          </w:p>
        </w:tc>
      </w:tr>
    </w:tbl>
    <w:p w14:paraId="6FEF0229" w14:textId="4ED637B7" w:rsidR="08E73539" w:rsidRDefault="08E73539" w:rsidP="21C4AC11">
      <w:pPr>
        <w:spacing w:before="40" w:after="0" w:line="254" w:lineRule="auto"/>
      </w:pPr>
      <w:r w:rsidRPr="21C4AC11">
        <w:rPr>
          <w:rFonts w:ascii="Calibri" w:eastAsia="Calibri" w:hAnsi="Calibri" w:cs="Calibri"/>
          <w:b/>
          <w:bCs/>
          <w:color w:val="2F5496" w:themeColor="accent1" w:themeShade="BF"/>
          <w:sz w:val="26"/>
          <w:szCs w:val="26"/>
        </w:rPr>
        <w:t xml:space="preserve"> </w:t>
      </w:r>
    </w:p>
    <w:p w14:paraId="2F67C1B7" w14:textId="455BD85F" w:rsidR="08E73539" w:rsidRDefault="08E73539" w:rsidP="21C4AC11">
      <w:pPr>
        <w:spacing w:line="257" w:lineRule="auto"/>
      </w:pPr>
    </w:p>
    <w:p w14:paraId="6D57CF5E" w14:textId="1782067D" w:rsidR="08E73539" w:rsidRDefault="08E73539" w:rsidP="21C4AC11">
      <w:pPr>
        <w:spacing w:before="160" w:after="80" w:line="278" w:lineRule="auto"/>
      </w:pPr>
      <w:r w:rsidRPr="21C4AC11">
        <w:rPr>
          <w:rFonts w:ascii="Calibri Light" w:eastAsia="Calibri Light" w:hAnsi="Calibri Light" w:cs="Calibri Light"/>
          <w:color w:val="215E99"/>
          <w:sz w:val="26"/>
          <w:szCs w:val="26"/>
        </w:rPr>
        <w:t>Input data</w:t>
      </w:r>
    </w:p>
    <w:p w14:paraId="24AC29CD" w14:textId="6C6EB95B" w:rsidR="08E73539" w:rsidRDefault="08E73539" w:rsidP="21C4AC11">
      <w:pPr>
        <w:spacing w:line="257" w:lineRule="auto"/>
      </w:pPr>
      <w:r w:rsidRPr="21C4AC11">
        <w:rPr>
          <w:rFonts w:ascii="Calibri" w:eastAsia="Calibri" w:hAnsi="Calibri" w:cs="Calibri"/>
        </w:rPr>
        <w:t>Input data included all data previously used from GBD 2019, new data identified in our updated systematic review, newly acquired surveys, and new claims and inpatient data. Meningitis incidence data come from a systematic literature review, hospital inpatient and outpatient data, claims data from the USA, and surveillance data. In addition, sequelae and severity splits for bacterial meningitis were informed by a meta-analysis from Edmond and colleagues,</w:t>
      </w:r>
      <w:r w:rsidRPr="21C4AC11">
        <w:rPr>
          <w:rFonts w:ascii="Calibri" w:eastAsia="Calibri" w:hAnsi="Calibri" w:cs="Calibri"/>
          <w:vertAlign w:val="superscript"/>
        </w:rPr>
        <w:t>1</w:t>
      </w:r>
      <w:r w:rsidRPr="21C4AC11">
        <w:rPr>
          <w:rFonts w:ascii="Calibri" w:eastAsia="Calibri" w:hAnsi="Calibri" w:cs="Calibri"/>
        </w:rPr>
        <w:t xml:space="preserve"> while sequelae and severity splits for viral meningitis were informed by a meta-analysis from Hudson and colleagues.</w:t>
      </w:r>
      <w:r w:rsidRPr="21C4AC11">
        <w:rPr>
          <w:rFonts w:ascii="Calibri" w:eastAsia="Calibri" w:hAnsi="Calibri" w:cs="Calibri"/>
          <w:vertAlign w:val="superscript"/>
        </w:rPr>
        <w:t>2</w:t>
      </w:r>
    </w:p>
    <w:p w14:paraId="1A9FD23D" w14:textId="324F2065" w:rsidR="08E73539" w:rsidRDefault="08E73539" w:rsidP="21C4AC11">
      <w:pPr>
        <w:spacing w:line="257" w:lineRule="auto"/>
      </w:pPr>
      <w:r w:rsidRPr="21C4AC11">
        <w:rPr>
          <w:rFonts w:ascii="Calibri" w:eastAsia="Calibri" w:hAnsi="Calibri" w:cs="Calibri"/>
        </w:rPr>
        <w:t xml:space="preserve">The PubMed search string below was used to look for the incidence or prevalence of meningitis.  </w:t>
      </w:r>
    </w:p>
    <w:p w14:paraId="6B455A34" w14:textId="64D6ECFE" w:rsidR="08E73539" w:rsidRDefault="08E73539" w:rsidP="21C4AC11">
      <w:pPr>
        <w:spacing w:line="257" w:lineRule="auto"/>
      </w:pPr>
      <w:r w:rsidRPr="21C4AC11">
        <w:rPr>
          <w:rFonts w:ascii="Calibri" w:eastAsia="Calibri" w:hAnsi="Calibri" w:cs="Calibri"/>
        </w:rPr>
        <w:t>("meningitis"[</w:t>
      </w:r>
      <w:proofErr w:type="spellStart"/>
      <w:r w:rsidRPr="21C4AC11">
        <w:rPr>
          <w:rFonts w:ascii="Calibri" w:eastAsia="Calibri" w:hAnsi="Calibri" w:cs="Calibri"/>
        </w:rPr>
        <w:t>MeSH</w:t>
      </w:r>
      <w:proofErr w:type="spellEnd"/>
      <w:r w:rsidRPr="21C4AC11">
        <w:rPr>
          <w:rFonts w:ascii="Calibri" w:eastAsia="Calibri" w:hAnsi="Calibri" w:cs="Calibri"/>
        </w:rPr>
        <w:t xml:space="preserve"> Terms] OR "meningitis"[Title/Abstract]) AND ("</w:t>
      </w:r>
      <w:proofErr w:type="spellStart"/>
      <w:r w:rsidRPr="21C4AC11">
        <w:rPr>
          <w:rFonts w:ascii="Calibri" w:eastAsia="Calibri" w:hAnsi="Calibri" w:cs="Calibri"/>
        </w:rPr>
        <w:t>prevalen</w:t>
      </w:r>
      <w:proofErr w:type="spellEnd"/>
      <w:r w:rsidRPr="21C4AC11">
        <w:rPr>
          <w:rFonts w:ascii="Calibri" w:eastAsia="Calibri" w:hAnsi="Calibri" w:cs="Calibri"/>
        </w:rPr>
        <w:t>*”[Title/Abstract] OR “</w:t>
      </w:r>
      <w:proofErr w:type="spellStart"/>
      <w:r w:rsidRPr="21C4AC11">
        <w:rPr>
          <w:rFonts w:ascii="Calibri" w:eastAsia="Calibri" w:hAnsi="Calibri" w:cs="Calibri"/>
        </w:rPr>
        <w:t>inciden</w:t>
      </w:r>
      <w:proofErr w:type="spellEnd"/>
      <w:r w:rsidRPr="21C4AC11">
        <w:rPr>
          <w:rFonts w:ascii="Calibri" w:eastAsia="Calibri" w:hAnsi="Calibri" w:cs="Calibri"/>
        </w:rPr>
        <w:t>*”[Title/Abstract] OR “case*”[Title/Abstract]) NOT (“case report”[Title/Abstract] OR “case-report”[Title/Abstract])) AND (2020/3/11[DP] : 3000[DP]) NOT ("animals"[</w:t>
      </w:r>
      <w:proofErr w:type="spellStart"/>
      <w:r w:rsidRPr="21C4AC11">
        <w:rPr>
          <w:rFonts w:ascii="Calibri" w:eastAsia="Calibri" w:hAnsi="Calibri" w:cs="Calibri"/>
        </w:rPr>
        <w:t>MeSH</w:t>
      </w:r>
      <w:proofErr w:type="spellEnd"/>
      <w:r w:rsidRPr="21C4AC11">
        <w:rPr>
          <w:rFonts w:ascii="Calibri" w:eastAsia="Calibri" w:hAnsi="Calibri" w:cs="Calibri"/>
        </w:rPr>
        <w:t xml:space="preserve"> Terms] NOT "humans"[</w:t>
      </w:r>
      <w:proofErr w:type="spellStart"/>
      <w:r w:rsidRPr="21C4AC11">
        <w:rPr>
          <w:rFonts w:ascii="Calibri" w:eastAsia="Calibri" w:hAnsi="Calibri" w:cs="Calibri"/>
        </w:rPr>
        <w:t>MeSH</w:t>
      </w:r>
      <w:proofErr w:type="spellEnd"/>
      <w:r w:rsidRPr="21C4AC11">
        <w:rPr>
          <w:rFonts w:ascii="Calibri" w:eastAsia="Calibri" w:hAnsi="Calibri" w:cs="Calibri"/>
        </w:rPr>
        <w:t xml:space="preserve"> Terms])</w:t>
      </w:r>
    </w:p>
    <w:p w14:paraId="6DC11253" w14:textId="4C3EDE57" w:rsidR="08E73539" w:rsidRDefault="08E73539" w:rsidP="21C4AC11">
      <w:pPr>
        <w:spacing w:line="257" w:lineRule="auto"/>
      </w:pPr>
      <w:r w:rsidRPr="21C4AC11">
        <w:rPr>
          <w:rFonts w:ascii="Calibri" w:eastAsia="Calibri" w:hAnsi="Calibri" w:cs="Calibri"/>
        </w:rPr>
        <w:t xml:space="preserve"> </w:t>
      </w:r>
    </w:p>
    <w:p w14:paraId="362E2571" w14:textId="59C2AC29" w:rsidR="08E73539" w:rsidRDefault="08E73539" w:rsidP="21C4AC11">
      <w:pPr>
        <w:spacing w:line="257" w:lineRule="auto"/>
        <w:rPr>
          <w:rFonts w:ascii="Calibri" w:eastAsia="Calibri" w:hAnsi="Calibri" w:cs="Calibri"/>
        </w:rPr>
      </w:pPr>
      <w:r w:rsidRPr="4CD63928">
        <w:rPr>
          <w:rFonts w:ascii="Calibri" w:eastAsia="Calibri" w:hAnsi="Calibri" w:cs="Calibri"/>
        </w:rPr>
        <w:t>The inclusion criteria stipulated that: (1) the publication year must be between 1980 and the present year; (2) “caseness” was based on presence of bacterial pathogens in blood (with additional clinical presentation of meningitis) or cerebrospinal fluid, as diagnosed by culture, antigen test, polymerase chain reaction test, or latex agglutination test, or Gram staining; (3) sufficient information must be provided on study method and sample characteristics to assess the quality of the study; and (4) study samples must be representative of the general population. No limitation was set on the language of publication. We identified 265 studies after title-abstract screening, of which 133 met our inclusion criteria and were extracted. We excluded studies that were unrepresentative of the general population, studies that used animals as subjects, and studies (for incidence) with study population under 100.</w:t>
      </w:r>
    </w:p>
    <w:p w14:paraId="010A5E36" w14:textId="77777777" w:rsidR="009D191C" w:rsidRDefault="009D191C" w:rsidP="21C4AC11">
      <w:pPr>
        <w:spacing w:line="257" w:lineRule="auto"/>
        <w:rPr>
          <w:rFonts w:ascii="Calibri" w:eastAsia="Calibri" w:hAnsi="Calibri" w:cs="Calibri"/>
        </w:rPr>
      </w:pPr>
    </w:p>
    <w:p w14:paraId="157EB1FE" w14:textId="5A814244" w:rsidR="009D191C" w:rsidRDefault="009D191C" w:rsidP="4CD63928">
      <w:pPr>
        <w:spacing w:line="257" w:lineRule="auto"/>
        <w:rPr>
          <w:rFonts w:ascii="Calibri" w:eastAsia="Calibri" w:hAnsi="Calibri" w:cs="Calibri"/>
        </w:rPr>
      </w:pPr>
      <w:r w:rsidRPr="4CD63928">
        <w:rPr>
          <w:rFonts w:ascii="Calibri" w:eastAsia="Calibri" w:hAnsi="Calibri" w:cs="Calibri"/>
        </w:rPr>
        <w:t xml:space="preserve">This systematic review </w:t>
      </w:r>
      <w:r w:rsidR="00A07BA8" w:rsidRPr="4CD63928">
        <w:rPr>
          <w:rFonts w:ascii="Calibri" w:eastAsia="Calibri" w:hAnsi="Calibri" w:cs="Calibri"/>
        </w:rPr>
        <w:t xml:space="preserve">was conducted in the online tool DistillerSR and utilized the software’s </w:t>
      </w:r>
      <w:r w:rsidR="00CF0818" w:rsidRPr="4CD63928">
        <w:rPr>
          <w:rFonts w:ascii="Calibri" w:eastAsia="Calibri" w:hAnsi="Calibri" w:cs="Calibri"/>
        </w:rPr>
        <w:t xml:space="preserve">“DistillerSR Artificial Intelligence System” (DAISY). </w:t>
      </w:r>
      <w:r w:rsidR="00BF3453" w:rsidRPr="4CD63928">
        <w:rPr>
          <w:rFonts w:ascii="Calibri" w:eastAsia="Calibri" w:hAnsi="Calibri" w:cs="Calibri"/>
        </w:rPr>
        <w:t xml:space="preserve">We </w:t>
      </w:r>
      <w:r w:rsidR="0067073E" w:rsidRPr="4CD63928">
        <w:rPr>
          <w:rFonts w:ascii="Calibri" w:eastAsia="Calibri" w:hAnsi="Calibri" w:cs="Calibri"/>
        </w:rPr>
        <w:t>used an</w:t>
      </w:r>
      <w:r w:rsidR="00BF3453" w:rsidRPr="4CD63928">
        <w:rPr>
          <w:rFonts w:ascii="Calibri" w:eastAsia="Calibri" w:hAnsi="Calibri" w:cs="Calibri"/>
        </w:rPr>
        <w:t xml:space="preserve"> initial training set of manually screened records to </w:t>
      </w:r>
      <w:r w:rsidR="0067073E" w:rsidRPr="4CD63928">
        <w:rPr>
          <w:rFonts w:ascii="Calibri" w:eastAsia="Calibri" w:hAnsi="Calibri" w:cs="Calibri"/>
        </w:rPr>
        <w:t>set up DAISY.</w:t>
      </w:r>
      <w:r w:rsidR="00BF3453" w:rsidRPr="4CD63928">
        <w:rPr>
          <w:rFonts w:ascii="Calibri" w:eastAsia="Calibri" w:hAnsi="Calibri" w:cs="Calibri"/>
        </w:rPr>
        <w:t xml:space="preserve"> </w:t>
      </w:r>
      <w:r w:rsidR="0067073E" w:rsidRPr="4CD63928">
        <w:rPr>
          <w:rFonts w:ascii="Calibri" w:eastAsia="Calibri" w:hAnsi="Calibri" w:cs="Calibri"/>
        </w:rPr>
        <w:t>The tool</w:t>
      </w:r>
      <w:r w:rsidR="00BF3453" w:rsidRPr="4CD63928">
        <w:rPr>
          <w:rFonts w:ascii="Calibri" w:eastAsia="Calibri" w:hAnsi="Calibri" w:cs="Calibri"/>
        </w:rPr>
        <w:t xml:space="preserve"> then prioritized remaining citations for inclusion or exclusion. </w:t>
      </w:r>
      <w:r w:rsidR="0067073E" w:rsidRPr="4CD63928">
        <w:rPr>
          <w:rFonts w:ascii="Calibri" w:eastAsia="Calibri" w:hAnsi="Calibri" w:cs="Calibri"/>
        </w:rPr>
        <w:t xml:space="preserve">We worked with DistillerSR’s error </w:t>
      </w:r>
      <w:r w:rsidR="00BF3453" w:rsidRPr="4CD63928">
        <w:rPr>
          <w:rFonts w:ascii="Calibri" w:eastAsia="Calibri" w:hAnsi="Calibri" w:cs="Calibri"/>
        </w:rPr>
        <w:t xml:space="preserve">prediction tool and audit function </w:t>
      </w:r>
      <w:r w:rsidR="0067073E" w:rsidRPr="4CD63928">
        <w:rPr>
          <w:rFonts w:ascii="Calibri" w:eastAsia="Calibri" w:hAnsi="Calibri" w:cs="Calibri"/>
        </w:rPr>
        <w:t>to run various</w:t>
      </w:r>
      <w:r w:rsidR="00BF3453" w:rsidRPr="4CD63928">
        <w:rPr>
          <w:rFonts w:ascii="Calibri" w:eastAsia="Calibri" w:hAnsi="Calibri" w:cs="Calibri"/>
        </w:rPr>
        <w:t xml:space="preserve"> checkpoints</w:t>
      </w:r>
      <w:r w:rsidR="0067073E" w:rsidRPr="4CD63928">
        <w:rPr>
          <w:rFonts w:ascii="Calibri" w:eastAsia="Calibri" w:hAnsi="Calibri" w:cs="Calibri"/>
        </w:rPr>
        <w:t xml:space="preserve"> throughout the process. This allowed our</w:t>
      </w:r>
      <w:r w:rsidR="00BF3453" w:rsidRPr="4CD63928">
        <w:rPr>
          <w:rFonts w:ascii="Calibri" w:eastAsia="Calibri" w:hAnsi="Calibri" w:cs="Calibri"/>
        </w:rPr>
        <w:t xml:space="preserve"> reviewers to focus </w:t>
      </w:r>
      <w:r w:rsidR="0067073E" w:rsidRPr="4CD63928">
        <w:rPr>
          <w:rFonts w:ascii="Calibri" w:eastAsia="Calibri" w:hAnsi="Calibri" w:cs="Calibri"/>
        </w:rPr>
        <w:t xml:space="preserve">their time </w:t>
      </w:r>
      <w:r w:rsidR="00BF3453" w:rsidRPr="4CD63928">
        <w:rPr>
          <w:rFonts w:ascii="Calibri" w:eastAsia="Calibri" w:hAnsi="Calibri" w:cs="Calibri"/>
        </w:rPr>
        <w:t>on</w:t>
      </w:r>
      <w:r w:rsidR="0067073E" w:rsidRPr="4CD63928">
        <w:rPr>
          <w:rFonts w:ascii="Calibri" w:eastAsia="Calibri" w:hAnsi="Calibri" w:cs="Calibri"/>
        </w:rPr>
        <w:t xml:space="preserve"> discussing</w:t>
      </w:r>
      <w:r w:rsidR="00BF3453" w:rsidRPr="4CD63928">
        <w:rPr>
          <w:rFonts w:ascii="Calibri" w:eastAsia="Calibri" w:hAnsi="Calibri" w:cs="Calibri"/>
        </w:rPr>
        <w:t xml:space="preserve"> critical decisions and identify potential errors</w:t>
      </w:r>
      <w:r w:rsidR="0067073E" w:rsidRPr="4CD63928">
        <w:rPr>
          <w:rFonts w:ascii="Calibri" w:eastAsia="Calibri" w:hAnsi="Calibri" w:cs="Calibri"/>
        </w:rPr>
        <w:t xml:space="preserve"> in screening and extractions.</w:t>
      </w:r>
    </w:p>
    <w:p w14:paraId="3D0DCC94" w14:textId="6ED8704E" w:rsidR="3067257D" w:rsidRDefault="7865416C" w:rsidP="1A3881AC">
      <w:pPr>
        <w:spacing w:line="257" w:lineRule="auto"/>
      </w:pPr>
      <w:r>
        <w:rPr>
          <w:noProof/>
        </w:rPr>
        <w:drawing>
          <wp:inline distT="0" distB="0" distL="0" distR="0" wp14:anchorId="7D72720A" wp14:editId="6688E77E">
            <wp:extent cx="5467350" cy="5943600"/>
            <wp:effectExtent l="0" t="0" r="0" b="0"/>
            <wp:docPr id="1145634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3464" name="Picture 114563464"/>
                    <pic:cNvPicPr/>
                  </pic:nvPicPr>
                  <pic:blipFill>
                    <a:blip r:embed="rId16">
                      <a:extLst>
                        <a:ext uri="{28A0092B-C50C-407E-A947-70E740481C1C}">
                          <a14:useLocalDpi xmlns:a14="http://schemas.microsoft.com/office/drawing/2010/main"/>
                        </a:ext>
                      </a:extLst>
                    </a:blip>
                    <a:stretch>
                      <a:fillRect/>
                    </a:stretch>
                  </pic:blipFill>
                  <pic:spPr>
                    <a:xfrm>
                      <a:off x="0" y="0"/>
                      <a:ext cx="5467350" cy="5943600"/>
                    </a:xfrm>
                    <a:prstGeom prst="rect">
                      <a:avLst/>
                    </a:prstGeom>
                  </pic:spPr>
                </pic:pic>
              </a:graphicData>
            </a:graphic>
          </wp:inline>
        </w:drawing>
      </w:r>
    </w:p>
    <w:p w14:paraId="719CBA2A" w14:textId="10209A8A" w:rsidR="3058F779" w:rsidRDefault="3058F779" w:rsidP="21C4AC11">
      <w:pPr>
        <w:spacing w:line="278" w:lineRule="auto"/>
      </w:pPr>
    </w:p>
    <w:p w14:paraId="47F6462B" w14:textId="209AFC15" w:rsidR="08E73539" w:rsidRDefault="08E73539" w:rsidP="21C4AC11">
      <w:pPr>
        <w:spacing w:line="278" w:lineRule="auto"/>
      </w:pPr>
      <w:r w:rsidRPr="21C4AC11">
        <w:rPr>
          <w:rFonts w:ascii="Calibri" w:eastAsia="Calibri" w:hAnsi="Calibri" w:cs="Calibri"/>
          <w:i/>
          <w:iCs/>
          <w:color w:val="44546A" w:themeColor="text2"/>
          <w:sz w:val="18"/>
          <w:szCs w:val="18"/>
        </w:rPr>
        <w:t>Figure 1: PRISMA diagram for meningitis 2023 systematic review for incidence</w:t>
      </w:r>
    </w:p>
    <w:p w14:paraId="0B5833FB" w14:textId="374306ED" w:rsidR="08E73539" w:rsidRDefault="08E73539" w:rsidP="21C4AC11">
      <w:pPr>
        <w:spacing w:line="278" w:lineRule="auto"/>
      </w:pPr>
      <w:r w:rsidRPr="21C4AC11">
        <w:rPr>
          <w:rFonts w:ascii="Aptos" w:eastAsia="Aptos" w:hAnsi="Aptos" w:cs="Aptos"/>
          <w:sz w:val="24"/>
          <w:szCs w:val="24"/>
        </w:rPr>
        <w:t xml:space="preserve"> </w:t>
      </w:r>
    </w:p>
    <w:p w14:paraId="666C168C" w14:textId="597A69EC" w:rsidR="08E73539" w:rsidRDefault="08E73539" w:rsidP="21C4AC11">
      <w:pPr>
        <w:spacing w:line="257" w:lineRule="auto"/>
      </w:pPr>
      <w:r w:rsidRPr="21C4AC11">
        <w:rPr>
          <w:rFonts w:ascii="Calibri" w:eastAsia="Calibri" w:hAnsi="Calibri" w:cs="Calibri"/>
          <w:b/>
          <w:bCs/>
        </w:rPr>
        <w:t>Bias corrections – incidence data</w:t>
      </w:r>
    </w:p>
    <w:p w14:paraId="0AC87CE9" w14:textId="332ABA60" w:rsidR="08E73539" w:rsidRDefault="08E73539" w:rsidP="21C4AC11">
      <w:pPr>
        <w:spacing w:line="257" w:lineRule="auto"/>
      </w:pPr>
      <w:r w:rsidRPr="21C4AC11">
        <w:rPr>
          <w:rFonts w:ascii="Calibri" w:eastAsia="Calibri" w:hAnsi="Calibri" w:cs="Calibri"/>
        </w:rPr>
        <w:t xml:space="preserve">Hospital data were flagged with a covariate for inpatient hospital data and were used as the reference category. Claims data were flagged with year-specific covariates. Surveillance data were flagged with a covariate. For GBD 2021, an additional covariate was added to note surveillance with a broad definition, including suspected or viral meningitis. As described later, in non-fatal data modelling, we estimate bacterial meningitis first and add viral at the very end. Therefore, in our initial non-fatal data processing, we aim to include bacterial meningitis only to avoid double-counting viral cases. This “broadly defined” category was applied only to certain surveillance sources. The crosswalk allowed for composite definitions, such that a source that is both a surveillance source and broadly defined would have both adjustments additively applied. Both claims and surveillance data were </w:t>
      </w:r>
      <w:proofErr w:type="spellStart"/>
      <w:r w:rsidRPr="21C4AC11">
        <w:rPr>
          <w:rFonts w:ascii="Calibri" w:eastAsia="Calibri" w:hAnsi="Calibri" w:cs="Calibri"/>
        </w:rPr>
        <w:t>crosswalked</w:t>
      </w:r>
      <w:proofErr w:type="spellEnd"/>
      <w:r w:rsidRPr="21C4AC11">
        <w:rPr>
          <w:rFonts w:ascii="Calibri" w:eastAsia="Calibri" w:hAnsi="Calibri" w:cs="Calibri"/>
        </w:rPr>
        <w:t xml:space="preserve"> to the reference category.</w:t>
      </w:r>
    </w:p>
    <w:p w14:paraId="7BD57ED0" w14:textId="6FC9E460" w:rsidR="08E73539" w:rsidRDefault="08E73539" w:rsidP="21C4AC11">
      <w:pPr>
        <w:spacing w:after="0"/>
      </w:pPr>
      <w:r w:rsidRPr="21C4AC11">
        <w:rPr>
          <w:rFonts w:ascii="Calibri" w:eastAsia="Calibri" w:hAnsi="Calibri" w:cs="Calibri"/>
        </w:rPr>
        <w:t xml:space="preserve"> </w:t>
      </w:r>
    </w:p>
    <w:p w14:paraId="5AAAB645" w14:textId="2E74E202" w:rsidR="08E73539" w:rsidRDefault="08E73539" w:rsidP="21C4AC11">
      <w:pPr>
        <w:spacing w:line="257" w:lineRule="auto"/>
      </w:pPr>
      <w:r w:rsidRPr="21C4AC11">
        <w:rPr>
          <w:rFonts w:ascii="Calibri Light" w:eastAsia="Calibri Light" w:hAnsi="Calibri Light" w:cs="Calibri Light"/>
          <w:b/>
          <w:bCs/>
        </w:rPr>
        <w:t>Table 2a: MR-BRT crosswalk adjustment factors for meningitis incidence</w:t>
      </w:r>
    </w:p>
    <w:tbl>
      <w:tblPr>
        <w:tblStyle w:val="TableGrid"/>
        <w:tblW w:w="0" w:type="auto"/>
        <w:tblLayout w:type="fixed"/>
        <w:tblLook w:val="04A0" w:firstRow="1" w:lastRow="0" w:firstColumn="1" w:lastColumn="0" w:noHBand="0" w:noVBand="1"/>
      </w:tblPr>
      <w:tblGrid>
        <w:gridCol w:w="1514"/>
        <w:gridCol w:w="1099"/>
        <w:gridCol w:w="929"/>
        <w:gridCol w:w="1154"/>
        <w:gridCol w:w="1591"/>
        <w:gridCol w:w="1664"/>
      </w:tblGrid>
      <w:tr w:rsidR="21C4AC11" w14:paraId="311FF46C" w14:textId="77777777" w:rsidTr="21C4AC11">
        <w:trPr>
          <w:trHeight w:val="300"/>
        </w:trPr>
        <w:tc>
          <w:tcPr>
            <w:tcW w:w="1514" w:type="dxa"/>
            <w:tcBorders>
              <w:top w:val="single" w:sz="8" w:space="0" w:color="auto"/>
              <w:left w:val="single" w:sz="8" w:space="0" w:color="auto"/>
              <w:bottom w:val="single" w:sz="8" w:space="0" w:color="auto"/>
              <w:right w:val="single" w:sz="8" w:space="0" w:color="auto"/>
            </w:tcBorders>
            <w:tcMar>
              <w:left w:w="108" w:type="dxa"/>
              <w:right w:w="108" w:type="dxa"/>
            </w:tcMar>
          </w:tcPr>
          <w:p w14:paraId="4AC97849" w14:textId="04854205" w:rsidR="21C4AC11" w:rsidRDefault="21C4AC11" w:rsidP="21C4AC11">
            <w:r w:rsidRPr="21C4AC11">
              <w:rPr>
                <w:rFonts w:ascii="Calibri" w:eastAsia="Calibri" w:hAnsi="Calibri" w:cs="Calibri"/>
              </w:rPr>
              <w:t>Data input</w:t>
            </w:r>
          </w:p>
        </w:tc>
        <w:tc>
          <w:tcPr>
            <w:tcW w:w="1099" w:type="dxa"/>
            <w:tcBorders>
              <w:top w:val="single" w:sz="8" w:space="0" w:color="auto"/>
              <w:left w:val="single" w:sz="8" w:space="0" w:color="auto"/>
              <w:bottom w:val="single" w:sz="8" w:space="0" w:color="auto"/>
              <w:right w:val="single" w:sz="8" w:space="0" w:color="auto"/>
            </w:tcBorders>
            <w:tcMar>
              <w:left w:w="108" w:type="dxa"/>
              <w:right w:w="108" w:type="dxa"/>
            </w:tcMar>
          </w:tcPr>
          <w:p w14:paraId="4D7BBEB4" w14:textId="158B83BA" w:rsidR="21C4AC11" w:rsidRDefault="21C4AC11" w:rsidP="21C4AC11">
            <w:r w:rsidRPr="21C4AC11">
              <w:rPr>
                <w:rFonts w:ascii="Calibri" w:eastAsia="Calibri" w:hAnsi="Calibri" w:cs="Calibri"/>
              </w:rPr>
              <w:t>Reference or alternative case definition</w:t>
            </w:r>
          </w:p>
        </w:tc>
        <w:tc>
          <w:tcPr>
            <w:tcW w:w="929" w:type="dxa"/>
            <w:tcBorders>
              <w:top w:val="single" w:sz="8" w:space="0" w:color="auto"/>
              <w:left w:val="single" w:sz="8" w:space="0" w:color="auto"/>
              <w:bottom w:val="single" w:sz="8" w:space="0" w:color="auto"/>
              <w:right w:val="single" w:sz="8" w:space="0" w:color="auto"/>
            </w:tcBorders>
            <w:tcMar>
              <w:left w:w="108" w:type="dxa"/>
              <w:right w:w="108" w:type="dxa"/>
            </w:tcMar>
          </w:tcPr>
          <w:p w14:paraId="00AB9CF7" w14:textId="79079C36" w:rsidR="21C4AC11" w:rsidRDefault="21C4AC11" w:rsidP="21C4AC11">
            <w:r w:rsidRPr="21C4AC11">
              <w:rPr>
                <w:rFonts w:ascii="Calibri" w:eastAsia="Calibri" w:hAnsi="Calibri" w:cs="Calibri"/>
              </w:rPr>
              <w:t>Gamma</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5677905D" w14:textId="12A0B93C" w:rsidR="21C4AC11" w:rsidRDefault="21C4AC11" w:rsidP="21C4AC11">
            <w:r w:rsidRPr="21C4AC11">
              <w:rPr>
                <w:rFonts w:ascii="Calibri" w:eastAsia="Calibri" w:hAnsi="Calibri" w:cs="Calibri"/>
              </w:rPr>
              <w:t>Basis function</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0859E0CC" w14:textId="7D851082" w:rsidR="21C4AC11" w:rsidRDefault="21C4AC11" w:rsidP="21C4AC11">
            <w:r w:rsidRPr="21C4AC11">
              <w:rPr>
                <w:rFonts w:ascii="Calibri" w:eastAsia="Calibri" w:hAnsi="Calibri" w:cs="Calibri"/>
              </w:rPr>
              <w:t>B-spline coefficient, logit</w:t>
            </w:r>
          </w:p>
          <w:p w14:paraId="2B4389CC" w14:textId="7B4984B3" w:rsidR="21C4AC11" w:rsidRDefault="21C4AC11" w:rsidP="21C4AC11">
            <w:r w:rsidRPr="21C4AC11">
              <w:rPr>
                <w:rFonts w:ascii="Calibri" w:eastAsia="Calibri" w:hAnsi="Calibri" w:cs="Calibri"/>
              </w:rPr>
              <w:t>(95% UI)*</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tcPr>
          <w:p w14:paraId="5ED8C049" w14:textId="07DE5B5B" w:rsidR="21C4AC11" w:rsidRDefault="21C4AC11" w:rsidP="21C4AC11">
            <w:r w:rsidRPr="21C4AC11">
              <w:rPr>
                <w:rFonts w:ascii="Calibri" w:eastAsia="Calibri" w:hAnsi="Calibri" w:cs="Calibri"/>
              </w:rPr>
              <w:t>Adjustment factor **</w:t>
            </w:r>
          </w:p>
        </w:tc>
      </w:tr>
      <w:tr w:rsidR="21C4AC11" w14:paraId="57CA3F91" w14:textId="77777777" w:rsidTr="21C4AC11">
        <w:trPr>
          <w:trHeight w:val="300"/>
        </w:trPr>
        <w:tc>
          <w:tcPr>
            <w:tcW w:w="1514" w:type="dxa"/>
            <w:tcBorders>
              <w:top w:val="single" w:sz="8" w:space="0" w:color="auto"/>
              <w:left w:val="single" w:sz="8" w:space="0" w:color="auto"/>
              <w:bottom w:val="single" w:sz="8" w:space="0" w:color="auto"/>
              <w:right w:val="single" w:sz="8" w:space="0" w:color="auto"/>
            </w:tcBorders>
            <w:tcMar>
              <w:left w:w="108" w:type="dxa"/>
              <w:right w:w="108" w:type="dxa"/>
            </w:tcMar>
          </w:tcPr>
          <w:p w14:paraId="05B60C85" w14:textId="4F939EDA" w:rsidR="21C4AC11" w:rsidRDefault="21C4AC11" w:rsidP="21C4AC11">
            <w:r w:rsidRPr="21C4AC11">
              <w:rPr>
                <w:rFonts w:ascii="Calibri" w:eastAsia="Calibri" w:hAnsi="Calibri" w:cs="Calibri"/>
              </w:rPr>
              <w:t>Inpatient hospital (CF2)</w:t>
            </w:r>
          </w:p>
        </w:tc>
        <w:tc>
          <w:tcPr>
            <w:tcW w:w="1099" w:type="dxa"/>
            <w:tcBorders>
              <w:top w:val="single" w:sz="8" w:space="0" w:color="auto"/>
              <w:left w:val="single" w:sz="8" w:space="0" w:color="auto"/>
              <w:bottom w:val="single" w:sz="8" w:space="0" w:color="auto"/>
              <w:right w:val="single" w:sz="8" w:space="0" w:color="auto"/>
            </w:tcBorders>
            <w:tcMar>
              <w:left w:w="108" w:type="dxa"/>
              <w:right w:w="108" w:type="dxa"/>
            </w:tcMar>
          </w:tcPr>
          <w:p w14:paraId="19A2F4F9" w14:textId="45163564" w:rsidR="21C4AC11" w:rsidRDefault="21C4AC11" w:rsidP="21C4AC11">
            <w:r w:rsidRPr="21C4AC11">
              <w:rPr>
                <w:rFonts w:ascii="Calibri" w:eastAsia="Calibri" w:hAnsi="Calibri" w:cs="Calibri"/>
              </w:rPr>
              <w:t>Ref</w:t>
            </w:r>
          </w:p>
        </w:tc>
        <w:tc>
          <w:tcPr>
            <w:tcW w:w="929" w:type="dxa"/>
            <w:tcBorders>
              <w:top w:val="single" w:sz="8" w:space="0" w:color="auto"/>
              <w:left w:val="single" w:sz="8" w:space="0" w:color="auto"/>
              <w:bottom w:val="single" w:sz="8" w:space="0" w:color="auto"/>
              <w:right w:val="single" w:sz="8" w:space="0" w:color="auto"/>
            </w:tcBorders>
            <w:tcMar>
              <w:left w:w="108" w:type="dxa"/>
              <w:right w:w="108" w:type="dxa"/>
            </w:tcMar>
          </w:tcPr>
          <w:p w14:paraId="4C83A0AB" w14:textId="3255C3A7" w:rsidR="21C4AC11" w:rsidRDefault="21C4AC11" w:rsidP="21C4AC11">
            <w:r w:rsidRPr="21C4AC11">
              <w:rPr>
                <w:rFonts w:ascii="Calibri" w:eastAsia="Calibri" w:hAnsi="Calibri" w:cs="Calibri"/>
              </w:rPr>
              <w:t xml:space="preserve"> </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3A5DFB26" w14:textId="4E989E27" w:rsidR="21C4AC11" w:rsidRDefault="21C4AC11" w:rsidP="21C4AC11">
            <w:r w:rsidRPr="21C4AC11">
              <w:rPr>
                <w:rFonts w:ascii="Calibri" w:eastAsia="Calibri" w:hAnsi="Calibri" w:cs="Calibri"/>
              </w:rPr>
              <w:t>---</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5F6F160A" w14:textId="40092464" w:rsidR="21C4AC11" w:rsidRDefault="21C4AC11" w:rsidP="21C4AC11">
            <w:r w:rsidRPr="21C4AC11">
              <w:rPr>
                <w:rFonts w:ascii="Calibri" w:eastAsia="Calibri" w:hAnsi="Calibri" w:cs="Calibri"/>
              </w:rPr>
              <w:t>---</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tcPr>
          <w:p w14:paraId="37B0C949" w14:textId="03EEA325" w:rsidR="21C4AC11" w:rsidRDefault="21C4AC11" w:rsidP="21C4AC11">
            <w:r w:rsidRPr="21C4AC11">
              <w:rPr>
                <w:rFonts w:ascii="Calibri" w:eastAsia="Calibri" w:hAnsi="Calibri" w:cs="Calibri"/>
              </w:rPr>
              <w:t>---</w:t>
            </w:r>
          </w:p>
        </w:tc>
      </w:tr>
      <w:tr w:rsidR="21C4AC11" w14:paraId="36B384A1" w14:textId="77777777" w:rsidTr="21C4AC11">
        <w:trPr>
          <w:trHeight w:val="300"/>
        </w:trPr>
        <w:tc>
          <w:tcPr>
            <w:tcW w:w="1514"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7C310A57" w14:textId="23CFF5A2" w:rsidR="21C4AC11" w:rsidRDefault="21C4AC11" w:rsidP="21C4AC11">
            <w:r w:rsidRPr="21C4AC11">
              <w:rPr>
                <w:rFonts w:ascii="Calibri" w:eastAsia="Calibri" w:hAnsi="Calibri" w:cs="Calibri"/>
              </w:rPr>
              <w:t>Claims, inpatient only</w:t>
            </w:r>
          </w:p>
        </w:tc>
        <w:tc>
          <w:tcPr>
            <w:tcW w:w="1099"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20391C2F" w14:textId="030AE408" w:rsidR="21C4AC11" w:rsidRDefault="21C4AC11" w:rsidP="21C4AC11">
            <w:r w:rsidRPr="21C4AC11">
              <w:rPr>
                <w:rFonts w:ascii="Calibri" w:eastAsia="Calibri" w:hAnsi="Calibri" w:cs="Calibri"/>
              </w:rPr>
              <w:t xml:space="preserve">Alt </w:t>
            </w:r>
          </w:p>
        </w:tc>
        <w:tc>
          <w:tcPr>
            <w:tcW w:w="929"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2D4A8795" w14:textId="526AB436" w:rsidR="21C4AC11" w:rsidRDefault="21C4AC11" w:rsidP="21C4AC11">
            <w:r w:rsidRPr="21C4AC11">
              <w:rPr>
                <w:rFonts w:ascii="Calibri" w:eastAsia="Calibri" w:hAnsi="Calibri" w:cs="Calibri"/>
              </w:rPr>
              <w:t>0.00</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7A2FF16E" w14:textId="51B65F94" w:rsidR="21C4AC11" w:rsidRDefault="21C4AC11" w:rsidP="21C4AC11">
            <w:r w:rsidRPr="21C4AC11">
              <w:rPr>
                <w:rFonts w:ascii="Calibri" w:eastAsia="Calibri" w:hAnsi="Calibri" w:cs="Calibri"/>
              </w:rPr>
              <w:t>intercept</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18981C82" w14:textId="1C33595F" w:rsidR="21C4AC11" w:rsidRDefault="21C4AC11" w:rsidP="21C4AC11">
            <w:r w:rsidRPr="21C4AC11">
              <w:rPr>
                <w:rFonts w:ascii="Calibri" w:eastAsia="Calibri" w:hAnsi="Calibri" w:cs="Calibri"/>
              </w:rPr>
              <w:t>0.60 (0.47 to 0.73)</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C11C6C0" w14:textId="080DC7DD" w:rsidR="21C4AC11" w:rsidRDefault="21C4AC11" w:rsidP="21C4AC11">
            <w:r w:rsidRPr="21C4AC11">
              <w:rPr>
                <w:rFonts w:ascii="Calibri" w:eastAsia="Calibri" w:hAnsi="Calibri" w:cs="Calibri"/>
                <w:color w:val="000000" w:themeColor="text1"/>
              </w:rPr>
              <w:t>1.82</w:t>
            </w:r>
          </w:p>
        </w:tc>
      </w:tr>
      <w:tr w:rsidR="21C4AC11" w14:paraId="4421214B" w14:textId="77777777" w:rsidTr="21C4AC11">
        <w:trPr>
          <w:trHeight w:val="300"/>
        </w:trPr>
        <w:tc>
          <w:tcPr>
            <w:tcW w:w="1514" w:type="dxa"/>
            <w:vMerge/>
            <w:tcBorders>
              <w:left w:val="single" w:sz="0" w:space="0" w:color="auto"/>
              <w:right w:val="single" w:sz="0" w:space="0" w:color="auto"/>
            </w:tcBorders>
            <w:vAlign w:val="center"/>
          </w:tcPr>
          <w:p w14:paraId="2DBB8B46" w14:textId="77777777" w:rsidR="00B7126F" w:rsidRDefault="00B7126F"/>
        </w:tc>
        <w:tc>
          <w:tcPr>
            <w:tcW w:w="1099" w:type="dxa"/>
            <w:vMerge/>
            <w:tcBorders>
              <w:left w:val="single" w:sz="0" w:space="0" w:color="auto"/>
              <w:right w:val="single" w:sz="0" w:space="0" w:color="auto"/>
            </w:tcBorders>
            <w:vAlign w:val="center"/>
          </w:tcPr>
          <w:p w14:paraId="7EAD5684" w14:textId="77777777" w:rsidR="00B7126F" w:rsidRDefault="00B7126F"/>
        </w:tc>
        <w:tc>
          <w:tcPr>
            <w:tcW w:w="929" w:type="dxa"/>
            <w:vMerge/>
            <w:tcBorders>
              <w:left w:val="single" w:sz="0" w:space="0" w:color="auto"/>
              <w:right w:val="single" w:sz="0" w:space="0" w:color="auto"/>
            </w:tcBorders>
            <w:vAlign w:val="center"/>
          </w:tcPr>
          <w:p w14:paraId="69686C17"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36EA4C8F" w14:textId="1B746CCA" w:rsidR="21C4AC11" w:rsidRDefault="21C4AC11" w:rsidP="21C4AC11">
            <w:r w:rsidRPr="21C4AC11">
              <w:rPr>
                <w:rFonts w:ascii="Calibri" w:eastAsia="Calibri" w:hAnsi="Calibri" w:cs="Calibri"/>
              </w:rPr>
              <w:t>age_mid_0</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7ED55656" w14:textId="7E279D5B" w:rsidR="21C4AC11" w:rsidRDefault="21C4AC11" w:rsidP="21C4AC11">
            <w:r w:rsidRPr="21C4AC11">
              <w:rPr>
                <w:rFonts w:ascii="Calibri" w:eastAsia="Calibri" w:hAnsi="Calibri" w:cs="Calibri"/>
              </w:rPr>
              <w:t>–0.09 (–0.17 to -0.01)</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8E4C46C" w14:textId="42BB27A8" w:rsidR="21C4AC11" w:rsidRDefault="21C4AC11" w:rsidP="21C4AC11">
            <w:r w:rsidRPr="21C4AC11">
              <w:rPr>
                <w:rFonts w:ascii="Calibri" w:eastAsia="Calibri" w:hAnsi="Calibri" w:cs="Calibri"/>
                <w:color w:val="000000" w:themeColor="text1"/>
              </w:rPr>
              <w:t>0.92</w:t>
            </w:r>
          </w:p>
        </w:tc>
      </w:tr>
      <w:tr w:rsidR="21C4AC11" w14:paraId="0F8462FB" w14:textId="77777777" w:rsidTr="21C4AC11">
        <w:trPr>
          <w:trHeight w:val="300"/>
        </w:trPr>
        <w:tc>
          <w:tcPr>
            <w:tcW w:w="1514" w:type="dxa"/>
            <w:vMerge/>
            <w:tcBorders>
              <w:left w:val="single" w:sz="0" w:space="0" w:color="auto"/>
              <w:right w:val="single" w:sz="0" w:space="0" w:color="auto"/>
            </w:tcBorders>
            <w:vAlign w:val="center"/>
          </w:tcPr>
          <w:p w14:paraId="1BFFAB9B" w14:textId="77777777" w:rsidR="00B7126F" w:rsidRDefault="00B7126F"/>
        </w:tc>
        <w:tc>
          <w:tcPr>
            <w:tcW w:w="1099" w:type="dxa"/>
            <w:vMerge/>
            <w:tcBorders>
              <w:left w:val="single" w:sz="0" w:space="0" w:color="auto"/>
              <w:right w:val="single" w:sz="0" w:space="0" w:color="auto"/>
            </w:tcBorders>
            <w:vAlign w:val="center"/>
          </w:tcPr>
          <w:p w14:paraId="13EED9B3" w14:textId="77777777" w:rsidR="00B7126F" w:rsidRDefault="00B7126F"/>
        </w:tc>
        <w:tc>
          <w:tcPr>
            <w:tcW w:w="929" w:type="dxa"/>
            <w:vMerge/>
            <w:tcBorders>
              <w:left w:val="single" w:sz="0" w:space="0" w:color="auto"/>
              <w:right w:val="single" w:sz="0" w:space="0" w:color="auto"/>
            </w:tcBorders>
            <w:vAlign w:val="center"/>
          </w:tcPr>
          <w:p w14:paraId="7808FB59"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54C98C96" w14:textId="204916E2" w:rsidR="21C4AC11" w:rsidRDefault="21C4AC11" w:rsidP="21C4AC11">
            <w:r w:rsidRPr="21C4AC11">
              <w:rPr>
                <w:rFonts w:ascii="Calibri" w:eastAsia="Calibri" w:hAnsi="Calibri" w:cs="Calibri"/>
              </w:rPr>
              <w:t>age_mid_1</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21373DE6" w14:textId="48537291" w:rsidR="21C4AC11" w:rsidRDefault="21C4AC11" w:rsidP="21C4AC11">
            <w:r w:rsidRPr="21C4AC11">
              <w:rPr>
                <w:rFonts w:ascii="Calibri" w:eastAsia="Calibri" w:hAnsi="Calibri" w:cs="Calibri"/>
              </w:rPr>
              <w:t>0.33 (–0.02 to 0.69)</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1EC5CBE" w14:textId="3BA11365" w:rsidR="21C4AC11" w:rsidRDefault="21C4AC11" w:rsidP="21C4AC11">
            <w:r w:rsidRPr="21C4AC11">
              <w:rPr>
                <w:rFonts w:ascii="Calibri" w:eastAsia="Calibri" w:hAnsi="Calibri" w:cs="Calibri"/>
                <w:color w:val="000000" w:themeColor="text1"/>
              </w:rPr>
              <w:t>1.40</w:t>
            </w:r>
          </w:p>
        </w:tc>
      </w:tr>
      <w:tr w:rsidR="21C4AC11" w14:paraId="2C1086D0" w14:textId="77777777" w:rsidTr="21C4AC11">
        <w:trPr>
          <w:trHeight w:val="300"/>
        </w:trPr>
        <w:tc>
          <w:tcPr>
            <w:tcW w:w="1514" w:type="dxa"/>
            <w:vMerge/>
            <w:tcBorders>
              <w:left w:val="single" w:sz="0" w:space="0" w:color="auto"/>
              <w:right w:val="single" w:sz="0" w:space="0" w:color="auto"/>
            </w:tcBorders>
            <w:vAlign w:val="center"/>
          </w:tcPr>
          <w:p w14:paraId="43D88508" w14:textId="77777777" w:rsidR="00B7126F" w:rsidRDefault="00B7126F"/>
        </w:tc>
        <w:tc>
          <w:tcPr>
            <w:tcW w:w="1099" w:type="dxa"/>
            <w:vMerge/>
            <w:tcBorders>
              <w:left w:val="single" w:sz="0" w:space="0" w:color="auto"/>
              <w:right w:val="single" w:sz="0" w:space="0" w:color="auto"/>
            </w:tcBorders>
            <w:vAlign w:val="center"/>
          </w:tcPr>
          <w:p w14:paraId="1581989F" w14:textId="77777777" w:rsidR="00B7126F" w:rsidRDefault="00B7126F"/>
        </w:tc>
        <w:tc>
          <w:tcPr>
            <w:tcW w:w="929" w:type="dxa"/>
            <w:vMerge/>
            <w:tcBorders>
              <w:left w:val="single" w:sz="0" w:space="0" w:color="auto"/>
              <w:right w:val="single" w:sz="0" w:space="0" w:color="auto"/>
            </w:tcBorders>
            <w:vAlign w:val="center"/>
          </w:tcPr>
          <w:p w14:paraId="1F3A1E87"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495A8684" w14:textId="17FFA82B" w:rsidR="21C4AC11" w:rsidRDefault="21C4AC11" w:rsidP="21C4AC11">
            <w:r w:rsidRPr="21C4AC11">
              <w:rPr>
                <w:rFonts w:ascii="Calibri" w:eastAsia="Calibri" w:hAnsi="Calibri" w:cs="Calibri"/>
              </w:rPr>
              <w:t>age_mid_2</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414E3E09" w14:textId="23DE4712" w:rsidR="21C4AC11" w:rsidRDefault="21C4AC11" w:rsidP="21C4AC11">
            <w:r w:rsidRPr="21C4AC11">
              <w:rPr>
                <w:rFonts w:ascii="Calibri" w:eastAsia="Calibri" w:hAnsi="Calibri" w:cs="Calibri"/>
              </w:rPr>
              <w:t>–0.24 (–0.39 to –0.09)</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84CAD40" w14:textId="5DF04661" w:rsidR="21C4AC11" w:rsidRDefault="21C4AC11" w:rsidP="21C4AC11">
            <w:r w:rsidRPr="21C4AC11">
              <w:rPr>
                <w:rFonts w:ascii="Calibri" w:eastAsia="Calibri" w:hAnsi="Calibri" w:cs="Calibri"/>
                <w:color w:val="000000" w:themeColor="text1"/>
              </w:rPr>
              <w:t>0.79</w:t>
            </w:r>
          </w:p>
        </w:tc>
      </w:tr>
      <w:tr w:rsidR="21C4AC11" w14:paraId="413B66C5" w14:textId="77777777" w:rsidTr="21C4AC11">
        <w:trPr>
          <w:trHeight w:val="300"/>
        </w:trPr>
        <w:tc>
          <w:tcPr>
            <w:tcW w:w="1514" w:type="dxa"/>
            <w:vMerge/>
            <w:tcBorders>
              <w:left w:val="single" w:sz="0" w:space="0" w:color="auto"/>
              <w:bottom w:val="single" w:sz="0" w:space="0" w:color="auto"/>
              <w:right w:val="single" w:sz="0" w:space="0" w:color="auto"/>
            </w:tcBorders>
            <w:vAlign w:val="center"/>
          </w:tcPr>
          <w:p w14:paraId="0C7995DA" w14:textId="77777777" w:rsidR="00B7126F" w:rsidRDefault="00B7126F"/>
        </w:tc>
        <w:tc>
          <w:tcPr>
            <w:tcW w:w="1099" w:type="dxa"/>
            <w:vMerge/>
            <w:tcBorders>
              <w:left w:val="single" w:sz="0" w:space="0" w:color="auto"/>
              <w:bottom w:val="single" w:sz="0" w:space="0" w:color="auto"/>
              <w:right w:val="single" w:sz="0" w:space="0" w:color="auto"/>
            </w:tcBorders>
            <w:vAlign w:val="center"/>
          </w:tcPr>
          <w:p w14:paraId="4BD949F7" w14:textId="77777777" w:rsidR="00B7126F" w:rsidRDefault="00B7126F"/>
        </w:tc>
        <w:tc>
          <w:tcPr>
            <w:tcW w:w="929" w:type="dxa"/>
            <w:vMerge/>
            <w:tcBorders>
              <w:left w:val="single" w:sz="0" w:space="0" w:color="auto"/>
              <w:bottom w:val="single" w:sz="0" w:space="0" w:color="auto"/>
              <w:right w:val="single" w:sz="0" w:space="0" w:color="auto"/>
            </w:tcBorders>
            <w:vAlign w:val="center"/>
          </w:tcPr>
          <w:p w14:paraId="1A4787D0"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243F9027" w14:textId="44B634B6" w:rsidR="21C4AC11" w:rsidRDefault="21C4AC11" w:rsidP="21C4AC11">
            <w:r w:rsidRPr="21C4AC11">
              <w:rPr>
                <w:rFonts w:ascii="Calibri" w:eastAsia="Calibri" w:hAnsi="Calibri" w:cs="Calibri"/>
              </w:rPr>
              <w:t>age_mid_3</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62C6CB04" w14:textId="44C411C4" w:rsidR="21C4AC11" w:rsidRDefault="21C4AC11" w:rsidP="21C4AC11">
            <w:r w:rsidRPr="21C4AC11">
              <w:rPr>
                <w:rFonts w:ascii="Calibri" w:eastAsia="Calibri" w:hAnsi="Calibri" w:cs="Calibri"/>
              </w:rPr>
              <w:t>–0.26 (–0.40 to –0.13)</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7DCEF91" w14:textId="3A82B1BD" w:rsidR="21C4AC11" w:rsidRDefault="21C4AC11" w:rsidP="21C4AC11">
            <w:r w:rsidRPr="21C4AC11">
              <w:rPr>
                <w:rFonts w:ascii="Calibri" w:eastAsia="Calibri" w:hAnsi="Calibri" w:cs="Calibri"/>
                <w:color w:val="000000" w:themeColor="text1"/>
              </w:rPr>
              <w:t>0.77</w:t>
            </w:r>
          </w:p>
        </w:tc>
      </w:tr>
      <w:tr w:rsidR="21C4AC11" w14:paraId="7B78EA2C" w14:textId="77777777" w:rsidTr="21C4AC11">
        <w:trPr>
          <w:trHeight w:val="300"/>
        </w:trPr>
        <w:tc>
          <w:tcPr>
            <w:tcW w:w="1514" w:type="dxa"/>
            <w:vMerge w:val="restart"/>
            <w:tcBorders>
              <w:top w:val="nil"/>
              <w:left w:val="single" w:sz="8" w:space="0" w:color="auto"/>
              <w:bottom w:val="single" w:sz="8" w:space="0" w:color="auto"/>
              <w:right w:val="single" w:sz="8" w:space="0" w:color="auto"/>
            </w:tcBorders>
            <w:tcMar>
              <w:left w:w="108" w:type="dxa"/>
              <w:right w:w="108" w:type="dxa"/>
            </w:tcMar>
          </w:tcPr>
          <w:p w14:paraId="2733686A" w14:textId="03628789" w:rsidR="21C4AC11" w:rsidRDefault="21C4AC11" w:rsidP="21C4AC11">
            <w:r w:rsidRPr="21C4AC11">
              <w:rPr>
                <w:rFonts w:ascii="Calibri" w:eastAsia="Calibri" w:hAnsi="Calibri" w:cs="Calibri"/>
              </w:rPr>
              <w:t>Claims, inpatient only, year 2000</w:t>
            </w:r>
          </w:p>
        </w:tc>
        <w:tc>
          <w:tcPr>
            <w:tcW w:w="1099" w:type="dxa"/>
            <w:vMerge w:val="restart"/>
            <w:tcBorders>
              <w:top w:val="nil"/>
              <w:left w:val="single" w:sz="8" w:space="0" w:color="auto"/>
              <w:bottom w:val="single" w:sz="8" w:space="0" w:color="auto"/>
              <w:right w:val="single" w:sz="8" w:space="0" w:color="auto"/>
            </w:tcBorders>
            <w:tcMar>
              <w:left w:w="108" w:type="dxa"/>
              <w:right w:w="108" w:type="dxa"/>
            </w:tcMar>
          </w:tcPr>
          <w:p w14:paraId="2F08A0C7" w14:textId="5B364323" w:rsidR="21C4AC11" w:rsidRDefault="21C4AC11" w:rsidP="21C4AC11">
            <w:r w:rsidRPr="21C4AC11">
              <w:rPr>
                <w:rFonts w:ascii="Calibri" w:eastAsia="Calibri" w:hAnsi="Calibri" w:cs="Calibri"/>
              </w:rPr>
              <w:t xml:space="preserve">Alt </w:t>
            </w:r>
          </w:p>
        </w:tc>
        <w:tc>
          <w:tcPr>
            <w:tcW w:w="929" w:type="dxa"/>
            <w:vMerge w:val="restart"/>
            <w:tcBorders>
              <w:top w:val="nil"/>
              <w:left w:val="single" w:sz="8" w:space="0" w:color="auto"/>
              <w:bottom w:val="single" w:sz="8" w:space="0" w:color="auto"/>
              <w:right w:val="single" w:sz="8" w:space="0" w:color="auto"/>
            </w:tcBorders>
            <w:tcMar>
              <w:left w:w="108" w:type="dxa"/>
              <w:right w:w="108" w:type="dxa"/>
            </w:tcMar>
          </w:tcPr>
          <w:p w14:paraId="6E7C26B3" w14:textId="2488F38B" w:rsidR="21C4AC11" w:rsidRDefault="21C4AC11" w:rsidP="21C4AC11">
            <w:r w:rsidRPr="21C4AC11">
              <w:rPr>
                <w:rFonts w:ascii="Calibri" w:eastAsia="Calibri" w:hAnsi="Calibri" w:cs="Calibri"/>
              </w:rPr>
              <w:t>0.00</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44A62A37" w14:textId="1FEE68D7" w:rsidR="21C4AC11" w:rsidRDefault="21C4AC11" w:rsidP="21C4AC11">
            <w:r w:rsidRPr="21C4AC11">
              <w:rPr>
                <w:rFonts w:ascii="Calibri" w:eastAsia="Calibri" w:hAnsi="Calibri" w:cs="Calibri"/>
              </w:rPr>
              <w:t>intercept</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26672058" w14:textId="30B3EC6D" w:rsidR="21C4AC11" w:rsidRDefault="21C4AC11" w:rsidP="21C4AC11">
            <w:r w:rsidRPr="21C4AC11">
              <w:rPr>
                <w:rFonts w:ascii="Calibri" w:eastAsia="Calibri" w:hAnsi="Calibri" w:cs="Calibri"/>
              </w:rPr>
              <w:t>0.26 (-0.47 to 0.99)</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D54555D" w14:textId="7266206F" w:rsidR="21C4AC11" w:rsidRDefault="21C4AC11" w:rsidP="21C4AC11">
            <w:r w:rsidRPr="21C4AC11">
              <w:rPr>
                <w:rFonts w:ascii="Calibri" w:eastAsia="Calibri" w:hAnsi="Calibri" w:cs="Calibri"/>
                <w:color w:val="000000" w:themeColor="text1"/>
              </w:rPr>
              <w:t>1.30</w:t>
            </w:r>
          </w:p>
        </w:tc>
      </w:tr>
      <w:tr w:rsidR="21C4AC11" w14:paraId="672796BA" w14:textId="77777777" w:rsidTr="21C4AC11">
        <w:trPr>
          <w:trHeight w:val="300"/>
        </w:trPr>
        <w:tc>
          <w:tcPr>
            <w:tcW w:w="1514" w:type="dxa"/>
            <w:vMerge/>
            <w:tcBorders>
              <w:left w:val="single" w:sz="0" w:space="0" w:color="auto"/>
              <w:right w:val="single" w:sz="0" w:space="0" w:color="auto"/>
            </w:tcBorders>
            <w:vAlign w:val="center"/>
          </w:tcPr>
          <w:p w14:paraId="069DE7E3" w14:textId="77777777" w:rsidR="00B7126F" w:rsidRDefault="00B7126F"/>
        </w:tc>
        <w:tc>
          <w:tcPr>
            <w:tcW w:w="1099" w:type="dxa"/>
            <w:vMerge/>
            <w:tcBorders>
              <w:left w:val="single" w:sz="0" w:space="0" w:color="auto"/>
              <w:right w:val="single" w:sz="0" w:space="0" w:color="auto"/>
            </w:tcBorders>
            <w:vAlign w:val="center"/>
          </w:tcPr>
          <w:p w14:paraId="2D2E34DD" w14:textId="77777777" w:rsidR="00B7126F" w:rsidRDefault="00B7126F"/>
        </w:tc>
        <w:tc>
          <w:tcPr>
            <w:tcW w:w="929" w:type="dxa"/>
            <w:vMerge/>
            <w:tcBorders>
              <w:left w:val="single" w:sz="0" w:space="0" w:color="auto"/>
              <w:right w:val="single" w:sz="0" w:space="0" w:color="auto"/>
            </w:tcBorders>
            <w:vAlign w:val="center"/>
          </w:tcPr>
          <w:p w14:paraId="74E70809"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220940E3" w14:textId="794EBED8" w:rsidR="21C4AC11" w:rsidRDefault="21C4AC11" w:rsidP="21C4AC11">
            <w:r w:rsidRPr="21C4AC11">
              <w:rPr>
                <w:rFonts w:ascii="Calibri" w:eastAsia="Calibri" w:hAnsi="Calibri" w:cs="Calibri"/>
              </w:rPr>
              <w:t>age_mid_0</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5DB19C19" w14:textId="2DBADD25" w:rsidR="21C4AC11" w:rsidRDefault="21C4AC11" w:rsidP="21C4AC11">
            <w:r w:rsidRPr="21C4AC11">
              <w:rPr>
                <w:rFonts w:ascii="Calibri" w:eastAsia="Calibri" w:hAnsi="Calibri" w:cs="Calibri"/>
              </w:rPr>
              <w:t>–0.25 (–0.72 to 0.21)</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E5655A1" w14:textId="37B7D537" w:rsidR="21C4AC11" w:rsidRDefault="21C4AC11" w:rsidP="21C4AC11">
            <w:r w:rsidRPr="21C4AC11">
              <w:rPr>
                <w:rFonts w:ascii="Calibri" w:eastAsia="Calibri" w:hAnsi="Calibri" w:cs="Calibri"/>
                <w:color w:val="000000" w:themeColor="text1"/>
              </w:rPr>
              <w:t>0.78</w:t>
            </w:r>
          </w:p>
        </w:tc>
      </w:tr>
      <w:tr w:rsidR="21C4AC11" w14:paraId="43AC93C0" w14:textId="77777777" w:rsidTr="21C4AC11">
        <w:trPr>
          <w:trHeight w:val="300"/>
        </w:trPr>
        <w:tc>
          <w:tcPr>
            <w:tcW w:w="1514" w:type="dxa"/>
            <w:vMerge/>
            <w:tcBorders>
              <w:left w:val="single" w:sz="0" w:space="0" w:color="auto"/>
              <w:right w:val="single" w:sz="0" w:space="0" w:color="auto"/>
            </w:tcBorders>
            <w:vAlign w:val="center"/>
          </w:tcPr>
          <w:p w14:paraId="651E4E8B" w14:textId="77777777" w:rsidR="00B7126F" w:rsidRDefault="00B7126F"/>
        </w:tc>
        <w:tc>
          <w:tcPr>
            <w:tcW w:w="1099" w:type="dxa"/>
            <w:vMerge/>
            <w:tcBorders>
              <w:left w:val="single" w:sz="0" w:space="0" w:color="auto"/>
              <w:right w:val="single" w:sz="0" w:space="0" w:color="auto"/>
            </w:tcBorders>
            <w:vAlign w:val="center"/>
          </w:tcPr>
          <w:p w14:paraId="27508D43" w14:textId="77777777" w:rsidR="00B7126F" w:rsidRDefault="00B7126F"/>
        </w:tc>
        <w:tc>
          <w:tcPr>
            <w:tcW w:w="929" w:type="dxa"/>
            <w:vMerge/>
            <w:tcBorders>
              <w:left w:val="single" w:sz="0" w:space="0" w:color="auto"/>
              <w:right w:val="single" w:sz="0" w:space="0" w:color="auto"/>
            </w:tcBorders>
            <w:vAlign w:val="center"/>
          </w:tcPr>
          <w:p w14:paraId="5B2B8533"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3DF8DE9E" w14:textId="4DE3A807" w:rsidR="21C4AC11" w:rsidRDefault="21C4AC11" w:rsidP="21C4AC11">
            <w:r w:rsidRPr="21C4AC11">
              <w:rPr>
                <w:rFonts w:ascii="Calibri" w:eastAsia="Calibri" w:hAnsi="Calibri" w:cs="Calibri"/>
              </w:rPr>
              <w:t>age_mid_1</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19771C5E" w14:textId="65980B42" w:rsidR="21C4AC11" w:rsidRDefault="21C4AC11" w:rsidP="21C4AC11">
            <w:r w:rsidRPr="21C4AC11">
              <w:rPr>
                <w:rFonts w:ascii="Calibri" w:eastAsia="Calibri" w:hAnsi="Calibri" w:cs="Calibri"/>
              </w:rPr>
              <w:t>0.74 (–1.40 to 2.87)</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7E71958" w14:textId="5923379F" w:rsidR="21C4AC11" w:rsidRDefault="21C4AC11" w:rsidP="21C4AC11">
            <w:r w:rsidRPr="21C4AC11">
              <w:rPr>
                <w:rFonts w:ascii="Calibri" w:eastAsia="Calibri" w:hAnsi="Calibri" w:cs="Calibri"/>
                <w:color w:val="000000" w:themeColor="text1"/>
              </w:rPr>
              <w:t>2.09</w:t>
            </w:r>
          </w:p>
        </w:tc>
      </w:tr>
      <w:tr w:rsidR="21C4AC11" w14:paraId="07559748" w14:textId="77777777" w:rsidTr="21C4AC11">
        <w:trPr>
          <w:trHeight w:val="300"/>
        </w:trPr>
        <w:tc>
          <w:tcPr>
            <w:tcW w:w="1514" w:type="dxa"/>
            <w:vMerge/>
            <w:tcBorders>
              <w:left w:val="single" w:sz="0" w:space="0" w:color="auto"/>
              <w:right w:val="single" w:sz="0" w:space="0" w:color="auto"/>
            </w:tcBorders>
            <w:vAlign w:val="center"/>
          </w:tcPr>
          <w:p w14:paraId="05B45058" w14:textId="77777777" w:rsidR="00B7126F" w:rsidRDefault="00B7126F"/>
        </w:tc>
        <w:tc>
          <w:tcPr>
            <w:tcW w:w="1099" w:type="dxa"/>
            <w:vMerge/>
            <w:tcBorders>
              <w:left w:val="single" w:sz="0" w:space="0" w:color="auto"/>
              <w:right w:val="single" w:sz="0" w:space="0" w:color="auto"/>
            </w:tcBorders>
            <w:vAlign w:val="center"/>
          </w:tcPr>
          <w:p w14:paraId="05620C83" w14:textId="77777777" w:rsidR="00B7126F" w:rsidRDefault="00B7126F"/>
        </w:tc>
        <w:tc>
          <w:tcPr>
            <w:tcW w:w="929" w:type="dxa"/>
            <w:vMerge/>
            <w:tcBorders>
              <w:left w:val="single" w:sz="0" w:space="0" w:color="auto"/>
              <w:right w:val="single" w:sz="0" w:space="0" w:color="auto"/>
            </w:tcBorders>
            <w:vAlign w:val="center"/>
          </w:tcPr>
          <w:p w14:paraId="493177E4"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09E5E2D5" w14:textId="27BC40B9" w:rsidR="21C4AC11" w:rsidRDefault="21C4AC11" w:rsidP="21C4AC11">
            <w:r w:rsidRPr="21C4AC11">
              <w:rPr>
                <w:rFonts w:ascii="Calibri" w:eastAsia="Calibri" w:hAnsi="Calibri" w:cs="Calibri"/>
              </w:rPr>
              <w:t>age_mid_2</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109446C3" w14:textId="4BF04257" w:rsidR="21C4AC11" w:rsidRDefault="21C4AC11" w:rsidP="21C4AC11">
            <w:r w:rsidRPr="21C4AC11">
              <w:rPr>
                <w:rFonts w:ascii="Calibri" w:eastAsia="Calibri" w:hAnsi="Calibri" w:cs="Calibri"/>
              </w:rPr>
              <w:t>–0.97 (–1.92 to –0.03)</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CF9954C" w14:textId="0E52E962" w:rsidR="21C4AC11" w:rsidRDefault="21C4AC11" w:rsidP="21C4AC11">
            <w:r w:rsidRPr="21C4AC11">
              <w:rPr>
                <w:rFonts w:ascii="Calibri" w:eastAsia="Calibri" w:hAnsi="Calibri" w:cs="Calibri"/>
                <w:color w:val="000000" w:themeColor="text1"/>
              </w:rPr>
              <w:t>0.38</w:t>
            </w:r>
          </w:p>
        </w:tc>
      </w:tr>
      <w:tr w:rsidR="21C4AC11" w14:paraId="55959423" w14:textId="77777777" w:rsidTr="21C4AC11">
        <w:trPr>
          <w:trHeight w:val="300"/>
        </w:trPr>
        <w:tc>
          <w:tcPr>
            <w:tcW w:w="1514" w:type="dxa"/>
            <w:vMerge/>
            <w:tcBorders>
              <w:left w:val="single" w:sz="0" w:space="0" w:color="auto"/>
              <w:bottom w:val="single" w:sz="0" w:space="0" w:color="auto"/>
              <w:right w:val="single" w:sz="0" w:space="0" w:color="auto"/>
            </w:tcBorders>
            <w:vAlign w:val="center"/>
          </w:tcPr>
          <w:p w14:paraId="43B3CD13" w14:textId="77777777" w:rsidR="00B7126F" w:rsidRDefault="00B7126F"/>
        </w:tc>
        <w:tc>
          <w:tcPr>
            <w:tcW w:w="1099" w:type="dxa"/>
            <w:vMerge/>
            <w:tcBorders>
              <w:left w:val="single" w:sz="0" w:space="0" w:color="auto"/>
              <w:bottom w:val="single" w:sz="0" w:space="0" w:color="auto"/>
              <w:right w:val="single" w:sz="0" w:space="0" w:color="auto"/>
            </w:tcBorders>
            <w:vAlign w:val="center"/>
          </w:tcPr>
          <w:p w14:paraId="53C64EFD" w14:textId="77777777" w:rsidR="00B7126F" w:rsidRDefault="00B7126F"/>
        </w:tc>
        <w:tc>
          <w:tcPr>
            <w:tcW w:w="929" w:type="dxa"/>
            <w:vMerge/>
            <w:tcBorders>
              <w:left w:val="single" w:sz="0" w:space="0" w:color="auto"/>
              <w:bottom w:val="single" w:sz="0" w:space="0" w:color="auto"/>
              <w:right w:val="single" w:sz="0" w:space="0" w:color="auto"/>
            </w:tcBorders>
            <w:vAlign w:val="center"/>
          </w:tcPr>
          <w:p w14:paraId="7E17725C"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40000ACA" w14:textId="7BE373AA" w:rsidR="21C4AC11" w:rsidRDefault="21C4AC11" w:rsidP="21C4AC11">
            <w:r w:rsidRPr="21C4AC11">
              <w:rPr>
                <w:rFonts w:ascii="Calibri" w:eastAsia="Calibri" w:hAnsi="Calibri" w:cs="Calibri"/>
              </w:rPr>
              <w:t>age_mid_3</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32B39C8F" w14:textId="7B56A5A1" w:rsidR="21C4AC11" w:rsidRDefault="21C4AC11" w:rsidP="21C4AC11">
            <w:r w:rsidRPr="21C4AC11">
              <w:rPr>
                <w:rFonts w:ascii="Calibri" w:eastAsia="Calibri" w:hAnsi="Calibri" w:cs="Calibri"/>
              </w:rPr>
              <w:t>–0.57 (–1.33 to 0.20)</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8A73DB" w14:textId="069A820F" w:rsidR="21C4AC11" w:rsidRDefault="21C4AC11" w:rsidP="21C4AC11">
            <w:r w:rsidRPr="21C4AC11">
              <w:rPr>
                <w:rFonts w:ascii="Calibri" w:eastAsia="Calibri" w:hAnsi="Calibri" w:cs="Calibri"/>
                <w:color w:val="000000" w:themeColor="text1"/>
              </w:rPr>
              <w:t>0.57</w:t>
            </w:r>
          </w:p>
        </w:tc>
      </w:tr>
      <w:tr w:rsidR="21C4AC11" w14:paraId="427D4E21" w14:textId="77777777" w:rsidTr="21C4AC11">
        <w:trPr>
          <w:trHeight w:val="300"/>
        </w:trPr>
        <w:tc>
          <w:tcPr>
            <w:tcW w:w="1514" w:type="dxa"/>
            <w:vMerge w:val="restart"/>
            <w:tcBorders>
              <w:top w:val="nil"/>
              <w:left w:val="single" w:sz="8" w:space="0" w:color="auto"/>
              <w:bottom w:val="single" w:sz="8" w:space="0" w:color="auto"/>
              <w:right w:val="single" w:sz="8" w:space="0" w:color="auto"/>
            </w:tcBorders>
            <w:tcMar>
              <w:left w:w="108" w:type="dxa"/>
              <w:right w:w="108" w:type="dxa"/>
            </w:tcMar>
          </w:tcPr>
          <w:p w14:paraId="5EB2581E" w14:textId="066BC36C" w:rsidR="21C4AC11" w:rsidRDefault="21C4AC11" w:rsidP="21C4AC11">
            <w:r w:rsidRPr="21C4AC11">
              <w:rPr>
                <w:rFonts w:ascii="Calibri" w:eastAsia="Calibri" w:hAnsi="Calibri" w:cs="Calibri"/>
              </w:rPr>
              <w:t>Surveillance</w:t>
            </w:r>
          </w:p>
        </w:tc>
        <w:tc>
          <w:tcPr>
            <w:tcW w:w="1099" w:type="dxa"/>
            <w:vMerge w:val="restart"/>
            <w:tcBorders>
              <w:top w:val="nil"/>
              <w:left w:val="single" w:sz="8" w:space="0" w:color="auto"/>
              <w:bottom w:val="single" w:sz="8" w:space="0" w:color="auto"/>
              <w:right w:val="single" w:sz="8" w:space="0" w:color="auto"/>
            </w:tcBorders>
            <w:tcMar>
              <w:left w:w="108" w:type="dxa"/>
              <w:right w:w="108" w:type="dxa"/>
            </w:tcMar>
          </w:tcPr>
          <w:p w14:paraId="4ED62DCE" w14:textId="6985B544" w:rsidR="21C4AC11" w:rsidRDefault="21C4AC11" w:rsidP="21C4AC11">
            <w:r w:rsidRPr="21C4AC11">
              <w:rPr>
                <w:rFonts w:ascii="Calibri" w:eastAsia="Calibri" w:hAnsi="Calibri" w:cs="Calibri"/>
              </w:rPr>
              <w:t>Alt</w:t>
            </w:r>
          </w:p>
        </w:tc>
        <w:tc>
          <w:tcPr>
            <w:tcW w:w="929" w:type="dxa"/>
            <w:vMerge w:val="restart"/>
            <w:tcBorders>
              <w:top w:val="nil"/>
              <w:left w:val="single" w:sz="8" w:space="0" w:color="auto"/>
              <w:bottom w:val="single" w:sz="8" w:space="0" w:color="auto"/>
              <w:right w:val="single" w:sz="8" w:space="0" w:color="auto"/>
            </w:tcBorders>
            <w:tcMar>
              <w:left w:w="108" w:type="dxa"/>
              <w:right w:w="108" w:type="dxa"/>
            </w:tcMar>
          </w:tcPr>
          <w:p w14:paraId="6AB5FC14" w14:textId="0201D51F" w:rsidR="21C4AC11" w:rsidRDefault="21C4AC11" w:rsidP="21C4AC11">
            <w:r w:rsidRPr="21C4AC11">
              <w:rPr>
                <w:rFonts w:ascii="Calibri" w:eastAsia="Calibri" w:hAnsi="Calibri" w:cs="Calibri"/>
                <w:color w:val="000000" w:themeColor="text1"/>
              </w:rPr>
              <w:t>0.00</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0F731775" w14:textId="771DD5FC" w:rsidR="21C4AC11" w:rsidRDefault="21C4AC11" w:rsidP="21C4AC11">
            <w:r w:rsidRPr="21C4AC11">
              <w:rPr>
                <w:rFonts w:ascii="Calibri" w:eastAsia="Calibri" w:hAnsi="Calibri" w:cs="Calibri"/>
              </w:rPr>
              <w:t>intercept</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2A535D92" w14:textId="2D1DCB36" w:rsidR="21C4AC11" w:rsidRDefault="21C4AC11" w:rsidP="21C4AC11">
            <w:r w:rsidRPr="21C4AC11">
              <w:rPr>
                <w:rFonts w:ascii="Calibri" w:eastAsia="Calibri" w:hAnsi="Calibri" w:cs="Calibri"/>
              </w:rPr>
              <w:t>–3.60 (–5.31 to –-1.90)</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295B459" w14:textId="054677AD" w:rsidR="21C4AC11" w:rsidRDefault="21C4AC11" w:rsidP="21C4AC11">
            <w:r w:rsidRPr="21C4AC11">
              <w:rPr>
                <w:rFonts w:ascii="Calibri" w:eastAsia="Calibri" w:hAnsi="Calibri" w:cs="Calibri"/>
                <w:color w:val="000000" w:themeColor="text1"/>
              </w:rPr>
              <w:t>0.03</w:t>
            </w:r>
          </w:p>
        </w:tc>
      </w:tr>
      <w:tr w:rsidR="21C4AC11" w14:paraId="27817761" w14:textId="77777777" w:rsidTr="21C4AC11">
        <w:trPr>
          <w:trHeight w:val="300"/>
        </w:trPr>
        <w:tc>
          <w:tcPr>
            <w:tcW w:w="1514" w:type="dxa"/>
            <w:vMerge/>
            <w:tcBorders>
              <w:left w:val="single" w:sz="0" w:space="0" w:color="auto"/>
              <w:bottom w:val="single" w:sz="0" w:space="0" w:color="auto"/>
              <w:right w:val="single" w:sz="0" w:space="0" w:color="auto"/>
            </w:tcBorders>
            <w:vAlign w:val="center"/>
          </w:tcPr>
          <w:p w14:paraId="3F2692DA" w14:textId="77777777" w:rsidR="00B7126F" w:rsidRDefault="00B7126F"/>
        </w:tc>
        <w:tc>
          <w:tcPr>
            <w:tcW w:w="1099" w:type="dxa"/>
            <w:vMerge/>
            <w:tcBorders>
              <w:left w:val="single" w:sz="0" w:space="0" w:color="auto"/>
              <w:bottom w:val="single" w:sz="0" w:space="0" w:color="auto"/>
              <w:right w:val="single" w:sz="0" w:space="0" w:color="auto"/>
            </w:tcBorders>
            <w:vAlign w:val="center"/>
          </w:tcPr>
          <w:p w14:paraId="5F337ACE" w14:textId="77777777" w:rsidR="00B7126F" w:rsidRDefault="00B7126F"/>
        </w:tc>
        <w:tc>
          <w:tcPr>
            <w:tcW w:w="929" w:type="dxa"/>
            <w:vMerge/>
            <w:tcBorders>
              <w:left w:val="single" w:sz="0" w:space="0" w:color="auto"/>
              <w:bottom w:val="single" w:sz="0" w:space="0" w:color="auto"/>
              <w:right w:val="single" w:sz="0" w:space="0" w:color="auto"/>
            </w:tcBorders>
            <w:vAlign w:val="center"/>
          </w:tcPr>
          <w:p w14:paraId="25BEFA47"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7A60182D" w14:textId="66B28AAD" w:rsidR="21C4AC11" w:rsidRDefault="21C4AC11" w:rsidP="21C4AC11">
            <w:r w:rsidRPr="21C4AC11">
              <w:rPr>
                <w:rFonts w:ascii="Calibri" w:eastAsia="Calibri" w:hAnsi="Calibri" w:cs="Calibri"/>
              </w:rPr>
              <w:t>HAQ Index</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45C62DD2" w14:textId="47CDBFD4" w:rsidR="21C4AC11" w:rsidRDefault="21C4AC11" w:rsidP="21C4AC11">
            <w:r w:rsidRPr="21C4AC11">
              <w:rPr>
                <w:rFonts w:ascii="Calibri" w:eastAsia="Calibri" w:hAnsi="Calibri" w:cs="Calibri"/>
              </w:rPr>
              <w:t>0.04 (0.03 to0.04)</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5026460" w14:textId="0B5737ED" w:rsidR="21C4AC11" w:rsidRDefault="21C4AC11" w:rsidP="21C4AC11">
            <w:r w:rsidRPr="21C4AC11">
              <w:rPr>
                <w:rFonts w:ascii="Calibri" w:eastAsia="Calibri" w:hAnsi="Calibri" w:cs="Calibri"/>
                <w:color w:val="000000" w:themeColor="text1"/>
              </w:rPr>
              <w:t>1.04</w:t>
            </w:r>
          </w:p>
        </w:tc>
      </w:tr>
      <w:tr w:rsidR="21C4AC11" w14:paraId="5A238A80" w14:textId="77777777" w:rsidTr="21C4AC11">
        <w:trPr>
          <w:trHeight w:val="300"/>
        </w:trPr>
        <w:tc>
          <w:tcPr>
            <w:tcW w:w="1514" w:type="dxa"/>
            <w:vMerge w:val="restart"/>
            <w:tcBorders>
              <w:top w:val="nil"/>
              <w:left w:val="single" w:sz="8" w:space="0" w:color="auto"/>
              <w:bottom w:val="single" w:sz="8" w:space="0" w:color="auto"/>
              <w:right w:val="single" w:sz="8" w:space="0" w:color="auto"/>
            </w:tcBorders>
            <w:tcMar>
              <w:left w:w="108" w:type="dxa"/>
              <w:right w:w="108" w:type="dxa"/>
            </w:tcMar>
          </w:tcPr>
          <w:p w14:paraId="22D79449" w14:textId="2E39C245" w:rsidR="21C4AC11" w:rsidRDefault="21C4AC11" w:rsidP="21C4AC11">
            <w:r w:rsidRPr="21C4AC11">
              <w:rPr>
                <w:rFonts w:ascii="Calibri" w:eastAsia="Calibri" w:hAnsi="Calibri" w:cs="Calibri"/>
              </w:rPr>
              <w:t>Broadly defined</w:t>
            </w:r>
          </w:p>
        </w:tc>
        <w:tc>
          <w:tcPr>
            <w:tcW w:w="1099" w:type="dxa"/>
            <w:vMerge w:val="restart"/>
            <w:tcBorders>
              <w:top w:val="nil"/>
              <w:left w:val="single" w:sz="8" w:space="0" w:color="auto"/>
              <w:bottom w:val="single" w:sz="8" w:space="0" w:color="auto"/>
              <w:right w:val="single" w:sz="8" w:space="0" w:color="auto"/>
            </w:tcBorders>
            <w:tcMar>
              <w:left w:w="108" w:type="dxa"/>
              <w:right w:w="108" w:type="dxa"/>
            </w:tcMar>
          </w:tcPr>
          <w:p w14:paraId="56318589" w14:textId="782D6875" w:rsidR="21C4AC11" w:rsidRDefault="21C4AC11" w:rsidP="21C4AC11">
            <w:r w:rsidRPr="21C4AC11">
              <w:rPr>
                <w:rFonts w:ascii="Calibri" w:eastAsia="Calibri" w:hAnsi="Calibri" w:cs="Calibri"/>
              </w:rPr>
              <w:t>Alt</w:t>
            </w:r>
          </w:p>
        </w:tc>
        <w:tc>
          <w:tcPr>
            <w:tcW w:w="929" w:type="dxa"/>
            <w:vMerge w:val="restart"/>
            <w:tcBorders>
              <w:top w:val="nil"/>
              <w:left w:val="single" w:sz="8" w:space="0" w:color="auto"/>
              <w:bottom w:val="single" w:sz="8" w:space="0" w:color="auto"/>
              <w:right w:val="single" w:sz="8" w:space="0" w:color="auto"/>
            </w:tcBorders>
            <w:tcMar>
              <w:left w:w="108" w:type="dxa"/>
              <w:right w:w="108" w:type="dxa"/>
            </w:tcMar>
          </w:tcPr>
          <w:p w14:paraId="3EEAFD43" w14:textId="510A9415" w:rsidR="21C4AC11" w:rsidRDefault="21C4AC11" w:rsidP="21C4AC11">
            <w:r w:rsidRPr="21C4AC11">
              <w:rPr>
                <w:rFonts w:ascii="Calibri" w:eastAsia="Calibri" w:hAnsi="Calibri" w:cs="Calibri"/>
                <w:color w:val="000000" w:themeColor="text1"/>
              </w:rPr>
              <w:t>2.21</w:t>
            </w:r>
          </w:p>
        </w:tc>
        <w:tc>
          <w:tcPr>
            <w:tcW w:w="1154" w:type="dxa"/>
            <w:tcBorders>
              <w:top w:val="single" w:sz="8" w:space="0" w:color="auto"/>
              <w:left w:val="single" w:sz="8" w:space="0" w:color="auto"/>
              <w:bottom w:val="single" w:sz="8" w:space="0" w:color="auto"/>
              <w:right w:val="single" w:sz="8" w:space="0" w:color="auto"/>
            </w:tcBorders>
            <w:tcMar>
              <w:left w:w="108" w:type="dxa"/>
              <w:right w:w="108" w:type="dxa"/>
            </w:tcMar>
          </w:tcPr>
          <w:p w14:paraId="4917947D" w14:textId="22B0746A" w:rsidR="21C4AC11" w:rsidRDefault="21C4AC11" w:rsidP="21C4AC11">
            <w:r w:rsidRPr="21C4AC11">
              <w:rPr>
                <w:rFonts w:ascii="Calibri" w:eastAsia="Calibri" w:hAnsi="Calibri" w:cs="Calibri"/>
              </w:rPr>
              <w:t>intercept</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4DB87E10" w14:textId="6FDF9AEF" w:rsidR="21C4AC11" w:rsidRDefault="21C4AC11" w:rsidP="21C4AC11">
            <w:r w:rsidRPr="21C4AC11">
              <w:rPr>
                <w:rFonts w:ascii="Calibri" w:eastAsia="Calibri" w:hAnsi="Calibri" w:cs="Calibri"/>
              </w:rPr>
              <w:t>4.45 (1.77 to 7.12)</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5502B5C" w14:textId="0C1A14A8" w:rsidR="21C4AC11" w:rsidRDefault="21C4AC11" w:rsidP="21C4AC11">
            <w:r w:rsidRPr="21C4AC11">
              <w:rPr>
                <w:rFonts w:ascii="Calibri" w:eastAsia="Calibri" w:hAnsi="Calibri" w:cs="Calibri"/>
                <w:color w:val="000000" w:themeColor="text1"/>
              </w:rPr>
              <w:t>85.44</w:t>
            </w:r>
          </w:p>
        </w:tc>
      </w:tr>
      <w:tr w:rsidR="21C4AC11" w14:paraId="0189A3F9" w14:textId="77777777" w:rsidTr="21C4AC11">
        <w:trPr>
          <w:trHeight w:val="300"/>
        </w:trPr>
        <w:tc>
          <w:tcPr>
            <w:tcW w:w="1514" w:type="dxa"/>
            <w:vMerge/>
            <w:tcBorders>
              <w:left w:val="single" w:sz="0" w:space="0" w:color="auto"/>
              <w:bottom w:val="single" w:sz="0" w:space="0" w:color="auto"/>
              <w:right w:val="single" w:sz="0" w:space="0" w:color="auto"/>
            </w:tcBorders>
            <w:vAlign w:val="center"/>
          </w:tcPr>
          <w:p w14:paraId="47836A8C" w14:textId="77777777" w:rsidR="00B7126F" w:rsidRDefault="00B7126F"/>
        </w:tc>
        <w:tc>
          <w:tcPr>
            <w:tcW w:w="1099" w:type="dxa"/>
            <w:vMerge/>
            <w:tcBorders>
              <w:left w:val="single" w:sz="0" w:space="0" w:color="auto"/>
              <w:bottom w:val="single" w:sz="0" w:space="0" w:color="auto"/>
              <w:right w:val="single" w:sz="0" w:space="0" w:color="auto"/>
            </w:tcBorders>
            <w:vAlign w:val="center"/>
          </w:tcPr>
          <w:p w14:paraId="227E3589" w14:textId="77777777" w:rsidR="00B7126F" w:rsidRDefault="00B7126F"/>
        </w:tc>
        <w:tc>
          <w:tcPr>
            <w:tcW w:w="929" w:type="dxa"/>
            <w:vMerge/>
            <w:tcBorders>
              <w:left w:val="single" w:sz="0" w:space="0" w:color="auto"/>
              <w:bottom w:val="single" w:sz="0" w:space="0" w:color="auto"/>
              <w:right w:val="single" w:sz="0" w:space="0" w:color="auto"/>
            </w:tcBorders>
            <w:vAlign w:val="center"/>
          </w:tcPr>
          <w:p w14:paraId="010EBF06" w14:textId="77777777" w:rsidR="00B7126F" w:rsidRDefault="00B7126F"/>
        </w:tc>
        <w:tc>
          <w:tcPr>
            <w:tcW w:w="1154" w:type="dxa"/>
            <w:tcBorders>
              <w:top w:val="single" w:sz="8" w:space="0" w:color="auto"/>
              <w:left w:val="nil"/>
              <w:bottom w:val="single" w:sz="8" w:space="0" w:color="auto"/>
              <w:right w:val="single" w:sz="8" w:space="0" w:color="auto"/>
            </w:tcBorders>
            <w:tcMar>
              <w:left w:w="108" w:type="dxa"/>
              <w:right w:w="108" w:type="dxa"/>
            </w:tcMar>
          </w:tcPr>
          <w:p w14:paraId="46BBEAB5" w14:textId="2887177B" w:rsidR="21C4AC11" w:rsidRDefault="21C4AC11" w:rsidP="21C4AC11">
            <w:r w:rsidRPr="21C4AC11">
              <w:rPr>
                <w:rFonts w:ascii="Calibri" w:eastAsia="Calibri" w:hAnsi="Calibri" w:cs="Calibri"/>
              </w:rPr>
              <w:t>HAQ Index</w:t>
            </w:r>
          </w:p>
        </w:tc>
        <w:tc>
          <w:tcPr>
            <w:tcW w:w="1591" w:type="dxa"/>
            <w:tcBorders>
              <w:top w:val="single" w:sz="8" w:space="0" w:color="auto"/>
              <w:left w:val="single" w:sz="8" w:space="0" w:color="auto"/>
              <w:bottom w:val="single" w:sz="8" w:space="0" w:color="auto"/>
              <w:right w:val="single" w:sz="8" w:space="0" w:color="auto"/>
            </w:tcBorders>
            <w:tcMar>
              <w:left w:w="108" w:type="dxa"/>
              <w:right w:w="108" w:type="dxa"/>
            </w:tcMar>
          </w:tcPr>
          <w:p w14:paraId="66CFFF1E" w14:textId="34E4A86E" w:rsidR="21C4AC11" w:rsidRDefault="21C4AC11" w:rsidP="21C4AC11">
            <w:r w:rsidRPr="21C4AC11">
              <w:rPr>
                <w:rFonts w:ascii="Calibri" w:eastAsia="Calibri" w:hAnsi="Calibri" w:cs="Calibri"/>
              </w:rPr>
              <w:t>-0.04 (-0.05 to -0.04)</w:t>
            </w:r>
          </w:p>
        </w:tc>
        <w:tc>
          <w:tcPr>
            <w:tcW w:w="166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10B61E0" w14:textId="21665646" w:rsidR="21C4AC11" w:rsidRDefault="21C4AC11" w:rsidP="21C4AC11">
            <w:r w:rsidRPr="21C4AC11">
              <w:rPr>
                <w:rFonts w:ascii="Calibri" w:eastAsia="Calibri" w:hAnsi="Calibri" w:cs="Calibri"/>
                <w:color w:val="000000" w:themeColor="text1"/>
              </w:rPr>
              <w:t>0.96</w:t>
            </w:r>
          </w:p>
        </w:tc>
      </w:tr>
    </w:tbl>
    <w:p w14:paraId="0134369F" w14:textId="656E4DAB" w:rsidR="08E73539" w:rsidRDefault="08E73539" w:rsidP="21C4AC11">
      <w:pPr>
        <w:spacing w:after="0" w:line="257" w:lineRule="auto"/>
      </w:pPr>
      <w:r w:rsidRPr="21C4AC11">
        <w:rPr>
          <w:rFonts w:ascii="Calibri" w:eastAsia="Calibri" w:hAnsi="Calibri" w:cs="Calibri"/>
          <w:i/>
          <w:iCs/>
          <w:sz w:val="20"/>
          <w:szCs w:val="20"/>
        </w:rPr>
        <w:t>*MR-BRT crosswalk adjustments can be interpreted as the factor the alternative case definition is adjusted by to reflect what it would have been had it been measured using the reference case definition. If the log/logit beta coefficient is negative, then the alternative is adjusted up to the reference. If the log/logit beta coefficient is positive, then the alternative is adjusted down to the reference.</w:t>
      </w:r>
    </w:p>
    <w:p w14:paraId="08D7EE51" w14:textId="551A93ED" w:rsidR="08E73539" w:rsidRDefault="08E73539" w:rsidP="21C4AC11">
      <w:pPr>
        <w:spacing w:after="0" w:line="257" w:lineRule="auto"/>
      </w:pPr>
      <w:r w:rsidRPr="21C4AC11">
        <w:rPr>
          <w:rFonts w:ascii="Calibri" w:eastAsia="Calibri" w:hAnsi="Calibri" w:cs="Calibri"/>
          <w:i/>
          <w:iCs/>
          <w:sz w:val="20"/>
          <w:szCs w:val="20"/>
        </w:rPr>
        <w:t xml:space="preserve">**The adjustment factor column is the exponentiated beta coefficient. For log beta coefficients, this is the relative rate between the two case definitions. For logit beta coefficients, this is the relative odds between the two case definitions. </w:t>
      </w:r>
    </w:p>
    <w:p w14:paraId="08CAAE5A" w14:textId="229DD908" w:rsidR="08E73539" w:rsidRDefault="08E73539" w:rsidP="21C4AC11">
      <w:pPr>
        <w:spacing w:after="0"/>
      </w:pPr>
      <w:r w:rsidRPr="21C4AC11">
        <w:rPr>
          <w:rFonts w:ascii="Calibri" w:eastAsia="Calibri" w:hAnsi="Calibri" w:cs="Calibri"/>
        </w:rPr>
        <w:t xml:space="preserve"> </w:t>
      </w:r>
    </w:p>
    <w:p w14:paraId="58C510D0" w14:textId="15283516" w:rsidR="08E73539" w:rsidRDefault="08E73539" w:rsidP="21C4AC11">
      <w:pPr>
        <w:spacing w:after="0"/>
      </w:pPr>
      <w:r w:rsidRPr="21C4AC11">
        <w:rPr>
          <w:rFonts w:ascii="Aptos" w:eastAsia="Aptos" w:hAnsi="Aptos" w:cs="Aptos"/>
          <w:sz w:val="24"/>
          <w:szCs w:val="24"/>
        </w:rPr>
        <w:t xml:space="preserve"> </w:t>
      </w:r>
    </w:p>
    <w:p w14:paraId="46ED9424" w14:textId="2D9A565A" w:rsidR="08E73539" w:rsidRDefault="08E73539" w:rsidP="21C4AC11">
      <w:pPr>
        <w:spacing w:before="40" w:after="0"/>
      </w:pPr>
      <w:r w:rsidRPr="21C4AC11">
        <w:rPr>
          <w:rFonts w:ascii="Aptos" w:eastAsia="Aptos" w:hAnsi="Aptos" w:cs="Aptos"/>
          <w:sz w:val="24"/>
          <w:szCs w:val="24"/>
        </w:rPr>
        <w:t xml:space="preserve"> </w:t>
      </w:r>
    </w:p>
    <w:p w14:paraId="567F4950" w14:textId="5AF99A17" w:rsidR="08E73539" w:rsidRDefault="08E73539" w:rsidP="21C4AC11">
      <w:pPr>
        <w:spacing w:line="257" w:lineRule="auto"/>
      </w:pPr>
      <w:r w:rsidRPr="21C4AC11">
        <w:rPr>
          <w:rFonts w:ascii="Calibri Light" w:eastAsia="Calibri Light" w:hAnsi="Calibri Light" w:cs="Calibri Light"/>
          <w:color w:val="215E99"/>
          <w:sz w:val="26"/>
          <w:szCs w:val="26"/>
        </w:rPr>
        <w:t>Modelling strategy</w:t>
      </w:r>
    </w:p>
    <w:p w14:paraId="25DA08CA" w14:textId="118C8FC3" w:rsidR="08E73539" w:rsidRDefault="08E73539" w:rsidP="21C4AC11">
      <w:pPr>
        <w:spacing w:line="257" w:lineRule="auto"/>
      </w:pPr>
      <w:r w:rsidRPr="21C4AC11">
        <w:rPr>
          <w:rFonts w:ascii="Calibri" w:eastAsia="Calibri" w:hAnsi="Calibri" w:cs="Calibri"/>
        </w:rPr>
        <w:t xml:space="preserve">Non-fatal outcomes were modelled using a combination of custom models and </w:t>
      </w:r>
      <w:proofErr w:type="spellStart"/>
      <w:r w:rsidRPr="21C4AC11">
        <w:rPr>
          <w:rFonts w:ascii="Calibri" w:eastAsia="Calibri" w:hAnsi="Calibri" w:cs="Calibri"/>
        </w:rPr>
        <w:t>DisMod</w:t>
      </w:r>
      <w:proofErr w:type="spellEnd"/>
      <w:r w:rsidRPr="21C4AC11">
        <w:rPr>
          <w:rFonts w:ascii="Calibri" w:eastAsia="Calibri" w:hAnsi="Calibri" w:cs="Calibri"/>
        </w:rPr>
        <w:t xml:space="preserve">-MR 2.1. First, the overall incidence and prevalence of bacterial meningitis were modelled to estimate the short-term morbidity due to acute infection. This </w:t>
      </w:r>
      <w:proofErr w:type="spellStart"/>
      <w:r w:rsidRPr="21C4AC11">
        <w:rPr>
          <w:rFonts w:ascii="Calibri" w:eastAsia="Calibri" w:hAnsi="Calibri" w:cs="Calibri"/>
        </w:rPr>
        <w:t>DisMod</w:t>
      </w:r>
      <w:proofErr w:type="spellEnd"/>
      <w:r w:rsidRPr="21C4AC11">
        <w:rPr>
          <w:rFonts w:ascii="Calibri" w:eastAsia="Calibri" w:hAnsi="Calibri" w:cs="Calibri"/>
        </w:rPr>
        <w:t xml:space="preserve"> model had a set duration (1/remission) of four weeks with a range ±2 weeks. We also imposed caps on excess mortality for neonates and elders based on the highest excess mortality estimates from GBD 2019. We used the function in </w:t>
      </w:r>
      <w:proofErr w:type="spellStart"/>
      <w:r w:rsidRPr="21C4AC11">
        <w:rPr>
          <w:rFonts w:ascii="Calibri" w:eastAsia="Calibri" w:hAnsi="Calibri" w:cs="Calibri"/>
        </w:rPr>
        <w:t>DisMod</w:t>
      </w:r>
      <w:proofErr w:type="spellEnd"/>
      <w:r w:rsidRPr="21C4AC11">
        <w:rPr>
          <w:rFonts w:ascii="Calibri" w:eastAsia="Calibri" w:hAnsi="Calibri" w:cs="Calibri"/>
        </w:rPr>
        <w:t xml:space="preserve">-MR 2.1 to pull in cause-specific mortality rate (CSMR) data from our CODEm and </w:t>
      </w:r>
      <w:proofErr w:type="spellStart"/>
      <w:r w:rsidRPr="21C4AC11">
        <w:rPr>
          <w:rFonts w:ascii="Calibri" w:eastAsia="Calibri" w:hAnsi="Calibri" w:cs="Calibri"/>
        </w:rPr>
        <w:t>CoDCorrect</w:t>
      </w:r>
      <w:proofErr w:type="spellEnd"/>
      <w:r w:rsidRPr="21C4AC11">
        <w:rPr>
          <w:rFonts w:ascii="Calibri" w:eastAsia="Calibri" w:hAnsi="Calibri" w:cs="Calibri"/>
        </w:rPr>
        <w:t xml:space="preserve"> analyses. We calculated excess mortality rate to estimate priors by dividing CSMR by prevalence, calculated from remission and incidence. To help inform trends where we lack data, we applied country-level covariates for proportion of the population at the subnational and country levels that lives within the meningitis belt in sub-Saharan Africa,</w:t>
      </w:r>
      <w:r w:rsidRPr="21C4AC11">
        <w:rPr>
          <w:rFonts w:ascii="Calibri" w:eastAsia="Calibri" w:hAnsi="Calibri" w:cs="Calibri"/>
          <w:vertAlign w:val="superscript"/>
        </w:rPr>
        <w:t>3</w:t>
      </w:r>
      <w:r w:rsidRPr="21C4AC11">
        <w:rPr>
          <w:rFonts w:ascii="Calibri" w:eastAsia="Calibri" w:hAnsi="Calibri" w:cs="Calibri"/>
        </w:rPr>
        <w:t xml:space="preserve"> coverage of </w:t>
      </w:r>
      <w:proofErr w:type="spellStart"/>
      <w:r w:rsidRPr="21C4AC11">
        <w:rPr>
          <w:rFonts w:ascii="Calibri" w:eastAsia="Calibri" w:hAnsi="Calibri" w:cs="Calibri"/>
        </w:rPr>
        <w:t>MenAfriVac</w:t>
      </w:r>
      <w:proofErr w:type="spellEnd"/>
      <w:r w:rsidRPr="21C4AC11">
        <w:rPr>
          <w:rFonts w:ascii="Calibri" w:eastAsia="Calibri" w:hAnsi="Calibri" w:cs="Calibri"/>
        </w:rPr>
        <w:t xml:space="preserve"> vaccine initiative, coverage of Hib3, and coverage of PCV3. Betas and exponentiated values (which can be interpreted as an odds ratio) are shown in the tables below country-level covariates. After bacterial meningitis was modelled using </w:t>
      </w:r>
      <w:proofErr w:type="spellStart"/>
      <w:r w:rsidRPr="21C4AC11">
        <w:rPr>
          <w:rFonts w:ascii="Calibri" w:eastAsia="Calibri" w:hAnsi="Calibri" w:cs="Calibri"/>
        </w:rPr>
        <w:t>DisMod</w:t>
      </w:r>
      <w:proofErr w:type="spellEnd"/>
      <w:r w:rsidRPr="21C4AC11">
        <w:rPr>
          <w:rFonts w:ascii="Calibri" w:eastAsia="Calibri" w:hAnsi="Calibri" w:cs="Calibri"/>
        </w:rPr>
        <w:t xml:space="preserve">, viral meningitis incidence was calculated using the age-sex-location-year-specific ratios of </w:t>
      </w:r>
      <w:proofErr w:type="spellStart"/>
      <w:r w:rsidRPr="21C4AC11">
        <w:rPr>
          <w:rFonts w:ascii="Calibri" w:eastAsia="Calibri" w:hAnsi="Calibri" w:cs="Calibri"/>
        </w:rPr>
        <w:t>bacterial:viral</w:t>
      </w:r>
      <w:proofErr w:type="spellEnd"/>
      <w:r w:rsidRPr="21C4AC11">
        <w:rPr>
          <w:rFonts w:ascii="Calibri" w:eastAsia="Calibri" w:hAnsi="Calibri" w:cs="Calibri"/>
        </w:rPr>
        <w:t xml:space="preserve"> meningitis from estimates of viral meningitis.  </w:t>
      </w:r>
    </w:p>
    <w:p w14:paraId="0A304D49" w14:textId="56BE5E9A" w:rsidR="08E73539" w:rsidRDefault="08E73539" w:rsidP="21C4AC11">
      <w:pPr>
        <w:spacing w:line="257" w:lineRule="auto"/>
      </w:pPr>
      <w:r w:rsidRPr="21C4AC11">
        <w:rPr>
          <w:rFonts w:ascii="Calibri" w:eastAsia="Calibri" w:hAnsi="Calibri" w:cs="Calibri"/>
          <w:i/>
          <w:iCs/>
        </w:rPr>
        <w:t>Disability weights</w:t>
      </w:r>
    </w:p>
    <w:p w14:paraId="11161FCE" w14:textId="1771BE81" w:rsidR="08E73539" w:rsidRDefault="08E73539" w:rsidP="21C4AC11">
      <w:pPr>
        <w:spacing w:line="257" w:lineRule="auto"/>
      </w:pPr>
      <w:r w:rsidRPr="21C4AC11">
        <w:rPr>
          <w:rFonts w:ascii="Calibri" w:eastAsia="Calibri" w:hAnsi="Calibri" w:cs="Calibri"/>
        </w:rPr>
        <w:t>The basis of the GBD disability weight survey assessments is descriptions of sequelae highlighting major functional consequences and symptoms. The lay descriptions and disability weights for sequelae associated with meningitis are shown below.</w:t>
      </w:r>
    </w:p>
    <w:p w14:paraId="6362EDED" w14:textId="2F6007AE" w:rsidR="08E73539" w:rsidRDefault="08E73539" w:rsidP="21C4AC11">
      <w:pPr>
        <w:spacing w:line="257" w:lineRule="auto"/>
      </w:pPr>
      <w:r w:rsidRPr="21C4AC11">
        <w:rPr>
          <w:rFonts w:ascii="Calibri Light" w:eastAsia="Calibri Light" w:hAnsi="Calibri Light" w:cs="Calibri Light"/>
          <w:b/>
          <w:bCs/>
        </w:rPr>
        <w:t xml:space="preserve">Table 3. Severity distribution, </w:t>
      </w:r>
      <w:r w:rsidRPr="21C4AC11">
        <w:rPr>
          <w:rFonts w:ascii="Calibri Light" w:eastAsia="Calibri Light" w:hAnsi="Calibri Light" w:cs="Calibri Light"/>
        </w:rPr>
        <w:t>details on the severity levels for meningitis and the associated disability weight (DW) with that severity</w:t>
      </w:r>
    </w:p>
    <w:tbl>
      <w:tblPr>
        <w:tblStyle w:val="TableGrid"/>
        <w:tblW w:w="0" w:type="auto"/>
        <w:tblLayout w:type="fixed"/>
        <w:tblLook w:val="04A0" w:firstRow="1" w:lastRow="0" w:firstColumn="1" w:lastColumn="0" w:noHBand="0" w:noVBand="1"/>
      </w:tblPr>
      <w:tblGrid>
        <w:gridCol w:w="2425"/>
        <w:gridCol w:w="4950"/>
        <w:gridCol w:w="1975"/>
      </w:tblGrid>
      <w:tr w:rsidR="21C4AC11" w14:paraId="34D02801"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42AB8B01" w14:textId="615104BC" w:rsidR="21C4AC11" w:rsidRDefault="21C4AC11" w:rsidP="21C4AC11">
            <w:pPr>
              <w:jc w:val="center"/>
            </w:pPr>
            <w:r w:rsidRPr="21C4AC11">
              <w:rPr>
                <w:rFonts w:ascii="Calibri" w:eastAsia="Calibri" w:hAnsi="Calibri" w:cs="Calibri"/>
                <w:b/>
                <w:bCs/>
              </w:rPr>
              <w:t>Severity split</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6192FF4F" w14:textId="32C71BFC" w:rsidR="21C4AC11" w:rsidRDefault="21C4AC11" w:rsidP="21C4AC11">
            <w:pPr>
              <w:jc w:val="center"/>
            </w:pPr>
            <w:r w:rsidRPr="21C4AC11">
              <w:rPr>
                <w:rFonts w:ascii="Calibri" w:eastAsia="Calibri" w:hAnsi="Calibri" w:cs="Calibri"/>
                <w:b/>
                <w:bCs/>
              </w:rPr>
              <w:t>Lay description</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82178EC" w14:textId="3EAF9EA4" w:rsidR="21C4AC11" w:rsidRDefault="21C4AC11" w:rsidP="21C4AC11">
            <w:pPr>
              <w:jc w:val="center"/>
            </w:pPr>
            <w:r w:rsidRPr="21C4AC11">
              <w:rPr>
                <w:rFonts w:ascii="Calibri" w:eastAsia="Calibri" w:hAnsi="Calibri" w:cs="Calibri"/>
                <w:b/>
                <w:bCs/>
              </w:rPr>
              <w:t>DW (95% CI)</w:t>
            </w:r>
          </w:p>
        </w:tc>
      </w:tr>
      <w:tr w:rsidR="21C4AC11" w14:paraId="33D2E851"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2AEC0736" w14:textId="77ACCC87" w:rsidR="21C4AC11" w:rsidRDefault="21C4AC11" w:rsidP="21C4AC11">
            <w:r w:rsidRPr="21C4AC11">
              <w:rPr>
                <w:rFonts w:ascii="Calibri" w:eastAsia="Calibri" w:hAnsi="Calibri" w:cs="Calibri"/>
              </w:rPr>
              <w:t>Acute meningitis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3C11FC2" w14:textId="09A51284" w:rsidR="21C4AC11" w:rsidRDefault="21C4AC11" w:rsidP="21C4AC11">
            <w:r w:rsidRPr="21C4AC11">
              <w:rPr>
                <w:rFonts w:ascii="Calibri" w:eastAsia="Calibri" w:hAnsi="Calibri" w:cs="Calibri"/>
              </w:rPr>
              <w:t>This person has a high fever and pain, and feels very weak, which causes great difficulty with daily activities.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4BF718A" w14:textId="07F305E1" w:rsidR="21C4AC11" w:rsidRDefault="21C4AC11" w:rsidP="21C4AC11">
            <w:r w:rsidRPr="21C4AC11">
              <w:rPr>
                <w:rFonts w:ascii="Calibri" w:eastAsia="Calibri" w:hAnsi="Calibri" w:cs="Calibri"/>
              </w:rPr>
              <w:t>0.133 (0.088–0.19)</w:t>
            </w:r>
          </w:p>
        </w:tc>
      </w:tr>
      <w:tr w:rsidR="21C4AC11" w14:paraId="170A4320"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41C473B6" w14:textId="3E22F563" w:rsidR="21C4AC11" w:rsidRDefault="21C4AC11" w:rsidP="21C4AC11">
            <w:r w:rsidRPr="21C4AC11">
              <w:rPr>
                <w:rFonts w:ascii="Calibri" w:eastAsia="Calibri" w:hAnsi="Calibri" w:cs="Calibri"/>
              </w:rPr>
              <w:t>Acute viral meningitis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13FC4413" w14:textId="06AFBF84" w:rsidR="21C4AC11" w:rsidRDefault="21C4AC11" w:rsidP="21C4AC11">
            <w:r w:rsidRPr="21C4AC11">
              <w:rPr>
                <w:rFonts w:ascii="Calibri" w:eastAsia="Calibri" w:hAnsi="Calibri" w:cs="Calibri"/>
              </w:rPr>
              <w:t>This person has a high fever and pain, and feels very weak, which causes great difficulty with daily activities.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1CE2E2A" w14:textId="7E87442D" w:rsidR="21C4AC11" w:rsidRDefault="21C4AC11" w:rsidP="21C4AC11">
            <w:r w:rsidRPr="21C4AC11">
              <w:rPr>
                <w:rFonts w:ascii="Calibri" w:eastAsia="Calibri" w:hAnsi="Calibri" w:cs="Calibri"/>
              </w:rPr>
              <w:t>0.133 (0.088–0.19)</w:t>
            </w:r>
          </w:p>
        </w:tc>
      </w:tr>
      <w:tr w:rsidR="21C4AC11" w14:paraId="59CA3DFA"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7032E05D" w14:textId="3FF7C8DA" w:rsidR="21C4AC11" w:rsidRDefault="21C4AC11" w:rsidP="21C4AC11">
            <w:r w:rsidRPr="21C4AC11">
              <w:rPr>
                <w:rFonts w:ascii="Calibri" w:eastAsia="Calibri" w:hAnsi="Calibri" w:cs="Calibri"/>
              </w:rPr>
              <w:t xml:space="preserve">Mild </w:t>
            </w:r>
            <w:proofErr w:type="spellStart"/>
            <w:r w:rsidRPr="21C4AC11">
              <w:rPr>
                <w:rFonts w:ascii="Calibri" w:eastAsia="Calibri" w:hAnsi="Calibri" w:cs="Calibri"/>
              </w:rPr>
              <w:t>behaviour</w:t>
            </w:r>
            <w:proofErr w:type="spellEnd"/>
            <w:r w:rsidRPr="21C4AC11">
              <w:rPr>
                <w:rFonts w:ascii="Calibri" w:eastAsia="Calibri" w:hAnsi="Calibri" w:cs="Calibri"/>
              </w:rPr>
              <w:t xml:space="preserve"> problems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764EEA0C" w14:textId="37D77ED9" w:rsidR="21C4AC11" w:rsidRDefault="21C4AC11" w:rsidP="21C4AC11">
            <w:r w:rsidRPr="21C4AC11">
              <w:rPr>
                <w:rFonts w:ascii="Calibri" w:eastAsia="Calibri" w:hAnsi="Calibri" w:cs="Calibri"/>
              </w:rPr>
              <w:t>This person is hyperactive and has difficulty concentrating, remembering things, and completing tasks.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9C159A1" w14:textId="1BDDCBC1" w:rsidR="21C4AC11" w:rsidRDefault="21C4AC11" w:rsidP="21C4AC11">
            <w:r w:rsidRPr="21C4AC11">
              <w:rPr>
                <w:rFonts w:ascii="Calibri" w:eastAsia="Calibri" w:hAnsi="Calibri" w:cs="Calibri"/>
              </w:rPr>
              <w:t>0.045 (0.028–0.066)</w:t>
            </w:r>
          </w:p>
        </w:tc>
      </w:tr>
      <w:tr w:rsidR="21C4AC11" w14:paraId="45427117"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155508CE" w14:textId="4CD1F8E6" w:rsidR="21C4AC11" w:rsidRDefault="21C4AC11" w:rsidP="21C4AC11">
            <w:r w:rsidRPr="21C4AC11">
              <w:rPr>
                <w:rFonts w:ascii="Calibri" w:eastAsia="Calibri" w:hAnsi="Calibri" w:cs="Calibri"/>
              </w:rPr>
              <w:t>Mild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0B036A3C" w14:textId="7F923958" w:rsidR="21C4AC11" w:rsidRDefault="21C4AC11" w:rsidP="21C4AC11">
            <w:r w:rsidRPr="21C4AC11">
              <w:rPr>
                <w:rFonts w:ascii="Calibri" w:eastAsia="Calibri" w:hAnsi="Calibri" w:cs="Calibri"/>
              </w:rPr>
              <w:t>This person has great difficulty hearing and understanding another person talking in a noisy place (for example, on an urban street).</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BF5D696" w14:textId="06BE002C" w:rsidR="21C4AC11" w:rsidRDefault="21C4AC11" w:rsidP="21C4AC11">
            <w:r w:rsidRPr="21C4AC11">
              <w:rPr>
                <w:rFonts w:ascii="Calibri" w:eastAsia="Calibri" w:hAnsi="Calibri" w:cs="Calibri"/>
              </w:rPr>
              <w:t>0.01 (0.004–0.019)</w:t>
            </w:r>
          </w:p>
        </w:tc>
      </w:tr>
      <w:tr w:rsidR="21C4AC11" w14:paraId="77C38ED6"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11EA806E" w14:textId="4459FE59" w:rsidR="21C4AC11" w:rsidRDefault="21C4AC11" w:rsidP="21C4AC11">
            <w:r w:rsidRPr="21C4AC11">
              <w:rPr>
                <w:rFonts w:ascii="Calibri" w:eastAsia="Calibri" w:hAnsi="Calibri" w:cs="Calibri"/>
              </w:rPr>
              <w:t>Mild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3AA6ABEB" w14:textId="0C5BBE3D" w:rsidR="21C4AC11" w:rsidRDefault="21C4AC11" w:rsidP="21C4AC11">
            <w:r w:rsidRPr="21C4AC11">
              <w:rPr>
                <w:rFonts w:ascii="Calibri" w:eastAsia="Calibri" w:hAnsi="Calibri" w:cs="Calibri"/>
              </w:rPr>
              <w:t>This person has great difficulty hearing and understanding another person talking in a noisy place (for example, on an urban street), and sometimes has annoying ringing in the ears.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F8EC886" w14:textId="0C399099" w:rsidR="21C4AC11" w:rsidRDefault="21C4AC11" w:rsidP="21C4AC11">
            <w:r w:rsidRPr="21C4AC11">
              <w:rPr>
                <w:rFonts w:ascii="Calibri" w:eastAsia="Calibri" w:hAnsi="Calibri" w:cs="Calibri"/>
              </w:rPr>
              <w:t>0.021 (0.012–0.036)</w:t>
            </w:r>
          </w:p>
        </w:tc>
      </w:tr>
      <w:tr w:rsidR="21C4AC11" w14:paraId="6978B4B8"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2EDEF6DB" w14:textId="0266F617" w:rsidR="21C4AC11" w:rsidRDefault="21C4AC11" w:rsidP="21C4AC11">
            <w:r w:rsidRPr="21C4AC11">
              <w:rPr>
                <w:rFonts w:ascii="Calibri" w:eastAsia="Calibri" w:hAnsi="Calibri" w:cs="Calibri"/>
              </w:rPr>
              <w:t>Moderate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2B238647" w14:textId="781D2B99" w:rsidR="21C4AC11" w:rsidRDefault="21C4AC11" w:rsidP="21C4AC11">
            <w:r w:rsidRPr="21C4AC11">
              <w:rPr>
                <w:rFonts w:ascii="Calibri" w:eastAsia="Calibri" w:hAnsi="Calibri" w:cs="Calibri"/>
              </w:rPr>
              <w:t xml:space="preserve">This person is unable to hear and understand another person talking in a noisy place (for example, on an urban street), and has difficulty hearing another person talking even in a quiet place or on the phone. </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8B9EE11" w14:textId="6B570022" w:rsidR="21C4AC11" w:rsidRDefault="21C4AC11" w:rsidP="21C4AC11">
            <w:r w:rsidRPr="21C4AC11">
              <w:rPr>
                <w:rFonts w:ascii="Calibri" w:eastAsia="Calibri" w:hAnsi="Calibri" w:cs="Calibri"/>
              </w:rPr>
              <w:t>0.027 (0.015–0.042)</w:t>
            </w:r>
          </w:p>
        </w:tc>
      </w:tr>
      <w:tr w:rsidR="21C4AC11" w14:paraId="3076745E"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45B0FDCE" w14:textId="3B76645E" w:rsidR="21C4AC11" w:rsidRDefault="21C4AC11" w:rsidP="21C4AC11">
            <w:r w:rsidRPr="21C4AC11">
              <w:rPr>
                <w:rFonts w:ascii="Calibri" w:eastAsia="Calibri" w:hAnsi="Calibri" w:cs="Calibri"/>
              </w:rPr>
              <w:t>Moderate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7E44771F" w14:textId="0CF790DB" w:rsidR="21C4AC11" w:rsidRDefault="21C4AC11" w:rsidP="21C4AC11">
            <w:r w:rsidRPr="21C4AC11">
              <w:rPr>
                <w:rFonts w:ascii="Calibri" w:eastAsia="Calibri" w:hAnsi="Calibri" w:cs="Calibri"/>
              </w:rPr>
              <w:t>This person is unable to hear and understand another person talking in a noisy place (for example, on an urban street), and has difficulty hearing another person talking even in a quiet place or on the phone and has annoying ringing in the ears for more than 5 minutes at a time, almost every day.</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D18E2D7" w14:textId="7EA2DD0E" w:rsidR="21C4AC11" w:rsidRDefault="21C4AC11" w:rsidP="21C4AC11">
            <w:r w:rsidRPr="21C4AC11">
              <w:rPr>
                <w:rFonts w:ascii="Calibri" w:eastAsia="Calibri" w:hAnsi="Calibri" w:cs="Calibri"/>
              </w:rPr>
              <w:t>0.074 (0.048–0.107)</w:t>
            </w:r>
          </w:p>
        </w:tc>
      </w:tr>
      <w:tr w:rsidR="21C4AC11" w14:paraId="240B09FA"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18E7F808" w14:textId="3BABB57A" w:rsidR="21C4AC11" w:rsidRDefault="21C4AC11" w:rsidP="21C4AC11">
            <w:r w:rsidRPr="21C4AC11">
              <w:rPr>
                <w:rFonts w:ascii="Calibri" w:eastAsia="Calibri" w:hAnsi="Calibri" w:cs="Calibri"/>
              </w:rPr>
              <w:t>Moderately severe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38C8C3BF" w14:textId="52A306DC" w:rsidR="21C4AC11" w:rsidRDefault="21C4AC11" w:rsidP="21C4AC11">
            <w:r w:rsidRPr="21C4AC11">
              <w:rPr>
                <w:rFonts w:ascii="Calibri" w:eastAsia="Calibri" w:hAnsi="Calibri" w:cs="Calibri"/>
              </w:rPr>
              <w:t>(custom DW from hearing loss impairment envelope)</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D6AE501" w14:textId="5086D942" w:rsidR="21C4AC11" w:rsidRDefault="21C4AC11" w:rsidP="21C4AC11">
            <w:r w:rsidRPr="21C4AC11">
              <w:rPr>
                <w:rFonts w:ascii="Calibri" w:eastAsia="Calibri" w:hAnsi="Calibri" w:cs="Calibri"/>
              </w:rPr>
              <w:t xml:space="preserve"> </w:t>
            </w:r>
          </w:p>
        </w:tc>
      </w:tr>
      <w:tr w:rsidR="21C4AC11" w14:paraId="36D83645"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726CE14A" w14:textId="082AA42B" w:rsidR="21C4AC11" w:rsidRDefault="21C4AC11" w:rsidP="21C4AC11">
            <w:r w:rsidRPr="21C4AC11">
              <w:rPr>
                <w:rFonts w:ascii="Calibri" w:eastAsia="Calibri" w:hAnsi="Calibri" w:cs="Calibri"/>
              </w:rPr>
              <w:t>Moderately severe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2264653A" w14:textId="7D88EEB6" w:rsidR="21C4AC11" w:rsidRDefault="21C4AC11" w:rsidP="21C4AC11">
            <w:r w:rsidRPr="21C4AC11">
              <w:rPr>
                <w:rFonts w:ascii="Calibri" w:eastAsia="Calibri" w:hAnsi="Calibri" w:cs="Calibri"/>
              </w:rPr>
              <w:t>(custom DW from hearing loss impairment envelope)</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DA8AA1E" w14:textId="638B5085" w:rsidR="21C4AC11" w:rsidRDefault="21C4AC11" w:rsidP="21C4AC11">
            <w:r w:rsidRPr="21C4AC11">
              <w:rPr>
                <w:rFonts w:ascii="Calibri" w:eastAsia="Calibri" w:hAnsi="Calibri" w:cs="Calibri"/>
              </w:rPr>
              <w:t xml:space="preserve"> </w:t>
            </w:r>
          </w:p>
        </w:tc>
      </w:tr>
      <w:tr w:rsidR="21C4AC11" w14:paraId="5181C287"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1278EA81" w14:textId="4EE722E3" w:rsidR="21C4AC11" w:rsidRDefault="21C4AC11" w:rsidP="21C4AC11">
            <w:r w:rsidRPr="21C4AC11">
              <w:rPr>
                <w:rFonts w:ascii="Calibri" w:eastAsia="Calibri" w:hAnsi="Calibri" w:cs="Calibri"/>
              </w:rPr>
              <w:t>Severe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0DA16FC9" w14:textId="4D7004E0" w:rsidR="21C4AC11" w:rsidRDefault="21C4AC11" w:rsidP="21C4AC11">
            <w:r w:rsidRPr="21C4AC11">
              <w:rPr>
                <w:rFonts w:ascii="Calibri" w:eastAsia="Calibri" w:hAnsi="Calibri" w:cs="Calibri"/>
              </w:rPr>
              <w:t>This person is unable to hear and understand another person talking, even in a quiet place, and unable to take part in a phone conversation. Difficulties with communicating and relating to others cause emotional impact at times (for example worry or depression).</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B7B50F8" w14:textId="4B2B3541" w:rsidR="21C4AC11" w:rsidRDefault="21C4AC11" w:rsidP="21C4AC11">
            <w:r w:rsidRPr="21C4AC11">
              <w:rPr>
                <w:rFonts w:ascii="Calibri" w:eastAsia="Calibri" w:hAnsi="Calibri" w:cs="Calibri"/>
              </w:rPr>
              <w:t>0.158 (0.105–0.227)</w:t>
            </w:r>
          </w:p>
        </w:tc>
      </w:tr>
      <w:tr w:rsidR="21C4AC11" w14:paraId="5B449478"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2DA2A22D" w14:textId="209D0341" w:rsidR="21C4AC11" w:rsidRDefault="21C4AC11" w:rsidP="21C4AC11">
            <w:r w:rsidRPr="21C4AC11">
              <w:rPr>
                <w:rFonts w:ascii="Calibri" w:eastAsia="Calibri" w:hAnsi="Calibri" w:cs="Calibri"/>
              </w:rPr>
              <w:t>Profound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5A59C7FC" w14:textId="264E5F68" w:rsidR="21C4AC11" w:rsidRDefault="21C4AC11" w:rsidP="21C4AC11">
            <w:r w:rsidRPr="21C4AC11">
              <w:rPr>
                <w:rFonts w:ascii="Calibri" w:eastAsia="Calibri" w:hAnsi="Calibri" w:cs="Calibri"/>
              </w:rPr>
              <w:t>This person is unable to hear and understand another person talking, even in a quiet place, is unable to take part in a phone conversation, and has great difficulty hearing anything in any other situation. Difficulties with communicating and relating to others often cause worry, depression, or loneliness.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27A618A" w14:textId="2FE45C78" w:rsidR="21C4AC11" w:rsidRDefault="21C4AC11" w:rsidP="21C4AC11">
            <w:r w:rsidRPr="21C4AC11">
              <w:rPr>
                <w:rFonts w:ascii="Calibri" w:eastAsia="Calibri" w:hAnsi="Calibri" w:cs="Calibri"/>
              </w:rPr>
              <w:t>0.204 (0.134–0.288)</w:t>
            </w:r>
          </w:p>
        </w:tc>
      </w:tr>
      <w:tr w:rsidR="21C4AC11" w14:paraId="7B8F04E2"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3AE404BD" w14:textId="672DF450" w:rsidR="21C4AC11" w:rsidRDefault="21C4AC11" w:rsidP="21C4AC11">
            <w:r w:rsidRPr="21C4AC11">
              <w:rPr>
                <w:rFonts w:ascii="Calibri" w:eastAsia="Calibri" w:hAnsi="Calibri" w:cs="Calibri"/>
              </w:rPr>
              <w:t>Complete hearing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5549C434" w14:textId="04E869DF" w:rsidR="21C4AC11" w:rsidRDefault="21C4AC11" w:rsidP="21C4AC11">
            <w:r w:rsidRPr="21C4AC11">
              <w:rPr>
                <w:rFonts w:ascii="Calibri" w:eastAsia="Calibri" w:hAnsi="Calibri" w:cs="Calibri"/>
              </w:rPr>
              <w:t>This person cannot hear at all in any situation, including even the loudest sounds, and cannot communicate verbally or use a phone. Difficulties with communicating and relating to others often cause worry, depression, or loneliness.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CD00827" w14:textId="0543AD57" w:rsidR="21C4AC11" w:rsidRDefault="21C4AC11" w:rsidP="21C4AC11">
            <w:r w:rsidRPr="21C4AC11">
              <w:rPr>
                <w:rFonts w:ascii="Calibri" w:eastAsia="Calibri" w:hAnsi="Calibri" w:cs="Calibri"/>
              </w:rPr>
              <w:t>0.215 (0.144–0.307)</w:t>
            </w:r>
          </w:p>
        </w:tc>
      </w:tr>
      <w:tr w:rsidR="21C4AC11" w14:paraId="1A01BC76"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799EE62C" w14:textId="2C54AC2B" w:rsidR="21C4AC11" w:rsidRDefault="21C4AC11" w:rsidP="21C4AC11">
            <w:r w:rsidRPr="21C4AC11">
              <w:rPr>
                <w:rFonts w:ascii="Calibri" w:eastAsia="Calibri" w:hAnsi="Calibri" w:cs="Calibri"/>
              </w:rPr>
              <w:t>Severe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78B0947A" w14:textId="7C5C00F5" w:rsidR="21C4AC11" w:rsidRDefault="21C4AC11" w:rsidP="21C4AC11">
            <w:r w:rsidRPr="21C4AC11">
              <w:rPr>
                <w:rFonts w:ascii="Calibri" w:eastAsia="Calibri" w:hAnsi="Calibri" w:cs="Calibri"/>
              </w:rPr>
              <w:t>This person is unable to hear and understand another person talking, even in a quiet place, is unable to take part in a phone conversation, and has annoying ringing in the ears for more than 5 minutes at a time, almost every day. Difficulties with communicating and relating to others cause emotional impact at times (for example, worry or depression).</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F8E3678" w14:textId="60BE1357" w:rsidR="21C4AC11" w:rsidRDefault="21C4AC11" w:rsidP="21C4AC11">
            <w:r w:rsidRPr="21C4AC11">
              <w:rPr>
                <w:rFonts w:ascii="Calibri" w:eastAsia="Calibri" w:hAnsi="Calibri" w:cs="Calibri"/>
              </w:rPr>
              <w:t>0.261 (0.175–0.36)</w:t>
            </w:r>
          </w:p>
        </w:tc>
      </w:tr>
      <w:tr w:rsidR="21C4AC11" w14:paraId="2B128195"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0859AE12" w14:textId="03A2A57D" w:rsidR="21C4AC11" w:rsidRDefault="21C4AC11" w:rsidP="21C4AC11">
            <w:r w:rsidRPr="21C4AC11">
              <w:rPr>
                <w:rFonts w:ascii="Calibri" w:eastAsia="Calibri" w:hAnsi="Calibri" w:cs="Calibri"/>
              </w:rPr>
              <w:t>Profound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78D4EB1" w14:textId="79F89C84" w:rsidR="21C4AC11" w:rsidRDefault="21C4AC11" w:rsidP="21C4AC11">
            <w:r w:rsidRPr="21C4AC11">
              <w:rPr>
                <w:rFonts w:ascii="Calibri" w:eastAsia="Calibri" w:hAnsi="Calibri" w:cs="Calibri"/>
              </w:rPr>
              <w:t>This person is unable to hear and understand another person, even in a quiet place, is unable to take part in a phone conversation, has great difficulty hearing anything in any other situation, and has annoying ringing in the ears for more than 5 minutes at a time, several times a day. Difficulties with communicating and relating to others often cause worry, depression, or loneliness.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09A94A3" w14:textId="606A3B0C" w:rsidR="21C4AC11" w:rsidRDefault="21C4AC11" w:rsidP="21C4AC11">
            <w:r w:rsidRPr="21C4AC11">
              <w:rPr>
                <w:rFonts w:ascii="Calibri" w:eastAsia="Calibri" w:hAnsi="Calibri" w:cs="Calibri"/>
              </w:rPr>
              <w:t>0.277 (0.182–0.387)</w:t>
            </w:r>
          </w:p>
        </w:tc>
      </w:tr>
      <w:tr w:rsidR="21C4AC11" w14:paraId="4D0058F8"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4C001582" w14:textId="08B4EE66" w:rsidR="21C4AC11" w:rsidRDefault="21C4AC11" w:rsidP="21C4AC11">
            <w:r w:rsidRPr="21C4AC11">
              <w:rPr>
                <w:rFonts w:ascii="Calibri" w:eastAsia="Calibri" w:hAnsi="Calibri" w:cs="Calibri"/>
              </w:rPr>
              <w:t>Complete hearing loss with ringing</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69174123" w14:textId="5B559C0F" w:rsidR="21C4AC11" w:rsidRDefault="21C4AC11" w:rsidP="21C4AC11">
            <w:r w:rsidRPr="21C4AC11">
              <w:rPr>
                <w:rFonts w:ascii="Calibri" w:eastAsia="Calibri" w:hAnsi="Calibri" w:cs="Calibri"/>
              </w:rPr>
              <w:t>This person cannot hear at all in any situation, including even the loudest sounds, and cannot communicate verbally or use a phone, and has very annoying ringing in the ears for more than half of the day. Difficulties with communicating and relating to others often cause worry, depression, or loneliness.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50FF7ED" w14:textId="6F6D5B50" w:rsidR="21C4AC11" w:rsidRDefault="21C4AC11" w:rsidP="21C4AC11">
            <w:r w:rsidRPr="21C4AC11">
              <w:rPr>
                <w:rFonts w:ascii="Calibri" w:eastAsia="Calibri" w:hAnsi="Calibri" w:cs="Calibri"/>
              </w:rPr>
              <w:t>0.316 (0.212–0.435)</w:t>
            </w:r>
          </w:p>
        </w:tc>
      </w:tr>
      <w:tr w:rsidR="21C4AC11" w14:paraId="1B6DC8FB"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05E2703A" w14:textId="6E375205" w:rsidR="21C4AC11" w:rsidRDefault="21C4AC11" w:rsidP="21C4AC11">
            <w:r w:rsidRPr="21C4AC11">
              <w:rPr>
                <w:rFonts w:ascii="Calibri" w:eastAsia="Calibri" w:hAnsi="Calibri" w:cs="Calibri"/>
              </w:rPr>
              <w:t>Moderate motor impairment</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50653E5F" w14:textId="34CABAC4" w:rsidR="21C4AC11" w:rsidRDefault="21C4AC11" w:rsidP="21C4AC11">
            <w:r w:rsidRPr="21C4AC11">
              <w:rPr>
                <w:rFonts w:ascii="Calibri" w:eastAsia="Calibri" w:hAnsi="Calibri" w:cs="Calibri"/>
              </w:rPr>
              <w:t>This person has some difficulty in moving around, and difficulty in lifting and holding objects, dressing, and sitting upright, but is able to walk without help.</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B90BE35" w14:textId="23F79913" w:rsidR="21C4AC11" w:rsidRDefault="21C4AC11" w:rsidP="21C4AC11">
            <w:r w:rsidRPr="21C4AC11">
              <w:rPr>
                <w:rFonts w:ascii="Calibri" w:eastAsia="Calibri" w:hAnsi="Calibri" w:cs="Calibri"/>
              </w:rPr>
              <w:t>0.061 (0.04–0.089)</w:t>
            </w:r>
          </w:p>
        </w:tc>
      </w:tr>
      <w:tr w:rsidR="21C4AC11" w14:paraId="1063518C"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32EE1D6A" w14:textId="1C3E2E49" w:rsidR="21C4AC11" w:rsidRDefault="21C4AC11" w:rsidP="21C4AC11">
            <w:r w:rsidRPr="21C4AC11">
              <w:rPr>
                <w:rFonts w:ascii="Calibri" w:eastAsia="Calibri" w:hAnsi="Calibri" w:cs="Calibri"/>
              </w:rPr>
              <w:t>Moderate motor plus cognitive impairments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18F20376" w14:textId="18B5C79B" w:rsidR="21C4AC11" w:rsidRDefault="21C4AC11" w:rsidP="21C4AC11">
            <w:r w:rsidRPr="21C4AC11">
              <w:rPr>
                <w:rFonts w:ascii="Calibri" w:eastAsia="Calibri" w:hAnsi="Calibri" w:cs="Calibri"/>
              </w:rPr>
              <w:t>This person has some difficulty in moving around, holding objects, dressing, and sitting upright, but can walk without help. This person has low intelligence and is slow in learning to speak and to do simple tasks.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FFCC620" w14:textId="283EF4FF" w:rsidR="21C4AC11" w:rsidRDefault="21C4AC11" w:rsidP="21C4AC11">
            <w:r w:rsidRPr="21C4AC11">
              <w:rPr>
                <w:rFonts w:ascii="Calibri" w:eastAsia="Calibri" w:hAnsi="Calibri" w:cs="Calibri"/>
              </w:rPr>
              <w:t>0.203 (0.134–0.29)</w:t>
            </w:r>
          </w:p>
        </w:tc>
      </w:tr>
      <w:tr w:rsidR="21C4AC11" w14:paraId="4639039A"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0D1522E8" w14:textId="204D59EC" w:rsidR="21C4AC11" w:rsidRDefault="21C4AC11" w:rsidP="21C4AC11">
            <w:r w:rsidRPr="21C4AC11">
              <w:rPr>
                <w:rFonts w:ascii="Calibri" w:eastAsia="Calibri" w:hAnsi="Calibri" w:cs="Calibri"/>
              </w:rPr>
              <w:t>Long-term mild motor impairment</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29391B6A" w14:textId="738D70BA" w:rsidR="21C4AC11" w:rsidRDefault="21C4AC11" w:rsidP="21C4AC11">
            <w:r w:rsidRPr="21C4AC11">
              <w:rPr>
                <w:rFonts w:ascii="Calibri" w:eastAsia="Calibri" w:hAnsi="Calibri" w:cs="Calibri"/>
              </w:rPr>
              <w:t>This person has some difficulty in moving around but is able to walk without help.</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BD8B8B6" w14:textId="6C921393" w:rsidR="21C4AC11" w:rsidRDefault="21C4AC11" w:rsidP="21C4AC11">
            <w:r w:rsidRPr="21C4AC11">
              <w:rPr>
                <w:rFonts w:ascii="Calibri" w:eastAsia="Calibri" w:hAnsi="Calibri" w:cs="Calibri"/>
              </w:rPr>
              <w:t>0.01 (0.005–0.02)</w:t>
            </w:r>
          </w:p>
        </w:tc>
      </w:tr>
      <w:tr w:rsidR="21C4AC11" w14:paraId="4A178639"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77C9843F" w14:textId="7850A722" w:rsidR="21C4AC11" w:rsidRDefault="21C4AC11" w:rsidP="21C4AC11">
            <w:r w:rsidRPr="21C4AC11">
              <w:rPr>
                <w:rFonts w:ascii="Calibri" w:eastAsia="Calibri" w:hAnsi="Calibri" w:cs="Calibri"/>
              </w:rPr>
              <w:t>Borderline intellectual disability</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510D432" w14:textId="09270380" w:rsidR="21C4AC11" w:rsidRDefault="21C4AC11" w:rsidP="21C4AC11">
            <w:r w:rsidRPr="21C4AC11">
              <w:rPr>
                <w:rFonts w:ascii="Calibri" w:eastAsia="Calibri" w:hAnsi="Calibri" w:cs="Calibri"/>
              </w:rPr>
              <w:t>This person is slow in learning at school. As an adult, the person has some difficulty doing complex or unfamiliar tasks but otherwise functions independently.</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032E3B4" w14:textId="7C8B4D09" w:rsidR="21C4AC11" w:rsidRDefault="21C4AC11" w:rsidP="21C4AC11">
            <w:r w:rsidRPr="21C4AC11">
              <w:rPr>
                <w:rFonts w:ascii="Calibri" w:eastAsia="Calibri" w:hAnsi="Calibri" w:cs="Calibri"/>
              </w:rPr>
              <w:t>0.011 (0.005–0.02)</w:t>
            </w:r>
          </w:p>
        </w:tc>
      </w:tr>
      <w:tr w:rsidR="21C4AC11" w14:paraId="64E1FAD1"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08BF5F1D" w14:textId="4D78D67D" w:rsidR="21C4AC11" w:rsidRDefault="21C4AC11" w:rsidP="21C4AC11">
            <w:r w:rsidRPr="21C4AC11">
              <w:rPr>
                <w:rFonts w:ascii="Calibri" w:eastAsia="Calibri" w:hAnsi="Calibri" w:cs="Calibri"/>
              </w:rPr>
              <w:t>Severe motor impairment</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11DF508" w14:textId="20C76186" w:rsidR="21C4AC11" w:rsidRDefault="21C4AC11" w:rsidP="21C4AC11">
            <w:r w:rsidRPr="21C4AC11">
              <w:rPr>
                <w:rFonts w:ascii="Calibri" w:eastAsia="Calibri" w:hAnsi="Calibri" w:cs="Calibri"/>
              </w:rPr>
              <w:t>This person is unable to move around without help, and is not able to lift or hold objects, get dressed, or sit upright.</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4A314ED" w14:textId="42064D00" w:rsidR="21C4AC11" w:rsidRDefault="21C4AC11" w:rsidP="21C4AC11">
            <w:r w:rsidRPr="21C4AC11">
              <w:rPr>
                <w:rFonts w:ascii="Calibri" w:eastAsia="Calibri" w:hAnsi="Calibri" w:cs="Calibri"/>
              </w:rPr>
              <w:t>0.402 (0.268–0.545)</w:t>
            </w:r>
          </w:p>
        </w:tc>
      </w:tr>
      <w:tr w:rsidR="21C4AC11" w14:paraId="1507D078"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13B7D1D4" w14:textId="404687E8" w:rsidR="21C4AC11" w:rsidRDefault="21C4AC11" w:rsidP="21C4AC11">
            <w:r w:rsidRPr="21C4AC11">
              <w:rPr>
                <w:rFonts w:ascii="Calibri" w:eastAsia="Calibri" w:hAnsi="Calibri" w:cs="Calibri"/>
              </w:rPr>
              <w:t>Epilepsy</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E6F6C4E" w14:textId="37635C22" w:rsidR="21C4AC11" w:rsidRDefault="21C4AC11" w:rsidP="21C4AC11">
            <w:r w:rsidRPr="21C4AC11">
              <w:rPr>
                <w:rFonts w:ascii="Calibri" w:eastAsia="Calibri" w:hAnsi="Calibri" w:cs="Calibri"/>
              </w:rPr>
              <w:t>(combined DW)</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ABB423D" w14:textId="1BDF3F3A" w:rsidR="21C4AC11" w:rsidRDefault="21C4AC11" w:rsidP="21C4AC11">
            <w:r w:rsidRPr="21C4AC11">
              <w:rPr>
                <w:rFonts w:ascii="Calibri" w:eastAsia="Calibri" w:hAnsi="Calibri" w:cs="Calibri"/>
              </w:rPr>
              <w:t>NA</w:t>
            </w:r>
          </w:p>
        </w:tc>
      </w:tr>
      <w:tr w:rsidR="21C4AC11" w14:paraId="1D0B5EDA"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0E6FEB47" w14:textId="3E4534EB" w:rsidR="21C4AC11" w:rsidRDefault="21C4AC11" w:rsidP="21C4AC11">
            <w:r w:rsidRPr="21C4AC11">
              <w:rPr>
                <w:rFonts w:ascii="Calibri" w:eastAsia="Calibri" w:hAnsi="Calibri" w:cs="Calibri"/>
              </w:rPr>
              <w:t>Blindness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548323F6" w14:textId="68DC852A" w:rsidR="21C4AC11" w:rsidRDefault="21C4AC11" w:rsidP="21C4AC11">
            <w:r w:rsidRPr="21C4AC11">
              <w:rPr>
                <w:rFonts w:ascii="Calibri" w:eastAsia="Calibri" w:hAnsi="Calibri" w:cs="Calibri"/>
              </w:rPr>
              <w:t>Is completely blind, which causes great difficulty in some daily activities, worry and anxiety, and great difficulty going outside the home without assistance.</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83C5F35" w14:textId="27D2CF84" w:rsidR="21C4AC11" w:rsidRDefault="21C4AC11" w:rsidP="21C4AC11">
            <w:r w:rsidRPr="21C4AC11">
              <w:rPr>
                <w:rFonts w:ascii="Calibri" w:eastAsia="Calibri" w:hAnsi="Calibri" w:cs="Calibri"/>
              </w:rPr>
              <w:t>0.187 (0.124–0.26)</w:t>
            </w:r>
          </w:p>
        </w:tc>
      </w:tr>
      <w:tr w:rsidR="21C4AC11" w14:paraId="6F41DDCE"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285D369F" w14:textId="2BBFD5BD" w:rsidR="21C4AC11" w:rsidRDefault="21C4AC11" w:rsidP="21C4AC11">
            <w:r w:rsidRPr="21C4AC11">
              <w:rPr>
                <w:rFonts w:ascii="Calibri" w:eastAsia="Calibri" w:hAnsi="Calibri" w:cs="Calibri"/>
              </w:rPr>
              <w:t>Mild intellectual disability</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1C61B66F" w14:textId="26DE1819" w:rsidR="21C4AC11" w:rsidRDefault="21C4AC11" w:rsidP="21C4AC11">
            <w:r w:rsidRPr="21C4AC11">
              <w:rPr>
                <w:rFonts w:ascii="Calibri" w:eastAsia="Calibri" w:hAnsi="Calibri" w:cs="Calibri"/>
              </w:rPr>
              <w:t>This person has low intelligence and is slow in learning at school. As an adult, the person can live independently, but often needs help to raise children and can only work at simple, supervised jobs.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EE713AC" w14:textId="65BA1CB6" w:rsidR="21C4AC11" w:rsidRDefault="21C4AC11" w:rsidP="21C4AC11">
            <w:r w:rsidRPr="21C4AC11">
              <w:rPr>
                <w:rFonts w:ascii="Calibri" w:eastAsia="Calibri" w:hAnsi="Calibri" w:cs="Calibri"/>
              </w:rPr>
              <w:t>0.043 (0.026–0.065)</w:t>
            </w:r>
          </w:p>
        </w:tc>
      </w:tr>
      <w:tr w:rsidR="21C4AC11" w14:paraId="77CAB00B"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7A7CE064" w14:textId="019A0F95" w:rsidR="21C4AC11" w:rsidRDefault="21C4AC11" w:rsidP="21C4AC11">
            <w:r w:rsidRPr="21C4AC11">
              <w:rPr>
                <w:rFonts w:ascii="Calibri" w:eastAsia="Calibri" w:hAnsi="Calibri" w:cs="Calibri"/>
              </w:rPr>
              <w:t>Monocular distance vision loss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1A90D168" w14:textId="27B3A941" w:rsidR="21C4AC11" w:rsidRDefault="21C4AC11" w:rsidP="21C4AC11">
            <w:r w:rsidRPr="21C4AC11">
              <w:rPr>
                <w:rFonts w:ascii="Calibri" w:eastAsia="Calibri" w:hAnsi="Calibri" w:cs="Calibri"/>
              </w:rPr>
              <w:t>This person is blind in one eye and has difficulty judging distances.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728D7E7" w14:textId="7B9A3B08" w:rsidR="21C4AC11" w:rsidRDefault="21C4AC11" w:rsidP="21C4AC11">
            <w:r w:rsidRPr="21C4AC11">
              <w:rPr>
                <w:rFonts w:ascii="Calibri" w:eastAsia="Calibri" w:hAnsi="Calibri" w:cs="Calibri"/>
              </w:rPr>
              <w:t>0.017 (0.009–0.029)</w:t>
            </w:r>
          </w:p>
        </w:tc>
      </w:tr>
      <w:tr w:rsidR="21C4AC11" w14:paraId="4C78CDAA"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411946EC" w14:textId="6F3AEA66" w:rsidR="21C4AC11" w:rsidRDefault="21C4AC11" w:rsidP="21C4AC11">
            <w:r w:rsidRPr="21C4AC11">
              <w:rPr>
                <w:rFonts w:ascii="Calibri" w:eastAsia="Calibri" w:hAnsi="Calibri" w:cs="Calibri"/>
              </w:rPr>
              <w:t>Mild motor plus cognitive impairments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34151FCE" w14:textId="45F98563" w:rsidR="21C4AC11" w:rsidRDefault="21C4AC11" w:rsidP="21C4AC11">
            <w:r w:rsidRPr="21C4AC11">
              <w:rPr>
                <w:rFonts w:ascii="Calibri" w:eastAsia="Calibri" w:hAnsi="Calibri" w:cs="Calibri"/>
              </w:rPr>
              <w:t>This person has some difficulty in moving around but is able to walk without help. The person is slow in learning at school. As an adult, the person has some difficulty doing complex or unfamiliar tasks but otherwise functions independently.</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5B551D7" w14:textId="66A29EFF" w:rsidR="21C4AC11" w:rsidRDefault="21C4AC11" w:rsidP="21C4AC11">
            <w:r w:rsidRPr="21C4AC11">
              <w:rPr>
                <w:rFonts w:ascii="Calibri" w:eastAsia="Calibri" w:hAnsi="Calibri" w:cs="Calibri"/>
              </w:rPr>
              <w:t>0.031 (0.018–0.05)</w:t>
            </w:r>
          </w:p>
        </w:tc>
      </w:tr>
      <w:tr w:rsidR="21C4AC11" w14:paraId="4718A5F9"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378C9B9B" w14:textId="4E681F1E" w:rsidR="21C4AC11" w:rsidRDefault="21C4AC11" w:rsidP="21C4AC11">
            <w:r w:rsidRPr="21C4AC11">
              <w:rPr>
                <w:rFonts w:ascii="Calibri" w:eastAsia="Calibri" w:hAnsi="Calibri" w:cs="Calibri"/>
              </w:rPr>
              <w:t>Severe motor plus cognitive impairments</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53A92632" w14:textId="272FF437" w:rsidR="21C4AC11" w:rsidRDefault="21C4AC11" w:rsidP="21C4AC11">
            <w:r w:rsidRPr="21C4AC11">
              <w:rPr>
                <w:rFonts w:ascii="Calibri" w:eastAsia="Calibri" w:hAnsi="Calibri" w:cs="Calibri"/>
              </w:rPr>
              <w:t>This person cannot move around without help, and cannot lift or hold objects, get dressed, or sit upright. The person also has very low intelligence, speaks few words, and needs constant supervision and help with all daily activities.</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1102EA4" w14:textId="70DE7C73" w:rsidR="21C4AC11" w:rsidRDefault="21C4AC11" w:rsidP="21C4AC11">
            <w:r w:rsidRPr="21C4AC11">
              <w:rPr>
                <w:rFonts w:ascii="Calibri" w:eastAsia="Calibri" w:hAnsi="Calibri" w:cs="Calibri"/>
              </w:rPr>
              <w:t>0.542 (0.37–0.702)</w:t>
            </w:r>
          </w:p>
        </w:tc>
      </w:tr>
      <w:tr w:rsidR="21C4AC11" w14:paraId="56C5CCBB"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22B9400D" w14:textId="3F1E2670" w:rsidR="21C4AC11" w:rsidRDefault="21C4AC11" w:rsidP="21C4AC11">
            <w:r w:rsidRPr="21C4AC11">
              <w:rPr>
                <w:rFonts w:ascii="Calibri" w:eastAsia="Calibri" w:hAnsi="Calibri" w:cs="Calibri"/>
              </w:rPr>
              <w:t>Moderate vision impairment</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4E90FACE" w14:textId="2869A8B3" w:rsidR="21C4AC11" w:rsidRDefault="21C4AC11" w:rsidP="21C4AC11">
            <w:r w:rsidRPr="21C4AC11">
              <w:rPr>
                <w:rFonts w:ascii="Calibri" w:eastAsia="Calibri" w:hAnsi="Calibri" w:cs="Calibri"/>
              </w:rPr>
              <w:t xml:space="preserve">The person has vision problems that make it difficult to </w:t>
            </w:r>
            <w:proofErr w:type="spellStart"/>
            <w:r w:rsidRPr="21C4AC11">
              <w:rPr>
                <w:rFonts w:ascii="Calibri" w:eastAsia="Calibri" w:hAnsi="Calibri" w:cs="Calibri"/>
              </w:rPr>
              <w:t>recognise</w:t>
            </w:r>
            <w:proofErr w:type="spellEnd"/>
            <w:r w:rsidRPr="21C4AC11">
              <w:rPr>
                <w:rFonts w:ascii="Calibri" w:eastAsia="Calibri" w:hAnsi="Calibri" w:cs="Calibri"/>
              </w:rPr>
              <w:t xml:space="preserve"> faces or objects across a room.</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675EA7D" w14:textId="72EC26A3" w:rsidR="21C4AC11" w:rsidRDefault="21C4AC11" w:rsidP="21C4AC11">
            <w:r w:rsidRPr="21C4AC11">
              <w:rPr>
                <w:rFonts w:ascii="Calibri" w:eastAsia="Calibri" w:hAnsi="Calibri" w:cs="Calibri"/>
              </w:rPr>
              <w:t>0.031 (0.019–0.049)</w:t>
            </w:r>
          </w:p>
        </w:tc>
      </w:tr>
      <w:tr w:rsidR="21C4AC11" w14:paraId="48C072B2" w14:textId="77777777" w:rsidTr="21C4AC11">
        <w:trPr>
          <w:trHeight w:val="300"/>
        </w:trPr>
        <w:tc>
          <w:tcPr>
            <w:tcW w:w="2425" w:type="dxa"/>
            <w:tcBorders>
              <w:top w:val="single" w:sz="8" w:space="0" w:color="auto"/>
              <w:left w:val="single" w:sz="8" w:space="0" w:color="auto"/>
              <w:bottom w:val="single" w:sz="8" w:space="0" w:color="auto"/>
              <w:right w:val="single" w:sz="8" w:space="0" w:color="auto"/>
            </w:tcBorders>
            <w:tcMar>
              <w:left w:w="108" w:type="dxa"/>
              <w:right w:w="108" w:type="dxa"/>
            </w:tcMar>
          </w:tcPr>
          <w:p w14:paraId="6EF8D919" w14:textId="558CC87A" w:rsidR="21C4AC11" w:rsidRDefault="21C4AC11" w:rsidP="21C4AC11">
            <w:r w:rsidRPr="21C4AC11">
              <w:rPr>
                <w:rFonts w:ascii="Calibri" w:eastAsia="Calibri" w:hAnsi="Calibri" w:cs="Calibri"/>
              </w:rPr>
              <w:t xml:space="preserve">Severe vision impairment </w:t>
            </w:r>
          </w:p>
        </w:tc>
        <w:tc>
          <w:tcPr>
            <w:tcW w:w="4950" w:type="dxa"/>
            <w:tcBorders>
              <w:top w:val="single" w:sz="8" w:space="0" w:color="auto"/>
              <w:left w:val="single" w:sz="8" w:space="0" w:color="auto"/>
              <w:bottom w:val="single" w:sz="8" w:space="0" w:color="auto"/>
              <w:right w:val="single" w:sz="8" w:space="0" w:color="auto"/>
            </w:tcBorders>
            <w:tcMar>
              <w:left w:w="108" w:type="dxa"/>
              <w:right w:w="108" w:type="dxa"/>
            </w:tcMar>
          </w:tcPr>
          <w:p w14:paraId="0F7B4B37" w14:textId="6D3EFDF0" w:rsidR="21C4AC11" w:rsidRDefault="21C4AC11" w:rsidP="21C4AC11">
            <w:r w:rsidRPr="21C4AC11">
              <w:rPr>
                <w:rFonts w:ascii="Calibri" w:eastAsia="Calibri" w:hAnsi="Calibri" w:cs="Calibri"/>
              </w:rPr>
              <w:t>The person has severe vision loss, which causes difficulty in daily activities, some emotional impact (for example, worry), and some difficulty going outside the home without assistance.</w:t>
            </w:r>
          </w:p>
        </w:tc>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8CB09C7" w14:textId="7AD39DE2" w:rsidR="21C4AC11" w:rsidRDefault="21C4AC11" w:rsidP="21C4AC11">
            <w:r w:rsidRPr="21C4AC11">
              <w:rPr>
                <w:rFonts w:ascii="Calibri" w:eastAsia="Calibri" w:hAnsi="Calibri" w:cs="Calibri"/>
              </w:rPr>
              <w:t>0.184 (0.125–0.258)</w:t>
            </w:r>
          </w:p>
        </w:tc>
      </w:tr>
    </w:tbl>
    <w:p w14:paraId="05BD8F54" w14:textId="60B986AF" w:rsidR="08E73539" w:rsidRDefault="08E73539" w:rsidP="21C4AC11">
      <w:pPr>
        <w:spacing w:line="257" w:lineRule="auto"/>
      </w:pPr>
      <w:r w:rsidRPr="21C4AC11">
        <w:rPr>
          <w:rFonts w:ascii="Calibri" w:eastAsia="Calibri" w:hAnsi="Calibri" w:cs="Calibri"/>
        </w:rPr>
        <w:t xml:space="preserve"> </w:t>
      </w:r>
    </w:p>
    <w:p w14:paraId="15F06E77" w14:textId="39FAE635" w:rsidR="08E73539" w:rsidRDefault="08E73539" w:rsidP="21C4AC11">
      <w:pPr>
        <w:spacing w:after="0"/>
      </w:pPr>
      <w:r w:rsidRPr="21C4AC11">
        <w:rPr>
          <w:rFonts w:ascii="Calibri Light" w:eastAsia="Calibri Light" w:hAnsi="Calibri Light" w:cs="Calibri Light"/>
          <w:b/>
          <w:bCs/>
        </w:rPr>
        <w:t xml:space="preserve">Table 4a. Covariates. </w:t>
      </w:r>
      <w:r w:rsidRPr="21C4AC11">
        <w:rPr>
          <w:rFonts w:ascii="Calibri Light" w:eastAsia="Calibri Light" w:hAnsi="Calibri Light" w:cs="Calibri Light"/>
        </w:rPr>
        <w:t xml:space="preserve">Summary of covariates used in the meningitis </w:t>
      </w:r>
      <w:proofErr w:type="spellStart"/>
      <w:r w:rsidRPr="21C4AC11">
        <w:rPr>
          <w:rFonts w:ascii="Calibri Light" w:eastAsia="Calibri Light" w:hAnsi="Calibri Light" w:cs="Calibri Light"/>
        </w:rPr>
        <w:t>DisMod</w:t>
      </w:r>
      <w:proofErr w:type="spellEnd"/>
      <w:r w:rsidRPr="21C4AC11">
        <w:rPr>
          <w:rFonts w:ascii="Calibri Light" w:eastAsia="Calibri Light" w:hAnsi="Calibri Light" w:cs="Calibri Light"/>
        </w:rPr>
        <w:t>-MR meta-regression model</w:t>
      </w:r>
      <w:r w:rsidRPr="21C4AC11">
        <w:rPr>
          <w:rFonts w:ascii="Calibri Light" w:eastAsia="Calibri Light" w:hAnsi="Calibri Light" w:cs="Calibri Light"/>
          <w:b/>
          <w:bCs/>
        </w:rPr>
        <w:t xml:space="preserve"> </w:t>
      </w:r>
    </w:p>
    <w:p w14:paraId="08D6D357" w14:textId="1DF3BB10" w:rsidR="08E73539" w:rsidRDefault="08E73539" w:rsidP="21C4AC11">
      <w:pPr>
        <w:spacing w:after="0"/>
      </w:pPr>
      <w:r w:rsidRPr="21C4AC11">
        <w:rPr>
          <w:rFonts w:ascii="Calibri Light" w:eastAsia="Calibri Light" w:hAnsi="Calibri Light" w:cs="Calibri Light"/>
          <w:b/>
          <w:bCs/>
        </w:rPr>
        <w:t xml:space="preserve"> </w:t>
      </w:r>
    </w:p>
    <w:tbl>
      <w:tblPr>
        <w:tblStyle w:val="TableGrid"/>
        <w:tblW w:w="0" w:type="auto"/>
        <w:tblLayout w:type="fixed"/>
        <w:tblLook w:val="04A0" w:firstRow="1" w:lastRow="0" w:firstColumn="1" w:lastColumn="0" w:noHBand="0" w:noVBand="1"/>
      </w:tblPr>
      <w:tblGrid>
        <w:gridCol w:w="2337"/>
        <w:gridCol w:w="2337"/>
        <w:gridCol w:w="2338"/>
        <w:gridCol w:w="2338"/>
      </w:tblGrid>
      <w:tr w:rsidR="21C4AC11" w14:paraId="52EBD969"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5B9D4CCE" w14:textId="3A40EB5D" w:rsidR="21C4AC11" w:rsidRDefault="21C4AC11" w:rsidP="21C4AC11">
            <w:pPr>
              <w:jc w:val="center"/>
            </w:pPr>
            <w:r w:rsidRPr="21C4AC11">
              <w:rPr>
                <w:rFonts w:ascii="Calibri" w:eastAsia="Calibri" w:hAnsi="Calibri" w:cs="Calibri"/>
              </w:rPr>
              <w:t>Covariate</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2AC7F834" w14:textId="19A4A8FD" w:rsidR="21C4AC11" w:rsidRDefault="21C4AC11" w:rsidP="21C4AC11">
            <w:pPr>
              <w:jc w:val="center"/>
            </w:pPr>
            <w:r w:rsidRPr="21C4AC11">
              <w:rPr>
                <w:rFonts w:ascii="Calibri" w:eastAsia="Calibri" w:hAnsi="Calibri" w:cs="Calibri"/>
              </w:rPr>
              <w:t>Type</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144C5953" w14:textId="0CF0469C" w:rsidR="21C4AC11" w:rsidRDefault="21C4AC11" w:rsidP="21C4AC11">
            <w:pPr>
              <w:jc w:val="center"/>
            </w:pPr>
            <w:r w:rsidRPr="21C4AC11">
              <w:rPr>
                <w:rFonts w:ascii="Calibri" w:eastAsia="Calibri" w:hAnsi="Calibri" w:cs="Calibri"/>
              </w:rPr>
              <w:t>Parameter</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40668194" w14:textId="765B6AF3" w:rsidR="21C4AC11" w:rsidRDefault="21C4AC11" w:rsidP="21C4AC11">
            <w:pPr>
              <w:jc w:val="center"/>
            </w:pPr>
            <w:r w:rsidRPr="21C4AC11">
              <w:rPr>
                <w:rFonts w:ascii="Calibri" w:eastAsia="Calibri" w:hAnsi="Calibri" w:cs="Calibri"/>
              </w:rPr>
              <w:t>Exponentiated beta (95% uncertainty interval)</w:t>
            </w:r>
          </w:p>
        </w:tc>
      </w:tr>
      <w:tr w:rsidR="21C4AC11" w14:paraId="1BB9A1AA"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6ED87EE" w14:textId="6926B916" w:rsidR="21C4AC11" w:rsidRDefault="21C4AC11" w:rsidP="21C4AC11">
            <w:r w:rsidRPr="21C4AC11">
              <w:rPr>
                <w:rFonts w:ascii="Calibri" w:eastAsia="Calibri" w:hAnsi="Calibri" w:cs="Calibri"/>
                <w:color w:val="000000" w:themeColor="text1"/>
              </w:rPr>
              <w:t>Hib3 vaccine coverage (proportion)</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7C70F125" w14:textId="00C886CB" w:rsidR="21C4AC11" w:rsidRDefault="21C4AC11" w:rsidP="21C4AC11">
            <w:r w:rsidRPr="21C4AC11">
              <w:rPr>
                <w:rFonts w:ascii="Calibri" w:eastAsia="Calibri" w:hAnsi="Calibri" w:cs="Calibri"/>
              </w:rPr>
              <w:t>Country-level</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45636B9A" w14:textId="57EE69ED" w:rsidR="21C4AC11" w:rsidRDefault="21C4AC11" w:rsidP="21C4AC11">
            <w:r w:rsidRPr="21C4AC11">
              <w:rPr>
                <w:rFonts w:ascii="Calibri" w:eastAsia="Calibri" w:hAnsi="Calibri" w:cs="Calibri"/>
              </w:rPr>
              <w:t>Incidence</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9A0750" w14:textId="360EE526" w:rsidR="21C4AC11" w:rsidRDefault="21C4AC11" w:rsidP="21C4AC11">
            <w:r w:rsidRPr="21C4AC11">
              <w:rPr>
                <w:rFonts w:ascii="Calibri" w:eastAsia="Calibri" w:hAnsi="Calibri" w:cs="Calibri"/>
                <w:color w:val="000000" w:themeColor="text1"/>
              </w:rPr>
              <w:t xml:space="preserve"> 0.64 (0.63 — 0.65)</w:t>
            </w:r>
          </w:p>
        </w:tc>
      </w:tr>
      <w:tr w:rsidR="21C4AC11" w14:paraId="07ADEA9E"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3523591" w14:textId="3E895E77" w:rsidR="21C4AC11" w:rsidRDefault="21C4AC11" w:rsidP="21C4AC11">
            <w:r w:rsidRPr="21C4AC11">
              <w:rPr>
                <w:rFonts w:ascii="Calibri" w:eastAsia="Calibri" w:hAnsi="Calibri" w:cs="Calibri"/>
                <w:color w:val="000000" w:themeColor="text1"/>
              </w:rPr>
              <w:t>PCV3 coverage (proportion)</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265C6A69" w14:textId="51C2955D" w:rsidR="21C4AC11" w:rsidRDefault="21C4AC11" w:rsidP="21C4AC11">
            <w:r w:rsidRPr="21C4AC11">
              <w:rPr>
                <w:rFonts w:ascii="Calibri" w:eastAsia="Calibri" w:hAnsi="Calibri" w:cs="Calibri"/>
              </w:rPr>
              <w:t>Country-level</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3F24C55E" w14:textId="6C8F5A70" w:rsidR="21C4AC11" w:rsidRDefault="21C4AC11" w:rsidP="21C4AC11">
            <w:r w:rsidRPr="21C4AC11">
              <w:rPr>
                <w:rFonts w:ascii="Calibri" w:eastAsia="Calibri" w:hAnsi="Calibri" w:cs="Calibri"/>
              </w:rPr>
              <w:t>Incidence</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2B9C348" w14:textId="58C178C3" w:rsidR="21C4AC11" w:rsidRDefault="21C4AC11" w:rsidP="21C4AC11">
            <w:r w:rsidRPr="21C4AC11">
              <w:rPr>
                <w:rFonts w:ascii="Calibri" w:eastAsia="Calibri" w:hAnsi="Calibri" w:cs="Calibri"/>
                <w:color w:val="000000" w:themeColor="text1"/>
              </w:rPr>
              <w:t xml:space="preserve"> 0.62 (0.61 — 0.63)</w:t>
            </w:r>
          </w:p>
        </w:tc>
      </w:tr>
      <w:tr w:rsidR="21C4AC11" w14:paraId="163C4515"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AC79792" w14:textId="72DEFD49" w:rsidR="21C4AC11" w:rsidRDefault="21C4AC11" w:rsidP="21C4AC11">
            <w:r w:rsidRPr="21C4AC11">
              <w:rPr>
                <w:rFonts w:ascii="Calibri" w:eastAsia="Calibri" w:hAnsi="Calibri" w:cs="Calibri"/>
                <w:color w:val="000000" w:themeColor="text1"/>
              </w:rPr>
              <w:t>Meningitis belt (proportion)</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6438F48F" w14:textId="6696BB49" w:rsidR="21C4AC11" w:rsidRDefault="21C4AC11" w:rsidP="21C4AC11">
            <w:r w:rsidRPr="21C4AC11">
              <w:rPr>
                <w:rFonts w:ascii="Calibri" w:eastAsia="Calibri" w:hAnsi="Calibri" w:cs="Calibri"/>
              </w:rPr>
              <w:t>Country-level</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0E73109A" w14:textId="10E53651" w:rsidR="21C4AC11" w:rsidRDefault="21C4AC11" w:rsidP="21C4AC11">
            <w:r w:rsidRPr="21C4AC11">
              <w:rPr>
                <w:rFonts w:ascii="Calibri" w:eastAsia="Calibri" w:hAnsi="Calibri" w:cs="Calibri"/>
              </w:rPr>
              <w:t>Incidence</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841B5AE" w14:textId="1A6F9913" w:rsidR="21C4AC11" w:rsidRDefault="21C4AC11" w:rsidP="21C4AC11">
            <w:r w:rsidRPr="21C4AC11">
              <w:rPr>
                <w:rFonts w:ascii="Calibri" w:eastAsia="Calibri" w:hAnsi="Calibri" w:cs="Calibri"/>
                <w:color w:val="000000" w:themeColor="text1"/>
              </w:rPr>
              <w:t xml:space="preserve"> 1.19 (1.06 — 1.35)</w:t>
            </w:r>
          </w:p>
        </w:tc>
      </w:tr>
      <w:tr w:rsidR="21C4AC11" w14:paraId="1094A802"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6D550A9" w14:textId="5D3F1CDA" w:rsidR="21C4AC11" w:rsidRDefault="21C4AC11" w:rsidP="21C4AC11">
            <w:r w:rsidRPr="21C4AC11">
              <w:rPr>
                <w:rFonts w:ascii="Calibri" w:eastAsia="Calibri" w:hAnsi="Calibri" w:cs="Calibri"/>
                <w:color w:val="000000" w:themeColor="text1"/>
              </w:rPr>
              <w:t xml:space="preserve">Proportion of total population covered by </w:t>
            </w:r>
            <w:proofErr w:type="spellStart"/>
            <w:r w:rsidRPr="21C4AC11">
              <w:rPr>
                <w:rFonts w:ascii="Calibri" w:eastAsia="Calibri" w:hAnsi="Calibri" w:cs="Calibri"/>
                <w:color w:val="000000" w:themeColor="text1"/>
              </w:rPr>
              <w:t>MenAfriVac</w:t>
            </w:r>
            <w:proofErr w:type="spellEnd"/>
            <w:r w:rsidRPr="21C4AC11">
              <w:rPr>
                <w:rFonts w:ascii="Calibri" w:eastAsia="Calibri" w:hAnsi="Calibri" w:cs="Calibri"/>
                <w:color w:val="000000" w:themeColor="text1"/>
              </w:rPr>
              <w:t xml:space="preserve"> initiative (meningitis meningococcal type A vaccine)</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12A9C370" w14:textId="2ED91F1E" w:rsidR="21C4AC11" w:rsidRDefault="21C4AC11" w:rsidP="21C4AC11">
            <w:r w:rsidRPr="21C4AC11">
              <w:rPr>
                <w:rFonts w:ascii="Calibri" w:eastAsia="Calibri" w:hAnsi="Calibri" w:cs="Calibri"/>
              </w:rPr>
              <w:t>Country-level</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65C541E2" w14:textId="36972285" w:rsidR="21C4AC11" w:rsidRDefault="21C4AC11" w:rsidP="21C4AC11">
            <w:r w:rsidRPr="21C4AC11">
              <w:rPr>
                <w:rFonts w:ascii="Calibri" w:eastAsia="Calibri" w:hAnsi="Calibri" w:cs="Calibri"/>
              </w:rPr>
              <w:t>Incidence</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E64313C" w14:textId="72F0E6A1" w:rsidR="21C4AC11" w:rsidRDefault="21C4AC11" w:rsidP="21C4AC11">
            <w:r w:rsidRPr="21C4AC11">
              <w:rPr>
                <w:rFonts w:ascii="Calibri" w:eastAsia="Calibri" w:hAnsi="Calibri" w:cs="Calibri"/>
                <w:color w:val="000000" w:themeColor="text1"/>
              </w:rPr>
              <w:t>0.99 (0.99 — 1.00)</w:t>
            </w:r>
          </w:p>
        </w:tc>
      </w:tr>
      <w:tr w:rsidR="21C4AC11" w14:paraId="5260E5A9" w14:textId="77777777" w:rsidTr="21C4AC11">
        <w:trPr>
          <w:trHeight w:val="300"/>
        </w:trPr>
        <w:tc>
          <w:tcPr>
            <w:tcW w:w="233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044855B" w14:textId="36FD2428" w:rsidR="21C4AC11" w:rsidRDefault="21C4AC11" w:rsidP="21C4AC11">
            <w:r w:rsidRPr="21C4AC11">
              <w:rPr>
                <w:rFonts w:ascii="Calibri" w:eastAsia="Calibri" w:hAnsi="Calibri" w:cs="Calibri"/>
                <w:color w:val="000000" w:themeColor="text1"/>
              </w:rPr>
              <w:t>Healthcare Access and Quality Index</w:t>
            </w:r>
          </w:p>
        </w:tc>
        <w:tc>
          <w:tcPr>
            <w:tcW w:w="2337" w:type="dxa"/>
            <w:tcBorders>
              <w:top w:val="single" w:sz="8" w:space="0" w:color="auto"/>
              <w:left w:val="single" w:sz="8" w:space="0" w:color="auto"/>
              <w:bottom w:val="single" w:sz="8" w:space="0" w:color="auto"/>
              <w:right w:val="single" w:sz="8" w:space="0" w:color="auto"/>
            </w:tcBorders>
            <w:tcMar>
              <w:left w:w="108" w:type="dxa"/>
              <w:right w:w="108" w:type="dxa"/>
            </w:tcMar>
          </w:tcPr>
          <w:p w14:paraId="1B237B34" w14:textId="112383DE" w:rsidR="21C4AC11" w:rsidRDefault="21C4AC11" w:rsidP="21C4AC11">
            <w:r w:rsidRPr="21C4AC11">
              <w:rPr>
                <w:rFonts w:ascii="Calibri" w:eastAsia="Calibri" w:hAnsi="Calibri" w:cs="Calibri"/>
              </w:rPr>
              <w:t>Country-level</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tcPr>
          <w:p w14:paraId="32F33378" w14:textId="04A9F19A" w:rsidR="21C4AC11" w:rsidRDefault="21C4AC11" w:rsidP="21C4AC11">
            <w:r w:rsidRPr="21C4AC11">
              <w:rPr>
                <w:rFonts w:ascii="Calibri" w:eastAsia="Calibri" w:hAnsi="Calibri" w:cs="Calibri"/>
              </w:rPr>
              <w:t>Excess mortality</w:t>
            </w:r>
          </w:p>
        </w:tc>
        <w:tc>
          <w:tcPr>
            <w:tcW w:w="233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3574C86" w14:textId="1138F294" w:rsidR="21C4AC11" w:rsidRDefault="21C4AC11" w:rsidP="21C4AC11">
            <w:r w:rsidRPr="21C4AC11">
              <w:rPr>
                <w:rFonts w:ascii="Calibri" w:eastAsia="Calibri" w:hAnsi="Calibri" w:cs="Calibri"/>
                <w:color w:val="000000" w:themeColor="text1"/>
              </w:rPr>
              <w:t>1.00 (0.99</w:t>
            </w:r>
            <w:r w:rsidRPr="21C4AC11">
              <w:rPr>
                <w:rFonts w:ascii="Calibri" w:eastAsia="Calibri" w:hAnsi="Calibri" w:cs="Calibri"/>
              </w:rPr>
              <w:t>–</w:t>
            </w:r>
            <w:r w:rsidRPr="21C4AC11">
              <w:rPr>
                <w:rFonts w:ascii="Calibri" w:eastAsia="Calibri" w:hAnsi="Calibri" w:cs="Calibri"/>
                <w:color w:val="000000" w:themeColor="text1"/>
              </w:rPr>
              <w:t>1.00)</w:t>
            </w:r>
          </w:p>
        </w:tc>
      </w:tr>
    </w:tbl>
    <w:p w14:paraId="650BB1C3" w14:textId="5F223892" w:rsidR="08E73539" w:rsidRDefault="08E73539" w:rsidP="21C4AC11">
      <w:pPr>
        <w:spacing w:after="0" w:line="257" w:lineRule="auto"/>
      </w:pPr>
      <w:r w:rsidRPr="21C4AC11">
        <w:rPr>
          <w:rFonts w:ascii="Calibri" w:eastAsia="Calibri" w:hAnsi="Calibri" w:cs="Calibri"/>
        </w:rPr>
        <w:t xml:space="preserve"> </w:t>
      </w:r>
    </w:p>
    <w:p w14:paraId="21FFFD4E" w14:textId="26770F3F" w:rsidR="08E73539" w:rsidRDefault="08E73539" w:rsidP="21C4AC11">
      <w:pPr>
        <w:spacing w:line="257" w:lineRule="auto"/>
      </w:pPr>
      <w:r w:rsidRPr="21C4AC11">
        <w:rPr>
          <w:rFonts w:ascii="Calibri" w:eastAsia="Calibri" w:hAnsi="Calibri" w:cs="Calibri"/>
          <w:sz w:val="24"/>
          <w:szCs w:val="24"/>
        </w:rPr>
        <w:t xml:space="preserve"> </w:t>
      </w:r>
    </w:p>
    <w:p w14:paraId="716FA6C7" w14:textId="70C2E45F" w:rsidR="08E73539" w:rsidRDefault="08E73539" w:rsidP="21C4AC11">
      <w:pPr>
        <w:spacing w:line="257" w:lineRule="auto"/>
      </w:pPr>
      <w:r w:rsidRPr="21C4AC11">
        <w:rPr>
          <w:rFonts w:ascii="Calibri" w:eastAsia="Calibri" w:hAnsi="Calibri" w:cs="Calibri"/>
          <w:sz w:val="24"/>
          <w:szCs w:val="24"/>
        </w:rPr>
        <w:t xml:space="preserve"> </w:t>
      </w:r>
    </w:p>
    <w:p w14:paraId="68515D3F" w14:textId="4D1DEA0A" w:rsidR="08E73539" w:rsidRDefault="08E73539" w:rsidP="21C4AC11">
      <w:pPr>
        <w:spacing w:before="160" w:after="80" w:line="278" w:lineRule="auto"/>
      </w:pPr>
      <w:r w:rsidRPr="21C4AC11">
        <w:rPr>
          <w:rFonts w:ascii="Calibri Light" w:eastAsia="Calibri Light" w:hAnsi="Calibri Light" w:cs="Calibri Light"/>
          <w:color w:val="215E99"/>
          <w:sz w:val="26"/>
          <w:szCs w:val="26"/>
        </w:rPr>
        <w:t>Modelling strategy: long-term sequelae estimation</w:t>
      </w:r>
    </w:p>
    <w:p w14:paraId="38231489" w14:textId="77777777" w:rsidR="00DE78F3" w:rsidRDefault="08E73539" w:rsidP="21C4AC11">
      <w:pPr>
        <w:spacing w:line="257" w:lineRule="auto"/>
        <w:rPr>
          <w:rFonts w:ascii="Calibri" w:eastAsia="Calibri" w:hAnsi="Calibri" w:cs="Calibri"/>
        </w:rPr>
      </w:pPr>
      <w:r w:rsidRPr="21C4AC11">
        <w:rPr>
          <w:rFonts w:ascii="Calibri" w:eastAsia="Calibri" w:hAnsi="Calibri" w:cs="Calibri"/>
        </w:rPr>
        <w:t xml:space="preserve">We split the long-term sequelae among survivors of acute infection. We calculated the acute-phase survival proportion by applying the excess mortality (estimated by the acute meningitis </w:t>
      </w:r>
      <w:proofErr w:type="spellStart"/>
      <w:r w:rsidRPr="21C4AC11">
        <w:rPr>
          <w:rFonts w:ascii="Calibri" w:eastAsia="Calibri" w:hAnsi="Calibri" w:cs="Calibri"/>
        </w:rPr>
        <w:t>DisMod</w:t>
      </w:r>
      <w:proofErr w:type="spellEnd"/>
      <w:r w:rsidRPr="21C4AC11">
        <w:rPr>
          <w:rFonts w:ascii="Calibri" w:eastAsia="Calibri" w:hAnsi="Calibri" w:cs="Calibri"/>
        </w:rPr>
        <w:t xml:space="preserve"> model) to incidence; excess mortality was converted to case-fatality rate by</w:t>
      </w:r>
      <w:r w:rsidR="00DE78F3">
        <w:rPr>
          <w:rFonts w:ascii="Calibri" w:eastAsia="Calibri" w:hAnsi="Calibri" w:cs="Calibri"/>
        </w:rPr>
        <w:t>:</w:t>
      </w:r>
    </w:p>
    <w:p w14:paraId="40EBC45A" w14:textId="73D99F7C" w:rsidR="002809EA" w:rsidRDefault="002809EA" w:rsidP="00C97EBA">
      <w:pPr>
        <w:spacing w:line="257" w:lineRule="auto"/>
        <w:jc w:val="center"/>
        <w:rPr>
          <w:rFonts w:ascii="Calibri" w:eastAsia="Calibri" w:hAnsi="Calibri" w:cs="Calibri"/>
        </w:rPr>
      </w:pPr>
      <m:oMath>
        <m:r>
          <w:rPr>
            <w:rFonts w:ascii="Cambria Math" w:eastAsia="Calibri" w:hAnsi="Cambria Math" w:cs="Calibri"/>
          </w:rPr>
          <m:t xml:space="preserve">CFR= </m:t>
        </m:r>
        <m:sSup>
          <m:sSupPr>
            <m:ctrlPr>
              <w:rPr>
                <w:rFonts w:ascii="Cambria Math" w:eastAsia="Calibri" w:hAnsi="Cambria Math" w:cs="Calibri"/>
                <w:i/>
              </w:rPr>
            </m:ctrlPr>
          </m:sSupPr>
          <m:e>
            <m:r>
              <w:rPr>
                <w:rFonts w:ascii="Cambria Math" w:eastAsia="Calibri" w:hAnsi="Cambria Math" w:cs="Calibri"/>
              </w:rPr>
              <m:t>e</m:t>
            </m:r>
          </m:e>
          <m:sup>
            <m:r>
              <m:rPr>
                <m:sty m:val="p"/>
              </m:rPr>
              <w:rPr>
                <w:rFonts w:ascii="Cambria Math" w:eastAsia="Calibri" w:hAnsi="Cambria Math" w:cs="Calibri"/>
                <w:vertAlign w:val="superscript"/>
              </w:rPr>
              <m:t xml:space="preserve">(-excess mortality x </m:t>
            </m:r>
            <m:f>
              <m:fPr>
                <m:ctrlPr>
                  <w:rPr>
                    <w:rFonts w:ascii="Cambria Math" w:eastAsia="Calibri" w:hAnsi="Cambria Math" w:cs="Calibri"/>
                    <w:vertAlign w:val="superscript"/>
                  </w:rPr>
                </m:ctrlPr>
              </m:fPr>
              <m:num>
                <m:r>
                  <m:rPr>
                    <m:sty m:val="p"/>
                  </m:rPr>
                  <w:rPr>
                    <w:rFonts w:ascii="Cambria Math" w:eastAsia="Calibri" w:hAnsi="Cambria Math" w:cs="Calibri"/>
                    <w:vertAlign w:val="superscript"/>
                  </w:rPr>
                  <m:t>1</m:t>
                </m:r>
              </m:num>
              <m:den>
                <m:r>
                  <m:rPr>
                    <m:sty m:val="p"/>
                  </m:rPr>
                  <w:rPr>
                    <w:rFonts w:ascii="Cambria Math" w:eastAsia="Calibri" w:hAnsi="Cambria Math" w:cs="Calibri"/>
                    <w:vertAlign w:val="superscript"/>
                  </w:rPr>
                  <m:t>excess mortality + remission</m:t>
                </m:r>
              </m:den>
            </m:f>
            <m:r>
              <m:rPr>
                <m:sty m:val="p"/>
              </m:rPr>
              <w:rPr>
                <w:rFonts w:ascii="Cambria Math" w:eastAsia="Calibri" w:hAnsi="Cambria Math" w:cs="Calibri"/>
                <w:vertAlign w:val="superscript"/>
              </w:rPr>
              <m:t>)</m:t>
            </m:r>
            <m:r>
              <m:rPr>
                <m:sty m:val="p"/>
              </m:rPr>
              <w:rPr>
                <w:rFonts w:ascii="Cambria Math" w:eastAsia="Calibri" w:hAnsi="Cambria Math" w:cs="Calibri"/>
              </w:rPr>
              <m:t xml:space="preserve">. </m:t>
            </m:r>
          </m:sup>
        </m:sSup>
      </m:oMath>
      <w:r w:rsidR="08E73539" w:rsidRPr="21C4AC11">
        <w:rPr>
          <w:rFonts w:ascii="Calibri" w:eastAsia="Calibri" w:hAnsi="Calibri" w:cs="Calibri"/>
        </w:rPr>
        <w:t xml:space="preserve"> </w:t>
      </w:r>
    </w:p>
    <w:p w14:paraId="493330BC" w14:textId="47A28597" w:rsidR="08E73539" w:rsidRDefault="08E73539" w:rsidP="21C4AC11">
      <w:pPr>
        <w:spacing w:line="257" w:lineRule="auto"/>
      </w:pPr>
      <w:r w:rsidRPr="21C4AC11">
        <w:rPr>
          <w:rFonts w:ascii="Calibri" w:eastAsia="Calibri" w:hAnsi="Calibri" w:cs="Calibri"/>
        </w:rPr>
        <w:t>We multiplied this proportion times the bacterial and viral incidence, to get the incidence of meningitis-with-survival for bacterial and viral meningitis, respectively.</w:t>
      </w:r>
    </w:p>
    <w:p w14:paraId="5E84EC00" w14:textId="339F4239" w:rsidR="08E73539" w:rsidRDefault="08E73539" w:rsidP="21C4AC11">
      <w:pPr>
        <w:spacing w:line="257" w:lineRule="auto"/>
        <w:rPr>
          <w:rFonts w:ascii="Calibri" w:eastAsia="Calibri" w:hAnsi="Calibri" w:cs="Calibri"/>
        </w:rPr>
      </w:pPr>
      <w:r w:rsidRPr="21C4AC11">
        <w:rPr>
          <w:rFonts w:ascii="Calibri" w:eastAsia="Calibri" w:hAnsi="Calibri" w:cs="Calibri"/>
        </w:rPr>
        <w:t>The survivors were then subject for long-term sequelae by applying the post-discharge proportions of health consequences calculated by a meta-analysis by Edmond and colleagues for bacterial meningitis, and Hudson and colleagues for viral meningitis.</w:t>
      </w:r>
      <w:r w:rsidRPr="21C4AC11">
        <w:rPr>
          <w:rFonts w:ascii="Calibri" w:eastAsia="Calibri" w:hAnsi="Calibri" w:cs="Calibri"/>
          <w:vertAlign w:val="superscript"/>
        </w:rPr>
        <w:t>1</w:t>
      </w:r>
      <w:r w:rsidRPr="21C4AC11">
        <w:rPr>
          <w:rFonts w:ascii="Calibri" w:eastAsia="Calibri" w:hAnsi="Calibri" w:cs="Calibri"/>
        </w:rPr>
        <w:t xml:space="preserve"> We calculated the proportion of acute meningitis survivors who experience major or minor long-term impairments for all </w:t>
      </w:r>
      <w:proofErr w:type="spellStart"/>
      <w:r w:rsidRPr="21C4AC11">
        <w:rPr>
          <w:rFonts w:ascii="Calibri" w:eastAsia="Calibri" w:hAnsi="Calibri" w:cs="Calibri"/>
        </w:rPr>
        <w:t>aetiologies</w:t>
      </w:r>
      <w:proofErr w:type="spellEnd"/>
      <w:r w:rsidRPr="21C4AC11">
        <w:rPr>
          <w:rFonts w:ascii="Calibri" w:eastAsia="Calibri" w:hAnsi="Calibri" w:cs="Calibri"/>
        </w:rPr>
        <w:t>. This proportion was based off a regression of log-transformed GDP and ratio values from Edmonds and colleagues. The regression is shown below:</w:t>
      </w:r>
    </w:p>
    <w:p w14:paraId="79D58C89" w14:textId="6441ED32" w:rsidR="002809EA" w:rsidRDefault="002809EA" w:rsidP="21C4AC11">
      <w:pPr>
        <w:spacing w:line="257" w:lineRule="auto"/>
      </w:pPr>
      <m:oMathPara>
        <m:oMath>
          <m:r>
            <w:rPr>
              <w:rFonts w:ascii="Cambria Math" w:hAnsi="Cambria Math"/>
            </w:rPr>
            <m:t>y=-0.347</m:t>
          </m:r>
          <m:func>
            <m:funcPr>
              <m:ctrlPr>
                <w:rPr>
                  <w:rFonts w:ascii="Cambria Math" w:hAnsi="Cambria Math"/>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GDP</m:t>
                  </m:r>
                </m:e>
              </m:d>
            </m:e>
          </m:func>
          <m:r>
            <w:rPr>
              <w:rFonts w:ascii="Cambria Math" w:hAnsi="Cambria Math"/>
            </w:rPr>
            <m:t>+1.28</m:t>
          </m:r>
        </m:oMath>
      </m:oMathPara>
    </w:p>
    <w:p w14:paraId="426C262E" w14:textId="7EC85938" w:rsidR="08E73539" w:rsidRDefault="08E73539" w:rsidP="21C4AC11">
      <w:pPr>
        <w:spacing w:line="278" w:lineRule="auto"/>
      </w:pPr>
    </w:p>
    <w:p w14:paraId="342D7B89" w14:textId="726001BE" w:rsidR="08E73539" w:rsidRDefault="08E73539" w:rsidP="21C4AC11">
      <w:pPr>
        <w:spacing w:line="257" w:lineRule="auto"/>
      </w:pPr>
      <w:r w:rsidRPr="21C4AC11">
        <w:rPr>
          <w:rFonts w:ascii="Calibri" w:eastAsia="Calibri" w:hAnsi="Calibri" w:cs="Calibri"/>
        </w:rPr>
        <w:t>For viral meningitis, we used a single global, meta-</w:t>
      </w:r>
      <w:proofErr w:type="spellStart"/>
      <w:r w:rsidRPr="21C4AC11">
        <w:rPr>
          <w:rFonts w:ascii="Calibri" w:eastAsia="Calibri" w:hAnsi="Calibri" w:cs="Calibri"/>
        </w:rPr>
        <w:t>analysed</w:t>
      </w:r>
      <w:proofErr w:type="spellEnd"/>
      <w:r w:rsidRPr="21C4AC11">
        <w:rPr>
          <w:rFonts w:ascii="Calibri" w:eastAsia="Calibri" w:hAnsi="Calibri" w:cs="Calibri"/>
        </w:rPr>
        <w:t xml:space="preserve"> proportion value for viral meningitis: because viral is not treatable by antibiotics, we assume that the proportion with sequelae does not vary greatly by country. The proportion with any impairments was further split into specific impairments according to the proportions from the </w:t>
      </w:r>
      <w:proofErr w:type="spellStart"/>
      <w:r w:rsidRPr="21C4AC11">
        <w:rPr>
          <w:rFonts w:ascii="Calibri" w:eastAsia="Calibri" w:hAnsi="Calibri" w:cs="Calibri"/>
        </w:rPr>
        <w:t>aetiology</w:t>
      </w:r>
      <w:proofErr w:type="spellEnd"/>
      <w:r w:rsidRPr="21C4AC11">
        <w:rPr>
          <w:rFonts w:ascii="Calibri" w:eastAsia="Calibri" w:hAnsi="Calibri" w:cs="Calibri"/>
        </w:rPr>
        <w:t xml:space="preserve">-relevant systematic review, which were grouped into vision loss, hearing loss, motor/cognitive impairments, and epilepsy. </w:t>
      </w:r>
    </w:p>
    <w:p w14:paraId="52570CF6" w14:textId="24A9206D" w:rsidR="08E73539" w:rsidRDefault="08E73539" w:rsidP="21C4AC11">
      <w:pPr>
        <w:spacing w:line="257" w:lineRule="auto"/>
      </w:pPr>
      <w:r w:rsidRPr="21C4AC11">
        <w:rPr>
          <w:rFonts w:ascii="Calibri" w:eastAsia="Calibri" w:hAnsi="Calibri" w:cs="Calibri"/>
        </w:rPr>
        <w:t xml:space="preserve">All subsequently described steps were performed in parallel for bacterial and viral meningitis. The calculated incidence of long-term sequelae was then converted to prevalence by two different approaches. For the sequelae not associated with excess mortality, which were vision loss, hearing loss, intellectual disability, motor impairment, and </w:t>
      </w:r>
      <w:proofErr w:type="spellStart"/>
      <w:r w:rsidRPr="21C4AC11">
        <w:rPr>
          <w:rFonts w:ascii="Calibri" w:eastAsia="Calibri" w:hAnsi="Calibri" w:cs="Calibri"/>
        </w:rPr>
        <w:t>behavioural</w:t>
      </w:r>
      <w:proofErr w:type="spellEnd"/>
      <w:r w:rsidRPr="21C4AC11">
        <w:rPr>
          <w:rFonts w:ascii="Calibri" w:eastAsia="Calibri" w:hAnsi="Calibri" w:cs="Calibri"/>
        </w:rPr>
        <w:t xml:space="preserve"> problems, the incidence of each age was cumulatively added up to the subsequent age (assuming half-cycle) to construct prevalence at each age. If the sequela is associated with excess mortality (epilepsy and moderate-to-severe cognitive impairments), the calculated incidence was used as in input to the ODE solver together with the corresponding mortality parameters (excess mortality data from the epilepsy envelope </w:t>
      </w:r>
      <w:proofErr w:type="spellStart"/>
      <w:r w:rsidRPr="21C4AC11">
        <w:rPr>
          <w:rFonts w:ascii="Calibri" w:eastAsia="Calibri" w:hAnsi="Calibri" w:cs="Calibri"/>
        </w:rPr>
        <w:t>DisMod</w:t>
      </w:r>
      <w:proofErr w:type="spellEnd"/>
      <w:r w:rsidRPr="21C4AC11">
        <w:rPr>
          <w:rFonts w:ascii="Calibri" w:eastAsia="Calibri" w:hAnsi="Calibri" w:cs="Calibri"/>
        </w:rPr>
        <w:t xml:space="preserve"> model, and </w:t>
      </w:r>
      <w:proofErr w:type="spellStart"/>
      <w:r w:rsidRPr="21C4AC11">
        <w:rPr>
          <w:rFonts w:ascii="Calibri" w:eastAsia="Calibri" w:hAnsi="Calibri" w:cs="Calibri"/>
        </w:rPr>
        <w:t>standardised</w:t>
      </w:r>
      <w:proofErr w:type="spellEnd"/>
      <w:r w:rsidRPr="21C4AC11">
        <w:rPr>
          <w:rFonts w:ascii="Calibri" w:eastAsia="Calibri" w:hAnsi="Calibri" w:cs="Calibri"/>
        </w:rPr>
        <w:t xml:space="preserve"> mortality ratio data from a neonatal encephalopathy meta-analysis, converted to excess mortality using all-cause mortality estimates) to estimate the prevalence. Vision loss, hearing loss, and epilepsy estimates were squeezed and severity split centrally. </w:t>
      </w:r>
    </w:p>
    <w:p w14:paraId="28EA7DD9" w14:textId="7B45B3AD" w:rsidR="08E73539" w:rsidRDefault="08E73539" w:rsidP="21C4AC11">
      <w:pPr>
        <w:rPr>
          <w:rFonts w:ascii="Calibri" w:eastAsia="Calibri" w:hAnsi="Calibri" w:cs="Calibri"/>
          <w:vertAlign w:val="superscript"/>
        </w:rPr>
      </w:pPr>
      <w:r w:rsidRPr="21C4AC11">
        <w:rPr>
          <w:rFonts w:ascii="Calibri" w:eastAsia="Calibri" w:hAnsi="Calibri" w:cs="Calibri"/>
        </w:rPr>
        <w:t xml:space="preserve">To calculate YLDs attributable to all meningitis, bacterial and viral attributable YLDs were ultimately summed. To calculate proportion of YLDs attributable to viral meningitis, the viral meningitis YLDs were divided by the summed YLDs. </w:t>
      </w:r>
    </w:p>
    <w:p w14:paraId="1DBA6345" w14:textId="5FFC1AB3" w:rsidR="0BB36B9D" w:rsidRPr="001C2E61" w:rsidRDefault="00EB6E03" w:rsidP="009E0A32">
      <w:pPr>
        <w:pStyle w:val="Heading1"/>
      </w:pPr>
      <w:bookmarkStart w:id="17" w:name="_Toc213357089"/>
      <w:proofErr w:type="spellStart"/>
      <w:r>
        <w:t>Aetiology</w:t>
      </w:r>
      <w:proofErr w:type="spellEnd"/>
      <w:r w:rsidR="4AC91969" w:rsidRPr="0C813052">
        <w:rPr>
          <w:rStyle w:val="Heading1Char"/>
        </w:rPr>
        <w:t xml:space="preserve"> Estimation</w:t>
      </w:r>
      <w:bookmarkEnd w:id="7"/>
      <w:bookmarkEnd w:id="17"/>
      <w:r w:rsidR="4AC91969" w:rsidRPr="0C813052">
        <w:rPr>
          <w:rStyle w:val="Heading1Char"/>
        </w:rPr>
        <w:t xml:space="preserve"> </w:t>
      </w:r>
      <w:r w:rsidR="4AC91969">
        <w:t xml:space="preserve"> </w:t>
      </w:r>
    </w:p>
    <w:p w14:paraId="4C614BC4" w14:textId="2BC304EA" w:rsidR="003170CE" w:rsidRPr="00C31303" w:rsidRDefault="003170CE" w:rsidP="00C31303">
      <w:pPr>
        <w:spacing w:before="160" w:after="80" w:line="278" w:lineRule="auto"/>
        <w:rPr>
          <w:rFonts w:ascii="Calibri Light" w:eastAsia="Calibri Light" w:hAnsi="Calibri Light" w:cs="Calibri Light"/>
          <w:color w:val="215E99"/>
          <w:sz w:val="26"/>
          <w:szCs w:val="26"/>
        </w:rPr>
      </w:pPr>
      <w:bookmarkStart w:id="18" w:name="_Toc73621068"/>
      <w:bookmarkStart w:id="19" w:name="_Toc73708255"/>
      <w:bookmarkStart w:id="20" w:name="_Toc73876894"/>
      <w:bookmarkStart w:id="21" w:name="_Toc83392644"/>
      <w:bookmarkStart w:id="22" w:name="_Toc83655627"/>
      <w:bookmarkStart w:id="23" w:name="_Toc83656458"/>
      <w:bookmarkStart w:id="24" w:name="_Toc88054490"/>
      <w:bookmarkStart w:id="25" w:name="_Toc176418324"/>
      <w:r w:rsidRPr="00C31303">
        <w:rPr>
          <w:rFonts w:ascii="Calibri Light" w:eastAsia="Calibri Light" w:hAnsi="Calibri Light" w:cs="Calibri Light"/>
          <w:color w:val="215E99"/>
          <w:sz w:val="26"/>
          <w:szCs w:val="26"/>
        </w:rPr>
        <w:t>Case fatality ratios</w:t>
      </w:r>
      <w:bookmarkEnd w:id="18"/>
      <w:bookmarkEnd w:id="19"/>
      <w:bookmarkEnd w:id="20"/>
      <w:bookmarkEnd w:id="21"/>
      <w:bookmarkEnd w:id="22"/>
      <w:bookmarkEnd w:id="23"/>
      <w:bookmarkEnd w:id="24"/>
      <w:bookmarkEnd w:id="25"/>
    </w:p>
    <w:p w14:paraId="4BA48F0B" w14:textId="465CD138" w:rsidR="003170CE" w:rsidRPr="00C31303" w:rsidRDefault="003170CE" w:rsidP="00C31303">
      <w:pPr>
        <w:spacing w:before="160" w:after="80" w:line="278" w:lineRule="auto"/>
        <w:rPr>
          <w:rFonts w:ascii="Calibri Light" w:eastAsia="Calibri Light" w:hAnsi="Calibri Light" w:cs="Calibri Light"/>
          <w:color w:val="215E99"/>
          <w:sz w:val="26"/>
          <w:szCs w:val="26"/>
        </w:rPr>
      </w:pPr>
      <w:bookmarkStart w:id="26" w:name="_Toc73708256"/>
      <w:bookmarkStart w:id="27" w:name="_Toc73876895"/>
      <w:bookmarkStart w:id="28" w:name="_Toc83392645"/>
      <w:bookmarkStart w:id="29" w:name="_Toc83655628"/>
      <w:bookmarkStart w:id="30" w:name="_Toc83656459"/>
      <w:bookmarkStart w:id="31" w:name="_Toc88054491"/>
      <w:bookmarkStart w:id="32" w:name="_Toc176418325"/>
      <w:r w:rsidRPr="00C31303">
        <w:rPr>
          <w:rFonts w:ascii="Calibri Light" w:eastAsia="Calibri Light" w:hAnsi="Calibri Light" w:cs="Calibri Light"/>
          <w:color w:val="215E99"/>
          <w:sz w:val="26"/>
          <w:szCs w:val="26"/>
        </w:rPr>
        <w:t>Input data</w:t>
      </w:r>
      <w:bookmarkStart w:id="33" w:name="_Toc73621069"/>
      <w:bookmarkEnd w:id="26"/>
      <w:bookmarkEnd w:id="27"/>
      <w:bookmarkEnd w:id="28"/>
      <w:bookmarkEnd w:id="29"/>
      <w:bookmarkEnd w:id="30"/>
      <w:bookmarkEnd w:id="31"/>
      <w:bookmarkEnd w:id="32"/>
      <w:r w:rsidRPr="00C31303">
        <w:rPr>
          <w:rFonts w:ascii="Calibri Light" w:eastAsia="Calibri Light" w:hAnsi="Calibri Light" w:cs="Calibri Light"/>
          <w:color w:val="215E99"/>
          <w:sz w:val="26"/>
          <w:szCs w:val="26"/>
        </w:rPr>
        <w:t xml:space="preserve"> </w:t>
      </w:r>
      <w:bookmarkEnd w:id="33"/>
    </w:p>
    <w:p w14:paraId="031087F8" w14:textId="77777777" w:rsidR="003170CE" w:rsidRPr="000F32B0" w:rsidRDefault="003170CE" w:rsidP="003170CE">
      <w:pPr>
        <w:spacing w:line="257" w:lineRule="auto"/>
        <w:rPr>
          <w:rFonts w:eastAsiaTheme="majorEastAsia" w:cstheme="minorHAnsi"/>
          <w:sz w:val="24"/>
          <w:szCs w:val="24"/>
        </w:rPr>
      </w:pPr>
      <w:r w:rsidRPr="000F32B0">
        <w:rPr>
          <w:rFonts w:eastAsiaTheme="majorEastAsia" w:cstheme="minorHAnsi"/>
          <w:sz w:val="24"/>
          <w:szCs w:val="24"/>
        </w:rPr>
        <w:t>Case fatality ratios (CFRs) were modelled for the pathogens and infectious syndromes of interest using all available data detailing the organism responsible for infection, the infectious syndrome, and patient outcome. This included hospital and microbial data, totaling 20.0 million isolates and cases, as shown in table S10 (section 13). We additionally included 52 907 cases from literature sources for meningitis, which had been previously extracted for a systematic review in GBD.</w:t>
      </w:r>
    </w:p>
    <w:p w14:paraId="2C3CE8F2" w14:textId="29671566" w:rsidR="003170CE" w:rsidRPr="00C31303" w:rsidRDefault="003170CE" w:rsidP="003170CE">
      <w:pPr>
        <w:spacing w:line="257" w:lineRule="auto"/>
        <w:rPr>
          <w:rFonts w:ascii="Calibri" w:eastAsia="Calibri" w:hAnsi="Calibri" w:cs="Calibri"/>
          <w:sz w:val="24"/>
          <w:szCs w:val="24"/>
        </w:rPr>
      </w:pPr>
      <w:bookmarkStart w:id="34" w:name="_Toc73621070"/>
      <w:bookmarkStart w:id="35" w:name="_Toc73708257"/>
      <w:bookmarkStart w:id="36" w:name="_Toc73876896"/>
      <w:bookmarkStart w:id="37" w:name="_Toc83392646"/>
      <w:bookmarkStart w:id="38" w:name="_Toc83655629"/>
      <w:bookmarkStart w:id="39" w:name="_Toc83656460"/>
      <w:bookmarkStart w:id="40" w:name="_Toc88054492"/>
      <w:bookmarkStart w:id="41" w:name="_Toc176418326"/>
      <w:r w:rsidRPr="31F26954">
        <w:rPr>
          <w:rFonts w:ascii="Calibri" w:eastAsia="Calibri" w:hAnsi="Calibri" w:cs="Calibri"/>
          <w:sz w:val="24"/>
          <w:szCs w:val="24"/>
        </w:rPr>
        <w:t>Data processing</w:t>
      </w:r>
      <w:bookmarkEnd w:id="34"/>
      <w:bookmarkEnd w:id="35"/>
      <w:bookmarkEnd w:id="36"/>
      <w:bookmarkEnd w:id="37"/>
      <w:bookmarkEnd w:id="38"/>
      <w:bookmarkEnd w:id="39"/>
      <w:bookmarkEnd w:id="40"/>
      <w:bookmarkEnd w:id="41"/>
    </w:p>
    <w:p w14:paraId="14AC1F47"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All input data sources were processed as described in sections 6.2.1, 6.2.2, 6.2.4 and section 6.2.8, and pathogens of interest were chosen as described in section 6.2.3. Input data for the CFR models were aggregated based on data source, year, GBD location, and age group (as well as whether the infection was hospital- or community-acquired, in the case of the lower respiratory and urinary tract infection models). We further incorporated a binary covariate denoting whether the data source only included intensive care unit (ICU) patients, for which CFRs were expected to be higher. For lower respiratory, meningitis, and bloodstream infections, for which CFRs could be different in neonates, we modelled the following age groups: neonatal, post-neonatal–5 years, 5–50 years, 50–70 years, and 70 years and older. For all other infectious syndromes, we modelled the following age groups: neonatal–5 years, 5–50 years, 50–70 years, and 70 years and older. In the case of lower respiratory and urinary tract infections, we model community-acquired and hospital-acquired infections separately, with unknown infection origin data being used in both models. All infection records with multiple pathogens (</w:t>
      </w:r>
      <w:proofErr w:type="spellStart"/>
      <w:r w:rsidRPr="000F32B0">
        <w:rPr>
          <w:rFonts w:eastAsiaTheme="majorEastAsia"/>
          <w:sz w:val="24"/>
          <w:szCs w:val="24"/>
        </w:rPr>
        <w:t>ie</w:t>
      </w:r>
      <w:proofErr w:type="spellEnd"/>
      <w:r w:rsidRPr="000F32B0">
        <w:rPr>
          <w:rFonts w:eastAsiaTheme="majorEastAsia"/>
          <w:sz w:val="24"/>
          <w:szCs w:val="24"/>
        </w:rPr>
        <w:t xml:space="preserve"> “polymicrobial infections”) were excluded from our case fatality estimation.</w:t>
      </w:r>
    </w:p>
    <w:p w14:paraId="0FA919F7" w14:textId="6687FD58" w:rsidR="003170CE" w:rsidRPr="00C31303" w:rsidRDefault="003170CE" w:rsidP="31F26954">
      <w:pPr>
        <w:spacing w:line="257" w:lineRule="auto"/>
        <w:rPr>
          <w:rFonts w:asciiTheme="majorHAnsi" w:eastAsiaTheme="majorEastAsia" w:hAnsiTheme="majorHAnsi" w:cstheme="majorBidi"/>
          <w:color w:val="1F3763"/>
          <w:sz w:val="24"/>
          <w:szCs w:val="24"/>
        </w:rPr>
      </w:pPr>
      <w:bookmarkStart w:id="42" w:name="_Toc73621071"/>
      <w:bookmarkStart w:id="43" w:name="_Toc73708258"/>
      <w:bookmarkStart w:id="44" w:name="_Toc73876897"/>
      <w:bookmarkStart w:id="45" w:name="_Toc83392647"/>
      <w:bookmarkStart w:id="46" w:name="_Toc83655630"/>
      <w:bookmarkStart w:id="47" w:name="_Toc83656461"/>
      <w:bookmarkStart w:id="48" w:name="_Toc88054493"/>
      <w:bookmarkStart w:id="49" w:name="_Toc176418327"/>
      <w:r w:rsidRPr="31F26954">
        <w:rPr>
          <w:rFonts w:asciiTheme="majorHAnsi" w:eastAsiaTheme="majorEastAsia" w:hAnsiTheme="majorHAnsi" w:cstheme="majorBidi"/>
          <w:color w:val="1F3763"/>
          <w:sz w:val="24"/>
          <w:szCs w:val="24"/>
        </w:rPr>
        <w:t>Modelling overview</w:t>
      </w:r>
      <w:bookmarkEnd w:id="42"/>
      <w:bookmarkEnd w:id="43"/>
      <w:bookmarkEnd w:id="44"/>
      <w:bookmarkEnd w:id="45"/>
      <w:bookmarkEnd w:id="46"/>
      <w:bookmarkEnd w:id="47"/>
      <w:bookmarkEnd w:id="48"/>
      <w:bookmarkEnd w:id="49"/>
    </w:p>
    <w:p w14:paraId="6555DFC3"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Pathogen-specific CFRs were modelled separately by infectious syndrome and were calculated as a function of HAQ Index and age. We used the HAQ Index to extrapolate CFRs determined from the input data, which often had a broad but not comprehensive temporal and geographical scope, to all 204 GBD countries and territories for the years 1990-2021. </w:t>
      </w:r>
    </w:p>
    <w:p w14:paraId="2A38B399"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The pathogens of interest for each infectious syndrome were determined by prevalence in the data and expert opinion to provide case fatality ratios for the pathogens modelled in our pathogen distribution models (see section 6.2.3). Because each data source generally reported only a subset of the evaluated pathogens, the input data for the pathogens varied in geographical coverage; nearly all pathogens were well reported in high-income areas, but some pathogens were not well represented in the smaller subset of data we collected from low- and middle-income locations. </w:t>
      </w:r>
    </w:p>
    <w:p w14:paraId="5C4EAF06"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We modelled CFRs for all syndromes using four degrees of granularity to capture the most detail possible on a syndrome-pathogen-specific basis. Table 5.4.1 has a summary of all models run for CFRs. For all syndromes, we first ran the least granular “all pathogen” model, in which we included all data, including unspecified pathogens. This model provides a baseline estimate of syndrome-level CFR as a function of age and HAQ Index. Our next level of modelling, referred to as the “family” models, included all datapoints broadly classified as belonging to the four pathogen taxonomical categories we characterized in our analysis: bacteria, virus, fungus, and parasite. The family models estimated case fatality as a function of pathogen family in addition to age and HAQ Index. Unspecified pathogens with a distinct family designation (</w:t>
      </w:r>
      <w:proofErr w:type="spellStart"/>
      <w:r w:rsidRPr="000F32B0">
        <w:rPr>
          <w:rFonts w:eastAsiaTheme="majorEastAsia"/>
          <w:sz w:val="24"/>
          <w:szCs w:val="24"/>
        </w:rPr>
        <w:t>eg</w:t>
      </w:r>
      <w:proofErr w:type="spellEnd"/>
      <w:r w:rsidRPr="000F32B0">
        <w:rPr>
          <w:rFonts w:eastAsiaTheme="majorEastAsia"/>
          <w:sz w:val="24"/>
          <w:szCs w:val="24"/>
        </w:rPr>
        <w:t xml:space="preserve">, “Unspecified bacteria”) were included in these models. Next, specified pathogens were modelled using an "intercept” model. In this process each specific pathogen received a fixed effect coefficient, in addition to those of age and HAQ Index. Finally, for each pathogen that had data inclusive of all age groups for the given syndrome, we attempted to fit a unique, most granular model, referred to as our “individual” models. Correspondingly, the case-fatalities for each pathogen modelled in the “individual” landscape has unique relationship with age and HAQ Index. </w:t>
      </w:r>
    </w:p>
    <w:p w14:paraId="00E06590"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Thus, the four levels of models run for each infectious syndrome were (from most to least granular):</w:t>
      </w:r>
    </w:p>
    <w:p w14:paraId="3BA4EC47" w14:textId="77777777" w:rsidR="003170CE" w:rsidRPr="000F32B0" w:rsidRDefault="003170CE" w:rsidP="31F26954">
      <w:pPr>
        <w:numPr>
          <w:ilvl w:val="0"/>
          <w:numId w:val="13"/>
        </w:numPr>
        <w:spacing w:line="257" w:lineRule="auto"/>
        <w:rPr>
          <w:rFonts w:eastAsiaTheme="majorEastAsia"/>
          <w:sz w:val="24"/>
          <w:szCs w:val="24"/>
        </w:rPr>
      </w:pPr>
      <w:r w:rsidRPr="000F32B0">
        <w:rPr>
          <w:rFonts w:eastAsiaTheme="majorEastAsia"/>
          <w:sz w:val="24"/>
          <w:szCs w:val="24"/>
        </w:rPr>
        <w:t>Individual pathogen models including data for specific pathogens.</w:t>
      </w:r>
    </w:p>
    <w:p w14:paraId="410924A7" w14:textId="77777777" w:rsidR="003170CE" w:rsidRPr="000F32B0" w:rsidRDefault="003170CE" w:rsidP="31F26954">
      <w:pPr>
        <w:numPr>
          <w:ilvl w:val="0"/>
          <w:numId w:val="13"/>
        </w:numPr>
        <w:spacing w:line="257" w:lineRule="auto"/>
        <w:rPr>
          <w:rFonts w:eastAsiaTheme="majorEastAsia"/>
          <w:sz w:val="24"/>
          <w:szCs w:val="24"/>
        </w:rPr>
      </w:pPr>
      <w:r w:rsidRPr="000F32B0">
        <w:rPr>
          <w:rFonts w:eastAsiaTheme="majorEastAsia"/>
          <w:sz w:val="24"/>
          <w:szCs w:val="24"/>
        </w:rPr>
        <w:t>An intercept model including all identified pathogens.</w:t>
      </w:r>
    </w:p>
    <w:p w14:paraId="16CFFD34" w14:textId="77777777" w:rsidR="003170CE" w:rsidRPr="000F32B0" w:rsidRDefault="003170CE" w:rsidP="31F26954">
      <w:pPr>
        <w:numPr>
          <w:ilvl w:val="0"/>
          <w:numId w:val="13"/>
        </w:numPr>
        <w:spacing w:line="257" w:lineRule="auto"/>
        <w:rPr>
          <w:rFonts w:eastAsiaTheme="majorEastAsia"/>
          <w:sz w:val="24"/>
          <w:szCs w:val="24"/>
        </w:rPr>
      </w:pPr>
      <w:r w:rsidRPr="000F32B0">
        <w:rPr>
          <w:rFonts w:eastAsiaTheme="majorEastAsia"/>
          <w:sz w:val="24"/>
          <w:szCs w:val="24"/>
        </w:rPr>
        <w:t>A family model including all data aggregated to their respective taxonomical categories of bacteria, virus, parasite, or fungus.</w:t>
      </w:r>
    </w:p>
    <w:p w14:paraId="443161E6" w14:textId="77777777" w:rsidR="003170CE" w:rsidRPr="000F32B0" w:rsidRDefault="003170CE" w:rsidP="31F26954">
      <w:pPr>
        <w:numPr>
          <w:ilvl w:val="0"/>
          <w:numId w:val="13"/>
        </w:numPr>
        <w:spacing w:line="257" w:lineRule="auto"/>
        <w:rPr>
          <w:rFonts w:eastAsiaTheme="majorEastAsia"/>
          <w:sz w:val="24"/>
          <w:szCs w:val="24"/>
        </w:rPr>
      </w:pPr>
      <w:r w:rsidRPr="000F32B0">
        <w:rPr>
          <w:rFonts w:eastAsiaTheme="majorEastAsia"/>
          <w:sz w:val="24"/>
          <w:szCs w:val="24"/>
        </w:rPr>
        <w:t>An “all pathogen” model that included data for all pathogens (predictions were generated by HAQ Index and age, without a pathogen-specific term).</w:t>
      </w:r>
    </w:p>
    <w:p w14:paraId="35857C43"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Table S2 (section 13) details which CFR model framework was used to assess the pathogens for each infectious syndrome. Whenever needed, the CFR for any bacterial pathogen “not explicitly modelled” was estimated using the “family” model for subsequent steps of our modelling processes.</w:t>
      </w:r>
    </w:p>
    <w:p w14:paraId="519D6D18"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For some infectious syndromes, the relative deadliness of a pathogen may be strongly determined by either the age of the patient or whether the infection was community- or hospital-acquired. For bloodstream infections, meningitis, and lower respiratory infections, we further separated the under 5 years of age category into neonates (0-27 days) and post neonate to 5 years. As is done for our other modelling processes, we also separate community-acquired and hospital-acquired cases in our CFR models for lower respiratory and urinary tract infections. Because some data sources did not provide enough information to infer whether an infection was community- or hospital-acquired, but still included important information on the relative pathogenesis and the difference in CFRs across varying HAQ indices, infections of unknown origin were included in both the community-acquired and hospital-acquired models for these two syndromes. </w:t>
      </w:r>
    </w:p>
    <w:p w14:paraId="6D9CD1A2" w14:textId="7201140F" w:rsidR="003170CE" w:rsidRPr="000F32B0" w:rsidRDefault="003170CE" w:rsidP="31F26954">
      <w:pPr>
        <w:spacing w:line="257" w:lineRule="auto"/>
        <w:rPr>
          <w:rFonts w:asciiTheme="majorHAnsi" w:eastAsiaTheme="majorEastAsia" w:hAnsiTheme="majorHAnsi" w:cstheme="majorBidi"/>
          <w:sz w:val="24"/>
          <w:szCs w:val="24"/>
        </w:rPr>
      </w:pPr>
      <w:bookmarkStart w:id="50" w:name="_Toc73621072"/>
      <w:bookmarkStart w:id="51" w:name="_Toc73708259"/>
      <w:bookmarkStart w:id="52" w:name="_Toc73876898"/>
      <w:bookmarkStart w:id="53" w:name="_Toc83392648"/>
      <w:bookmarkStart w:id="54" w:name="_Toc83655631"/>
      <w:bookmarkStart w:id="55" w:name="_Toc83656462"/>
      <w:bookmarkStart w:id="56" w:name="_Toc88054494"/>
      <w:bookmarkStart w:id="57" w:name="_Toc176418328"/>
      <w:r w:rsidRPr="000F32B0">
        <w:rPr>
          <w:rFonts w:asciiTheme="majorHAnsi" w:eastAsiaTheme="majorEastAsia" w:hAnsiTheme="majorHAnsi" w:cstheme="majorBidi"/>
          <w:sz w:val="24"/>
          <w:szCs w:val="24"/>
        </w:rPr>
        <w:t>Modelling framework</w:t>
      </w:r>
      <w:bookmarkEnd w:id="50"/>
      <w:bookmarkEnd w:id="51"/>
      <w:bookmarkEnd w:id="52"/>
      <w:bookmarkEnd w:id="53"/>
      <w:bookmarkEnd w:id="54"/>
      <w:bookmarkEnd w:id="55"/>
      <w:bookmarkEnd w:id="56"/>
      <w:bookmarkEnd w:id="57"/>
    </w:p>
    <w:p w14:paraId="34231A81"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The data were </w:t>
      </w:r>
      <w:proofErr w:type="spellStart"/>
      <w:r w:rsidRPr="000F32B0">
        <w:rPr>
          <w:rFonts w:eastAsiaTheme="majorEastAsia"/>
          <w:sz w:val="24"/>
          <w:szCs w:val="24"/>
        </w:rPr>
        <w:t>analysed</w:t>
      </w:r>
      <w:proofErr w:type="spellEnd"/>
      <w:r w:rsidRPr="000F32B0">
        <w:rPr>
          <w:rFonts w:eastAsiaTheme="majorEastAsia"/>
          <w:sz w:val="24"/>
          <w:szCs w:val="24"/>
        </w:rPr>
        <w:t xml:space="preserve"> using a splined binomial regression model structure. The main model can be specified as follows:</w:t>
      </w:r>
    </w:p>
    <w:p w14:paraId="41BC9B02" w14:textId="77476CAE" w:rsidR="003170CE" w:rsidRPr="000F32B0" w:rsidRDefault="003170CE" w:rsidP="31F26954">
      <w:pPr>
        <w:spacing w:line="257" w:lineRule="auto"/>
        <w:rPr>
          <w:rFonts w:eastAsiaTheme="majorEastAsia"/>
          <w:sz w:val="24"/>
          <w:szCs w:val="24"/>
        </w:rPr>
      </w:pPr>
      <w:r w:rsidRPr="000F32B0">
        <w:rPr>
          <w:rFonts w:eastAsiaTheme="majorEastAsia" w:cstheme="minorHAnsi"/>
          <w:sz w:val="24"/>
          <w:szCs w:val="24"/>
        </w:rPr>
        <w:tab/>
      </w:r>
      <m:oMath>
        <m:r>
          <w:rPr>
            <w:rFonts w:ascii="Cambria Math" w:eastAsiaTheme="majorEastAsia" w:hAnsi="Cambria Math" w:cstheme="majorBidi"/>
            <w:sz w:val="24"/>
            <w:szCs w:val="24"/>
          </w:rPr>
          <m:t>P</m:t>
        </m:r>
        <m:d>
          <m:dPr>
            <m:ctrlPr>
              <w:rPr>
                <w:rFonts w:ascii="Cambria Math" w:eastAsiaTheme="majorEastAsia" w:hAnsi="Cambria Math" w:cstheme="majorBidi"/>
                <w:i/>
                <w:sz w:val="24"/>
                <w:szCs w:val="24"/>
              </w:rPr>
            </m:ctrlPr>
          </m:dPr>
          <m:e>
            <m:r>
              <w:rPr>
                <w:rFonts w:ascii="Cambria Math" w:eastAsiaTheme="majorEastAsia" w:hAnsi="Cambria Math" w:cstheme="majorBidi"/>
                <w:sz w:val="24"/>
                <w:szCs w:val="24"/>
              </w:rPr>
              <m:t>y|n,p</m:t>
            </m:r>
          </m:e>
        </m:d>
        <m:r>
          <w:rPr>
            <w:rFonts w:ascii="Cambria Math" w:eastAsiaTheme="majorEastAsia" w:hAnsi="Cambria Math" w:cstheme="majorBidi"/>
            <w:sz w:val="24"/>
            <w:szCs w:val="24"/>
          </w:rPr>
          <m:t>=</m:t>
        </m:r>
        <m:d>
          <m:dPr>
            <m:ctrlPr>
              <w:rPr>
                <w:rFonts w:ascii="Cambria Math" w:eastAsiaTheme="majorEastAsia" w:hAnsi="Cambria Math" w:cstheme="majorBidi"/>
                <w:i/>
                <w:sz w:val="24"/>
                <w:szCs w:val="24"/>
              </w:rPr>
            </m:ctrlPr>
          </m:dPr>
          <m:e>
            <m:m>
              <m:mPr>
                <m:mcs>
                  <m:mc>
                    <m:mcPr>
                      <m:count m:val="1"/>
                      <m:mcJc m:val="center"/>
                    </m:mcPr>
                  </m:mc>
                </m:mcs>
                <m:ctrlPr>
                  <w:rPr>
                    <w:rFonts w:ascii="Cambria Math" w:eastAsiaTheme="majorEastAsia" w:hAnsi="Cambria Math" w:cstheme="majorBidi"/>
                    <w:i/>
                    <w:sz w:val="24"/>
                    <w:szCs w:val="24"/>
                  </w:rPr>
                </m:ctrlPr>
              </m:mPr>
              <m:mr>
                <m:e>
                  <m:r>
                    <w:rPr>
                      <w:rFonts w:ascii="Cambria Math" w:eastAsiaTheme="majorEastAsia" w:hAnsi="Cambria Math" w:cstheme="majorBidi"/>
                      <w:sz w:val="24"/>
                      <w:szCs w:val="24"/>
                    </w:rPr>
                    <m:t>n</m:t>
                  </m:r>
                </m:e>
              </m:mr>
              <m:mr>
                <m:e>
                  <m:r>
                    <w:rPr>
                      <w:rFonts w:ascii="Cambria Math" w:eastAsiaTheme="majorEastAsia" w:hAnsi="Cambria Math" w:cstheme="majorBidi"/>
                      <w:sz w:val="24"/>
                      <w:szCs w:val="24"/>
                    </w:rPr>
                    <m:t>y</m:t>
                  </m:r>
                </m:e>
              </m:mr>
            </m:m>
          </m:e>
        </m:d>
        <m:sSup>
          <m:sSupPr>
            <m:ctrlPr>
              <w:rPr>
                <w:rFonts w:ascii="Cambria Math" w:eastAsiaTheme="majorEastAsia" w:hAnsi="Cambria Math" w:cstheme="majorBidi"/>
                <w:i/>
                <w:sz w:val="24"/>
                <w:szCs w:val="24"/>
              </w:rPr>
            </m:ctrlPr>
          </m:sSupPr>
          <m:e>
            <m:r>
              <w:rPr>
                <w:rFonts w:ascii="Cambria Math" w:eastAsiaTheme="majorEastAsia" w:hAnsi="Cambria Math" w:cstheme="majorBidi"/>
                <w:sz w:val="24"/>
                <w:szCs w:val="24"/>
              </w:rPr>
              <m:t>p</m:t>
            </m:r>
          </m:e>
          <m:sup>
            <m:r>
              <w:rPr>
                <w:rFonts w:ascii="Cambria Math" w:eastAsiaTheme="majorEastAsia" w:hAnsi="Cambria Math" w:cstheme="majorBidi"/>
                <w:sz w:val="24"/>
                <w:szCs w:val="24"/>
              </w:rPr>
              <m:t>y</m:t>
            </m:r>
          </m:sup>
        </m:sSup>
        <m:sSup>
          <m:sSupPr>
            <m:ctrlPr>
              <w:rPr>
                <w:rFonts w:ascii="Cambria Math" w:eastAsiaTheme="majorEastAsia" w:hAnsi="Cambria Math" w:cstheme="majorBidi"/>
                <w:i/>
                <w:sz w:val="24"/>
                <w:szCs w:val="24"/>
              </w:rPr>
            </m:ctrlPr>
          </m:sSupPr>
          <m:e>
            <m:d>
              <m:dPr>
                <m:ctrlPr>
                  <w:rPr>
                    <w:rFonts w:ascii="Cambria Math" w:eastAsiaTheme="majorEastAsia" w:hAnsi="Cambria Math" w:cstheme="majorBidi"/>
                    <w:i/>
                    <w:sz w:val="24"/>
                    <w:szCs w:val="24"/>
                  </w:rPr>
                </m:ctrlPr>
              </m:dPr>
              <m:e>
                <m:r>
                  <w:rPr>
                    <w:rFonts w:ascii="Cambria Math" w:eastAsiaTheme="majorEastAsia" w:hAnsi="Cambria Math" w:cstheme="majorBidi"/>
                    <w:sz w:val="24"/>
                    <w:szCs w:val="24"/>
                  </w:rPr>
                  <m:t>1-p</m:t>
                </m:r>
              </m:e>
            </m:d>
          </m:e>
          <m:sup>
            <m:r>
              <w:rPr>
                <w:rFonts w:ascii="Cambria Math" w:eastAsiaTheme="majorEastAsia" w:hAnsi="Cambria Math" w:cstheme="majorBidi"/>
                <w:sz w:val="24"/>
                <w:szCs w:val="24"/>
              </w:rPr>
              <m:t>n-y</m:t>
            </m:r>
          </m:sup>
        </m:sSup>
        <m:r>
          <w:rPr>
            <w:rFonts w:ascii="Cambria Math" w:eastAsiaTheme="majorEastAsia" w:hAnsi="Cambria Math" w:cstheme="majorBidi"/>
            <w:sz w:val="24"/>
            <w:szCs w:val="24"/>
          </w:rPr>
          <m:t>=</m:t>
        </m:r>
        <m:d>
          <m:dPr>
            <m:ctrlPr>
              <w:rPr>
                <w:rFonts w:ascii="Cambria Math" w:eastAsiaTheme="majorEastAsia" w:hAnsi="Cambria Math" w:cstheme="majorBidi"/>
                <w:i/>
                <w:sz w:val="24"/>
                <w:szCs w:val="24"/>
              </w:rPr>
            </m:ctrlPr>
          </m:dPr>
          <m:e>
            <m:m>
              <m:mPr>
                <m:mcs>
                  <m:mc>
                    <m:mcPr>
                      <m:count m:val="1"/>
                      <m:mcJc m:val="center"/>
                    </m:mcPr>
                  </m:mc>
                </m:mcs>
                <m:ctrlPr>
                  <w:rPr>
                    <w:rFonts w:ascii="Cambria Math" w:eastAsiaTheme="majorEastAsia" w:hAnsi="Cambria Math" w:cstheme="majorBidi"/>
                    <w:i/>
                    <w:sz w:val="24"/>
                    <w:szCs w:val="24"/>
                  </w:rPr>
                </m:ctrlPr>
              </m:mPr>
              <m:mr>
                <m:e>
                  <m:r>
                    <w:rPr>
                      <w:rFonts w:ascii="Cambria Math" w:eastAsiaTheme="majorEastAsia" w:hAnsi="Cambria Math" w:cstheme="majorBidi"/>
                      <w:sz w:val="24"/>
                      <w:szCs w:val="24"/>
                    </w:rPr>
                    <m:t>n</m:t>
                  </m:r>
                </m:e>
              </m:mr>
              <m:mr>
                <m:e>
                  <m:r>
                    <w:rPr>
                      <w:rFonts w:ascii="Cambria Math" w:eastAsiaTheme="majorEastAsia" w:hAnsi="Cambria Math" w:cstheme="majorBidi"/>
                      <w:sz w:val="24"/>
                      <w:szCs w:val="24"/>
                    </w:rPr>
                    <m:t>y</m:t>
                  </m:r>
                </m:e>
              </m:mr>
            </m:m>
          </m:e>
        </m:d>
        <m:func>
          <m:funcPr>
            <m:ctrlPr>
              <w:rPr>
                <w:rFonts w:ascii="Cambria Math" w:eastAsiaTheme="majorEastAsia" w:hAnsi="Cambria Math" w:cstheme="majorBidi"/>
                <w:sz w:val="24"/>
                <w:szCs w:val="24"/>
              </w:rPr>
            </m:ctrlPr>
          </m:funcPr>
          <m:fName>
            <m:r>
              <w:rPr>
                <w:rFonts w:ascii="Cambria Math" w:eastAsiaTheme="majorEastAsia" w:hAnsi="Cambria Math" w:cstheme="majorBidi"/>
                <w:sz w:val="24"/>
                <w:szCs w:val="24"/>
              </w:rPr>
              <m:t>exp</m:t>
            </m:r>
          </m:fName>
          <m:e>
            <m:d>
              <m:dPr>
                <m:ctrlPr>
                  <w:rPr>
                    <w:rFonts w:ascii="Cambria Math" w:eastAsiaTheme="majorEastAsia" w:hAnsi="Cambria Math" w:cstheme="majorBidi"/>
                    <w:sz w:val="24"/>
                    <w:szCs w:val="24"/>
                  </w:rPr>
                </m:ctrlPr>
              </m:dPr>
              <m:e>
                <m:r>
                  <w:rPr>
                    <w:rFonts w:ascii="Cambria Math" w:eastAsiaTheme="majorEastAsia" w:hAnsi="Cambria Math" w:cstheme="majorBidi"/>
                    <w:sz w:val="24"/>
                    <w:szCs w:val="24"/>
                  </w:rPr>
                  <m:t>y</m:t>
                </m:r>
                <m:func>
                  <m:funcPr>
                    <m:ctrlPr>
                      <w:rPr>
                        <w:rFonts w:ascii="Cambria Math" w:eastAsiaTheme="majorEastAsia" w:hAnsi="Cambria Math" w:cstheme="majorBidi"/>
                        <w:sz w:val="24"/>
                        <w:szCs w:val="24"/>
                      </w:rPr>
                    </m:ctrlPr>
                  </m:funcPr>
                  <m:fName>
                    <m:r>
                      <w:rPr>
                        <w:rFonts w:ascii="Cambria Math" w:eastAsiaTheme="majorEastAsia" w:hAnsi="Cambria Math" w:cstheme="majorBidi"/>
                        <w:sz w:val="24"/>
                        <w:szCs w:val="24"/>
                      </w:rPr>
                      <m:t>log</m:t>
                    </m:r>
                  </m:fName>
                  <m:e>
                    <m:d>
                      <m:dPr>
                        <m:ctrlPr>
                          <w:rPr>
                            <w:rFonts w:ascii="Cambria Math" w:eastAsiaTheme="majorEastAsia" w:hAnsi="Cambria Math" w:cstheme="majorBidi"/>
                            <w:sz w:val="24"/>
                            <w:szCs w:val="24"/>
                          </w:rPr>
                        </m:ctrlPr>
                      </m:dPr>
                      <m:e>
                        <m:f>
                          <m:fPr>
                            <m:ctrlPr>
                              <w:rPr>
                                <w:rFonts w:ascii="Cambria Math" w:eastAsiaTheme="majorEastAsia" w:hAnsi="Cambria Math" w:cstheme="majorBidi"/>
                                <w:sz w:val="24"/>
                                <w:szCs w:val="24"/>
                              </w:rPr>
                            </m:ctrlPr>
                          </m:fPr>
                          <m:num>
                            <m:r>
                              <w:rPr>
                                <w:rFonts w:ascii="Cambria Math" w:eastAsiaTheme="majorEastAsia" w:hAnsi="Cambria Math" w:cstheme="majorBidi"/>
                                <w:sz w:val="24"/>
                                <w:szCs w:val="24"/>
                              </w:rPr>
                              <m:t>p</m:t>
                            </m:r>
                          </m:num>
                          <m:den>
                            <m:r>
                              <w:rPr>
                                <w:rFonts w:ascii="Cambria Math" w:eastAsiaTheme="majorEastAsia" w:hAnsi="Cambria Math" w:cstheme="majorBidi"/>
                                <w:sz w:val="24"/>
                                <w:szCs w:val="24"/>
                              </w:rPr>
                              <m:t>1-p</m:t>
                            </m:r>
                          </m:den>
                        </m:f>
                      </m:e>
                    </m:d>
                    <m:r>
                      <w:rPr>
                        <w:rFonts w:ascii="Cambria Math" w:eastAsiaTheme="majorEastAsia" w:hAnsi="Cambria Math" w:cstheme="majorBidi"/>
                        <w:sz w:val="24"/>
                        <w:szCs w:val="24"/>
                      </w:rPr>
                      <m:t>+n</m:t>
                    </m:r>
                    <m:func>
                      <m:funcPr>
                        <m:ctrlPr>
                          <w:rPr>
                            <w:rFonts w:ascii="Cambria Math" w:eastAsiaTheme="majorEastAsia" w:hAnsi="Cambria Math" w:cstheme="majorBidi"/>
                            <w:sz w:val="24"/>
                            <w:szCs w:val="24"/>
                          </w:rPr>
                        </m:ctrlPr>
                      </m:funcPr>
                      <m:fName>
                        <m:r>
                          <w:rPr>
                            <w:rFonts w:ascii="Cambria Math" w:eastAsiaTheme="majorEastAsia" w:hAnsi="Cambria Math" w:cstheme="majorBidi"/>
                            <w:sz w:val="24"/>
                            <w:szCs w:val="24"/>
                          </w:rPr>
                          <m:t>log</m:t>
                        </m:r>
                      </m:fName>
                      <m:e>
                        <m:d>
                          <m:dPr>
                            <m:ctrlPr>
                              <w:rPr>
                                <w:rFonts w:ascii="Cambria Math" w:eastAsiaTheme="majorEastAsia" w:hAnsi="Cambria Math" w:cstheme="majorBidi"/>
                                <w:sz w:val="24"/>
                                <w:szCs w:val="24"/>
                              </w:rPr>
                            </m:ctrlPr>
                          </m:dPr>
                          <m:e>
                            <m:r>
                              <w:rPr>
                                <w:rFonts w:ascii="Cambria Math" w:eastAsiaTheme="majorEastAsia" w:hAnsi="Cambria Math" w:cstheme="majorBidi"/>
                                <w:sz w:val="24"/>
                                <w:szCs w:val="24"/>
                              </w:rPr>
                              <m:t>1-p</m:t>
                            </m:r>
                          </m:e>
                        </m:d>
                      </m:e>
                    </m:func>
                  </m:e>
                </m:func>
              </m:e>
            </m:d>
          </m:e>
        </m:func>
      </m:oMath>
      <w:r w:rsidRPr="000F32B0">
        <w:rPr>
          <w:rFonts w:eastAsiaTheme="majorEastAsia"/>
          <w:sz w:val="24"/>
          <w:szCs w:val="24"/>
        </w:rPr>
        <w:t xml:space="preserve">, </w:t>
      </w:r>
      <w:r w:rsidRPr="000F32B0">
        <w:tab/>
      </w:r>
      <w:r w:rsidRPr="000F32B0">
        <w:rPr>
          <w:rFonts w:eastAsiaTheme="majorEastAsia"/>
          <w:sz w:val="24"/>
          <w:szCs w:val="24"/>
        </w:rPr>
        <w:t xml:space="preserve">(5.4.1) </w:t>
      </w:r>
    </w:p>
    <w:p w14:paraId="7B9374E3" w14:textId="525D0B25"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with parameterization </w:t>
      </w:r>
      <m:oMath>
        <m:func>
          <m:funcPr>
            <m:ctrlPr>
              <w:rPr>
                <w:rFonts w:ascii="Cambria Math" w:eastAsiaTheme="majorEastAsia" w:hAnsi="Cambria Math" w:cstheme="majorBidi"/>
                <w:sz w:val="24"/>
                <w:szCs w:val="24"/>
              </w:rPr>
            </m:ctrlPr>
          </m:funcPr>
          <m:fName>
            <m:r>
              <w:rPr>
                <w:rFonts w:ascii="Cambria Math" w:eastAsiaTheme="majorEastAsia" w:hAnsi="Cambria Math" w:cstheme="majorBidi"/>
                <w:sz w:val="24"/>
                <w:szCs w:val="24"/>
              </w:rPr>
              <m:t>logit</m:t>
            </m:r>
            <m:d>
              <m:dPr>
                <m:ctrlPr>
                  <w:rPr>
                    <w:rFonts w:ascii="Cambria Math" w:eastAsiaTheme="majorEastAsia" w:hAnsi="Cambria Math" w:cstheme="majorBidi"/>
                    <w:sz w:val="24"/>
                    <w:szCs w:val="24"/>
                  </w:rPr>
                </m:ctrlPr>
              </m:dPr>
              <m:e>
                <m:r>
                  <w:rPr>
                    <w:rFonts w:ascii="Cambria Math" w:eastAsiaTheme="majorEastAsia" w:hAnsi="Cambria Math" w:cstheme="majorBidi"/>
                    <w:sz w:val="24"/>
                    <w:szCs w:val="24"/>
                  </w:rPr>
                  <m:t>p</m:t>
                </m:r>
              </m:e>
            </m:d>
            <m:r>
              <w:rPr>
                <w:rFonts w:ascii="Cambria Math" w:eastAsiaTheme="majorEastAsia" w:hAnsi="Cambria Math" w:cstheme="majorBidi"/>
                <w:sz w:val="24"/>
                <w:szCs w:val="24"/>
              </w:rPr>
              <m:t>=log</m:t>
            </m:r>
          </m:fName>
          <m:e>
            <m:d>
              <m:dPr>
                <m:ctrlPr>
                  <w:rPr>
                    <w:rFonts w:ascii="Cambria Math" w:eastAsiaTheme="majorEastAsia" w:hAnsi="Cambria Math" w:cstheme="majorBidi"/>
                    <w:sz w:val="24"/>
                    <w:szCs w:val="24"/>
                  </w:rPr>
                </m:ctrlPr>
              </m:dPr>
              <m:e>
                <m:f>
                  <m:fPr>
                    <m:ctrlPr>
                      <w:rPr>
                        <w:rFonts w:ascii="Cambria Math" w:eastAsiaTheme="majorEastAsia" w:hAnsi="Cambria Math" w:cstheme="majorBidi"/>
                        <w:sz w:val="24"/>
                        <w:szCs w:val="24"/>
                      </w:rPr>
                    </m:ctrlPr>
                  </m:fPr>
                  <m:num>
                    <m:r>
                      <w:rPr>
                        <w:rFonts w:ascii="Cambria Math" w:eastAsiaTheme="majorEastAsia" w:hAnsi="Cambria Math" w:cstheme="majorBidi"/>
                        <w:sz w:val="24"/>
                        <w:szCs w:val="24"/>
                      </w:rPr>
                      <m:t>p</m:t>
                    </m:r>
                  </m:num>
                  <m:den>
                    <m:r>
                      <w:rPr>
                        <w:rFonts w:ascii="Cambria Math" w:eastAsiaTheme="majorEastAsia" w:hAnsi="Cambria Math" w:cstheme="majorBidi"/>
                        <w:sz w:val="24"/>
                        <w:szCs w:val="24"/>
                      </w:rPr>
                      <m:t>1-p</m:t>
                    </m:r>
                  </m:den>
                </m:f>
              </m:e>
            </m:d>
          </m:e>
        </m:func>
        <m:r>
          <w:rPr>
            <w:rFonts w:ascii="Cambria Math" w:eastAsiaTheme="majorEastAsia" w:hAnsi="Cambria Math" w:cstheme="majorBidi"/>
            <w:sz w:val="24"/>
            <w:szCs w:val="24"/>
          </w:rPr>
          <m:t>=</m:t>
        </m:r>
        <m:d>
          <m:dPr>
            <m:begChr m:val="〈"/>
            <m:endChr m:val="〉"/>
            <m:ctrlPr>
              <w:rPr>
                <w:rFonts w:ascii="Cambria Math" w:eastAsiaTheme="majorEastAsia" w:hAnsi="Cambria Math" w:cstheme="majorBidi"/>
                <w:sz w:val="24"/>
                <w:szCs w:val="24"/>
              </w:rPr>
            </m:ctrlPr>
          </m:dPr>
          <m:e>
            <m:r>
              <w:rPr>
                <w:rFonts w:ascii="Cambria Math" w:eastAsiaTheme="majorEastAsia" w:hAnsi="Cambria Math" w:cstheme="majorBidi"/>
                <w:sz w:val="24"/>
                <w:szCs w:val="24"/>
              </w:rPr>
              <m:t>x,β</m:t>
            </m:r>
          </m:e>
        </m:d>
      </m:oMath>
      <w:r w:rsidRPr="000F32B0">
        <w:rPr>
          <w:rFonts w:eastAsiaTheme="majorEastAsia"/>
          <w:sz w:val="24"/>
          <w:szCs w:val="24"/>
        </w:rPr>
        <w:t>.,</w:t>
      </w:r>
    </w:p>
    <w:p w14:paraId="62F82E82" w14:textId="366CD9B3"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Where logit is the link function, and </w:t>
      </w:r>
      <m:oMath>
        <m:d>
          <m:dPr>
            <m:begChr m:val="〈"/>
            <m:endChr m:val="〉"/>
            <m:ctrlPr>
              <w:rPr>
                <w:rFonts w:ascii="Cambria Math" w:eastAsiaTheme="majorEastAsia" w:hAnsi="Cambria Math" w:cstheme="majorBidi"/>
                <w:i/>
                <w:sz w:val="24"/>
                <w:szCs w:val="24"/>
              </w:rPr>
            </m:ctrlPr>
          </m:dPr>
          <m:e>
            <m:r>
              <w:rPr>
                <w:rFonts w:ascii="Cambria Math" w:eastAsiaTheme="majorEastAsia" w:hAnsi="Cambria Math" w:cstheme="majorBidi"/>
                <w:sz w:val="24"/>
                <w:szCs w:val="24"/>
              </w:rPr>
              <m:t>x,β</m:t>
            </m:r>
          </m:e>
        </m:d>
      </m:oMath>
      <w:r w:rsidRPr="000F32B0">
        <w:rPr>
          <w:rFonts w:eastAsiaTheme="majorEastAsia"/>
          <w:sz w:val="24"/>
          <w:szCs w:val="24"/>
        </w:rPr>
        <w:t xml:space="preserve"> is the linear predictor, an example with:</w:t>
      </w:r>
    </w:p>
    <w:p w14:paraId="661D2FC7" w14:textId="149826AD" w:rsidR="003170CE" w:rsidRPr="000F32B0" w:rsidRDefault="005551EC" w:rsidP="31F26954">
      <w:pPr>
        <w:numPr>
          <w:ilvl w:val="0"/>
          <w:numId w:val="14"/>
        </w:numPr>
        <w:spacing w:line="257" w:lineRule="auto"/>
        <w:rPr>
          <w:rFonts w:eastAsiaTheme="majorEastAsia"/>
          <w:sz w:val="24"/>
          <w:szCs w:val="24"/>
        </w:rPr>
      </w:pPr>
      <m:oMath>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y</m:t>
            </m:r>
          </m:e>
          <m:sub>
            <m:r>
              <w:rPr>
                <w:rFonts w:ascii="Cambria Math" w:eastAsiaTheme="majorEastAsia" w:hAnsi="Cambria Math" w:cstheme="majorBidi"/>
                <w:sz w:val="24"/>
                <w:szCs w:val="24"/>
              </w:rPr>
              <m:t>i</m:t>
            </m:r>
          </m:sub>
        </m:sSub>
      </m:oMath>
      <w:r w:rsidR="003170CE" w:rsidRPr="000F32B0">
        <w:rPr>
          <w:rFonts w:eastAsiaTheme="majorEastAsia"/>
          <w:sz w:val="24"/>
          <w:szCs w:val="24"/>
        </w:rPr>
        <w:t xml:space="preserve"> contains numbers of observed deaths source </w:t>
      </w:r>
      <m:oMath>
        <m:r>
          <w:rPr>
            <w:rFonts w:ascii="Cambria Math" w:eastAsiaTheme="majorEastAsia" w:hAnsi="Cambria Math" w:cstheme="majorBidi"/>
            <w:sz w:val="24"/>
            <w:szCs w:val="24"/>
          </w:rPr>
          <m:t>i</m:t>
        </m:r>
      </m:oMath>
    </w:p>
    <w:p w14:paraId="08BEDD7B" w14:textId="475CE8BC" w:rsidR="003170CE" w:rsidRPr="000F32B0" w:rsidRDefault="003170CE" w:rsidP="31F26954">
      <w:pPr>
        <w:numPr>
          <w:ilvl w:val="0"/>
          <w:numId w:val="14"/>
        </w:numPr>
        <w:spacing w:line="257" w:lineRule="auto"/>
        <w:rPr>
          <w:rFonts w:eastAsiaTheme="majorEastAsia"/>
          <w:sz w:val="24"/>
          <w:szCs w:val="24"/>
        </w:rPr>
      </w:pPr>
      <w:r w:rsidRPr="000F32B0">
        <w:rPr>
          <w:rFonts w:eastAsiaTheme="majorEastAsia"/>
          <w:sz w:val="24"/>
          <w:szCs w:val="24"/>
        </w:rPr>
        <w:t xml:space="preserve">The </w:t>
      </w:r>
      <m:oMath>
        <m:d>
          <m:dPr>
            <m:begChr m:val="〈"/>
            <m:endChr m:val="〉"/>
            <m:ctrlPr>
              <w:rPr>
                <w:rFonts w:ascii="Cambria Math" w:eastAsiaTheme="majorEastAsia" w:hAnsi="Cambria Math" w:cstheme="majorBidi"/>
                <w:i/>
                <w:sz w:val="24"/>
                <w:szCs w:val="24"/>
              </w:rPr>
            </m:ctrlPr>
          </m:dPr>
          <m:e>
            <m:r>
              <w:rPr>
                <w:rFonts w:ascii="Cambria Math" w:eastAsiaTheme="majorEastAsia" w:hAnsi="Cambria Math" w:cstheme="majorBidi"/>
                <w:sz w:val="24"/>
                <w:szCs w:val="24"/>
              </w:rPr>
              <m:t>x,β</m:t>
            </m:r>
          </m:e>
        </m:d>
      </m:oMath>
      <w:r w:rsidRPr="000F32B0">
        <w:rPr>
          <w:rFonts w:eastAsiaTheme="majorEastAsia"/>
          <w:sz w:val="24"/>
          <w:szCs w:val="24"/>
        </w:rPr>
        <w:t xml:space="preserve"> covariates:</w:t>
      </w:r>
    </w:p>
    <w:p w14:paraId="1D4378A6" w14:textId="77777777" w:rsidR="003170CE" w:rsidRPr="000F32B0" w:rsidRDefault="003170CE" w:rsidP="31F26954">
      <w:pPr>
        <w:numPr>
          <w:ilvl w:val="1"/>
          <w:numId w:val="14"/>
        </w:numPr>
        <w:spacing w:line="257" w:lineRule="auto"/>
        <w:rPr>
          <w:rFonts w:eastAsiaTheme="majorEastAsia"/>
          <w:sz w:val="24"/>
          <w:szCs w:val="24"/>
        </w:rPr>
      </w:pPr>
      <w:r w:rsidRPr="000F32B0">
        <w:rPr>
          <w:rFonts w:eastAsiaTheme="majorEastAsia"/>
          <w:sz w:val="24"/>
          <w:szCs w:val="24"/>
        </w:rPr>
        <w:t>in all models:</w:t>
      </w:r>
    </w:p>
    <w:p w14:paraId="40783E4A"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HAQ Index</w:t>
      </w:r>
    </w:p>
    <w:p w14:paraId="5FFA6962"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dummy-coded indicator for age group</w:t>
      </w:r>
    </w:p>
    <w:p w14:paraId="24A9BFE7"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dummy-coded ICU indicator for data source (1 if data source only compiles information on ICU patients, 0 if a mix between ICU/non-ICU patients)</w:t>
      </w:r>
    </w:p>
    <w:p w14:paraId="1F33B898" w14:textId="77777777" w:rsidR="003170CE" w:rsidRPr="000F32B0" w:rsidRDefault="003170CE" w:rsidP="31F26954">
      <w:pPr>
        <w:numPr>
          <w:ilvl w:val="1"/>
          <w:numId w:val="14"/>
        </w:numPr>
        <w:spacing w:line="257" w:lineRule="auto"/>
        <w:rPr>
          <w:rFonts w:eastAsiaTheme="majorEastAsia"/>
          <w:sz w:val="24"/>
          <w:szCs w:val="24"/>
        </w:rPr>
      </w:pPr>
      <w:r w:rsidRPr="000F32B0">
        <w:rPr>
          <w:rFonts w:eastAsiaTheme="majorEastAsia"/>
          <w:sz w:val="24"/>
          <w:szCs w:val="24"/>
        </w:rPr>
        <w:t>in ‘intercept’ models only:</w:t>
      </w:r>
    </w:p>
    <w:p w14:paraId="1E3D5120"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dummy-coded indicator for pathogen</w:t>
      </w:r>
    </w:p>
    <w:p w14:paraId="315DEB0E" w14:textId="77777777" w:rsidR="003170CE" w:rsidRPr="000F32B0" w:rsidRDefault="003170CE" w:rsidP="31F26954">
      <w:pPr>
        <w:numPr>
          <w:ilvl w:val="1"/>
          <w:numId w:val="14"/>
        </w:numPr>
        <w:spacing w:line="257" w:lineRule="auto"/>
        <w:rPr>
          <w:rFonts w:eastAsiaTheme="majorEastAsia"/>
          <w:sz w:val="24"/>
          <w:szCs w:val="24"/>
        </w:rPr>
      </w:pPr>
      <w:r w:rsidRPr="000F32B0">
        <w:rPr>
          <w:rFonts w:eastAsiaTheme="majorEastAsia"/>
          <w:sz w:val="24"/>
          <w:szCs w:val="24"/>
        </w:rPr>
        <w:t>in ‘family’ models only:</w:t>
      </w:r>
    </w:p>
    <w:p w14:paraId="7B0F34ED"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dummy-coded indicator for pathogen taxonomic category</w:t>
      </w:r>
    </w:p>
    <w:p w14:paraId="116E54D2" w14:textId="77777777" w:rsidR="003170CE" w:rsidRPr="000F32B0" w:rsidRDefault="003170CE" w:rsidP="31F26954">
      <w:pPr>
        <w:numPr>
          <w:ilvl w:val="1"/>
          <w:numId w:val="14"/>
        </w:numPr>
        <w:spacing w:line="257" w:lineRule="auto"/>
        <w:rPr>
          <w:rFonts w:eastAsiaTheme="majorEastAsia"/>
          <w:sz w:val="24"/>
          <w:szCs w:val="24"/>
        </w:rPr>
      </w:pPr>
      <w:r w:rsidRPr="000F32B0">
        <w:rPr>
          <w:rFonts w:eastAsiaTheme="majorEastAsia"/>
          <w:sz w:val="24"/>
          <w:szCs w:val="24"/>
        </w:rPr>
        <w:t>in models evaluating community/hospital-acquired infection (LRI+, UTI):</w:t>
      </w:r>
    </w:p>
    <w:p w14:paraId="50B8C558" w14:textId="77777777" w:rsidR="003170CE" w:rsidRPr="000F32B0" w:rsidRDefault="003170CE" w:rsidP="31F26954">
      <w:pPr>
        <w:numPr>
          <w:ilvl w:val="2"/>
          <w:numId w:val="14"/>
        </w:numPr>
        <w:spacing w:line="257" w:lineRule="auto"/>
        <w:rPr>
          <w:rFonts w:eastAsiaTheme="majorEastAsia"/>
          <w:sz w:val="24"/>
          <w:szCs w:val="24"/>
        </w:rPr>
      </w:pPr>
      <w:r w:rsidRPr="000F32B0">
        <w:rPr>
          <w:rFonts w:eastAsiaTheme="majorEastAsia"/>
          <w:sz w:val="24"/>
          <w:szCs w:val="24"/>
        </w:rPr>
        <w:t>dummy-coded variable indicating source of infection (1 if unknown source, 0 if community- OR hospital-acquired, depending on whether the model is evaluating community or hospital infections)</w:t>
      </w:r>
    </w:p>
    <w:p w14:paraId="5B779EA1" w14:textId="77777777" w:rsidR="003170CE" w:rsidRPr="000F32B0" w:rsidRDefault="003170CE" w:rsidP="31F26954">
      <w:pPr>
        <w:numPr>
          <w:ilvl w:val="1"/>
          <w:numId w:val="14"/>
        </w:numPr>
        <w:spacing w:line="257" w:lineRule="auto"/>
        <w:rPr>
          <w:rFonts w:eastAsiaTheme="majorEastAsia"/>
          <w:i/>
          <w:iCs/>
          <w:sz w:val="24"/>
          <w:szCs w:val="24"/>
        </w:rPr>
      </w:pPr>
      <w:r w:rsidRPr="000F32B0">
        <w:rPr>
          <w:rFonts w:eastAsiaTheme="majorEastAsia"/>
          <w:sz w:val="24"/>
          <w:szCs w:val="24"/>
        </w:rPr>
        <w:t xml:space="preserve">in models that included either </w:t>
      </w:r>
      <w:r w:rsidRPr="000F32B0">
        <w:rPr>
          <w:rFonts w:eastAsiaTheme="majorEastAsia"/>
          <w:i/>
          <w:iCs/>
          <w:sz w:val="24"/>
          <w:szCs w:val="24"/>
        </w:rPr>
        <w:t>Streptococcus pneumoniae</w:t>
      </w:r>
      <w:r w:rsidRPr="000F32B0">
        <w:rPr>
          <w:rFonts w:eastAsiaTheme="majorEastAsia"/>
          <w:sz w:val="24"/>
          <w:szCs w:val="24"/>
        </w:rPr>
        <w:t xml:space="preserve"> and/or </w:t>
      </w:r>
      <w:proofErr w:type="spellStart"/>
      <w:r w:rsidRPr="000F32B0">
        <w:rPr>
          <w:rFonts w:eastAsiaTheme="majorEastAsia"/>
          <w:i/>
          <w:iCs/>
          <w:sz w:val="24"/>
          <w:szCs w:val="24"/>
        </w:rPr>
        <w:t>Haemophilus</w:t>
      </w:r>
      <w:proofErr w:type="spellEnd"/>
      <w:r w:rsidRPr="000F32B0">
        <w:rPr>
          <w:rFonts w:eastAsiaTheme="majorEastAsia"/>
          <w:i/>
          <w:iCs/>
          <w:sz w:val="24"/>
          <w:szCs w:val="24"/>
        </w:rPr>
        <w:t xml:space="preserve"> influenzae</w:t>
      </w:r>
      <w:r w:rsidRPr="000F32B0">
        <w:rPr>
          <w:rFonts w:eastAsiaTheme="majorEastAsia"/>
          <w:sz w:val="24"/>
          <w:szCs w:val="24"/>
        </w:rPr>
        <w:t>:</w:t>
      </w:r>
    </w:p>
    <w:p w14:paraId="170D6247" w14:textId="77777777" w:rsidR="003170CE" w:rsidRPr="000F32B0" w:rsidRDefault="003170CE" w:rsidP="31F26954">
      <w:pPr>
        <w:numPr>
          <w:ilvl w:val="2"/>
          <w:numId w:val="14"/>
        </w:numPr>
        <w:spacing w:line="257" w:lineRule="auto"/>
        <w:rPr>
          <w:rFonts w:eastAsiaTheme="majorEastAsia"/>
          <w:i/>
          <w:iCs/>
          <w:sz w:val="24"/>
          <w:szCs w:val="24"/>
        </w:rPr>
      </w:pPr>
      <w:r w:rsidRPr="000F32B0">
        <w:rPr>
          <w:rFonts w:eastAsiaTheme="majorEastAsia"/>
          <w:sz w:val="24"/>
          <w:szCs w:val="24"/>
        </w:rPr>
        <w:t xml:space="preserve">continuous variable(s) indicating the vaccine coverage for a given location-year, which is specific to the pathogen in question (PCV3 for </w:t>
      </w:r>
      <w:r w:rsidRPr="000F32B0">
        <w:rPr>
          <w:rFonts w:eastAsiaTheme="majorEastAsia"/>
          <w:i/>
          <w:iCs/>
          <w:sz w:val="24"/>
          <w:szCs w:val="24"/>
        </w:rPr>
        <w:t>S. pneumoniae</w:t>
      </w:r>
      <w:r w:rsidRPr="000F32B0">
        <w:rPr>
          <w:rFonts w:eastAsiaTheme="majorEastAsia"/>
          <w:sz w:val="24"/>
          <w:szCs w:val="24"/>
        </w:rPr>
        <w:t xml:space="preserve"> or Hib3 for </w:t>
      </w:r>
      <w:r w:rsidRPr="000F32B0">
        <w:rPr>
          <w:rFonts w:eastAsiaTheme="majorEastAsia"/>
          <w:i/>
          <w:iCs/>
          <w:sz w:val="24"/>
          <w:szCs w:val="24"/>
        </w:rPr>
        <w:t>H. influenzae</w:t>
      </w:r>
      <w:r w:rsidRPr="000F32B0">
        <w:rPr>
          <w:rFonts w:eastAsiaTheme="majorEastAsia"/>
          <w:sz w:val="24"/>
          <w:szCs w:val="24"/>
        </w:rPr>
        <w:t>).</w:t>
      </w:r>
    </w:p>
    <w:p w14:paraId="778004D2" w14:textId="2D901FC7" w:rsidR="003170CE" w:rsidRPr="000F32B0" w:rsidRDefault="003170CE" w:rsidP="31F26954">
      <w:pPr>
        <w:spacing w:line="257" w:lineRule="auto"/>
        <w:rPr>
          <w:rFonts w:eastAsiaTheme="majorEastAsia"/>
          <w:sz w:val="24"/>
          <w:szCs w:val="24"/>
        </w:rPr>
      </w:pPr>
      <w:r w:rsidRPr="000F32B0">
        <w:rPr>
          <w:rFonts w:eastAsiaTheme="majorEastAsia"/>
          <w:sz w:val="24"/>
          <w:szCs w:val="24"/>
        </w:rPr>
        <w:t>The underlying program used to fit the model (</w:t>
      </w:r>
      <w:proofErr w:type="spellStart"/>
      <w:r w:rsidRPr="000F32B0">
        <w:rPr>
          <w:rFonts w:eastAsiaTheme="majorEastAsia"/>
          <w:sz w:val="24"/>
          <w:szCs w:val="24"/>
        </w:rPr>
        <w:t>RegMod</w:t>
      </w:r>
      <w:proofErr w:type="spellEnd"/>
      <w:r w:rsidRPr="000F32B0">
        <w:rPr>
          <w:rFonts w:eastAsiaTheme="majorEastAsia"/>
          <w:sz w:val="24"/>
          <w:szCs w:val="24"/>
        </w:rPr>
        <w:t>) is described elsewhere.</w:t>
      </w:r>
      <w:r w:rsidRPr="000F32B0">
        <w:rPr>
          <w:rFonts w:eastAsiaTheme="majorEastAsia"/>
          <w:sz w:val="24"/>
          <w:szCs w:val="24"/>
        </w:rPr>
        <w:fldChar w:fldCharType="begin"/>
      </w:r>
      <w:r w:rsidR="00777247" w:rsidRPr="000F32B0">
        <w:rPr>
          <w:rFonts w:eastAsiaTheme="majorEastAsia"/>
          <w:sz w:val="24"/>
          <w:szCs w:val="24"/>
        </w:rPr>
        <w:instrText xml:space="preserve"> ADDIN ZOTERO_ITEM CSL_CITATION {"citationID":"op5lIah1","properties":{"formattedCitation":"\\super 5\\nosupersub{}","plainCitation":"5","noteIndex":0},"citationItems":[{"id":"2r5qN3V4/PVguBXlg","uris":["http://zotero.org/groups/2154524/items/MSXYGFTD"],"itemData":{"id":41137,"type":"report","title":"RegMod v0.2.0.","URL":"https://github.com/ihmeuw-msca/regmod/tree/v0.2.0.","author":[{"literal":"IHME Math Sciences"}],"accessed":{"date-parts":[["2024",6,7]]},"issued":{"date-parts":[["2023"]]}}}],"schema":"https://github.com/citation-style-language/schema/raw/master/csl-citation.json"} </w:instrText>
      </w:r>
      <w:r w:rsidRPr="000F32B0">
        <w:rPr>
          <w:rFonts w:eastAsiaTheme="majorEastAsia"/>
          <w:sz w:val="24"/>
          <w:szCs w:val="24"/>
        </w:rPr>
        <w:fldChar w:fldCharType="separate"/>
      </w:r>
      <w:r w:rsidR="00777247" w:rsidRPr="000F32B0">
        <w:rPr>
          <w:rFonts w:ascii="Calibri" w:hAnsi="Calibri" w:cs="Calibri"/>
          <w:sz w:val="24"/>
          <w:szCs w:val="24"/>
          <w:vertAlign w:val="superscript"/>
        </w:rPr>
        <w:t>5</w:t>
      </w:r>
      <w:r w:rsidRPr="000F32B0">
        <w:rPr>
          <w:rFonts w:eastAsiaTheme="majorEastAsia"/>
          <w:sz w:val="24"/>
          <w:szCs w:val="24"/>
        </w:rPr>
        <w:fldChar w:fldCharType="end"/>
      </w:r>
      <w:r w:rsidRPr="000F32B0">
        <w:rPr>
          <w:rFonts w:eastAsiaTheme="majorEastAsia"/>
          <w:sz w:val="24"/>
          <w:szCs w:val="24"/>
        </w:rPr>
        <w:t xml:space="preserve"> The program allows specification of splines and/or priors on </w:t>
      </w:r>
      <m:oMath>
        <m:r>
          <w:rPr>
            <w:rFonts w:ascii="Cambria Math" w:eastAsiaTheme="majorEastAsia" w:hAnsi="Cambria Math" w:cstheme="majorBidi"/>
            <w:sz w:val="24"/>
            <w:szCs w:val="24"/>
          </w:rPr>
          <m:t>β</m:t>
        </m:r>
      </m:oMath>
      <w:r w:rsidRPr="000F32B0">
        <w:rPr>
          <w:rFonts w:eastAsiaTheme="majorEastAsia"/>
          <w:sz w:val="24"/>
          <w:szCs w:val="24"/>
        </w:rPr>
        <w:t>.</w:t>
      </w:r>
    </w:p>
    <w:p w14:paraId="0545F3FD" w14:textId="2348B6D1"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Prior and spline on </w:t>
      </w:r>
      <m:oMath>
        <m:r>
          <w:rPr>
            <w:rFonts w:ascii="Cambria Math" w:eastAsiaTheme="majorEastAsia" w:hAnsi="Cambria Math" w:cstheme="majorBidi"/>
            <w:sz w:val="24"/>
            <w:szCs w:val="24"/>
          </w:rPr>
          <m:t>β</m:t>
        </m:r>
      </m:oMath>
      <w:r w:rsidRPr="000F32B0">
        <w:rPr>
          <w:rFonts w:eastAsiaTheme="majorEastAsia"/>
          <w:sz w:val="24"/>
          <w:szCs w:val="24"/>
        </w:rPr>
        <w:t xml:space="preserve"> for HAQ Index: There was a high degree of skewness in the distribution of HAQ Index values, with available data belonging predominantly to countries and years with an HAQ Index over 0.7. Without adjustment, initial model results indicated unrealistically high CFRs in low HAQ Index countries relative to high HAQ Index countries in some cases. To attenuate the effect of HAQ Index in these models we implemented a cubic spline with Gaussian and uniform priors on the HAQ Index. The spline allows for control of this variable while maintaining some degree of flexibility, with knots at the minimum and maximum HAQ Index values, and for the 20</w:t>
      </w:r>
      <w:r w:rsidRPr="000F32B0">
        <w:rPr>
          <w:rFonts w:eastAsiaTheme="majorEastAsia"/>
          <w:sz w:val="24"/>
          <w:szCs w:val="24"/>
          <w:vertAlign w:val="superscript"/>
        </w:rPr>
        <w:t>th</w:t>
      </w:r>
      <w:r w:rsidRPr="000F32B0">
        <w:rPr>
          <w:rFonts w:eastAsiaTheme="majorEastAsia"/>
          <w:sz w:val="24"/>
          <w:szCs w:val="24"/>
        </w:rPr>
        <w:t xml:space="preserve"> and 60</w:t>
      </w:r>
      <w:r w:rsidRPr="000F32B0">
        <w:rPr>
          <w:rFonts w:eastAsiaTheme="majorEastAsia"/>
          <w:sz w:val="24"/>
          <w:szCs w:val="24"/>
          <w:vertAlign w:val="superscript"/>
        </w:rPr>
        <w:t>th</w:t>
      </w:r>
      <w:r w:rsidRPr="000F32B0">
        <w:rPr>
          <w:rFonts w:eastAsiaTheme="majorEastAsia"/>
          <w:sz w:val="24"/>
          <w:szCs w:val="24"/>
        </w:rPr>
        <w:t xml:space="preserve"> percentile. We used a Gaussian prior with mean 0 and standard </w:t>
      </w:r>
      <w:proofErr w:type="spellStart"/>
      <w:r w:rsidRPr="000F32B0">
        <w:rPr>
          <w:rFonts w:eastAsiaTheme="majorEastAsia"/>
          <w:sz w:val="24"/>
          <w:szCs w:val="24"/>
        </w:rPr>
        <w:t>diviation</w:t>
      </w:r>
      <w:proofErr w:type="spellEnd"/>
      <w:r w:rsidRPr="000F32B0">
        <w:rPr>
          <w:rFonts w:eastAsiaTheme="majorEastAsia"/>
          <w:sz w:val="24"/>
          <w:szCs w:val="24"/>
        </w:rPr>
        <w:t xml:space="preserve"> 0.1. For the individual models the standard deviation of the prior was increased in a reverse relationship to the proportion of cases available to the model in contrast to the total amount of cases available within the syndrome as, </w:t>
      </w:r>
      <m:oMath>
        <m:f>
          <m:fPr>
            <m:ctrlPr>
              <w:rPr>
                <w:rFonts w:ascii="Cambria Math" w:eastAsiaTheme="majorEastAsia" w:hAnsi="Cambria Math" w:cstheme="majorBidi"/>
                <w:i/>
                <w:sz w:val="24"/>
                <w:szCs w:val="24"/>
              </w:rPr>
            </m:ctrlPr>
          </m:fPr>
          <m:num>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w</m:t>
                </m:r>
              </m:e>
              <m:sub>
                <m:r>
                  <w:rPr>
                    <w:rFonts w:ascii="Cambria Math" w:eastAsiaTheme="majorEastAsia" w:hAnsi="Cambria Math" w:cstheme="majorBidi"/>
                    <w:sz w:val="24"/>
                    <w:szCs w:val="24"/>
                  </w:rPr>
                  <m:t>pathogen</m:t>
                </m:r>
              </m:sub>
            </m:sSub>
          </m:num>
          <m:den>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w</m:t>
                </m:r>
              </m:e>
              <m:sub>
                <m:r>
                  <w:rPr>
                    <w:rFonts w:ascii="Cambria Math" w:eastAsiaTheme="majorEastAsia" w:hAnsi="Cambria Math" w:cstheme="majorBidi"/>
                    <w:sz w:val="24"/>
                    <w:szCs w:val="24"/>
                  </w:rPr>
                  <m:t>syndrome</m:t>
                </m:r>
              </m:sub>
            </m:sSub>
          </m:den>
        </m:f>
        <m:r>
          <w:rPr>
            <w:rFonts w:ascii="Cambria Math" w:eastAsiaTheme="majorEastAsia" w:hAnsi="Cambria Math" w:cstheme="majorBidi"/>
            <w:sz w:val="24"/>
            <w:szCs w:val="24"/>
          </w:rPr>
          <m:t>,</m:t>
        </m:r>
      </m:oMath>
      <w:r w:rsidRPr="000F32B0">
        <w:rPr>
          <w:rFonts w:eastAsiaTheme="majorEastAsia"/>
          <w:sz w:val="24"/>
          <w:szCs w:val="24"/>
        </w:rPr>
        <w:t xml:space="preserve"> to prevent the prior from overcoming the individual syndrome-pathogen HAQ Index effect. We used a uniform prior to constrain the slope of the spline variable to be neutral or negative in relation to HAQ Index.</w:t>
      </w:r>
    </w:p>
    <w:p w14:paraId="67ADE296" w14:textId="366947CA"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Prior on </w:t>
      </w:r>
      <m:oMath>
        <m:r>
          <w:rPr>
            <w:rFonts w:ascii="Cambria Math" w:eastAsiaTheme="majorEastAsia" w:hAnsi="Cambria Math" w:cstheme="majorBidi"/>
            <w:sz w:val="24"/>
            <w:szCs w:val="24"/>
          </w:rPr>
          <m:t>β</m:t>
        </m:r>
      </m:oMath>
      <w:r w:rsidRPr="000F32B0">
        <w:rPr>
          <w:rFonts w:eastAsiaTheme="majorEastAsia"/>
          <w:sz w:val="24"/>
          <w:szCs w:val="24"/>
        </w:rPr>
        <w:t xml:space="preserve"> for age groups: For age groups other than neonates, to constrain the value to be negative in relation to the reference age of over 70 a uniform prior</w:t>
      </w:r>
      <m:oMath>
        <m:r>
          <w:rPr>
            <w:rFonts w:ascii="Cambria Math" w:eastAsiaTheme="majorEastAsia" w:hAnsi="Cambria Math" w:cstheme="majorBidi"/>
            <w:sz w:val="24"/>
            <w:szCs w:val="24"/>
          </w:rPr>
          <m:t xml:space="preserve"> was used</m:t>
        </m:r>
      </m:oMath>
      <w:r w:rsidRPr="000F32B0">
        <w:rPr>
          <w:rFonts w:eastAsiaTheme="majorEastAsia"/>
          <w:sz w:val="24"/>
          <w:szCs w:val="24"/>
        </w:rPr>
        <w:t>.</w:t>
      </w:r>
    </w:p>
    <w:p w14:paraId="14DA7EBE" w14:textId="4E2379CF"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Spline prior on </w:t>
      </w:r>
      <m:oMath>
        <m:r>
          <w:rPr>
            <w:rFonts w:ascii="Cambria Math" w:eastAsiaTheme="majorEastAsia" w:hAnsi="Cambria Math" w:cstheme="majorBidi"/>
            <w:sz w:val="24"/>
            <w:szCs w:val="24"/>
          </w:rPr>
          <m:t>β</m:t>
        </m:r>
      </m:oMath>
      <w:r w:rsidRPr="000F32B0">
        <w:rPr>
          <w:rFonts w:eastAsiaTheme="majorEastAsia"/>
          <w:sz w:val="24"/>
          <w:szCs w:val="24"/>
        </w:rPr>
        <w:t xml:space="preserve"> for vaccine effect where appropriate: For those models including either </w:t>
      </w:r>
      <w:r w:rsidRPr="000F32B0">
        <w:rPr>
          <w:rFonts w:eastAsiaTheme="majorEastAsia"/>
          <w:i/>
          <w:iCs/>
          <w:sz w:val="24"/>
          <w:szCs w:val="24"/>
        </w:rPr>
        <w:t>Streptococcus pneumoniae</w:t>
      </w:r>
      <w:r w:rsidRPr="000F32B0">
        <w:rPr>
          <w:rFonts w:eastAsiaTheme="majorEastAsia"/>
          <w:sz w:val="24"/>
          <w:szCs w:val="24"/>
        </w:rPr>
        <w:t xml:space="preserve"> and/or </w:t>
      </w:r>
      <w:proofErr w:type="spellStart"/>
      <w:r w:rsidRPr="000F32B0">
        <w:rPr>
          <w:rFonts w:eastAsiaTheme="majorEastAsia"/>
          <w:i/>
          <w:iCs/>
          <w:sz w:val="24"/>
          <w:szCs w:val="24"/>
        </w:rPr>
        <w:t>Haemophilus</w:t>
      </w:r>
      <w:proofErr w:type="spellEnd"/>
      <w:r w:rsidRPr="000F32B0">
        <w:rPr>
          <w:rFonts w:eastAsiaTheme="majorEastAsia"/>
          <w:i/>
          <w:iCs/>
          <w:sz w:val="24"/>
          <w:szCs w:val="24"/>
        </w:rPr>
        <w:t xml:space="preserve"> influenzae</w:t>
      </w:r>
      <w:r w:rsidRPr="000F32B0">
        <w:rPr>
          <w:rFonts w:eastAsiaTheme="majorEastAsia"/>
          <w:sz w:val="24"/>
          <w:szCs w:val="24"/>
        </w:rPr>
        <w:t xml:space="preserve"> we applied a cubic spline with knots at the minimum and maximum value of vaccine coverage with a uniform prior was</w:t>
      </w:r>
      <m:oMath>
        <m:r>
          <w:rPr>
            <w:rFonts w:ascii="Cambria Math" w:eastAsiaTheme="majorEastAsia" w:hAnsi="Cambria Math" w:cstheme="majorBidi"/>
            <w:sz w:val="24"/>
            <w:szCs w:val="24"/>
          </w:rPr>
          <m:t xml:space="preserve"> </m:t>
        </m:r>
      </m:oMath>
      <w:r w:rsidRPr="000F32B0">
        <w:rPr>
          <w:rFonts w:eastAsiaTheme="majorEastAsia"/>
          <w:sz w:val="24"/>
          <w:szCs w:val="24"/>
        </w:rPr>
        <w:t>used to constrain the slope to be negative as vaccine coverage increases.</w:t>
      </w:r>
    </w:p>
    <w:p w14:paraId="1D3D083B"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To attenuate the possible effects of our spline and prior conditions on HAQ Index, we implemented a scoring system that would flag an individual model to be removed from the prediction sequence by comparing the relative R</w:t>
      </w:r>
      <w:r w:rsidRPr="000F32B0">
        <w:rPr>
          <w:rFonts w:eastAsiaTheme="majorEastAsia"/>
          <w:sz w:val="24"/>
          <w:szCs w:val="24"/>
          <w:vertAlign w:val="superscript"/>
        </w:rPr>
        <w:t>2</w:t>
      </w:r>
      <w:r w:rsidRPr="000F32B0">
        <w:rPr>
          <w:rFonts w:eastAsiaTheme="majorEastAsia"/>
          <w:sz w:val="24"/>
          <w:szCs w:val="24"/>
        </w:rPr>
        <w:t xml:space="preserve"> metric by aggregate age category with the subsequent R</w:t>
      </w:r>
      <w:r w:rsidRPr="000F32B0">
        <w:rPr>
          <w:rFonts w:eastAsiaTheme="majorEastAsia"/>
          <w:sz w:val="24"/>
          <w:szCs w:val="24"/>
          <w:vertAlign w:val="superscript"/>
        </w:rPr>
        <w:t>2</w:t>
      </w:r>
      <w:r w:rsidRPr="000F32B0">
        <w:rPr>
          <w:rFonts w:eastAsiaTheme="majorEastAsia"/>
          <w:sz w:val="24"/>
          <w:szCs w:val="24"/>
        </w:rPr>
        <w:t xml:space="preserve"> metric from the intercept model for the same syndrome and pathogen. In rare cases where the R</w:t>
      </w:r>
      <w:r w:rsidRPr="000F32B0">
        <w:rPr>
          <w:rFonts w:eastAsiaTheme="majorEastAsia"/>
          <w:sz w:val="24"/>
          <w:szCs w:val="24"/>
          <w:vertAlign w:val="superscript"/>
        </w:rPr>
        <w:t>2</w:t>
      </w:r>
      <w:r w:rsidRPr="000F32B0">
        <w:rPr>
          <w:rFonts w:eastAsiaTheme="majorEastAsia"/>
          <w:sz w:val="24"/>
          <w:szCs w:val="24"/>
        </w:rPr>
        <w:t xml:space="preserve"> was found to be lower in the individual model than the intercept model, the intercept model was used </w:t>
      </w:r>
      <w:proofErr w:type="spellStart"/>
      <w:r w:rsidRPr="000F32B0">
        <w:rPr>
          <w:rFonts w:eastAsiaTheme="majorEastAsia"/>
          <w:sz w:val="24"/>
          <w:szCs w:val="24"/>
        </w:rPr>
        <w:t>intead</w:t>
      </w:r>
      <w:proofErr w:type="spellEnd"/>
      <w:r w:rsidRPr="000F32B0">
        <w:rPr>
          <w:rFonts w:eastAsiaTheme="majorEastAsia"/>
          <w:sz w:val="24"/>
          <w:szCs w:val="24"/>
        </w:rPr>
        <w:t>.</w:t>
      </w:r>
    </w:p>
    <w:p w14:paraId="497184AB" w14:textId="6D9DE5D4" w:rsidR="003170CE" w:rsidRPr="000F32B0" w:rsidRDefault="003170CE" w:rsidP="31F26954">
      <w:pPr>
        <w:spacing w:line="257" w:lineRule="auto"/>
        <w:rPr>
          <w:rFonts w:eastAsiaTheme="majorEastAsia"/>
          <w:sz w:val="24"/>
          <w:szCs w:val="24"/>
        </w:rPr>
      </w:pPr>
      <w:r w:rsidRPr="000F32B0">
        <w:rPr>
          <w:rFonts w:eastAsiaTheme="majorEastAsia"/>
          <w:sz w:val="24"/>
          <w:szCs w:val="24"/>
        </w:rPr>
        <w:t xml:space="preserve">We produced an initial set of predictions which were vetted by infectious disease experts for unrealistic trends. To the flagged combinations we applied an outlier process and generated a new set of models. To identify outliers, we calculated a </w:t>
      </w:r>
      <w:proofErr w:type="spellStart"/>
      <w:r w:rsidRPr="000F32B0">
        <w:rPr>
          <w:rFonts w:eastAsiaTheme="majorEastAsia"/>
          <w:sz w:val="24"/>
          <w:szCs w:val="24"/>
        </w:rPr>
        <w:t>standardised</w:t>
      </w:r>
      <w:proofErr w:type="spellEnd"/>
      <w:r w:rsidRPr="000F32B0">
        <w:rPr>
          <w:rFonts w:eastAsiaTheme="majorEastAsia"/>
          <w:sz w:val="24"/>
          <w:szCs w:val="24"/>
        </w:rPr>
        <w:t xml:space="preserve"> weighed residual using, </w:t>
      </w:r>
      <m:oMath>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standardised residual</m:t>
            </m:r>
          </m:e>
          <m:sub>
            <m:r>
              <w:rPr>
                <w:rFonts w:ascii="Cambria Math" w:eastAsiaTheme="majorEastAsia" w:hAnsi="Cambria Math" w:cstheme="majorBidi"/>
                <w:sz w:val="24"/>
                <w:szCs w:val="24"/>
              </w:rPr>
              <m:t>i</m:t>
            </m:r>
          </m:sub>
        </m:sSub>
        <m:r>
          <w:rPr>
            <w:rFonts w:ascii="Cambria Math" w:eastAsiaTheme="majorEastAsia" w:hAnsi="Cambria Math" w:cstheme="majorBidi"/>
            <w:sz w:val="24"/>
            <w:szCs w:val="24"/>
          </w:rPr>
          <m:t>=(</m:t>
        </m:r>
        <m:f>
          <m:fPr>
            <m:ctrlPr>
              <w:rPr>
                <w:rFonts w:ascii="Cambria Math" w:eastAsiaTheme="majorEastAsia" w:hAnsi="Cambria Math" w:cstheme="majorBidi"/>
                <w:i/>
                <w:sz w:val="24"/>
                <w:szCs w:val="24"/>
              </w:rPr>
            </m:ctrlPr>
          </m:fPr>
          <m:num>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residual</m:t>
                </m:r>
              </m:e>
              <m:sub>
                <m:r>
                  <w:rPr>
                    <w:rFonts w:ascii="Cambria Math" w:eastAsiaTheme="majorEastAsia" w:hAnsi="Cambria Math" w:cstheme="majorBidi"/>
                    <w:sz w:val="24"/>
                    <w:szCs w:val="24"/>
                  </w:rPr>
                  <m:t>i</m:t>
                </m:r>
              </m:sub>
            </m:sSub>
          </m:num>
          <m:den>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SD</m:t>
                </m:r>
              </m:e>
              <m:sub>
                <m:r>
                  <w:rPr>
                    <w:rFonts w:ascii="Cambria Math" w:eastAsiaTheme="majorEastAsia" w:hAnsi="Cambria Math" w:cstheme="majorBidi"/>
                    <w:sz w:val="24"/>
                    <w:szCs w:val="24"/>
                  </w:rPr>
                  <m:t>residuals</m:t>
                </m:r>
              </m:sub>
            </m:sSub>
          </m:den>
        </m:f>
        <m:r>
          <w:rPr>
            <w:rFonts w:ascii="Cambria Math" w:eastAsiaTheme="majorEastAsia" w:hAnsi="Cambria Math" w:cstheme="majorBidi"/>
            <w:sz w:val="24"/>
            <w:szCs w:val="24"/>
          </w:rPr>
          <m:t>)</m:t>
        </m:r>
        <m:rad>
          <m:radPr>
            <m:degHide m:val="1"/>
            <m:ctrlPr>
              <w:rPr>
                <w:rFonts w:ascii="Cambria Math" w:eastAsiaTheme="majorEastAsia" w:hAnsi="Cambria Math" w:cstheme="majorBidi"/>
                <w:i/>
                <w:sz w:val="24"/>
                <w:szCs w:val="24"/>
              </w:rPr>
            </m:ctrlPr>
          </m:radPr>
          <m:deg/>
          <m:e>
            <m:sSub>
              <m:sSubPr>
                <m:ctrlPr>
                  <w:rPr>
                    <w:rFonts w:ascii="Cambria Math" w:eastAsiaTheme="majorEastAsia" w:hAnsi="Cambria Math" w:cstheme="majorBidi"/>
                    <w:i/>
                    <w:sz w:val="24"/>
                    <w:szCs w:val="24"/>
                  </w:rPr>
                </m:ctrlPr>
              </m:sSubPr>
              <m:e>
                <m:r>
                  <w:rPr>
                    <w:rFonts w:ascii="Cambria Math" w:eastAsiaTheme="majorEastAsia" w:hAnsi="Cambria Math" w:cstheme="majorBidi"/>
                    <w:sz w:val="24"/>
                    <w:szCs w:val="24"/>
                  </w:rPr>
                  <m:t>w</m:t>
                </m:r>
              </m:e>
              <m:sub>
                <m:r>
                  <w:rPr>
                    <w:rFonts w:ascii="Cambria Math" w:eastAsiaTheme="majorEastAsia" w:hAnsi="Cambria Math" w:cstheme="majorBidi"/>
                    <w:sz w:val="24"/>
                    <w:szCs w:val="24"/>
                  </w:rPr>
                  <m:t>i</m:t>
                </m:r>
              </m:sub>
            </m:sSub>
          </m:e>
        </m:rad>
      </m:oMath>
      <w:r w:rsidRPr="000F32B0">
        <w:rPr>
          <w:rFonts w:eastAsiaTheme="majorEastAsia"/>
          <w:sz w:val="24"/>
          <w:szCs w:val="24"/>
        </w:rPr>
        <w:t xml:space="preserve"> . A maximum of 5% of the data in each age-pathogen-syndrome would be removed in this process.</w:t>
      </w:r>
    </w:p>
    <w:p w14:paraId="22FB67AB" w14:textId="77777777" w:rsidR="003170CE" w:rsidRPr="000F32B0" w:rsidRDefault="003170CE" w:rsidP="31F26954">
      <w:pPr>
        <w:spacing w:line="257" w:lineRule="auto"/>
        <w:rPr>
          <w:rFonts w:eastAsiaTheme="majorEastAsia"/>
          <w:sz w:val="24"/>
          <w:szCs w:val="24"/>
        </w:rPr>
      </w:pPr>
      <w:bookmarkStart w:id="58" w:name="_Toc73876899"/>
      <w:r w:rsidRPr="000F32B0">
        <w:rPr>
          <w:rFonts w:eastAsiaTheme="majorEastAsia"/>
          <w:sz w:val="24"/>
          <w:szCs w:val="24"/>
        </w:rPr>
        <w:t>Table 5.4.1: Number of datapoints and parameters estimated in each case fatality ratio model</w:t>
      </w:r>
      <w:bookmarkEnd w:id="58"/>
    </w:p>
    <w:tbl>
      <w:tblPr>
        <w:tblStyle w:val="PlainTable1"/>
        <w:tblW w:w="10340" w:type="dxa"/>
        <w:tblLayout w:type="fixed"/>
        <w:tblLook w:val="04A0" w:firstRow="1" w:lastRow="0" w:firstColumn="1" w:lastColumn="0" w:noHBand="0" w:noVBand="1"/>
      </w:tblPr>
      <w:tblGrid>
        <w:gridCol w:w="2068"/>
        <w:gridCol w:w="2068"/>
        <w:gridCol w:w="2068"/>
        <w:gridCol w:w="2068"/>
        <w:gridCol w:w="2068"/>
      </w:tblGrid>
      <w:tr w:rsidR="000F32B0" w:rsidRPr="000F32B0" w14:paraId="0F601ECA" w14:textId="77777777" w:rsidTr="000F32B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21C4D2E8" w14:textId="77777777" w:rsidR="003170CE" w:rsidRPr="000F32B0" w:rsidRDefault="003170CE" w:rsidP="31F26954">
            <w:pPr>
              <w:spacing w:after="160" w:line="257" w:lineRule="auto"/>
              <w:rPr>
                <w:b w:val="0"/>
                <w:bCs w:val="0"/>
                <w:sz w:val="24"/>
                <w:szCs w:val="24"/>
              </w:rPr>
            </w:pPr>
            <w:r w:rsidRPr="000F32B0">
              <w:rPr>
                <w:sz w:val="24"/>
                <w:szCs w:val="24"/>
              </w:rPr>
              <w:t>Infectious syndrome</w:t>
            </w:r>
          </w:p>
        </w:tc>
        <w:tc>
          <w:tcPr>
            <w:tcW w:w="2068" w:type="dxa"/>
            <w:noWrap/>
            <w:hideMark/>
          </w:tcPr>
          <w:p w14:paraId="16DBC236" w14:textId="77777777" w:rsidR="003170CE" w:rsidRPr="000F32B0" w:rsidRDefault="003170CE" w:rsidP="31F26954">
            <w:pPr>
              <w:spacing w:after="160" w:line="257" w:lineRule="auto"/>
              <w:cnfStyle w:val="100000000000" w:firstRow="1" w:lastRow="0" w:firstColumn="0" w:lastColumn="0" w:oddVBand="0" w:evenVBand="0" w:oddHBand="0" w:evenHBand="0" w:firstRowFirstColumn="0" w:firstRowLastColumn="0" w:lastRowFirstColumn="0" w:lastRowLastColumn="0"/>
              <w:rPr>
                <w:b w:val="0"/>
                <w:bCs w:val="0"/>
                <w:sz w:val="24"/>
                <w:szCs w:val="24"/>
              </w:rPr>
            </w:pPr>
            <w:r w:rsidRPr="000F32B0">
              <w:rPr>
                <w:sz w:val="24"/>
                <w:szCs w:val="24"/>
              </w:rPr>
              <w:t>Sub-model(s)</w:t>
            </w:r>
          </w:p>
        </w:tc>
        <w:tc>
          <w:tcPr>
            <w:tcW w:w="2068" w:type="dxa"/>
            <w:noWrap/>
            <w:hideMark/>
          </w:tcPr>
          <w:p w14:paraId="07B64060" w14:textId="77777777" w:rsidR="003170CE" w:rsidRPr="000F32B0" w:rsidRDefault="003170CE" w:rsidP="31F26954">
            <w:pPr>
              <w:spacing w:after="160" w:line="257" w:lineRule="auto"/>
              <w:cnfStyle w:val="100000000000" w:firstRow="1" w:lastRow="0" w:firstColumn="0" w:lastColumn="0" w:oddVBand="0" w:evenVBand="0" w:oddHBand="0" w:evenHBand="0" w:firstRowFirstColumn="0" w:firstRowLastColumn="0" w:lastRowFirstColumn="0" w:lastRowLastColumn="0"/>
              <w:rPr>
                <w:b w:val="0"/>
                <w:bCs w:val="0"/>
                <w:sz w:val="24"/>
                <w:szCs w:val="24"/>
              </w:rPr>
            </w:pPr>
            <w:r w:rsidRPr="000F32B0">
              <w:rPr>
                <w:sz w:val="24"/>
                <w:szCs w:val="24"/>
              </w:rPr>
              <w:t>CFR model type</w:t>
            </w:r>
          </w:p>
        </w:tc>
        <w:tc>
          <w:tcPr>
            <w:tcW w:w="2068" w:type="dxa"/>
            <w:noWrap/>
            <w:hideMark/>
          </w:tcPr>
          <w:p w14:paraId="75D06389" w14:textId="77777777" w:rsidR="003170CE" w:rsidRPr="000F32B0" w:rsidRDefault="003170CE" w:rsidP="31F26954">
            <w:pPr>
              <w:spacing w:after="160" w:line="257" w:lineRule="auto"/>
              <w:cnfStyle w:val="100000000000" w:firstRow="1" w:lastRow="0" w:firstColumn="0" w:lastColumn="0" w:oddVBand="0" w:evenVBand="0" w:oddHBand="0" w:evenHBand="0" w:firstRowFirstColumn="0" w:firstRowLastColumn="0" w:lastRowFirstColumn="0" w:lastRowLastColumn="0"/>
              <w:rPr>
                <w:b w:val="0"/>
                <w:bCs w:val="0"/>
                <w:sz w:val="24"/>
                <w:szCs w:val="24"/>
              </w:rPr>
            </w:pPr>
            <w:r w:rsidRPr="000F32B0">
              <w:rPr>
                <w:sz w:val="24"/>
                <w:szCs w:val="24"/>
              </w:rPr>
              <w:t>Datapoints</w:t>
            </w:r>
          </w:p>
          <w:p w14:paraId="5687759B" w14:textId="77777777" w:rsidR="003170CE" w:rsidRPr="000F32B0" w:rsidRDefault="003170CE" w:rsidP="31F26954">
            <w:pPr>
              <w:spacing w:after="160" w:line="257" w:lineRule="auto"/>
              <w:cnfStyle w:val="100000000000" w:firstRow="1" w:lastRow="0" w:firstColumn="0" w:lastColumn="0" w:oddVBand="0" w:evenVBand="0" w:oddHBand="0" w:evenHBand="0" w:firstRowFirstColumn="0" w:firstRowLastColumn="0" w:lastRowFirstColumn="0" w:lastRowLastColumn="0"/>
              <w:rPr>
                <w:b w:val="0"/>
                <w:bCs w:val="0"/>
                <w:sz w:val="24"/>
                <w:szCs w:val="24"/>
              </w:rPr>
            </w:pPr>
            <w:r w:rsidRPr="000F32B0">
              <w:rPr>
                <w:sz w:val="24"/>
                <w:szCs w:val="24"/>
              </w:rPr>
              <w:t>(source-location-years)</w:t>
            </w:r>
          </w:p>
        </w:tc>
        <w:tc>
          <w:tcPr>
            <w:tcW w:w="2068" w:type="dxa"/>
            <w:noWrap/>
            <w:hideMark/>
          </w:tcPr>
          <w:p w14:paraId="25B79872" w14:textId="77777777" w:rsidR="003170CE" w:rsidRPr="000F32B0" w:rsidRDefault="003170CE" w:rsidP="31F26954">
            <w:pPr>
              <w:spacing w:after="160" w:line="257" w:lineRule="auto"/>
              <w:cnfStyle w:val="100000000000" w:firstRow="1" w:lastRow="0" w:firstColumn="0" w:lastColumn="0" w:oddVBand="0" w:evenVBand="0" w:oddHBand="0" w:evenHBand="0" w:firstRowFirstColumn="0" w:firstRowLastColumn="0" w:lastRowFirstColumn="0" w:lastRowLastColumn="0"/>
              <w:rPr>
                <w:b w:val="0"/>
                <w:bCs w:val="0"/>
                <w:sz w:val="24"/>
                <w:szCs w:val="24"/>
              </w:rPr>
            </w:pPr>
            <w:r w:rsidRPr="000F32B0">
              <w:rPr>
                <w:sz w:val="24"/>
                <w:szCs w:val="24"/>
              </w:rPr>
              <w:t>Estimated parameters</w:t>
            </w:r>
          </w:p>
        </w:tc>
      </w:tr>
      <w:tr w:rsidR="000F32B0" w:rsidRPr="000F32B0" w14:paraId="28B7DC24"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7589E8E5" w14:textId="77777777" w:rsidR="003170CE" w:rsidRPr="000F32B0" w:rsidRDefault="003170CE" w:rsidP="003170CE">
            <w:pPr>
              <w:spacing w:after="160" w:line="257" w:lineRule="auto"/>
              <w:rPr>
                <w:sz w:val="24"/>
                <w:szCs w:val="24"/>
              </w:rPr>
            </w:pPr>
            <w:r w:rsidRPr="000F32B0">
              <w:rPr>
                <w:sz w:val="24"/>
                <w:szCs w:val="24"/>
              </w:rPr>
              <w:t>Bone+</w:t>
            </w:r>
          </w:p>
        </w:tc>
        <w:tc>
          <w:tcPr>
            <w:tcW w:w="2068" w:type="dxa"/>
            <w:noWrap/>
            <w:hideMark/>
          </w:tcPr>
          <w:p w14:paraId="46B89E44"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3 pathogens</w:t>
            </w:r>
          </w:p>
        </w:tc>
        <w:tc>
          <w:tcPr>
            <w:tcW w:w="2068" w:type="dxa"/>
            <w:noWrap/>
            <w:hideMark/>
          </w:tcPr>
          <w:p w14:paraId="339C60F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1140711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703E7FC0"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5 to 6</w:t>
            </w:r>
          </w:p>
        </w:tc>
      </w:tr>
      <w:tr w:rsidR="000F32B0" w:rsidRPr="000F32B0" w14:paraId="413D178D"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085206E" w14:textId="77777777" w:rsidR="003170CE" w:rsidRPr="000F32B0" w:rsidRDefault="003170CE" w:rsidP="003170CE">
            <w:pPr>
              <w:spacing w:after="160" w:line="257" w:lineRule="auto"/>
              <w:rPr>
                <w:sz w:val="24"/>
                <w:szCs w:val="24"/>
              </w:rPr>
            </w:pPr>
            <w:r w:rsidRPr="000F32B0">
              <w:rPr>
                <w:sz w:val="24"/>
                <w:szCs w:val="24"/>
              </w:rPr>
              <w:t>Bone+</w:t>
            </w:r>
          </w:p>
        </w:tc>
        <w:tc>
          <w:tcPr>
            <w:tcW w:w="2068" w:type="dxa"/>
            <w:noWrap/>
            <w:hideMark/>
          </w:tcPr>
          <w:p w14:paraId="7E39DD2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0CE5D5B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6843CDE0"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7,841</w:t>
            </w:r>
          </w:p>
        </w:tc>
        <w:tc>
          <w:tcPr>
            <w:tcW w:w="2068" w:type="dxa"/>
            <w:noWrap/>
            <w:hideMark/>
          </w:tcPr>
          <w:p w14:paraId="0C3DFDC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12</w:t>
            </w:r>
          </w:p>
        </w:tc>
      </w:tr>
      <w:tr w:rsidR="000F32B0" w:rsidRPr="000F32B0" w14:paraId="5AD235B2"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FBD63C6" w14:textId="77777777" w:rsidR="003170CE" w:rsidRPr="000F32B0" w:rsidRDefault="003170CE" w:rsidP="003170CE">
            <w:pPr>
              <w:spacing w:after="160" w:line="257" w:lineRule="auto"/>
              <w:rPr>
                <w:sz w:val="24"/>
                <w:szCs w:val="24"/>
              </w:rPr>
            </w:pPr>
            <w:r w:rsidRPr="000F32B0">
              <w:rPr>
                <w:sz w:val="24"/>
                <w:szCs w:val="24"/>
              </w:rPr>
              <w:t>Bone+</w:t>
            </w:r>
          </w:p>
        </w:tc>
        <w:tc>
          <w:tcPr>
            <w:tcW w:w="2068" w:type="dxa"/>
            <w:noWrap/>
            <w:hideMark/>
          </w:tcPr>
          <w:p w14:paraId="7FA97DD0"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244CA16E"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2AD9BF0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14,907</w:t>
            </w:r>
          </w:p>
        </w:tc>
        <w:tc>
          <w:tcPr>
            <w:tcW w:w="2068" w:type="dxa"/>
            <w:noWrap/>
            <w:hideMark/>
          </w:tcPr>
          <w:p w14:paraId="7E81F648"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6</w:t>
            </w:r>
          </w:p>
        </w:tc>
      </w:tr>
      <w:tr w:rsidR="000F32B0" w:rsidRPr="000F32B0" w14:paraId="6FC397A1"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4D62CC26" w14:textId="77777777" w:rsidR="003170CE" w:rsidRPr="000F32B0" w:rsidRDefault="003170CE" w:rsidP="003170CE">
            <w:pPr>
              <w:spacing w:after="160" w:line="257" w:lineRule="auto"/>
              <w:rPr>
                <w:sz w:val="24"/>
                <w:szCs w:val="24"/>
              </w:rPr>
            </w:pPr>
            <w:r w:rsidRPr="000F32B0">
              <w:rPr>
                <w:sz w:val="24"/>
                <w:szCs w:val="24"/>
              </w:rPr>
              <w:t>Bone+</w:t>
            </w:r>
          </w:p>
        </w:tc>
        <w:tc>
          <w:tcPr>
            <w:tcW w:w="2068" w:type="dxa"/>
            <w:noWrap/>
            <w:hideMark/>
          </w:tcPr>
          <w:p w14:paraId="623EA984"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18FA136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4CC655B1"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14,912</w:t>
            </w:r>
          </w:p>
        </w:tc>
        <w:tc>
          <w:tcPr>
            <w:tcW w:w="2068" w:type="dxa"/>
            <w:noWrap/>
            <w:hideMark/>
          </w:tcPr>
          <w:p w14:paraId="6FD23EE4"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5</w:t>
            </w:r>
          </w:p>
        </w:tc>
      </w:tr>
      <w:tr w:rsidR="000F32B0" w:rsidRPr="000F32B0" w14:paraId="79143508"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D9CDD6C" w14:textId="77777777" w:rsidR="003170CE" w:rsidRPr="000F32B0" w:rsidRDefault="003170CE" w:rsidP="003170CE">
            <w:pPr>
              <w:spacing w:after="160" w:line="257" w:lineRule="auto"/>
              <w:rPr>
                <w:sz w:val="24"/>
                <w:szCs w:val="24"/>
              </w:rPr>
            </w:pPr>
            <w:r w:rsidRPr="000F32B0">
              <w:rPr>
                <w:sz w:val="24"/>
                <w:szCs w:val="24"/>
              </w:rPr>
              <w:t>BSI</w:t>
            </w:r>
          </w:p>
        </w:tc>
        <w:tc>
          <w:tcPr>
            <w:tcW w:w="2068" w:type="dxa"/>
            <w:noWrap/>
            <w:hideMark/>
          </w:tcPr>
          <w:p w14:paraId="45E73B4C"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28 pathogens</w:t>
            </w:r>
          </w:p>
        </w:tc>
        <w:tc>
          <w:tcPr>
            <w:tcW w:w="2068" w:type="dxa"/>
            <w:noWrap/>
            <w:hideMark/>
          </w:tcPr>
          <w:p w14:paraId="52DA9BE3"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279B4608"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0ADA705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6 to 8</w:t>
            </w:r>
          </w:p>
        </w:tc>
      </w:tr>
      <w:tr w:rsidR="000F32B0" w:rsidRPr="000F32B0" w14:paraId="6BFBFA80"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1743710A" w14:textId="77777777" w:rsidR="003170CE" w:rsidRPr="000F32B0" w:rsidRDefault="003170CE" w:rsidP="003170CE">
            <w:pPr>
              <w:spacing w:after="160" w:line="257" w:lineRule="auto"/>
              <w:rPr>
                <w:sz w:val="24"/>
                <w:szCs w:val="24"/>
              </w:rPr>
            </w:pPr>
            <w:r w:rsidRPr="000F32B0">
              <w:rPr>
                <w:sz w:val="24"/>
                <w:szCs w:val="24"/>
              </w:rPr>
              <w:t>BSI</w:t>
            </w:r>
          </w:p>
        </w:tc>
        <w:tc>
          <w:tcPr>
            <w:tcW w:w="2068" w:type="dxa"/>
            <w:noWrap/>
            <w:hideMark/>
          </w:tcPr>
          <w:p w14:paraId="11544D4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6A262D1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559C5B9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479,410</w:t>
            </w:r>
          </w:p>
        </w:tc>
        <w:tc>
          <w:tcPr>
            <w:tcW w:w="2068" w:type="dxa"/>
            <w:noWrap/>
            <w:hideMark/>
          </w:tcPr>
          <w:p w14:paraId="6A737FD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25</w:t>
            </w:r>
          </w:p>
        </w:tc>
      </w:tr>
      <w:tr w:rsidR="000F32B0" w:rsidRPr="000F32B0" w14:paraId="063B0A25"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CC5DE76" w14:textId="77777777" w:rsidR="003170CE" w:rsidRPr="000F32B0" w:rsidRDefault="003170CE" w:rsidP="003170CE">
            <w:pPr>
              <w:spacing w:after="160" w:line="257" w:lineRule="auto"/>
              <w:rPr>
                <w:sz w:val="24"/>
                <w:szCs w:val="24"/>
              </w:rPr>
            </w:pPr>
            <w:r w:rsidRPr="000F32B0">
              <w:rPr>
                <w:sz w:val="24"/>
                <w:szCs w:val="24"/>
              </w:rPr>
              <w:t>BSI</w:t>
            </w:r>
          </w:p>
        </w:tc>
        <w:tc>
          <w:tcPr>
            <w:tcW w:w="2068" w:type="dxa"/>
            <w:noWrap/>
            <w:hideMark/>
          </w:tcPr>
          <w:p w14:paraId="0DF42651"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6A6EB5E8"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3445863C"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579,325</w:t>
            </w:r>
          </w:p>
        </w:tc>
        <w:tc>
          <w:tcPr>
            <w:tcW w:w="2068" w:type="dxa"/>
            <w:noWrap/>
            <w:hideMark/>
          </w:tcPr>
          <w:p w14:paraId="6A3B766C"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9</w:t>
            </w:r>
          </w:p>
        </w:tc>
      </w:tr>
      <w:tr w:rsidR="000F32B0" w:rsidRPr="000F32B0" w14:paraId="56215163"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2200D90D" w14:textId="77777777" w:rsidR="003170CE" w:rsidRPr="000F32B0" w:rsidRDefault="003170CE" w:rsidP="003170CE">
            <w:pPr>
              <w:spacing w:after="160" w:line="257" w:lineRule="auto"/>
              <w:rPr>
                <w:sz w:val="24"/>
                <w:szCs w:val="24"/>
              </w:rPr>
            </w:pPr>
            <w:r w:rsidRPr="000F32B0">
              <w:rPr>
                <w:sz w:val="24"/>
                <w:szCs w:val="24"/>
              </w:rPr>
              <w:t>BSI</w:t>
            </w:r>
          </w:p>
        </w:tc>
        <w:tc>
          <w:tcPr>
            <w:tcW w:w="2068" w:type="dxa"/>
            <w:noWrap/>
            <w:hideMark/>
          </w:tcPr>
          <w:p w14:paraId="159396A0"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5A0635D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3B4D52E6"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602,559</w:t>
            </w:r>
          </w:p>
        </w:tc>
        <w:tc>
          <w:tcPr>
            <w:tcW w:w="2068" w:type="dxa"/>
            <w:noWrap/>
            <w:hideMark/>
          </w:tcPr>
          <w:p w14:paraId="207225D0"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w:t>
            </w:r>
          </w:p>
        </w:tc>
      </w:tr>
      <w:tr w:rsidR="000F32B0" w:rsidRPr="000F32B0" w14:paraId="5AC37C00"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73C1EFA" w14:textId="77777777" w:rsidR="003170CE" w:rsidRPr="000F32B0" w:rsidRDefault="003170CE" w:rsidP="003170CE">
            <w:pPr>
              <w:spacing w:after="160" w:line="257" w:lineRule="auto"/>
              <w:rPr>
                <w:sz w:val="24"/>
                <w:szCs w:val="24"/>
              </w:rPr>
            </w:pPr>
            <w:r w:rsidRPr="000F32B0">
              <w:rPr>
                <w:sz w:val="24"/>
                <w:szCs w:val="24"/>
              </w:rPr>
              <w:t>Intra-abdominal</w:t>
            </w:r>
          </w:p>
        </w:tc>
        <w:tc>
          <w:tcPr>
            <w:tcW w:w="2068" w:type="dxa"/>
            <w:noWrap/>
            <w:hideMark/>
          </w:tcPr>
          <w:p w14:paraId="387D38C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17 pathogens</w:t>
            </w:r>
          </w:p>
        </w:tc>
        <w:tc>
          <w:tcPr>
            <w:tcW w:w="2068" w:type="dxa"/>
            <w:noWrap/>
            <w:hideMark/>
          </w:tcPr>
          <w:p w14:paraId="36F73F7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4649D181"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18F71A9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5 to 6</w:t>
            </w:r>
          </w:p>
        </w:tc>
      </w:tr>
      <w:tr w:rsidR="000F32B0" w:rsidRPr="000F32B0" w14:paraId="6FD6DD53"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1878FCD8" w14:textId="77777777" w:rsidR="003170CE" w:rsidRPr="000F32B0" w:rsidRDefault="003170CE" w:rsidP="003170CE">
            <w:pPr>
              <w:spacing w:after="160" w:line="257" w:lineRule="auto"/>
              <w:rPr>
                <w:sz w:val="24"/>
                <w:szCs w:val="24"/>
              </w:rPr>
            </w:pPr>
            <w:r w:rsidRPr="000F32B0">
              <w:rPr>
                <w:sz w:val="24"/>
                <w:szCs w:val="24"/>
              </w:rPr>
              <w:t>Intra-abdominal</w:t>
            </w:r>
          </w:p>
        </w:tc>
        <w:tc>
          <w:tcPr>
            <w:tcW w:w="2068" w:type="dxa"/>
            <w:noWrap/>
            <w:hideMark/>
          </w:tcPr>
          <w:p w14:paraId="7488B31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3B4ABA1E"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3CD2DF0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21,566</w:t>
            </w:r>
          </w:p>
        </w:tc>
        <w:tc>
          <w:tcPr>
            <w:tcW w:w="2068" w:type="dxa"/>
            <w:noWrap/>
            <w:hideMark/>
          </w:tcPr>
          <w:p w14:paraId="00C3BA83"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25</w:t>
            </w:r>
          </w:p>
        </w:tc>
      </w:tr>
      <w:tr w:rsidR="000F32B0" w:rsidRPr="000F32B0" w14:paraId="479D4386"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20F599AA" w14:textId="77777777" w:rsidR="003170CE" w:rsidRPr="000F32B0" w:rsidRDefault="003170CE" w:rsidP="003170CE">
            <w:pPr>
              <w:spacing w:after="160" w:line="257" w:lineRule="auto"/>
              <w:rPr>
                <w:sz w:val="24"/>
                <w:szCs w:val="24"/>
              </w:rPr>
            </w:pPr>
            <w:r w:rsidRPr="000F32B0">
              <w:rPr>
                <w:sz w:val="24"/>
                <w:szCs w:val="24"/>
              </w:rPr>
              <w:t>Intra-abdominal</w:t>
            </w:r>
          </w:p>
        </w:tc>
        <w:tc>
          <w:tcPr>
            <w:tcW w:w="2068" w:type="dxa"/>
            <w:noWrap/>
            <w:hideMark/>
          </w:tcPr>
          <w:p w14:paraId="0914CBFA"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7DE1F8A7"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610D1FC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25,814</w:t>
            </w:r>
          </w:p>
        </w:tc>
        <w:tc>
          <w:tcPr>
            <w:tcW w:w="2068" w:type="dxa"/>
            <w:noWrap/>
            <w:hideMark/>
          </w:tcPr>
          <w:p w14:paraId="4F88A13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8</w:t>
            </w:r>
          </w:p>
        </w:tc>
      </w:tr>
      <w:tr w:rsidR="000F32B0" w:rsidRPr="000F32B0" w14:paraId="3548C92B"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77343A47" w14:textId="77777777" w:rsidR="003170CE" w:rsidRPr="000F32B0" w:rsidRDefault="003170CE" w:rsidP="003170CE">
            <w:pPr>
              <w:spacing w:after="160" w:line="257" w:lineRule="auto"/>
              <w:rPr>
                <w:sz w:val="24"/>
                <w:szCs w:val="24"/>
              </w:rPr>
            </w:pPr>
            <w:r w:rsidRPr="000F32B0">
              <w:rPr>
                <w:sz w:val="24"/>
                <w:szCs w:val="24"/>
              </w:rPr>
              <w:t>Intra-abdominal</w:t>
            </w:r>
          </w:p>
        </w:tc>
        <w:tc>
          <w:tcPr>
            <w:tcW w:w="2068" w:type="dxa"/>
            <w:noWrap/>
            <w:hideMark/>
          </w:tcPr>
          <w:p w14:paraId="29ACA464"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5F2B47B3"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1A6A80C9"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25,814</w:t>
            </w:r>
          </w:p>
        </w:tc>
        <w:tc>
          <w:tcPr>
            <w:tcW w:w="2068" w:type="dxa"/>
            <w:noWrap/>
            <w:hideMark/>
          </w:tcPr>
          <w:p w14:paraId="02DB61EF"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w:t>
            </w:r>
          </w:p>
        </w:tc>
      </w:tr>
      <w:tr w:rsidR="000F32B0" w:rsidRPr="000F32B0" w14:paraId="34628F44"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445A4B11"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56FEB0DA"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03D387B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65096BBD"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436,285</w:t>
            </w:r>
          </w:p>
        </w:tc>
        <w:tc>
          <w:tcPr>
            <w:tcW w:w="2068" w:type="dxa"/>
            <w:noWrap/>
            <w:hideMark/>
          </w:tcPr>
          <w:p w14:paraId="357714B7"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41</w:t>
            </w:r>
          </w:p>
        </w:tc>
      </w:tr>
      <w:tr w:rsidR="000F32B0" w:rsidRPr="000F32B0" w14:paraId="2655883B"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441EF4ED"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72A6FE0A"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0B6CAC96"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Family</w:t>
            </w:r>
          </w:p>
        </w:tc>
        <w:tc>
          <w:tcPr>
            <w:tcW w:w="2068" w:type="dxa"/>
            <w:noWrap/>
            <w:hideMark/>
          </w:tcPr>
          <w:p w14:paraId="6325C02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419,853</w:t>
            </w:r>
          </w:p>
        </w:tc>
        <w:tc>
          <w:tcPr>
            <w:tcW w:w="2068" w:type="dxa"/>
            <w:noWrap/>
            <w:hideMark/>
          </w:tcPr>
          <w:p w14:paraId="3A493A7C"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11</w:t>
            </w:r>
          </w:p>
        </w:tc>
      </w:tr>
      <w:tr w:rsidR="000F32B0" w:rsidRPr="000F32B0" w14:paraId="5AC59D8D"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A580977"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5E6FDF63"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04D9CBE9"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32704F2F"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467,596</w:t>
            </w:r>
          </w:p>
        </w:tc>
        <w:tc>
          <w:tcPr>
            <w:tcW w:w="2068" w:type="dxa"/>
            <w:noWrap/>
            <w:hideMark/>
          </w:tcPr>
          <w:p w14:paraId="199A97FE"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8</w:t>
            </w:r>
          </w:p>
        </w:tc>
      </w:tr>
      <w:tr w:rsidR="000F32B0" w:rsidRPr="000F32B0" w14:paraId="628F8686"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6A39FF7D"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4E0B535F"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26 pathogens; Community-acquired</w:t>
            </w:r>
          </w:p>
        </w:tc>
        <w:tc>
          <w:tcPr>
            <w:tcW w:w="2068" w:type="dxa"/>
            <w:noWrap/>
            <w:hideMark/>
          </w:tcPr>
          <w:p w14:paraId="238A521C"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0C7CB38C"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2700BE41"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 to 9</w:t>
            </w:r>
          </w:p>
        </w:tc>
      </w:tr>
      <w:tr w:rsidR="000F32B0" w:rsidRPr="000F32B0" w14:paraId="1A3DF950"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728A463"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2D373E69"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3B6210D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3C2C177D"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450,776</w:t>
            </w:r>
          </w:p>
        </w:tc>
        <w:tc>
          <w:tcPr>
            <w:tcW w:w="2068" w:type="dxa"/>
            <w:noWrap/>
            <w:hideMark/>
          </w:tcPr>
          <w:p w14:paraId="028DF007"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40</w:t>
            </w:r>
          </w:p>
        </w:tc>
      </w:tr>
      <w:tr w:rsidR="000F32B0" w:rsidRPr="000F32B0" w14:paraId="4E6BE22B"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6923174"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4180133F"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696F2523"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Family</w:t>
            </w:r>
          </w:p>
        </w:tc>
        <w:tc>
          <w:tcPr>
            <w:tcW w:w="2068" w:type="dxa"/>
            <w:noWrap/>
            <w:hideMark/>
          </w:tcPr>
          <w:p w14:paraId="67F093F7"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456,207</w:t>
            </w:r>
          </w:p>
        </w:tc>
        <w:tc>
          <w:tcPr>
            <w:tcW w:w="2068" w:type="dxa"/>
            <w:noWrap/>
            <w:hideMark/>
          </w:tcPr>
          <w:p w14:paraId="13696C49"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11</w:t>
            </w:r>
          </w:p>
        </w:tc>
      </w:tr>
      <w:tr w:rsidR="000F32B0" w:rsidRPr="000F32B0" w14:paraId="7F2FDCA0"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1BD06790"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2521ADEB"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1819E977"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351E2C9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456,207</w:t>
            </w:r>
          </w:p>
        </w:tc>
        <w:tc>
          <w:tcPr>
            <w:tcW w:w="2068" w:type="dxa"/>
            <w:noWrap/>
            <w:hideMark/>
          </w:tcPr>
          <w:p w14:paraId="61A12C5D"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8</w:t>
            </w:r>
          </w:p>
        </w:tc>
      </w:tr>
      <w:tr w:rsidR="000F32B0" w:rsidRPr="000F32B0" w14:paraId="34B57B88"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6A2FD517" w14:textId="77777777" w:rsidR="003170CE" w:rsidRPr="000F32B0" w:rsidRDefault="003170CE" w:rsidP="003170CE">
            <w:pPr>
              <w:spacing w:after="160" w:line="257" w:lineRule="auto"/>
              <w:rPr>
                <w:sz w:val="24"/>
                <w:szCs w:val="24"/>
              </w:rPr>
            </w:pPr>
            <w:r w:rsidRPr="000F32B0">
              <w:rPr>
                <w:sz w:val="24"/>
                <w:szCs w:val="24"/>
              </w:rPr>
              <w:t>LRI</w:t>
            </w:r>
          </w:p>
        </w:tc>
        <w:tc>
          <w:tcPr>
            <w:tcW w:w="2068" w:type="dxa"/>
            <w:noWrap/>
            <w:hideMark/>
          </w:tcPr>
          <w:p w14:paraId="480ED40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26 pathogens; Hospital-acquired</w:t>
            </w:r>
          </w:p>
        </w:tc>
        <w:tc>
          <w:tcPr>
            <w:tcW w:w="2068" w:type="dxa"/>
            <w:noWrap/>
            <w:hideMark/>
          </w:tcPr>
          <w:p w14:paraId="7BE825D7"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1400B680"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7A65F6AE"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 to 9</w:t>
            </w:r>
          </w:p>
        </w:tc>
      </w:tr>
      <w:tr w:rsidR="000F32B0" w:rsidRPr="000F32B0" w14:paraId="1A811644"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3150CFDF" w14:textId="77777777" w:rsidR="003170CE" w:rsidRPr="000F32B0" w:rsidRDefault="003170CE" w:rsidP="003170CE">
            <w:pPr>
              <w:spacing w:after="160" w:line="257" w:lineRule="auto"/>
              <w:rPr>
                <w:sz w:val="24"/>
                <w:szCs w:val="24"/>
              </w:rPr>
            </w:pPr>
            <w:r w:rsidRPr="000F32B0">
              <w:rPr>
                <w:sz w:val="24"/>
                <w:szCs w:val="24"/>
              </w:rPr>
              <w:t>Skin</w:t>
            </w:r>
          </w:p>
        </w:tc>
        <w:tc>
          <w:tcPr>
            <w:tcW w:w="2068" w:type="dxa"/>
            <w:noWrap/>
            <w:hideMark/>
          </w:tcPr>
          <w:p w14:paraId="04437216"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20 pathogens</w:t>
            </w:r>
          </w:p>
        </w:tc>
        <w:tc>
          <w:tcPr>
            <w:tcW w:w="2068" w:type="dxa"/>
            <w:noWrap/>
            <w:hideMark/>
          </w:tcPr>
          <w:p w14:paraId="2A7C61D4"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00C1BF76"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23DAC33F"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5 to 6</w:t>
            </w:r>
          </w:p>
        </w:tc>
      </w:tr>
      <w:tr w:rsidR="000F32B0" w:rsidRPr="000F32B0" w14:paraId="03BC91D2"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653FED87" w14:textId="77777777" w:rsidR="003170CE" w:rsidRPr="000F32B0" w:rsidRDefault="003170CE" w:rsidP="003170CE">
            <w:pPr>
              <w:spacing w:after="160" w:line="257" w:lineRule="auto"/>
              <w:rPr>
                <w:sz w:val="24"/>
                <w:szCs w:val="24"/>
              </w:rPr>
            </w:pPr>
            <w:r w:rsidRPr="000F32B0">
              <w:rPr>
                <w:sz w:val="24"/>
                <w:szCs w:val="24"/>
              </w:rPr>
              <w:t>Skin</w:t>
            </w:r>
          </w:p>
        </w:tc>
        <w:tc>
          <w:tcPr>
            <w:tcW w:w="2068" w:type="dxa"/>
            <w:noWrap/>
            <w:hideMark/>
          </w:tcPr>
          <w:p w14:paraId="60884CCA"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67F6C363"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00B29D49"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128,509</w:t>
            </w:r>
          </w:p>
        </w:tc>
        <w:tc>
          <w:tcPr>
            <w:tcW w:w="2068" w:type="dxa"/>
            <w:noWrap/>
            <w:hideMark/>
          </w:tcPr>
          <w:p w14:paraId="5F48B7B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27</w:t>
            </w:r>
          </w:p>
        </w:tc>
      </w:tr>
      <w:tr w:rsidR="000F32B0" w:rsidRPr="000F32B0" w14:paraId="21A8A404"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7432D5EA" w14:textId="77777777" w:rsidR="003170CE" w:rsidRPr="000F32B0" w:rsidRDefault="003170CE" w:rsidP="003170CE">
            <w:pPr>
              <w:spacing w:after="160" w:line="257" w:lineRule="auto"/>
              <w:rPr>
                <w:sz w:val="24"/>
                <w:szCs w:val="24"/>
              </w:rPr>
            </w:pPr>
            <w:r w:rsidRPr="000F32B0">
              <w:rPr>
                <w:sz w:val="24"/>
                <w:szCs w:val="24"/>
              </w:rPr>
              <w:t>Skin</w:t>
            </w:r>
          </w:p>
        </w:tc>
        <w:tc>
          <w:tcPr>
            <w:tcW w:w="2068" w:type="dxa"/>
            <w:noWrap/>
            <w:hideMark/>
          </w:tcPr>
          <w:p w14:paraId="5D456DCA"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4B91BAEB"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30BCAFB9"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129,471</w:t>
            </w:r>
          </w:p>
        </w:tc>
        <w:tc>
          <w:tcPr>
            <w:tcW w:w="2068" w:type="dxa"/>
            <w:noWrap/>
            <w:hideMark/>
          </w:tcPr>
          <w:p w14:paraId="51AE2AB1"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7</w:t>
            </w:r>
          </w:p>
        </w:tc>
      </w:tr>
      <w:tr w:rsidR="000F32B0" w:rsidRPr="000F32B0" w14:paraId="6AC2E19F"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DA8ED84" w14:textId="77777777" w:rsidR="003170CE" w:rsidRPr="000F32B0" w:rsidRDefault="003170CE" w:rsidP="003170CE">
            <w:pPr>
              <w:spacing w:after="160" w:line="257" w:lineRule="auto"/>
              <w:rPr>
                <w:sz w:val="24"/>
                <w:szCs w:val="24"/>
              </w:rPr>
            </w:pPr>
            <w:r w:rsidRPr="000F32B0">
              <w:rPr>
                <w:sz w:val="24"/>
                <w:szCs w:val="24"/>
              </w:rPr>
              <w:t>Skin</w:t>
            </w:r>
          </w:p>
        </w:tc>
        <w:tc>
          <w:tcPr>
            <w:tcW w:w="2068" w:type="dxa"/>
            <w:noWrap/>
            <w:hideMark/>
          </w:tcPr>
          <w:p w14:paraId="34ACC668"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w:t>
            </w:r>
          </w:p>
        </w:tc>
        <w:tc>
          <w:tcPr>
            <w:tcW w:w="2068" w:type="dxa"/>
            <w:noWrap/>
            <w:hideMark/>
          </w:tcPr>
          <w:p w14:paraId="63445B5F"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50723250"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129,471</w:t>
            </w:r>
          </w:p>
        </w:tc>
        <w:tc>
          <w:tcPr>
            <w:tcW w:w="2068" w:type="dxa"/>
            <w:noWrap/>
            <w:hideMark/>
          </w:tcPr>
          <w:p w14:paraId="480108FE"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6</w:t>
            </w:r>
          </w:p>
        </w:tc>
      </w:tr>
      <w:tr w:rsidR="000F32B0" w:rsidRPr="000F32B0" w14:paraId="1CAFE6F2"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1567970"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7D7D8E02"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15 pathogens; community-acquired</w:t>
            </w:r>
          </w:p>
        </w:tc>
        <w:tc>
          <w:tcPr>
            <w:tcW w:w="2068" w:type="dxa"/>
            <w:noWrap/>
            <w:hideMark/>
          </w:tcPr>
          <w:p w14:paraId="54BDD823"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1219A8D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7D6EBF5A"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7</w:t>
            </w:r>
          </w:p>
        </w:tc>
      </w:tr>
      <w:tr w:rsidR="000F32B0" w:rsidRPr="000F32B0" w14:paraId="736D9721"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233B8026"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3CAFE80E"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4366280B"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411B085C"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22,493</w:t>
            </w:r>
          </w:p>
        </w:tc>
        <w:tc>
          <w:tcPr>
            <w:tcW w:w="2068" w:type="dxa"/>
            <w:noWrap/>
            <w:hideMark/>
          </w:tcPr>
          <w:p w14:paraId="451C8D8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24</w:t>
            </w:r>
          </w:p>
        </w:tc>
      </w:tr>
      <w:tr w:rsidR="000F32B0" w:rsidRPr="000F32B0" w14:paraId="033861F8"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4E4BC433"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4BB2B211"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21661257"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63DA571D"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24,541</w:t>
            </w:r>
          </w:p>
        </w:tc>
        <w:tc>
          <w:tcPr>
            <w:tcW w:w="2068" w:type="dxa"/>
            <w:noWrap/>
            <w:hideMark/>
          </w:tcPr>
          <w:p w14:paraId="4A4CE6A0"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8</w:t>
            </w:r>
          </w:p>
        </w:tc>
      </w:tr>
      <w:tr w:rsidR="000F32B0" w:rsidRPr="000F32B0" w14:paraId="79C4779D"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25131267"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67B5D2CF"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Community-acquired</w:t>
            </w:r>
          </w:p>
        </w:tc>
        <w:tc>
          <w:tcPr>
            <w:tcW w:w="2068" w:type="dxa"/>
            <w:noWrap/>
            <w:hideMark/>
          </w:tcPr>
          <w:p w14:paraId="4565346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569922A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24,541</w:t>
            </w:r>
          </w:p>
        </w:tc>
        <w:tc>
          <w:tcPr>
            <w:tcW w:w="2068" w:type="dxa"/>
            <w:noWrap/>
            <w:hideMark/>
          </w:tcPr>
          <w:p w14:paraId="4BD3071B"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7</w:t>
            </w:r>
          </w:p>
        </w:tc>
      </w:tr>
      <w:tr w:rsidR="000F32B0" w:rsidRPr="000F32B0" w14:paraId="1F06EE77"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012DB5F4"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51AA051E"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12 pathogens; hospital-acquired</w:t>
            </w:r>
          </w:p>
        </w:tc>
        <w:tc>
          <w:tcPr>
            <w:tcW w:w="2068" w:type="dxa"/>
            <w:noWrap/>
            <w:hideMark/>
          </w:tcPr>
          <w:p w14:paraId="02932193"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Individual</w:t>
            </w:r>
          </w:p>
        </w:tc>
        <w:tc>
          <w:tcPr>
            <w:tcW w:w="2068" w:type="dxa"/>
            <w:noWrap/>
            <w:hideMark/>
          </w:tcPr>
          <w:p w14:paraId="617BC2E4"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w:t>
            </w:r>
          </w:p>
        </w:tc>
        <w:tc>
          <w:tcPr>
            <w:tcW w:w="2068" w:type="dxa"/>
            <w:noWrap/>
            <w:hideMark/>
          </w:tcPr>
          <w:p w14:paraId="63F09166"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7</w:t>
            </w:r>
          </w:p>
        </w:tc>
      </w:tr>
      <w:tr w:rsidR="000F32B0" w:rsidRPr="000F32B0" w14:paraId="6372A4A0"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67F72119"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0EBD9C12"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1B1905CE"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Intercept</w:t>
            </w:r>
          </w:p>
        </w:tc>
        <w:tc>
          <w:tcPr>
            <w:tcW w:w="2068" w:type="dxa"/>
            <w:noWrap/>
            <w:hideMark/>
          </w:tcPr>
          <w:p w14:paraId="2A006A3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29,188</w:t>
            </w:r>
          </w:p>
        </w:tc>
        <w:tc>
          <w:tcPr>
            <w:tcW w:w="2068" w:type="dxa"/>
            <w:noWrap/>
            <w:hideMark/>
          </w:tcPr>
          <w:p w14:paraId="6CF739D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21</w:t>
            </w:r>
          </w:p>
        </w:tc>
      </w:tr>
      <w:tr w:rsidR="000F32B0" w:rsidRPr="000F32B0" w14:paraId="6CAD920B" w14:textId="77777777" w:rsidTr="000F32B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40227EE4"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066AD8D5"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4C0D1B5A"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Family</w:t>
            </w:r>
          </w:p>
        </w:tc>
        <w:tc>
          <w:tcPr>
            <w:tcW w:w="2068" w:type="dxa"/>
            <w:noWrap/>
            <w:hideMark/>
          </w:tcPr>
          <w:p w14:paraId="2DDF1979"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30,156</w:t>
            </w:r>
          </w:p>
        </w:tc>
        <w:tc>
          <w:tcPr>
            <w:tcW w:w="2068" w:type="dxa"/>
            <w:noWrap/>
            <w:hideMark/>
          </w:tcPr>
          <w:p w14:paraId="62E0FF43" w14:textId="77777777" w:rsidR="003170CE" w:rsidRPr="000F32B0" w:rsidRDefault="003170CE" w:rsidP="003170CE">
            <w:pPr>
              <w:spacing w:after="160" w:line="257" w:lineRule="auto"/>
              <w:cnfStyle w:val="000000100000" w:firstRow="0" w:lastRow="0" w:firstColumn="0" w:lastColumn="0" w:oddVBand="0" w:evenVBand="0" w:oddHBand="1" w:evenHBand="0" w:firstRowFirstColumn="0" w:firstRowLastColumn="0" w:lastRowFirstColumn="0" w:lastRowLastColumn="0"/>
              <w:rPr>
                <w:sz w:val="24"/>
                <w:szCs w:val="24"/>
              </w:rPr>
            </w:pPr>
            <w:r w:rsidRPr="000F32B0">
              <w:rPr>
                <w:sz w:val="24"/>
                <w:szCs w:val="24"/>
              </w:rPr>
              <w:t>8</w:t>
            </w:r>
          </w:p>
        </w:tc>
      </w:tr>
      <w:tr w:rsidR="000F32B0" w:rsidRPr="000F32B0" w14:paraId="4371FD28" w14:textId="77777777" w:rsidTr="000F32B0">
        <w:trPr>
          <w:trHeight w:val="300"/>
        </w:trPr>
        <w:tc>
          <w:tcPr>
            <w:cnfStyle w:val="001000000000" w:firstRow="0" w:lastRow="0" w:firstColumn="1" w:lastColumn="0" w:oddVBand="0" w:evenVBand="0" w:oddHBand="0" w:evenHBand="0" w:firstRowFirstColumn="0" w:firstRowLastColumn="0" w:lastRowFirstColumn="0" w:lastRowLastColumn="0"/>
            <w:tcW w:w="2068" w:type="dxa"/>
            <w:noWrap/>
            <w:hideMark/>
          </w:tcPr>
          <w:p w14:paraId="59C88EA1" w14:textId="77777777" w:rsidR="003170CE" w:rsidRPr="000F32B0" w:rsidRDefault="003170CE" w:rsidP="003170CE">
            <w:pPr>
              <w:spacing w:after="160" w:line="257" w:lineRule="auto"/>
              <w:rPr>
                <w:sz w:val="24"/>
                <w:szCs w:val="24"/>
              </w:rPr>
            </w:pPr>
            <w:r w:rsidRPr="000F32B0">
              <w:rPr>
                <w:sz w:val="24"/>
                <w:szCs w:val="24"/>
              </w:rPr>
              <w:t>UTI</w:t>
            </w:r>
          </w:p>
        </w:tc>
        <w:tc>
          <w:tcPr>
            <w:tcW w:w="2068" w:type="dxa"/>
            <w:noWrap/>
            <w:hideMark/>
          </w:tcPr>
          <w:p w14:paraId="7E14A035"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Hospital-acquired</w:t>
            </w:r>
          </w:p>
        </w:tc>
        <w:tc>
          <w:tcPr>
            <w:tcW w:w="2068" w:type="dxa"/>
            <w:noWrap/>
            <w:hideMark/>
          </w:tcPr>
          <w:p w14:paraId="78531CC4"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All pathogen</w:t>
            </w:r>
          </w:p>
        </w:tc>
        <w:tc>
          <w:tcPr>
            <w:tcW w:w="2068" w:type="dxa"/>
            <w:noWrap/>
            <w:hideMark/>
          </w:tcPr>
          <w:p w14:paraId="278393CD"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30,156</w:t>
            </w:r>
          </w:p>
        </w:tc>
        <w:tc>
          <w:tcPr>
            <w:tcW w:w="2068" w:type="dxa"/>
            <w:noWrap/>
            <w:hideMark/>
          </w:tcPr>
          <w:p w14:paraId="7DC9D80A" w14:textId="77777777" w:rsidR="003170CE" w:rsidRPr="000F32B0" w:rsidRDefault="003170CE" w:rsidP="003170CE">
            <w:pPr>
              <w:spacing w:after="160" w:line="257" w:lineRule="auto"/>
              <w:cnfStyle w:val="000000000000" w:firstRow="0" w:lastRow="0" w:firstColumn="0" w:lastColumn="0" w:oddVBand="0" w:evenVBand="0" w:oddHBand="0" w:evenHBand="0" w:firstRowFirstColumn="0" w:firstRowLastColumn="0" w:lastRowFirstColumn="0" w:lastRowLastColumn="0"/>
              <w:rPr>
                <w:sz w:val="24"/>
                <w:szCs w:val="24"/>
              </w:rPr>
            </w:pPr>
            <w:r w:rsidRPr="000F32B0">
              <w:rPr>
                <w:sz w:val="24"/>
                <w:szCs w:val="24"/>
              </w:rPr>
              <w:t>7</w:t>
            </w:r>
          </w:p>
        </w:tc>
      </w:tr>
    </w:tbl>
    <w:p w14:paraId="0709B563"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Bone+=infections of bones, joints, and related organs. BSI=bloodstream infections. Intra-abdominal=peritoneal and intra-abdominal infections. LRI=lower respiratory infections and all related infections in the thorax. Skin=infections of the skin and subcutaneous systems. UTI=urinary tract infections and pyelonephritis.</w:t>
      </w:r>
    </w:p>
    <w:p w14:paraId="1A803FE1" w14:textId="77777777" w:rsidR="003170CE" w:rsidRPr="000F32B0" w:rsidRDefault="003170CE" w:rsidP="31F26954">
      <w:pPr>
        <w:spacing w:line="257" w:lineRule="auto"/>
        <w:rPr>
          <w:rFonts w:eastAsiaTheme="majorEastAsia"/>
          <w:sz w:val="24"/>
          <w:szCs w:val="24"/>
        </w:rPr>
      </w:pPr>
      <w:r w:rsidRPr="000F32B0">
        <w:rPr>
          <w:rFonts w:eastAsiaTheme="majorEastAsia"/>
          <w:sz w:val="24"/>
          <w:szCs w:val="24"/>
        </w:rPr>
        <w:t>*The number of datapoints for individual models vary substantially by pathogen and are subsets of the datapoints included in the intercept model.</w:t>
      </w:r>
    </w:p>
    <w:p w14:paraId="451F54F5" w14:textId="025DD3D3" w:rsidR="003170CE" w:rsidRPr="000F32B0" w:rsidRDefault="003170CE" w:rsidP="31F26954">
      <w:pPr>
        <w:spacing w:line="257" w:lineRule="auto"/>
        <w:rPr>
          <w:rFonts w:asciiTheme="majorHAnsi" w:eastAsiaTheme="majorEastAsia" w:hAnsiTheme="majorHAnsi" w:cstheme="majorBidi"/>
          <w:color w:val="1F3864" w:themeColor="accent1" w:themeShade="80"/>
          <w:sz w:val="24"/>
          <w:szCs w:val="24"/>
        </w:rPr>
      </w:pPr>
      <w:bookmarkStart w:id="59" w:name="_Toc73621073"/>
      <w:bookmarkStart w:id="60" w:name="_Toc73708260"/>
      <w:bookmarkStart w:id="61" w:name="_Toc73876900"/>
      <w:bookmarkStart w:id="62" w:name="_Toc83392649"/>
      <w:bookmarkStart w:id="63" w:name="_Toc83655632"/>
      <w:bookmarkStart w:id="64" w:name="_Toc83656463"/>
      <w:bookmarkStart w:id="65" w:name="_Toc88054495"/>
      <w:bookmarkStart w:id="66" w:name="_Toc176418329"/>
      <w:r w:rsidRPr="000F32B0">
        <w:rPr>
          <w:rFonts w:asciiTheme="majorHAnsi" w:eastAsiaTheme="majorEastAsia" w:hAnsiTheme="majorHAnsi" w:cstheme="majorBidi"/>
          <w:color w:val="1F3864" w:themeColor="accent1" w:themeShade="80"/>
          <w:sz w:val="24"/>
          <w:szCs w:val="24"/>
        </w:rPr>
        <w:t>Predictions and uncertainty</w:t>
      </w:r>
      <w:bookmarkEnd w:id="59"/>
      <w:bookmarkEnd w:id="60"/>
      <w:bookmarkEnd w:id="61"/>
      <w:bookmarkEnd w:id="62"/>
      <w:bookmarkEnd w:id="63"/>
      <w:bookmarkEnd w:id="64"/>
      <w:bookmarkEnd w:id="65"/>
      <w:bookmarkEnd w:id="66"/>
    </w:p>
    <w:p w14:paraId="1ABDA57D" w14:textId="77777777" w:rsidR="000F32B0" w:rsidRPr="000F32B0" w:rsidRDefault="003170CE" w:rsidP="31F26954">
      <w:pPr>
        <w:spacing w:line="257" w:lineRule="auto"/>
        <w:rPr>
          <w:rFonts w:eastAsiaTheme="majorEastAsia"/>
          <w:sz w:val="24"/>
          <w:szCs w:val="24"/>
        </w:rPr>
      </w:pPr>
      <w:r w:rsidRPr="000F32B0">
        <w:rPr>
          <w:rFonts w:eastAsiaTheme="majorEastAsia"/>
          <w:sz w:val="24"/>
          <w:szCs w:val="24"/>
        </w:rPr>
        <w:t xml:space="preserve">Predictions for CFRs were generated for the years 1980–2021 for each AMR infectious syndrome by country, age group, and pathogen as a function of each country’s HAQ Index, vaccine coverage for </w:t>
      </w:r>
      <w:r w:rsidRPr="000F32B0">
        <w:rPr>
          <w:rFonts w:eastAsiaTheme="majorEastAsia"/>
          <w:i/>
          <w:iCs/>
          <w:sz w:val="24"/>
          <w:szCs w:val="24"/>
        </w:rPr>
        <w:t xml:space="preserve">S. </w:t>
      </w:r>
      <w:proofErr w:type="spellStart"/>
      <w:r w:rsidRPr="000F32B0">
        <w:rPr>
          <w:rFonts w:eastAsiaTheme="majorEastAsia"/>
          <w:i/>
          <w:iCs/>
          <w:sz w:val="24"/>
          <w:szCs w:val="24"/>
        </w:rPr>
        <w:t>pneumooniae</w:t>
      </w:r>
      <w:proofErr w:type="spellEnd"/>
      <w:r w:rsidRPr="000F32B0">
        <w:rPr>
          <w:rFonts w:eastAsiaTheme="majorEastAsia"/>
          <w:sz w:val="24"/>
          <w:szCs w:val="24"/>
        </w:rPr>
        <w:t xml:space="preserve"> and </w:t>
      </w:r>
      <w:r w:rsidRPr="000F32B0">
        <w:rPr>
          <w:rFonts w:eastAsiaTheme="majorEastAsia"/>
          <w:i/>
          <w:iCs/>
          <w:sz w:val="24"/>
          <w:szCs w:val="24"/>
        </w:rPr>
        <w:t>H. influenzae</w:t>
      </w:r>
      <w:r w:rsidRPr="000F32B0">
        <w:rPr>
          <w:rFonts w:eastAsiaTheme="majorEastAsia"/>
          <w:sz w:val="24"/>
          <w:szCs w:val="24"/>
        </w:rPr>
        <w:t xml:space="preserve"> (for those two pathogens), assuming mixed ICU/non-ICU patients and, in the case of models for UTI and LRI+, that the infection was community- or hospital-acquired (in contrast to infections of unknown origin). For pathogens with insufficient data to estimate a syndrome-specific CFR, predictions were generated using the “family” CFR associated with the infectious syndrome with pathogens classified as either bacteria, viruses, fungi or parasites. Importantly, all the infectious syndrome CFRs we estimate are independent of underlying cause.</w:t>
      </w:r>
    </w:p>
    <w:p w14:paraId="2C5A860A" w14:textId="3C94278A" w:rsidR="6D5213EC" w:rsidRPr="00C31303" w:rsidRDefault="0079135E" w:rsidP="31F26954">
      <w:pPr>
        <w:spacing w:line="257" w:lineRule="auto"/>
        <w:rPr>
          <w:rFonts w:asciiTheme="majorHAnsi" w:eastAsiaTheme="majorEastAsia" w:hAnsiTheme="majorHAnsi" w:cstheme="majorBidi"/>
          <w:color w:val="1F3763"/>
          <w:sz w:val="24"/>
          <w:szCs w:val="24"/>
        </w:rPr>
      </w:pPr>
      <w:r w:rsidRPr="31F26954">
        <w:rPr>
          <w:rFonts w:asciiTheme="majorHAnsi" w:eastAsiaTheme="majorEastAsia" w:hAnsiTheme="majorHAnsi" w:cstheme="majorBidi"/>
          <w:color w:val="1F3763"/>
          <w:sz w:val="24"/>
          <w:szCs w:val="24"/>
        </w:rPr>
        <w:t>Input data</w:t>
      </w:r>
    </w:p>
    <w:p w14:paraId="76A7B42A" w14:textId="77777777" w:rsidR="00C17E6C" w:rsidRPr="00C17E6C" w:rsidRDefault="00C17E6C" w:rsidP="00C17E6C">
      <w:pPr>
        <w:spacing w:line="257" w:lineRule="auto"/>
      </w:pPr>
      <w:r w:rsidRPr="00C17E6C">
        <w:t>With this model, we aimed to estimate the distribution of pathogens causing each of our 11 major bacterial infectious syndromes. To get input data for this model, we gathered all available data sources described in section 2 that meet the following criteria:</w:t>
      </w:r>
    </w:p>
    <w:p w14:paraId="1AB7A38D" w14:textId="77777777" w:rsidR="00C17E6C" w:rsidRPr="00C17E6C" w:rsidRDefault="00C17E6C" w:rsidP="00CD5082">
      <w:pPr>
        <w:numPr>
          <w:ilvl w:val="0"/>
          <w:numId w:val="2"/>
        </w:numPr>
        <w:spacing w:line="257" w:lineRule="auto"/>
      </w:pPr>
      <w:r w:rsidRPr="00C17E6C">
        <w:t>Sufficient diagnosis (for patient- or admission-level datasets) or sample specimen type (for isolate- or culture-level datasets) information for us to determine the infectious syndrome.</w:t>
      </w:r>
    </w:p>
    <w:p w14:paraId="120A081B" w14:textId="77777777" w:rsidR="00C17E6C" w:rsidRPr="00C17E6C" w:rsidRDefault="00C17E6C" w:rsidP="00CD5082">
      <w:pPr>
        <w:numPr>
          <w:ilvl w:val="0"/>
          <w:numId w:val="2"/>
        </w:numPr>
        <w:spacing w:line="257" w:lineRule="auto"/>
      </w:pPr>
      <w:r w:rsidRPr="00C17E6C">
        <w:t>Information on which pathogen(s) caused the infection or which pathogen(s) were detected in an infectious sample, as determined through culture or genomic-based methods.</w:t>
      </w:r>
    </w:p>
    <w:p w14:paraId="25E5A9E9" w14:textId="77777777" w:rsidR="00C17E6C" w:rsidRPr="00C17E6C" w:rsidRDefault="00C17E6C" w:rsidP="00CD5082">
      <w:pPr>
        <w:numPr>
          <w:ilvl w:val="0"/>
          <w:numId w:val="2"/>
        </w:numPr>
        <w:spacing w:line="257" w:lineRule="auto"/>
      </w:pPr>
      <w:r w:rsidRPr="00C17E6C">
        <w:t>Did not have a strongly biased sampling framework across pathogens (for example, did not deliberately sample until 100 cases of every pathogen of interest had been obtained).</w:t>
      </w:r>
    </w:p>
    <w:p w14:paraId="76B408A9" w14:textId="77777777" w:rsidR="00C17E6C" w:rsidRPr="00C17E6C" w:rsidRDefault="00C17E6C" w:rsidP="00C17E6C">
      <w:pPr>
        <w:spacing w:line="257" w:lineRule="auto"/>
      </w:pPr>
      <w:r w:rsidRPr="00C17E6C">
        <w:t>The input data source types that met these criteria were:</w:t>
      </w:r>
    </w:p>
    <w:p w14:paraId="73BD445C" w14:textId="77777777" w:rsidR="00C17E6C" w:rsidRPr="00C17E6C" w:rsidRDefault="00C17E6C" w:rsidP="00CD5082">
      <w:pPr>
        <w:numPr>
          <w:ilvl w:val="0"/>
          <w:numId w:val="1"/>
        </w:numPr>
        <w:spacing w:line="257" w:lineRule="auto"/>
      </w:pPr>
      <w:r w:rsidRPr="00C17E6C">
        <w:t>Multiple causes of death data</w:t>
      </w:r>
    </w:p>
    <w:p w14:paraId="3EF47F20" w14:textId="77777777" w:rsidR="00C17E6C" w:rsidRPr="00C17E6C" w:rsidRDefault="00C17E6C" w:rsidP="00CD5082">
      <w:pPr>
        <w:numPr>
          <w:ilvl w:val="0"/>
          <w:numId w:val="1"/>
        </w:numPr>
        <w:spacing w:line="257" w:lineRule="auto"/>
      </w:pPr>
      <w:r w:rsidRPr="00C17E6C">
        <w:t>Hospital discharge</w:t>
      </w:r>
    </w:p>
    <w:p w14:paraId="44BDB249" w14:textId="77777777" w:rsidR="00C17E6C" w:rsidRPr="00C17E6C" w:rsidRDefault="00C17E6C" w:rsidP="00CD5082">
      <w:pPr>
        <w:numPr>
          <w:ilvl w:val="0"/>
          <w:numId w:val="1"/>
        </w:numPr>
        <w:spacing w:line="257" w:lineRule="auto"/>
      </w:pPr>
      <w:r w:rsidRPr="00C17E6C">
        <w:t>Linkage data</w:t>
      </w:r>
    </w:p>
    <w:p w14:paraId="3C6D752F" w14:textId="77777777" w:rsidR="00C17E6C" w:rsidRPr="00C17E6C" w:rsidRDefault="00C17E6C" w:rsidP="00CD5082">
      <w:pPr>
        <w:numPr>
          <w:ilvl w:val="0"/>
          <w:numId w:val="1"/>
        </w:numPr>
        <w:spacing w:line="257" w:lineRule="auto"/>
      </w:pPr>
      <w:r w:rsidRPr="00C17E6C">
        <w:t>Microbial data with and without outcome information</w:t>
      </w:r>
    </w:p>
    <w:p w14:paraId="4E355DAC" w14:textId="77777777" w:rsidR="00C17E6C" w:rsidRPr="00C17E6C" w:rsidRDefault="00C17E6C" w:rsidP="00CD5082">
      <w:pPr>
        <w:numPr>
          <w:ilvl w:val="0"/>
          <w:numId w:val="1"/>
        </w:numPr>
        <w:spacing w:line="257" w:lineRule="auto"/>
      </w:pPr>
      <w:r w:rsidRPr="00C17E6C">
        <w:t xml:space="preserve">Literature studies from the </w:t>
      </w:r>
      <w:proofErr w:type="spellStart"/>
      <w:r w:rsidRPr="00C17E6C">
        <w:t>aetiology</w:t>
      </w:r>
      <w:proofErr w:type="spellEnd"/>
      <w:r w:rsidRPr="00C17E6C">
        <w:t xml:space="preserve"> literature reviews</w:t>
      </w:r>
    </w:p>
    <w:p w14:paraId="705761E7" w14:textId="77777777" w:rsidR="00C17E6C" w:rsidRPr="00C17E6C" w:rsidRDefault="00C17E6C" w:rsidP="00CD5082">
      <w:pPr>
        <w:numPr>
          <w:ilvl w:val="0"/>
          <w:numId w:val="1"/>
        </w:numPr>
        <w:spacing w:line="257" w:lineRule="auto"/>
      </w:pPr>
      <w:r w:rsidRPr="00C17E6C">
        <w:t>Mortality surveillance (Child Health and Mortality Prevention Surveillance [CHAMPS])</w:t>
      </w:r>
    </w:p>
    <w:p w14:paraId="7613418C" w14:textId="77777777" w:rsidR="00220905" w:rsidRDefault="00C17E6C" w:rsidP="7424603D">
      <w:pPr>
        <w:spacing w:line="257" w:lineRule="auto"/>
      </w:pPr>
      <w:r w:rsidRPr="00C17E6C">
        <w:t xml:space="preserve">From these sources combined, there were a total of 20.5 million isolates and cases. </w:t>
      </w:r>
    </w:p>
    <w:p w14:paraId="6AB61D33" w14:textId="4F406FF1" w:rsidR="6D5213EC" w:rsidRPr="00E21D0D" w:rsidRDefault="00C17E6C" w:rsidP="7424603D">
      <w:pPr>
        <w:spacing w:line="257" w:lineRule="auto"/>
        <w:rPr>
          <w:rFonts w:asciiTheme="majorHAnsi" w:eastAsiaTheme="majorEastAsia" w:hAnsiTheme="majorHAnsi" w:cstheme="majorBidi"/>
          <w:color w:val="1F3763" w:themeColor="accent1" w:themeShade="7F"/>
          <w:sz w:val="24"/>
          <w:szCs w:val="24"/>
        </w:rPr>
      </w:pPr>
      <w:r w:rsidRPr="00E21D0D">
        <w:rPr>
          <w:rFonts w:asciiTheme="majorHAnsi" w:eastAsiaTheme="majorEastAsia" w:hAnsiTheme="majorHAnsi" w:cstheme="majorBidi"/>
          <w:color w:val="1F3763" w:themeColor="accent1" w:themeShade="7F"/>
          <w:sz w:val="24"/>
          <w:szCs w:val="24"/>
        </w:rPr>
        <w:t>Data Processing</w:t>
      </w:r>
    </w:p>
    <w:p w14:paraId="653D88D2" w14:textId="2F585E5B" w:rsidR="00C17E6C" w:rsidRDefault="00A946E9" w:rsidP="7424603D">
      <w:pPr>
        <w:spacing w:line="257" w:lineRule="auto"/>
      </w:pPr>
      <w:r>
        <w:rPr>
          <w:i/>
          <w:iCs/>
        </w:rPr>
        <w:t xml:space="preserve">Extraction and </w:t>
      </w:r>
      <w:proofErr w:type="spellStart"/>
      <w:r>
        <w:rPr>
          <w:i/>
          <w:iCs/>
        </w:rPr>
        <w:t>standardisation</w:t>
      </w:r>
      <w:proofErr w:type="spellEnd"/>
    </w:p>
    <w:p w14:paraId="27D166F5" w14:textId="0013F9F9" w:rsidR="00A946E9" w:rsidRPr="00A946E9" w:rsidRDefault="00A946E9" w:rsidP="7424603D">
      <w:pPr>
        <w:spacing w:line="257" w:lineRule="auto"/>
      </w:pPr>
      <w:r w:rsidRPr="00A946E9">
        <w:t xml:space="preserve">We extracted and </w:t>
      </w:r>
      <w:proofErr w:type="spellStart"/>
      <w:r w:rsidRPr="00A946E9">
        <w:t>standardised</w:t>
      </w:r>
      <w:proofErr w:type="spellEnd"/>
      <w:r w:rsidRPr="00A946E9">
        <w:t xml:space="preserve"> the location, year, age, sex, diagnoses, specimen type, pathogens, and hospital- and community-acquired (HAI and CAI) status of each record in every dataset. HAI or CAI status in microbial data was determined, while in </w:t>
      </w:r>
      <w:proofErr w:type="spellStart"/>
      <w:r w:rsidRPr="00A946E9">
        <w:t>MCoD</w:t>
      </w:r>
      <w:proofErr w:type="spellEnd"/>
      <w:r w:rsidRPr="00A946E9">
        <w:t xml:space="preserve">, hospital discharge, and linkage data, a record was considered CAI if the infectious syndrome was the primary or underlying diagnosis and HAI otherwise. These datasets report a variety of metrics, including deaths, admissions, cases, cultures, and isolates. While these metrics are not completely comparable (for example, a single patient may often have multiple cultures taken during a single hospital admission), we chose to </w:t>
      </w:r>
      <w:proofErr w:type="spellStart"/>
      <w:r w:rsidRPr="00A946E9">
        <w:t>standardise</w:t>
      </w:r>
      <w:proofErr w:type="spellEnd"/>
      <w:r w:rsidRPr="00A946E9">
        <w:t xml:space="preserve"> them into two categories: “deaths,” for any unit associated with an outcome of death, and “cases,” for any unit regardless of outcome. We assigned a unique identifier, sample ID, to track each unique unit of analysis whenever a dataset included enough line-level data to make this possible. We did not track the relationship between sample ID and patient or admission, in many cases because this was not possible; an improvement to future analyses may be to track this information and account for multiple isolates or cultures from a single admission. The majority of the data informing culprit pathogen were from microbiological analysis of various isolates, but we also considered antigen testing, such as the urinary pneumococcal antigen, and polymerase chain reaction (PCR)-based testing when assigning the pathogen responsible for infection. </w:t>
      </w:r>
    </w:p>
    <w:p w14:paraId="0447F432" w14:textId="091F034D" w:rsidR="0BB36B9D" w:rsidRDefault="00A946E9" w:rsidP="0BB36B9D">
      <w:pPr>
        <w:rPr>
          <w:i/>
          <w:iCs/>
        </w:rPr>
      </w:pPr>
      <w:r w:rsidRPr="00A946E9">
        <w:rPr>
          <w:i/>
          <w:iCs/>
        </w:rPr>
        <w:t>Assigning infectious syndrome</w:t>
      </w:r>
    </w:p>
    <w:p w14:paraId="78174FFE" w14:textId="378B3B8A" w:rsidR="00E477F5" w:rsidRPr="00E477F5" w:rsidRDefault="00E477F5" w:rsidP="00E477F5">
      <w:r w:rsidRPr="00E477F5">
        <w:t xml:space="preserve">After </w:t>
      </w:r>
      <w:proofErr w:type="spellStart"/>
      <w:r w:rsidRPr="00E477F5">
        <w:t>standardising</w:t>
      </w:r>
      <w:proofErr w:type="spellEnd"/>
      <w:r w:rsidRPr="00E477F5">
        <w:t xml:space="preserve"> the data, we mapped every sample ID or tabulated figure in the data to infectious syndrome based on its diagnoses and specimen type. Infectious syndrome was assigned first based on any diagnosis associated with a given sample ID or tabulated figure. For sample IDs or tabulated figures with multiple diagnoses and/or an underlying diagnosis, we </w:t>
      </w:r>
      <w:r w:rsidR="00C10B63">
        <w:t>assigned</w:t>
      </w:r>
      <w:r w:rsidRPr="00E477F5">
        <w:t xml:space="preserve"> infectious syndrome based on multiple causes. If a dataset contained no diagnoses or the diagnoses provided no information on infectious syndrome, we assigned infectious syndrome based on specimen type (table 6.2.2.1). This is an imprecise method because a patient may have a sample taken from an organ system that is not the site of their primary infection (most commonly from the blood). Finally, if neither diagnosis nor specimen information provided information on infectious syndrome, we assigned infectious syndrome based on pathogen for a select number of pathogens (table 6.2.2.2).</w:t>
      </w:r>
    </w:p>
    <w:p w14:paraId="3164C02E" w14:textId="77777777" w:rsidR="00E477F5" w:rsidRPr="00E477F5" w:rsidRDefault="00E477F5" w:rsidP="00E477F5">
      <w:r w:rsidRPr="00E477F5">
        <w:t>Table</w:t>
      </w:r>
      <w:r w:rsidRPr="00E477F5">
        <w:rPr>
          <w:iCs/>
        </w:rPr>
        <w:t xml:space="preserve"> </w:t>
      </w:r>
      <w:r w:rsidRPr="00E477F5">
        <w:t xml:space="preserve">6.2.2.1: Syndrome assignment based on </w:t>
      </w:r>
      <w:proofErr w:type="spellStart"/>
      <w:r w:rsidRPr="00E477F5">
        <w:t>standardised</w:t>
      </w:r>
      <w:proofErr w:type="spellEnd"/>
      <w:r w:rsidRPr="00E477F5">
        <w:t xml:space="preserve"> specimen types</w:t>
      </w:r>
    </w:p>
    <w:tbl>
      <w:tblPr>
        <w:tblStyle w:val="PlainTable1"/>
        <w:tblW w:w="0" w:type="auto"/>
        <w:tblLook w:val="04A0" w:firstRow="1" w:lastRow="0" w:firstColumn="1" w:lastColumn="0" w:noHBand="0" w:noVBand="1"/>
      </w:tblPr>
      <w:tblGrid>
        <w:gridCol w:w="2965"/>
        <w:gridCol w:w="6385"/>
      </w:tblGrid>
      <w:tr w:rsidR="00E477F5" w:rsidRPr="00E477F5" w14:paraId="3892FDF4" w14:textId="77777777" w:rsidTr="000F32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12D76C3" w14:textId="77777777" w:rsidR="00E477F5" w:rsidRPr="00E477F5" w:rsidRDefault="00E477F5" w:rsidP="00E477F5">
            <w:pPr>
              <w:spacing w:after="160" w:line="259" w:lineRule="auto"/>
              <w:rPr>
                <w:b w:val="0"/>
              </w:rPr>
            </w:pPr>
            <w:r w:rsidRPr="00E477F5">
              <w:t>Standard specimen</w:t>
            </w:r>
          </w:p>
        </w:tc>
        <w:tc>
          <w:tcPr>
            <w:tcW w:w="6385" w:type="dxa"/>
          </w:tcPr>
          <w:p w14:paraId="4831C658" w14:textId="77777777" w:rsidR="00E477F5" w:rsidRPr="00E477F5" w:rsidRDefault="00E477F5" w:rsidP="00E477F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E477F5">
              <w:t>Assigned to syndrome</w:t>
            </w:r>
          </w:p>
        </w:tc>
      </w:tr>
      <w:tr w:rsidR="00E477F5" w:rsidRPr="00E477F5" w14:paraId="2CC9C48B"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7A2552BA" w14:textId="77777777" w:rsidR="00E477F5" w:rsidRPr="00E477F5" w:rsidRDefault="00E477F5" w:rsidP="00E477F5">
            <w:pPr>
              <w:spacing w:after="160" w:line="259" w:lineRule="auto"/>
            </w:pPr>
            <w:r w:rsidRPr="00E477F5">
              <w:t>Blood</w:t>
            </w:r>
          </w:p>
        </w:tc>
        <w:tc>
          <w:tcPr>
            <w:tcW w:w="6385" w:type="dxa"/>
          </w:tcPr>
          <w:p w14:paraId="04E3A8A7"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Bloodstream infections</w:t>
            </w:r>
          </w:p>
        </w:tc>
      </w:tr>
      <w:tr w:rsidR="00E477F5" w:rsidRPr="00E477F5" w14:paraId="7FD3F4CF"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5385D2F9" w14:textId="77777777" w:rsidR="00E477F5" w:rsidRPr="00E477F5" w:rsidRDefault="00E477F5" w:rsidP="00E477F5">
            <w:pPr>
              <w:spacing w:after="160" w:line="259" w:lineRule="auto"/>
            </w:pPr>
            <w:r w:rsidRPr="00E477F5">
              <w:t>Bone &amp; joint</w:t>
            </w:r>
          </w:p>
        </w:tc>
        <w:tc>
          <w:tcPr>
            <w:tcW w:w="6385" w:type="dxa"/>
          </w:tcPr>
          <w:p w14:paraId="4FFB896D"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Infections of bones, joints, and related organs</w:t>
            </w:r>
          </w:p>
        </w:tc>
      </w:tr>
      <w:tr w:rsidR="00E477F5" w:rsidRPr="00E477F5" w14:paraId="3518F2AD"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1639DB8" w14:textId="77777777" w:rsidR="00E477F5" w:rsidRPr="00E477F5" w:rsidRDefault="00E477F5" w:rsidP="00E477F5">
            <w:pPr>
              <w:spacing w:after="160" w:line="259" w:lineRule="auto"/>
            </w:pPr>
            <w:r w:rsidRPr="00E477F5">
              <w:t>Cerebrospinal fluid</w:t>
            </w:r>
          </w:p>
        </w:tc>
        <w:tc>
          <w:tcPr>
            <w:tcW w:w="6385" w:type="dxa"/>
          </w:tcPr>
          <w:p w14:paraId="65A63A56"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Meningitis</w:t>
            </w:r>
          </w:p>
        </w:tc>
      </w:tr>
      <w:tr w:rsidR="00E477F5" w:rsidRPr="00E477F5" w14:paraId="726EC898"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19229856" w14:textId="77777777" w:rsidR="00E477F5" w:rsidRPr="00E477F5" w:rsidRDefault="00E477F5" w:rsidP="00E477F5">
            <w:pPr>
              <w:spacing w:after="160" w:line="259" w:lineRule="auto"/>
            </w:pPr>
            <w:r w:rsidRPr="00E477F5">
              <w:t>Endocardial</w:t>
            </w:r>
          </w:p>
        </w:tc>
        <w:tc>
          <w:tcPr>
            <w:tcW w:w="6385" w:type="dxa"/>
          </w:tcPr>
          <w:p w14:paraId="5F3AEBA3"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Endocarditis</w:t>
            </w:r>
          </w:p>
        </w:tc>
      </w:tr>
      <w:tr w:rsidR="00E477F5" w:rsidRPr="00E477F5" w14:paraId="7A0AB737"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F125D24" w14:textId="77777777" w:rsidR="00E477F5" w:rsidRPr="00E477F5" w:rsidRDefault="00E477F5" w:rsidP="00E477F5">
            <w:pPr>
              <w:spacing w:after="160" w:line="259" w:lineRule="auto"/>
            </w:pPr>
            <w:r w:rsidRPr="00E477F5">
              <w:t xml:space="preserve">Intra-abdominal </w:t>
            </w:r>
          </w:p>
        </w:tc>
        <w:tc>
          <w:tcPr>
            <w:tcW w:w="6385" w:type="dxa"/>
          </w:tcPr>
          <w:p w14:paraId="1E8BF38A"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Peritoneal and intra-abdominal infections</w:t>
            </w:r>
          </w:p>
        </w:tc>
      </w:tr>
      <w:tr w:rsidR="00E477F5" w:rsidRPr="00E477F5" w14:paraId="57D45E0E"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0823C121" w14:textId="77777777" w:rsidR="00E477F5" w:rsidRPr="00E477F5" w:rsidRDefault="00E477F5" w:rsidP="00E477F5">
            <w:pPr>
              <w:spacing w:after="160" w:line="259" w:lineRule="auto"/>
            </w:pPr>
            <w:r w:rsidRPr="00E477F5">
              <w:t>Lower respiratory</w:t>
            </w:r>
          </w:p>
        </w:tc>
        <w:tc>
          <w:tcPr>
            <w:tcW w:w="6385" w:type="dxa"/>
          </w:tcPr>
          <w:p w14:paraId="5EB4C41C"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Lower respiratory infections</w:t>
            </w:r>
            <w:r w:rsidRPr="00E477F5" w:rsidDel="00063DA0">
              <w:t xml:space="preserve"> and all related infections in the thorax</w:t>
            </w:r>
          </w:p>
        </w:tc>
      </w:tr>
      <w:tr w:rsidR="00E477F5" w:rsidRPr="00E477F5" w14:paraId="705774F7"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92930E8" w14:textId="77777777" w:rsidR="00E477F5" w:rsidRPr="00E477F5" w:rsidRDefault="00E477F5" w:rsidP="00E477F5">
            <w:pPr>
              <w:spacing w:after="160" w:line="259" w:lineRule="auto"/>
            </w:pPr>
            <w:r w:rsidRPr="00E477F5">
              <w:t>Peritoneal</w:t>
            </w:r>
          </w:p>
        </w:tc>
        <w:tc>
          <w:tcPr>
            <w:tcW w:w="6385" w:type="dxa"/>
          </w:tcPr>
          <w:p w14:paraId="0C45E464"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Peritoneal and intra-abdominal infections</w:t>
            </w:r>
          </w:p>
        </w:tc>
      </w:tr>
      <w:tr w:rsidR="00E477F5" w:rsidRPr="00E477F5" w14:paraId="249FB67A"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662F211D" w14:textId="77777777" w:rsidR="00E477F5" w:rsidRPr="00E477F5" w:rsidRDefault="00E477F5" w:rsidP="00E477F5">
            <w:pPr>
              <w:spacing w:after="160" w:line="259" w:lineRule="auto"/>
            </w:pPr>
            <w:r w:rsidRPr="00E477F5">
              <w:t>Rectal/stool</w:t>
            </w:r>
          </w:p>
        </w:tc>
        <w:tc>
          <w:tcPr>
            <w:tcW w:w="6385" w:type="dxa"/>
          </w:tcPr>
          <w:p w14:paraId="39163944"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proofErr w:type="spellStart"/>
            <w:r w:rsidRPr="00E477F5">
              <w:t>Diarrhoea</w:t>
            </w:r>
            <w:proofErr w:type="spellEnd"/>
          </w:p>
        </w:tc>
      </w:tr>
      <w:tr w:rsidR="00E477F5" w:rsidRPr="00E477F5" w14:paraId="2F6FA8C8"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E2838D2" w14:textId="77777777" w:rsidR="00E477F5" w:rsidRPr="00E477F5" w:rsidRDefault="00E477F5" w:rsidP="00E477F5">
            <w:pPr>
              <w:spacing w:after="160" w:line="259" w:lineRule="auto"/>
            </w:pPr>
            <w:r w:rsidRPr="00E477F5">
              <w:t>Skin</w:t>
            </w:r>
          </w:p>
        </w:tc>
        <w:tc>
          <w:tcPr>
            <w:tcW w:w="6385" w:type="dxa"/>
          </w:tcPr>
          <w:p w14:paraId="0818833E"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Infections of the skin and subcutaneous systems</w:t>
            </w:r>
          </w:p>
        </w:tc>
      </w:tr>
      <w:tr w:rsidR="00E477F5" w:rsidRPr="00E477F5" w14:paraId="2575DA22"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69AAD087" w14:textId="77777777" w:rsidR="00E477F5" w:rsidRPr="00E477F5" w:rsidRDefault="00E477F5" w:rsidP="00E477F5">
            <w:pPr>
              <w:spacing w:after="160" w:line="259" w:lineRule="auto"/>
            </w:pPr>
            <w:r w:rsidRPr="00E477F5">
              <w:t>Urinary tract</w:t>
            </w:r>
          </w:p>
        </w:tc>
        <w:tc>
          <w:tcPr>
            <w:tcW w:w="6385" w:type="dxa"/>
          </w:tcPr>
          <w:p w14:paraId="590EBD02"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Urinary tract infections and pyelonephritis</w:t>
            </w:r>
          </w:p>
        </w:tc>
      </w:tr>
      <w:tr w:rsidR="00E477F5" w:rsidRPr="00E477F5" w14:paraId="4D2EBE06"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353E0D1D" w14:textId="77777777" w:rsidR="00E477F5" w:rsidRPr="00E477F5" w:rsidRDefault="00E477F5" w:rsidP="00E477F5">
            <w:pPr>
              <w:spacing w:after="160" w:line="259" w:lineRule="auto"/>
            </w:pPr>
            <w:r w:rsidRPr="00E477F5">
              <w:t>Catheter</w:t>
            </w:r>
          </w:p>
        </w:tc>
        <w:tc>
          <w:tcPr>
            <w:tcW w:w="6385" w:type="dxa"/>
          </w:tcPr>
          <w:p w14:paraId="2889E54F"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 xml:space="preserve">Other unspecified site infections, not </w:t>
            </w:r>
            <w:proofErr w:type="spellStart"/>
            <w:r w:rsidRPr="00E477F5">
              <w:t>analysed</w:t>
            </w:r>
            <w:proofErr w:type="spellEnd"/>
            <w:r w:rsidRPr="00E477F5">
              <w:t>*</w:t>
            </w:r>
          </w:p>
        </w:tc>
      </w:tr>
      <w:tr w:rsidR="00E477F5" w:rsidRPr="00E477F5" w14:paraId="39BCF32F"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153CBA1C" w14:textId="77777777" w:rsidR="00E477F5" w:rsidRPr="00E477F5" w:rsidRDefault="00E477F5" w:rsidP="00E477F5">
            <w:pPr>
              <w:spacing w:after="160" w:line="259" w:lineRule="auto"/>
            </w:pPr>
            <w:r w:rsidRPr="00E477F5">
              <w:t>Eye</w:t>
            </w:r>
          </w:p>
        </w:tc>
        <w:tc>
          <w:tcPr>
            <w:tcW w:w="6385" w:type="dxa"/>
          </w:tcPr>
          <w:p w14:paraId="55BC740D"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 xml:space="preserve">Eye infections, not </w:t>
            </w:r>
            <w:proofErr w:type="spellStart"/>
            <w:r w:rsidRPr="00E477F5">
              <w:t>analysed</w:t>
            </w:r>
            <w:proofErr w:type="spellEnd"/>
            <w:r w:rsidRPr="00E477F5">
              <w:t>*</w:t>
            </w:r>
          </w:p>
        </w:tc>
      </w:tr>
      <w:tr w:rsidR="00E477F5" w:rsidRPr="00E477F5" w14:paraId="0CED6583"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20CA3176" w14:textId="77777777" w:rsidR="00E477F5" w:rsidRPr="00E477F5" w:rsidRDefault="00E477F5" w:rsidP="00E477F5">
            <w:pPr>
              <w:spacing w:after="160" w:line="259" w:lineRule="auto"/>
            </w:pPr>
            <w:r w:rsidRPr="00E477F5">
              <w:t>Genital</w:t>
            </w:r>
          </w:p>
        </w:tc>
        <w:tc>
          <w:tcPr>
            <w:tcW w:w="6385" w:type="dxa"/>
          </w:tcPr>
          <w:p w14:paraId="07D8381D"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 xml:space="preserve">Genital infections, not </w:t>
            </w:r>
            <w:proofErr w:type="spellStart"/>
            <w:r w:rsidRPr="00E477F5">
              <w:t>analysed</w:t>
            </w:r>
            <w:proofErr w:type="spellEnd"/>
            <w:r w:rsidRPr="00E477F5">
              <w:t>*</w:t>
            </w:r>
          </w:p>
        </w:tc>
      </w:tr>
      <w:tr w:rsidR="00E477F5" w:rsidRPr="00E477F5" w14:paraId="6161CBB6"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0A5C162E" w14:textId="77777777" w:rsidR="00E477F5" w:rsidRPr="00E477F5" w:rsidRDefault="00E477F5" w:rsidP="00E477F5">
            <w:pPr>
              <w:spacing w:after="160" w:line="259" w:lineRule="auto"/>
            </w:pPr>
            <w:r w:rsidRPr="00E477F5">
              <w:t>Oral</w:t>
            </w:r>
          </w:p>
        </w:tc>
        <w:tc>
          <w:tcPr>
            <w:tcW w:w="6385" w:type="dxa"/>
          </w:tcPr>
          <w:p w14:paraId="09CB900C"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 xml:space="preserve">Oral infections, not </w:t>
            </w:r>
            <w:proofErr w:type="spellStart"/>
            <w:r w:rsidRPr="00E477F5">
              <w:t>analysed</w:t>
            </w:r>
            <w:proofErr w:type="spellEnd"/>
            <w:r w:rsidRPr="00E477F5">
              <w:t>*</w:t>
            </w:r>
          </w:p>
        </w:tc>
      </w:tr>
      <w:tr w:rsidR="00E477F5" w:rsidRPr="00E477F5" w14:paraId="47723FC7"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7FD0FD86" w14:textId="77777777" w:rsidR="00E477F5" w:rsidRPr="00E477F5" w:rsidRDefault="00E477F5" w:rsidP="00E477F5">
            <w:pPr>
              <w:spacing w:after="160" w:line="259" w:lineRule="auto"/>
            </w:pPr>
            <w:r w:rsidRPr="00E477F5">
              <w:t>Pericardial</w:t>
            </w:r>
          </w:p>
        </w:tc>
        <w:tc>
          <w:tcPr>
            <w:tcW w:w="6385" w:type="dxa"/>
          </w:tcPr>
          <w:p w14:paraId="0F9AF9EA"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 xml:space="preserve">Carditis, myocarditis, and pericarditis, not </w:t>
            </w:r>
            <w:proofErr w:type="spellStart"/>
            <w:r w:rsidRPr="00E477F5">
              <w:t>analysed</w:t>
            </w:r>
            <w:proofErr w:type="spellEnd"/>
            <w:r w:rsidRPr="00E477F5">
              <w:t>*</w:t>
            </w:r>
          </w:p>
        </w:tc>
      </w:tr>
      <w:tr w:rsidR="00E477F5" w:rsidRPr="00E477F5" w14:paraId="3E8F8C0E" w14:textId="77777777" w:rsidTr="000F32B0">
        <w:tc>
          <w:tcPr>
            <w:cnfStyle w:val="001000000000" w:firstRow="0" w:lastRow="0" w:firstColumn="1" w:lastColumn="0" w:oddVBand="0" w:evenVBand="0" w:oddHBand="0" w:evenHBand="0" w:firstRowFirstColumn="0" w:firstRowLastColumn="0" w:lastRowFirstColumn="0" w:lastRowLastColumn="0"/>
            <w:tcW w:w="2965" w:type="dxa"/>
          </w:tcPr>
          <w:p w14:paraId="050590DC" w14:textId="77777777" w:rsidR="00E477F5" w:rsidRPr="00E477F5" w:rsidRDefault="00E477F5" w:rsidP="00E477F5">
            <w:pPr>
              <w:spacing w:after="160" w:line="259" w:lineRule="auto"/>
            </w:pPr>
            <w:r w:rsidRPr="00E477F5">
              <w:t>Upper respiratory</w:t>
            </w:r>
          </w:p>
        </w:tc>
        <w:tc>
          <w:tcPr>
            <w:tcW w:w="6385" w:type="dxa"/>
          </w:tcPr>
          <w:p w14:paraId="4192FA0D"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 xml:space="preserve">Upper respiratory infections, not </w:t>
            </w:r>
            <w:proofErr w:type="spellStart"/>
            <w:r w:rsidRPr="00E477F5">
              <w:t>analysed</w:t>
            </w:r>
            <w:proofErr w:type="spellEnd"/>
            <w:r w:rsidRPr="00E477F5">
              <w:t>*</w:t>
            </w:r>
          </w:p>
        </w:tc>
      </w:tr>
      <w:tr w:rsidR="00E477F5" w:rsidRPr="00E477F5" w14:paraId="04EA7255"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23FCCBEE" w14:textId="77777777" w:rsidR="00E477F5" w:rsidRPr="00E477F5" w:rsidRDefault="00E477F5" w:rsidP="00E477F5">
            <w:pPr>
              <w:spacing w:after="160" w:line="259" w:lineRule="auto"/>
            </w:pPr>
            <w:r w:rsidRPr="00E477F5">
              <w:t>Other and unspecified specimens</w:t>
            </w:r>
          </w:p>
        </w:tc>
        <w:tc>
          <w:tcPr>
            <w:tcW w:w="6385" w:type="dxa"/>
          </w:tcPr>
          <w:p w14:paraId="342830F2"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 xml:space="preserve">Other unspecified site infections, not </w:t>
            </w:r>
            <w:proofErr w:type="spellStart"/>
            <w:r w:rsidRPr="00E477F5">
              <w:t>analysed</w:t>
            </w:r>
            <w:proofErr w:type="spellEnd"/>
            <w:r w:rsidRPr="00E477F5">
              <w:t>*</w:t>
            </w:r>
          </w:p>
        </w:tc>
      </w:tr>
    </w:tbl>
    <w:p w14:paraId="3130E61F" w14:textId="77777777" w:rsidR="00E477F5" w:rsidRPr="00E477F5" w:rsidRDefault="00E477F5" w:rsidP="00E477F5">
      <w:r w:rsidRPr="00E477F5">
        <w:t>*Please refer to Section 6.4.2 for detail on why certain syndromes were excluded from the analysis</w:t>
      </w:r>
    </w:p>
    <w:p w14:paraId="3BF8F26D" w14:textId="77777777" w:rsidR="00E477F5" w:rsidRPr="00E477F5" w:rsidRDefault="00E477F5" w:rsidP="00E477F5"/>
    <w:p w14:paraId="58791E28" w14:textId="77777777" w:rsidR="00E477F5" w:rsidRPr="00E477F5" w:rsidRDefault="00E477F5" w:rsidP="00E477F5">
      <w:r w:rsidRPr="00E477F5">
        <w:t>Table 6.2.2.2: Syndrome assignment based on pathogen for entries lacking diagnostic and specimen information</w:t>
      </w:r>
    </w:p>
    <w:tbl>
      <w:tblPr>
        <w:tblStyle w:val="PlainTable1"/>
        <w:tblW w:w="0" w:type="auto"/>
        <w:tblLook w:val="04A0" w:firstRow="1" w:lastRow="0" w:firstColumn="1" w:lastColumn="0" w:noHBand="0" w:noVBand="1"/>
      </w:tblPr>
      <w:tblGrid>
        <w:gridCol w:w="3055"/>
        <w:gridCol w:w="6295"/>
      </w:tblGrid>
      <w:tr w:rsidR="00E477F5" w:rsidRPr="00E477F5" w14:paraId="3381F790" w14:textId="77777777" w:rsidTr="000F32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3986C736" w14:textId="77777777" w:rsidR="00E477F5" w:rsidRPr="00E477F5" w:rsidRDefault="00E477F5" w:rsidP="00E477F5">
            <w:pPr>
              <w:spacing w:after="160" w:line="259" w:lineRule="auto"/>
              <w:rPr>
                <w:b w:val="0"/>
              </w:rPr>
            </w:pPr>
            <w:r w:rsidRPr="00E477F5">
              <w:t>Pathogen</w:t>
            </w:r>
          </w:p>
        </w:tc>
        <w:tc>
          <w:tcPr>
            <w:tcW w:w="6295" w:type="dxa"/>
          </w:tcPr>
          <w:p w14:paraId="029544ED" w14:textId="77777777" w:rsidR="00E477F5" w:rsidRPr="00E477F5" w:rsidRDefault="00E477F5" w:rsidP="00E477F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E477F5">
              <w:t>Assigned to syndrome</w:t>
            </w:r>
          </w:p>
        </w:tc>
      </w:tr>
      <w:tr w:rsidR="00E477F5" w:rsidRPr="00E477F5" w14:paraId="790F4635"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1C032363" w14:textId="77777777" w:rsidR="00E477F5" w:rsidRPr="00E477F5" w:rsidRDefault="00E477F5" w:rsidP="00E477F5">
            <w:pPr>
              <w:spacing w:after="160" w:line="259" w:lineRule="auto"/>
            </w:pPr>
            <w:r w:rsidRPr="00E477F5">
              <w:rPr>
                <w:i/>
                <w:iCs/>
              </w:rPr>
              <w:t>Salmonella</w:t>
            </w:r>
            <w:r w:rsidRPr="00E477F5">
              <w:t xml:space="preserve"> Typhi</w:t>
            </w:r>
          </w:p>
        </w:tc>
        <w:tc>
          <w:tcPr>
            <w:tcW w:w="6295" w:type="dxa"/>
          </w:tcPr>
          <w:p w14:paraId="3F714FCD"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Typhoid, paratyphoid, and invasive non-typhoidal Salmonella</w:t>
            </w:r>
          </w:p>
        </w:tc>
      </w:tr>
      <w:tr w:rsidR="00E477F5" w:rsidRPr="00E477F5" w14:paraId="2A299857"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5A055E2E" w14:textId="77777777" w:rsidR="00E477F5" w:rsidRPr="00E477F5" w:rsidRDefault="00E477F5" w:rsidP="00E477F5">
            <w:pPr>
              <w:spacing w:after="160" w:line="259" w:lineRule="auto"/>
            </w:pPr>
            <w:r w:rsidRPr="00E477F5">
              <w:rPr>
                <w:i/>
                <w:iCs/>
              </w:rPr>
              <w:t>Salmonella</w:t>
            </w:r>
            <w:r w:rsidRPr="00E477F5">
              <w:t xml:space="preserve"> </w:t>
            </w:r>
            <w:proofErr w:type="spellStart"/>
            <w:r w:rsidRPr="00E477F5">
              <w:t>Paratyphi</w:t>
            </w:r>
            <w:proofErr w:type="spellEnd"/>
          </w:p>
        </w:tc>
        <w:tc>
          <w:tcPr>
            <w:tcW w:w="6295" w:type="dxa"/>
          </w:tcPr>
          <w:p w14:paraId="1AFAFF87"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Typhoid, paratyphoid, and invasive non-typhoidal Salmonella</w:t>
            </w:r>
          </w:p>
        </w:tc>
      </w:tr>
      <w:tr w:rsidR="00E477F5" w:rsidRPr="00E477F5" w14:paraId="7B6C7DA5"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18C60139" w14:textId="77777777" w:rsidR="00E477F5" w:rsidRPr="00E477F5" w:rsidRDefault="00E477F5" w:rsidP="00E477F5">
            <w:pPr>
              <w:spacing w:after="160" w:line="259" w:lineRule="auto"/>
            </w:pPr>
            <w:r w:rsidRPr="00E477F5">
              <w:rPr>
                <w:i/>
                <w:iCs/>
              </w:rPr>
              <w:t>Salmonella</w:t>
            </w:r>
            <w:r w:rsidRPr="00E477F5">
              <w:t xml:space="preserve"> Typhi or </w:t>
            </w:r>
            <w:proofErr w:type="spellStart"/>
            <w:r w:rsidRPr="00E477F5">
              <w:t>Paratyphi</w:t>
            </w:r>
            <w:proofErr w:type="spellEnd"/>
          </w:p>
        </w:tc>
        <w:tc>
          <w:tcPr>
            <w:tcW w:w="6295" w:type="dxa"/>
          </w:tcPr>
          <w:p w14:paraId="7F29A359"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Typhoid, paratyphoid, and invasive non-typhoidal Salmonella</w:t>
            </w:r>
          </w:p>
        </w:tc>
      </w:tr>
      <w:tr w:rsidR="00E477F5" w:rsidRPr="00E477F5" w14:paraId="54E0E60D"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0C1D2DF0" w14:textId="77777777" w:rsidR="00E477F5" w:rsidRPr="00E477F5" w:rsidRDefault="00E477F5" w:rsidP="00E477F5">
            <w:pPr>
              <w:spacing w:after="160" w:line="259" w:lineRule="auto"/>
            </w:pPr>
            <w:r w:rsidRPr="00E477F5">
              <w:t xml:space="preserve">Non-typhoidal </w:t>
            </w:r>
            <w:r w:rsidRPr="00E477F5">
              <w:rPr>
                <w:i/>
                <w:iCs/>
              </w:rPr>
              <w:t>Salmonella</w:t>
            </w:r>
            <w:r w:rsidRPr="00E477F5">
              <w:t xml:space="preserve"> species</w:t>
            </w:r>
          </w:p>
        </w:tc>
        <w:tc>
          <w:tcPr>
            <w:tcW w:w="6295" w:type="dxa"/>
          </w:tcPr>
          <w:p w14:paraId="56780190"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Typhoid, paratyphoid, and invasive non-typhoidal Salmonella</w:t>
            </w:r>
          </w:p>
        </w:tc>
      </w:tr>
      <w:tr w:rsidR="00E477F5" w:rsidRPr="00E477F5" w14:paraId="02712429"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52E65A69" w14:textId="77777777" w:rsidR="00E477F5" w:rsidRPr="00E477F5" w:rsidRDefault="00E477F5" w:rsidP="00E477F5">
            <w:pPr>
              <w:spacing w:after="160" w:line="259" w:lineRule="auto"/>
              <w:rPr>
                <w:i/>
                <w:iCs/>
              </w:rPr>
            </w:pPr>
            <w:r w:rsidRPr="00E477F5">
              <w:rPr>
                <w:i/>
                <w:iCs/>
              </w:rPr>
              <w:t>Mycobacterium tuberculosis</w:t>
            </w:r>
          </w:p>
        </w:tc>
        <w:tc>
          <w:tcPr>
            <w:tcW w:w="6295" w:type="dxa"/>
          </w:tcPr>
          <w:p w14:paraId="6A27583E" w14:textId="77777777" w:rsidR="00E477F5" w:rsidRPr="00E477F5" w:rsidRDefault="00E477F5" w:rsidP="00E477F5">
            <w:pPr>
              <w:spacing w:after="160" w:line="259" w:lineRule="auto"/>
              <w:cnfStyle w:val="000000100000" w:firstRow="0" w:lastRow="0" w:firstColumn="0" w:lastColumn="0" w:oddVBand="0" w:evenVBand="0" w:oddHBand="1" w:evenHBand="0" w:firstRowFirstColumn="0" w:firstRowLastColumn="0" w:lastRowFirstColumn="0" w:lastRowLastColumn="0"/>
            </w:pPr>
            <w:r w:rsidRPr="00E477F5">
              <w:t>Tuberculosis</w:t>
            </w:r>
          </w:p>
        </w:tc>
      </w:tr>
      <w:tr w:rsidR="00E477F5" w:rsidRPr="00E477F5" w14:paraId="54331D82"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4984E002" w14:textId="77777777" w:rsidR="00E477F5" w:rsidRPr="00E477F5" w:rsidRDefault="00E477F5" w:rsidP="00E477F5">
            <w:pPr>
              <w:spacing w:after="160" w:line="259" w:lineRule="auto"/>
              <w:rPr>
                <w:i/>
                <w:iCs/>
              </w:rPr>
            </w:pPr>
            <w:r w:rsidRPr="00E477F5">
              <w:rPr>
                <w:i/>
                <w:iCs/>
              </w:rPr>
              <w:t>Neisseria meningitidis</w:t>
            </w:r>
          </w:p>
        </w:tc>
        <w:tc>
          <w:tcPr>
            <w:tcW w:w="6295" w:type="dxa"/>
          </w:tcPr>
          <w:p w14:paraId="09927F87" w14:textId="77777777" w:rsidR="00E477F5" w:rsidRPr="00E477F5" w:rsidRDefault="00E477F5" w:rsidP="00E477F5">
            <w:pPr>
              <w:spacing w:after="160" w:line="259" w:lineRule="auto"/>
              <w:cnfStyle w:val="000000000000" w:firstRow="0" w:lastRow="0" w:firstColumn="0" w:lastColumn="0" w:oddVBand="0" w:evenVBand="0" w:oddHBand="0" w:evenHBand="0" w:firstRowFirstColumn="0" w:firstRowLastColumn="0" w:lastRowFirstColumn="0" w:lastRowLastColumn="0"/>
            </w:pPr>
            <w:r w:rsidRPr="00E477F5">
              <w:t>Meningitis</w:t>
            </w:r>
          </w:p>
        </w:tc>
      </w:tr>
    </w:tbl>
    <w:p w14:paraId="47FFD84C" w14:textId="77777777" w:rsidR="00E477F5" w:rsidRPr="00E477F5" w:rsidRDefault="00E477F5" w:rsidP="00E477F5"/>
    <w:p w14:paraId="51361052" w14:textId="0D7B1949" w:rsidR="00A946E9" w:rsidRPr="000F32B0" w:rsidRDefault="00E477F5" w:rsidP="0BB36B9D">
      <w:pPr>
        <w:rPr>
          <w:color w:val="1F3864" w:themeColor="accent1" w:themeShade="80"/>
        </w:rPr>
      </w:pPr>
      <w:r w:rsidRPr="000F32B0">
        <w:rPr>
          <w:i/>
          <w:iCs/>
          <w:color w:val="1F3864" w:themeColor="accent1" w:themeShade="80"/>
        </w:rPr>
        <w:t>Selecting pathogens for estimation</w:t>
      </w:r>
    </w:p>
    <w:p w14:paraId="770677B6" w14:textId="14185B1F" w:rsidR="00833E99" w:rsidRPr="00833E99" w:rsidRDefault="00833E99" w:rsidP="00833E99">
      <w:r w:rsidRPr="00833E99">
        <w:t xml:space="preserve">For each infectious syndrome, we assessed either the 25 most prevalent pathogens by case count in our raw data, or all pathogens with 300 or more cases, whichever number was smaller. In addition to the </w:t>
      </w:r>
      <m:oMath>
        <m:r>
          <w:rPr>
            <w:rFonts w:ascii="Cambria Math" w:hAnsi="Cambria Math"/>
          </w:rPr>
          <m:t>n</m:t>
        </m:r>
      </m:oMath>
      <w:r w:rsidRPr="00833E99">
        <w:t xml:space="preserve"> pathogens for a given syndrome that we estimate explicitly, we also included an “other specified pathogens” category for every infectious syndrome, to which we mapped all other aetiologies identified in the data. Thus, for a given infectious syndrome, the set of estimated pathogens is mutually exclusive and collectively exhaustive of all possible aetiologies. </w:t>
      </w:r>
    </w:p>
    <w:p w14:paraId="4E2B6C6A" w14:textId="77777777" w:rsidR="00833E99" w:rsidRPr="00833E99" w:rsidRDefault="00833E99" w:rsidP="00833E99">
      <w:r w:rsidRPr="00833E99">
        <w:t>For a list of pathogens covered in each infectious syndrome model, please refer to table 6.3.1.2.</w:t>
      </w:r>
    </w:p>
    <w:p w14:paraId="088B0BAC" w14:textId="1D0666A2" w:rsidR="00E477F5" w:rsidRPr="000F32B0" w:rsidRDefault="00833E99" w:rsidP="0BB36B9D">
      <w:pPr>
        <w:rPr>
          <w:color w:val="1F3864" w:themeColor="accent1" w:themeShade="80"/>
        </w:rPr>
      </w:pPr>
      <w:r w:rsidRPr="000F32B0">
        <w:rPr>
          <w:i/>
          <w:iCs/>
          <w:color w:val="1F3864" w:themeColor="accent1" w:themeShade="80"/>
        </w:rPr>
        <w:t>Pathogen redistribution and aggregate pathogen categories</w:t>
      </w:r>
    </w:p>
    <w:p w14:paraId="6E07130A" w14:textId="77777777" w:rsidR="008B28B3" w:rsidRPr="008B28B3" w:rsidRDefault="008B28B3" w:rsidP="008B28B3">
      <w:r w:rsidRPr="008B28B3">
        <w:t xml:space="preserve">A substantial portion of our input data identified pathogens by their genus alone, without species-level identification. For example, ICD code J15.2 designates “Pneumonia due to </w:t>
      </w:r>
      <w:r w:rsidRPr="008B28B3">
        <w:rPr>
          <w:i/>
          <w:iCs/>
        </w:rPr>
        <w:t>Staphylococcus</w:t>
      </w:r>
      <w:r w:rsidRPr="008B28B3">
        <w:t>,” without distinguishing whether the infection was due to Staphylococcus aureus, or another species within the genus. In total, there were more than 400 000 isolates in the input data that lacked species detail. To express</w:t>
      </w:r>
      <w:r w:rsidRPr="008B28B3" w:rsidDel="00064BF3">
        <w:t xml:space="preserve"> </w:t>
      </w:r>
      <w:r w:rsidRPr="008B28B3">
        <w:t>these data with the species-level detail required for our analysis, we split these cases into target species and a residual “Genus others” category using a set of proportions generated from all of the available literature, surveillance, and microbial data reporting species detail. We stratified these proportions based on World Bank income level, aggregate age groups, year bins, and infectious syndrome. When there</w:t>
      </w:r>
      <w:r w:rsidRPr="008B28B3" w:rsidDel="00067AF9">
        <w:t xml:space="preserve"> </w:t>
      </w:r>
      <w:r w:rsidRPr="008B28B3">
        <w:t xml:space="preserve">were insufficient input data to inform splitting proportions for a given level of detail, we collapsed (in order) income level, year bin, and then age group to apply a more crude proportion. We did not collapse down infectious syndrome, and if there remained no matching proportions for the row in question, we dropped this row from use in our models. </w:t>
      </w:r>
    </w:p>
    <w:p w14:paraId="20725528" w14:textId="77777777" w:rsidR="008B28B3" w:rsidRPr="008B28B3" w:rsidRDefault="008B28B3" w:rsidP="008B28B3">
      <w:r w:rsidRPr="008B28B3">
        <w:t>Pathogen aggregates and distinct species were selected by clinical experts who identified both organisms of most AMR concern and those responsible for characteristic disease (</w:t>
      </w:r>
      <w:proofErr w:type="spellStart"/>
      <w:r w:rsidRPr="008B28B3">
        <w:t>eg</w:t>
      </w:r>
      <w:proofErr w:type="spellEnd"/>
      <w:r w:rsidRPr="008B28B3">
        <w:t xml:space="preserve">, </w:t>
      </w:r>
      <w:r w:rsidRPr="008B28B3">
        <w:rPr>
          <w:i/>
          <w:iCs/>
        </w:rPr>
        <w:t>Treponema pallidum</w:t>
      </w:r>
      <w:r w:rsidRPr="008B28B3">
        <w:t>). The aggregate pathogen categories we used both to redistribute pathogens and for our modelling are reported in table 6.2.4.1.</w:t>
      </w:r>
    </w:p>
    <w:p w14:paraId="5D399002" w14:textId="77777777" w:rsidR="008B28B3" w:rsidRPr="008B28B3" w:rsidRDefault="008B28B3" w:rsidP="008B28B3">
      <w:r w:rsidRPr="008B28B3">
        <w:br w:type="page"/>
      </w:r>
    </w:p>
    <w:p w14:paraId="04568A93" w14:textId="77777777" w:rsidR="008B28B3" w:rsidRPr="008B28B3" w:rsidRDefault="008B28B3" w:rsidP="008B28B3">
      <w:r w:rsidRPr="008B28B3">
        <w:t xml:space="preserve">Table </w:t>
      </w:r>
      <w:r w:rsidRPr="008B28B3">
        <w:rPr>
          <w:iCs/>
        </w:rPr>
        <w:t>6.2.4.1:</w:t>
      </w:r>
      <w:r w:rsidRPr="008B28B3">
        <w:t xml:space="preserve"> Aggregate pathogen categories for pathogen distribution and case fatality</w:t>
      </w:r>
    </w:p>
    <w:tbl>
      <w:tblPr>
        <w:tblW w:w="93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706"/>
        <w:gridCol w:w="4492"/>
        <w:gridCol w:w="3152"/>
      </w:tblGrid>
      <w:tr w:rsidR="008B28B3" w:rsidRPr="008B28B3" w14:paraId="1100119A" w14:textId="77777777" w:rsidTr="00ED0096">
        <w:trPr>
          <w:trHeight w:val="211"/>
        </w:trPr>
        <w:tc>
          <w:tcPr>
            <w:tcW w:w="1706" w:type="dxa"/>
            <w:shd w:val="clear" w:color="auto" w:fill="E8E8E8"/>
            <w:vAlign w:val="center"/>
          </w:tcPr>
          <w:p w14:paraId="070EE7D2" w14:textId="77777777" w:rsidR="008B28B3" w:rsidRPr="008B28B3" w:rsidRDefault="008B28B3" w:rsidP="008B28B3">
            <w:pPr>
              <w:rPr>
                <w:b/>
              </w:rPr>
            </w:pPr>
            <w:r w:rsidRPr="008B28B3">
              <w:rPr>
                <w:b/>
              </w:rPr>
              <w:t>Aggregate category</w:t>
            </w:r>
          </w:p>
        </w:tc>
        <w:tc>
          <w:tcPr>
            <w:tcW w:w="4492" w:type="dxa"/>
            <w:shd w:val="clear" w:color="auto" w:fill="E8E8E8"/>
            <w:vAlign w:val="center"/>
          </w:tcPr>
          <w:p w14:paraId="61E02287" w14:textId="77777777" w:rsidR="008B28B3" w:rsidRPr="008B28B3" w:rsidRDefault="008B28B3" w:rsidP="008B28B3">
            <w:pPr>
              <w:rPr>
                <w:b/>
              </w:rPr>
            </w:pPr>
            <w:r w:rsidRPr="008B28B3">
              <w:rPr>
                <w:b/>
              </w:rPr>
              <w:t>Classification</w:t>
            </w:r>
          </w:p>
        </w:tc>
        <w:tc>
          <w:tcPr>
            <w:tcW w:w="3152" w:type="dxa"/>
            <w:shd w:val="clear" w:color="auto" w:fill="E8E8E8"/>
            <w:vAlign w:val="center"/>
          </w:tcPr>
          <w:p w14:paraId="6E997A91" w14:textId="77777777" w:rsidR="008B28B3" w:rsidRPr="008B28B3" w:rsidRDefault="008B28B3" w:rsidP="008B28B3">
            <w:pPr>
              <w:rPr>
                <w:b/>
              </w:rPr>
            </w:pPr>
            <w:r w:rsidRPr="008B28B3">
              <w:rPr>
                <w:b/>
              </w:rPr>
              <w:t>Examples</w:t>
            </w:r>
          </w:p>
        </w:tc>
      </w:tr>
      <w:tr w:rsidR="008B28B3" w:rsidRPr="008B28B3" w14:paraId="535AFA0A" w14:textId="77777777" w:rsidTr="00ED0096">
        <w:tc>
          <w:tcPr>
            <w:tcW w:w="1706" w:type="dxa"/>
            <w:vAlign w:val="center"/>
          </w:tcPr>
          <w:p w14:paraId="4AAFFD6A" w14:textId="77777777" w:rsidR="008B28B3" w:rsidRPr="008B28B3" w:rsidRDefault="008B28B3" w:rsidP="008B28B3">
            <w:r w:rsidRPr="008B28B3">
              <w:rPr>
                <w:i/>
                <w:iCs/>
              </w:rPr>
              <w:t>Acinetobacter</w:t>
            </w:r>
            <w:r w:rsidRPr="008B28B3">
              <w:t xml:space="preserve"> others</w:t>
            </w:r>
          </w:p>
        </w:tc>
        <w:tc>
          <w:tcPr>
            <w:tcW w:w="4492" w:type="dxa"/>
            <w:vAlign w:val="center"/>
          </w:tcPr>
          <w:p w14:paraId="5C999563" w14:textId="77777777" w:rsidR="008B28B3" w:rsidRPr="008B28B3" w:rsidRDefault="008B28B3" w:rsidP="008B28B3">
            <w:r w:rsidRPr="008B28B3">
              <w:t xml:space="preserve">Non-baumannii </w:t>
            </w:r>
            <w:r w:rsidRPr="008B28B3">
              <w:rPr>
                <w:i/>
                <w:iCs/>
              </w:rPr>
              <w:t>Acinetobacter</w:t>
            </w:r>
          </w:p>
        </w:tc>
        <w:tc>
          <w:tcPr>
            <w:tcW w:w="3152" w:type="dxa"/>
            <w:vAlign w:val="center"/>
          </w:tcPr>
          <w:p w14:paraId="0B04D48E" w14:textId="77777777" w:rsidR="008B28B3" w:rsidRPr="008B28B3" w:rsidRDefault="008B28B3" w:rsidP="008B28B3">
            <w:r w:rsidRPr="008B28B3">
              <w:rPr>
                <w:i/>
                <w:iCs/>
              </w:rPr>
              <w:t xml:space="preserve">Acinetobacter </w:t>
            </w:r>
            <w:proofErr w:type="spellStart"/>
            <w:r w:rsidRPr="008B28B3">
              <w:rPr>
                <w:i/>
                <w:iCs/>
              </w:rPr>
              <w:t>calcoaceticus</w:t>
            </w:r>
            <w:proofErr w:type="spellEnd"/>
            <w:r w:rsidRPr="008B28B3">
              <w:rPr>
                <w:iCs/>
              </w:rPr>
              <w:t>,</w:t>
            </w:r>
            <w:r w:rsidRPr="008B28B3">
              <w:t xml:space="preserve"> </w:t>
            </w:r>
            <w:r w:rsidRPr="008B28B3">
              <w:rPr>
                <w:i/>
                <w:iCs/>
              </w:rPr>
              <w:t xml:space="preserve">Acinetobacter </w:t>
            </w:r>
            <w:proofErr w:type="spellStart"/>
            <w:r w:rsidRPr="008B28B3">
              <w:rPr>
                <w:i/>
                <w:iCs/>
              </w:rPr>
              <w:t>haemolyticus</w:t>
            </w:r>
            <w:proofErr w:type="spellEnd"/>
            <w:r w:rsidRPr="008B28B3">
              <w:rPr>
                <w:iCs/>
              </w:rPr>
              <w:t>,</w:t>
            </w:r>
            <w:r w:rsidRPr="008B28B3">
              <w:t xml:space="preserve"> </w:t>
            </w:r>
            <w:r w:rsidRPr="008B28B3">
              <w:rPr>
                <w:i/>
                <w:iCs/>
              </w:rPr>
              <w:t xml:space="preserve">Acinetobacter </w:t>
            </w:r>
            <w:proofErr w:type="spellStart"/>
            <w:r w:rsidRPr="008B28B3">
              <w:rPr>
                <w:i/>
                <w:iCs/>
              </w:rPr>
              <w:t>lwoffii</w:t>
            </w:r>
            <w:proofErr w:type="spellEnd"/>
          </w:p>
        </w:tc>
      </w:tr>
      <w:tr w:rsidR="008B28B3" w:rsidRPr="008B28B3" w14:paraId="78259D09" w14:textId="77777777" w:rsidTr="00ED0096">
        <w:tc>
          <w:tcPr>
            <w:tcW w:w="1706" w:type="dxa"/>
            <w:vAlign w:val="center"/>
          </w:tcPr>
          <w:p w14:paraId="64374326" w14:textId="77777777" w:rsidR="008B28B3" w:rsidRPr="008B28B3" w:rsidRDefault="008B28B3" w:rsidP="008B28B3">
            <w:r w:rsidRPr="008B28B3">
              <w:rPr>
                <w:i/>
                <w:iCs/>
              </w:rPr>
              <w:t>Clostridium</w:t>
            </w:r>
            <w:r w:rsidRPr="008B28B3">
              <w:t xml:space="preserve"> others</w:t>
            </w:r>
          </w:p>
        </w:tc>
        <w:tc>
          <w:tcPr>
            <w:tcW w:w="4492" w:type="dxa"/>
            <w:vAlign w:val="center"/>
          </w:tcPr>
          <w:p w14:paraId="3717E9C3" w14:textId="77777777" w:rsidR="008B28B3" w:rsidRPr="008B28B3" w:rsidRDefault="008B28B3" w:rsidP="008B28B3">
            <w:r w:rsidRPr="008B28B3">
              <w:t>Non-</w:t>
            </w:r>
            <w:r w:rsidRPr="008B28B3">
              <w:rPr>
                <w:i/>
                <w:iCs/>
              </w:rPr>
              <w:t>difficile</w:t>
            </w:r>
            <w:r w:rsidRPr="008B28B3">
              <w:t>/</w:t>
            </w:r>
            <w:r w:rsidRPr="008B28B3">
              <w:rPr>
                <w:i/>
                <w:iCs/>
              </w:rPr>
              <w:t>tetani</w:t>
            </w:r>
            <w:r w:rsidRPr="008B28B3">
              <w:t xml:space="preserve"> </w:t>
            </w:r>
            <w:r w:rsidRPr="008B28B3">
              <w:rPr>
                <w:i/>
                <w:iCs/>
              </w:rPr>
              <w:t>Clostridium</w:t>
            </w:r>
          </w:p>
        </w:tc>
        <w:tc>
          <w:tcPr>
            <w:tcW w:w="3152" w:type="dxa"/>
            <w:vAlign w:val="center"/>
          </w:tcPr>
          <w:p w14:paraId="2B6FB954" w14:textId="77777777" w:rsidR="008B28B3" w:rsidRPr="008B28B3" w:rsidRDefault="008B28B3" w:rsidP="008B28B3">
            <w:r w:rsidRPr="008B28B3">
              <w:rPr>
                <w:i/>
                <w:iCs/>
              </w:rPr>
              <w:t>Clostridium botulinum</w:t>
            </w:r>
            <w:r w:rsidRPr="008B28B3">
              <w:rPr>
                <w:iCs/>
              </w:rPr>
              <w:t>,</w:t>
            </w:r>
            <w:r w:rsidRPr="008B28B3">
              <w:t xml:space="preserve"> </w:t>
            </w:r>
            <w:r w:rsidRPr="008B28B3">
              <w:rPr>
                <w:i/>
                <w:iCs/>
              </w:rPr>
              <w:t>Clostridium perfringens</w:t>
            </w:r>
            <w:r w:rsidRPr="008B28B3">
              <w:rPr>
                <w:iCs/>
              </w:rPr>
              <w:t>,</w:t>
            </w:r>
            <w:r w:rsidRPr="008B28B3">
              <w:t xml:space="preserve"> </w:t>
            </w:r>
            <w:r w:rsidRPr="008B28B3">
              <w:rPr>
                <w:i/>
                <w:iCs/>
              </w:rPr>
              <w:t xml:space="preserve">Clostridium </w:t>
            </w:r>
            <w:proofErr w:type="spellStart"/>
            <w:r w:rsidRPr="008B28B3">
              <w:rPr>
                <w:i/>
                <w:iCs/>
              </w:rPr>
              <w:t>septicum</w:t>
            </w:r>
            <w:proofErr w:type="spellEnd"/>
          </w:p>
        </w:tc>
      </w:tr>
      <w:tr w:rsidR="008B28B3" w:rsidRPr="008B28B3" w14:paraId="4C00F2EC" w14:textId="77777777" w:rsidTr="00ED0096">
        <w:tc>
          <w:tcPr>
            <w:tcW w:w="1706" w:type="dxa"/>
            <w:vAlign w:val="center"/>
          </w:tcPr>
          <w:p w14:paraId="56065416" w14:textId="77777777" w:rsidR="008B28B3" w:rsidRPr="008B28B3" w:rsidRDefault="008B28B3" w:rsidP="008B28B3">
            <w:r w:rsidRPr="008B28B3">
              <w:rPr>
                <w:i/>
                <w:iCs/>
              </w:rPr>
              <w:t>Enterococcus</w:t>
            </w:r>
            <w:r w:rsidRPr="008B28B3">
              <w:t xml:space="preserve"> others</w:t>
            </w:r>
          </w:p>
        </w:tc>
        <w:tc>
          <w:tcPr>
            <w:tcW w:w="4492" w:type="dxa"/>
            <w:vAlign w:val="center"/>
          </w:tcPr>
          <w:p w14:paraId="4BD4A689" w14:textId="77777777" w:rsidR="008B28B3" w:rsidRPr="008B28B3" w:rsidRDefault="008B28B3" w:rsidP="008B28B3">
            <w:r w:rsidRPr="008B28B3">
              <w:t>Non-</w:t>
            </w:r>
            <w:r w:rsidRPr="008B28B3">
              <w:rPr>
                <w:i/>
                <w:iCs/>
              </w:rPr>
              <w:t>faecalis</w:t>
            </w:r>
            <w:r w:rsidRPr="008B28B3">
              <w:t>/</w:t>
            </w:r>
            <w:r w:rsidRPr="008B28B3">
              <w:rPr>
                <w:i/>
                <w:iCs/>
              </w:rPr>
              <w:t>faecium Enterococcus</w:t>
            </w:r>
          </w:p>
        </w:tc>
        <w:tc>
          <w:tcPr>
            <w:tcW w:w="3152" w:type="dxa"/>
            <w:vAlign w:val="center"/>
          </w:tcPr>
          <w:p w14:paraId="3805A7BE" w14:textId="77777777" w:rsidR="008B28B3" w:rsidRPr="008B28B3" w:rsidRDefault="008B28B3" w:rsidP="008B28B3">
            <w:r w:rsidRPr="008B28B3">
              <w:rPr>
                <w:i/>
                <w:iCs/>
              </w:rPr>
              <w:t xml:space="preserve">Enterococcus </w:t>
            </w:r>
            <w:proofErr w:type="spellStart"/>
            <w:r w:rsidRPr="008B28B3">
              <w:rPr>
                <w:i/>
                <w:iCs/>
              </w:rPr>
              <w:t>casseliflavus</w:t>
            </w:r>
            <w:proofErr w:type="spellEnd"/>
            <w:r w:rsidRPr="008B28B3">
              <w:rPr>
                <w:iCs/>
              </w:rPr>
              <w:t>,</w:t>
            </w:r>
            <w:r w:rsidRPr="008B28B3">
              <w:t xml:space="preserve"> </w:t>
            </w:r>
            <w:r w:rsidRPr="008B28B3">
              <w:rPr>
                <w:i/>
                <w:iCs/>
              </w:rPr>
              <w:t xml:space="preserve">Enterococcus </w:t>
            </w:r>
            <w:proofErr w:type="spellStart"/>
            <w:r w:rsidRPr="008B28B3">
              <w:rPr>
                <w:i/>
                <w:iCs/>
              </w:rPr>
              <w:t>durans</w:t>
            </w:r>
            <w:proofErr w:type="spellEnd"/>
            <w:r w:rsidRPr="008B28B3">
              <w:rPr>
                <w:iCs/>
              </w:rPr>
              <w:t>,</w:t>
            </w:r>
            <w:r w:rsidRPr="008B28B3">
              <w:t xml:space="preserve"> </w:t>
            </w:r>
            <w:r w:rsidRPr="008B28B3">
              <w:rPr>
                <w:i/>
                <w:iCs/>
              </w:rPr>
              <w:t xml:space="preserve">Enterococcus </w:t>
            </w:r>
            <w:proofErr w:type="spellStart"/>
            <w:r w:rsidRPr="008B28B3">
              <w:rPr>
                <w:i/>
                <w:iCs/>
              </w:rPr>
              <w:t>gallinarum</w:t>
            </w:r>
            <w:proofErr w:type="spellEnd"/>
            <w:r w:rsidRPr="008B28B3">
              <w:rPr>
                <w:i/>
                <w:iCs/>
              </w:rPr>
              <w:t xml:space="preserve"> </w:t>
            </w:r>
          </w:p>
        </w:tc>
      </w:tr>
      <w:tr w:rsidR="008B28B3" w:rsidRPr="008B28B3" w14:paraId="2DACA740" w14:textId="77777777" w:rsidTr="00ED0096">
        <w:tc>
          <w:tcPr>
            <w:tcW w:w="1706" w:type="dxa"/>
            <w:vAlign w:val="center"/>
          </w:tcPr>
          <w:p w14:paraId="5B742BD6" w14:textId="77777777" w:rsidR="008B28B3" w:rsidRPr="008B28B3" w:rsidRDefault="008B28B3" w:rsidP="008B28B3">
            <w:r w:rsidRPr="008B28B3">
              <w:t>Fungi others</w:t>
            </w:r>
          </w:p>
        </w:tc>
        <w:tc>
          <w:tcPr>
            <w:tcW w:w="4492" w:type="dxa"/>
            <w:vAlign w:val="center"/>
          </w:tcPr>
          <w:p w14:paraId="12C2A45C" w14:textId="77777777" w:rsidR="008B28B3" w:rsidRPr="008B28B3" w:rsidRDefault="008B28B3" w:rsidP="008B28B3">
            <w:r w:rsidRPr="008B28B3">
              <w:t xml:space="preserve">Fungal pathogens not otherwise represented in:              </w:t>
            </w:r>
            <w:r w:rsidRPr="008B28B3">
              <w:rPr>
                <w:i/>
                <w:iCs/>
              </w:rPr>
              <w:t>Aspergillus</w:t>
            </w:r>
            <w:r w:rsidRPr="008B28B3">
              <w:t xml:space="preserve"> spp., </w:t>
            </w:r>
            <w:r w:rsidRPr="008B28B3">
              <w:rPr>
                <w:i/>
                <w:iCs/>
              </w:rPr>
              <w:t>Candida</w:t>
            </w:r>
            <w:r w:rsidRPr="008B28B3">
              <w:t xml:space="preserve"> spp., </w:t>
            </w:r>
            <w:r w:rsidRPr="008B28B3">
              <w:rPr>
                <w:i/>
                <w:iCs/>
              </w:rPr>
              <w:t>Cryptococcus</w:t>
            </w:r>
            <w:r w:rsidRPr="008B28B3">
              <w:t xml:space="preserve"> spp., Dermatophytes, </w:t>
            </w:r>
            <w:r w:rsidRPr="008B28B3">
              <w:rPr>
                <w:i/>
                <w:iCs/>
              </w:rPr>
              <w:t>Histoplasma</w:t>
            </w:r>
            <w:r w:rsidRPr="008B28B3">
              <w:t xml:space="preserve"> spp., or </w:t>
            </w:r>
            <w:r w:rsidRPr="008B28B3">
              <w:rPr>
                <w:i/>
                <w:iCs/>
              </w:rPr>
              <w:t>Pneumocystis</w:t>
            </w:r>
            <w:r w:rsidRPr="008B28B3">
              <w:t xml:space="preserve"> spp.</w:t>
            </w:r>
          </w:p>
        </w:tc>
        <w:tc>
          <w:tcPr>
            <w:tcW w:w="3152" w:type="dxa"/>
            <w:vAlign w:val="center"/>
          </w:tcPr>
          <w:p w14:paraId="50281B50" w14:textId="77777777" w:rsidR="008B28B3" w:rsidRPr="008B28B3" w:rsidRDefault="008B28B3" w:rsidP="008B28B3">
            <w:r w:rsidRPr="008B28B3">
              <w:rPr>
                <w:i/>
                <w:iCs/>
              </w:rPr>
              <w:t>Blastomyces</w:t>
            </w:r>
            <w:r w:rsidRPr="008B28B3">
              <w:t xml:space="preserve"> spp., </w:t>
            </w:r>
            <w:r w:rsidRPr="008B28B3">
              <w:rPr>
                <w:i/>
                <w:iCs/>
              </w:rPr>
              <w:t>Coccidioides</w:t>
            </w:r>
            <w:r w:rsidRPr="008B28B3">
              <w:t xml:space="preserve"> spp., </w:t>
            </w:r>
            <w:r w:rsidRPr="008B28B3">
              <w:rPr>
                <w:i/>
                <w:iCs/>
              </w:rPr>
              <w:t>Mucor</w:t>
            </w:r>
            <w:r w:rsidRPr="008B28B3">
              <w:t xml:space="preserve"> spp., </w:t>
            </w:r>
            <w:r w:rsidRPr="008B28B3">
              <w:rPr>
                <w:i/>
                <w:iCs/>
              </w:rPr>
              <w:t>Paracoccidioides</w:t>
            </w:r>
            <w:r w:rsidRPr="008B28B3">
              <w:t xml:space="preserve"> spp., </w:t>
            </w:r>
            <w:proofErr w:type="spellStart"/>
            <w:r w:rsidRPr="008B28B3">
              <w:rPr>
                <w:i/>
                <w:iCs/>
              </w:rPr>
              <w:t>Rhizomucor</w:t>
            </w:r>
            <w:proofErr w:type="spellEnd"/>
            <w:r w:rsidRPr="008B28B3">
              <w:t xml:space="preserve"> spp., </w:t>
            </w:r>
            <w:proofErr w:type="spellStart"/>
            <w:r w:rsidRPr="008B28B3">
              <w:rPr>
                <w:i/>
                <w:iCs/>
              </w:rPr>
              <w:t>Sporothrix</w:t>
            </w:r>
            <w:proofErr w:type="spellEnd"/>
            <w:r w:rsidRPr="008B28B3">
              <w:t xml:space="preserve"> spp.</w:t>
            </w:r>
          </w:p>
        </w:tc>
      </w:tr>
      <w:tr w:rsidR="008B28B3" w:rsidRPr="008B28B3" w14:paraId="30B6D5EE" w14:textId="77777777" w:rsidTr="00ED0096">
        <w:tc>
          <w:tcPr>
            <w:tcW w:w="1706" w:type="dxa"/>
            <w:vAlign w:val="center"/>
          </w:tcPr>
          <w:p w14:paraId="53991E43" w14:textId="77777777" w:rsidR="008B28B3" w:rsidRPr="008B28B3" w:rsidRDefault="008B28B3" w:rsidP="008B28B3">
            <w:r w:rsidRPr="008B28B3">
              <w:t>Gram-negative others</w:t>
            </w:r>
          </w:p>
        </w:tc>
        <w:tc>
          <w:tcPr>
            <w:tcW w:w="4492" w:type="dxa"/>
            <w:vAlign w:val="center"/>
          </w:tcPr>
          <w:p w14:paraId="342ACC47" w14:textId="77777777" w:rsidR="008B28B3" w:rsidRPr="008B28B3" w:rsidRDefault="008B28B3" w:rsidP="008B28B3">
            <w:r w:rsidRPr="008B28B3">
              <w:t xml:space="preserve">Gram-negative bacteria not otherwise represented in: </w:t>
            </w:r>
            <w:r w:rsidRPr="008B28B3">
              <w:rPr>
                <w:i/>
                <w:iCs/>
              </w:rPr>
              <w:t>Acinetobacter</w:t>
            </w:r>
            <w:r w:rsidRPr="008B28B3">
              <w:t xml:space="preserve"> spp.</w:t>
            </w:r>
            <w:r w:rsidRPr="008B28B3">
              <w:rPr>
                <w:iCs/>
              </w:rPr>
              <w:t>,</w:t>
            </w:r>
            <w:r w:rsidRPr="008B28B3">
              <w:t xml:space="preserve"> </w:t>
            </w:r>
            <w:r w:rsidRPr="008B28B3">
              <w:rPr>
                <w:i/>
                <w:iCs/>
              </w:rPr>
              <w:t>Aeromonas</w:t>
            </w:r>
            <w:r w:rsidRPr="008B28B3">
              <w:t xml:space="preserve"> spp., </w:t>
            </w:r>
            <w:r w:rsidRPr="008B28B3">
              <w:rPr>
                <w:i/>
                <w:iCs/>
              </w:rPr>
              <w:t>Bordetella</w:t>
            </w:r>
            <w:r w:rsidRPr="008B28B3">
              <w:t xml:space="preserve"> </w:t>
            </w:r>
            <w:r w:rsidRPr="008B28B3">
              <w:rPr>
                <w:i/>
                <w:iCs/>
              </w:rPr>
              <w:t>pertussis</w:t>
            </w:r>
            <w:r w:rsidRPr="008B28B3">
              <w:t xml:space="preserve">, </w:t>
            </w:r>
            <w:r w:rsidRPr="008B28B3">
              <w:rPr>
                <w:i/>
                <w:iCs/>
              </w:rPr>
              <w:t>Burkholderia</w:t>
            </w:r>
            <w:r w:rsidRPr="008B28B3">
              <w:t xml:space="preserve"> spp., </w:t>
            </w:r>
            <w:r w:rsidRPr="008B28B3">
              <w:rPr>
                <w:i/>
                <w:iCs/>
              </w:rPr>
              <w:t>Campylobacter</w:t>
            </w:r>
            <w:r w:rsidRPr="008B28B3">
              <w:t xml:space="preserve"> spp., </w:t>
            </w:r>
            <w:r w:rsidRPr="008B28B3">
              <w:rPr>
                <w:i/>
                <w:iCs/>
              </w:rPr>
              <w:t>Chlamydia</w:t>
            </w:r>
            <w:r w:rsidRPr="008B28B3">
              <w:t xml:space="preserve"> spp. </w:t>
            </w:r>
            <w:r w:rsidRPr="008B28B3">
              <w:rPr>
                <w:i/>
                <w:iCs/>
              </w:rPr>
              <w:t>Citrobacter</w:t>
            </w:r>
            <w:r w:rsidRPr="008B28B3">
              <w:t xml:space="preserve"> spp., </w:t>
            </w:r>
            <w:r w:rsidRPr="008B28B3">
              <w:rPr>
                <w:i/>
                <w:iCs/>
              </w:rPr>
              <w:t>Enterobacter</w:t>
            </w:r>
            <w:r w:rsidRPr="008B28B3">
              <w:t xml:space="preserve"> spp., </w:t>
            </w:r>
            <w:r w:rsidRPr="008B28B3">
              <w:rPr>
                <w:i/>
                <w:iCs/>
              </w:rPr>
              <w:t>Escherichia</w:t>
            </w:r>
            <w:r w:rsidRPr="008B28B3">
              <w:t xml:space="preserve"> spp.</w:t>
            </w:r>
            <w:r w:rsidRPr="008B28B3">
              <w:rPr>
                <w:iCs/>
              </w:rPr>
              <w:t>,</w:t>
            </w:r>
            <w:r w:rsidRPr="008B28B3">
              <w:t xml:space="preserve"> </w:t>
            </w:r>
            <w:proofErr w:type="spellStart"/>
            <w:r w:rsidRPr="008B28B3">
              <w:rPr>
                <w:i/>
                <w:iCs/>
              </w:rPr>
              <w:t>Haemophilus</w:t>
            </w:r>
            <w:proofErr w:type="spellEnd"/>
            <w:r w:rsidRPr="008B28B3">
              <w:t xml:space="preserve"> spp., </w:t>
            </w:r>
            <w:r w:rsidRPr="008B28B3">
              <w:rPr>
                <w:i/>
                <w:iCs/>
              </w:rPr>
              <w:t>Klebsiella</w:t>
            </w:r>
            <w:r w:rsidRPr="008B28B3">
              <w:t xml:space="preserve"> spp. </w:t>
            </w:r>
            <w:r w:rsidRPr="008B28B3">
              <w:rPr>
                <w:i/>
                <w:iCs/>
              </w:rPr>
              <w:t>Legionella</w:t>
            </w:r>
            <w:r w:rsidRPr="008B28B3">
              <w:t xml:space="preserve"> spp., </w:t>
            </w:r>
            <w:r w:rsidRPr="008B28B3">
              <w:rPr>
                <w:i/>
                <w:iCs/>
              </w:rPr>
              <w:t>Leptospira</w:t>
            </w:r>
            <w:r w:rsidRPr="008B28B3">
              <w:t xml:space="preserve"> spp., </w:t>
            </w:r>
            <w:proofErr w:type="spellStart"/>
            <w:r w:rsidRPr="008B28B3">
              <w:rPr>
                <w:i/>
                <w:iCs/>
              </w:rPr>
              <w:t>Morganella</w:t>
            </w:r>
            <w:proofErr w:type="spellEnd"/>
            <w:r w:rsidRPr="008B28B3">
              <w:t xml:space="preserve"> spp., </w:t>
            </w:r>
            <w:r w:rsidRPr="008B28B3">
              <w:rPr>
                <w:i/>
                <w:iCs/>
              </w:rPr>
              <w:t>Neisseria</w:t>
            </w:r>
            <w:r w:rsidRPr="008B28B3">
              <w:t xml:space="preserve"> spp., </w:t>
            </w:r>
            <w:r w:rsidRPr="008B28B3">
              <w:rPr>
                <w:i/>
                <w:iCs/>
              </w:rPr>
              <w:t>Proteus</w:t>
            </w:r>
            <w:r w:rsidRPr="008B28B3">
              <w:t xml:space="preserve"> spp., </w:t>
            </w:r>
            <w:r w:rsidRPr="008B28B3">
              <w:rPr>
                <w:i/>
              </w:rPr>
              <w:t>Pseudomonas</w:t>
            </w:r>
            <w:r w:rsidRPr="008B28B3">
              <w:rPr>
                <w:iCs/>
              </w:rPr>
              <w:t xml:space="preserve"> </w:t>
            </w:r>
            <w:r w:rsidRPr="008B28B3">
              <w:t xml:space="preserve">spp., </w:t>
            </w:r>
            <w:r w:rsidRPr="008B28B3">
              <w:rPr>
                <w:i/>
                <w:iCs/>
              </w:rPr>
              <w:t>Salmonella</w:t>
            </w:r>
            <w:r w:rsidRPr="008B28B3">
              <w:t xml:space="preserve"> spp., </w:t>
            </w:r>
            <w:r w:rsidRPr="008B28B3">
              <w:rPr>
                <w:i/>
                <w:iCs/>
              </w:rPr>
              <w:t>Serratia</w:t>
            </w:r>
            <w:r w:rsidRPr="008B28B3">
              <w:t xml:space="preserve"> spp., </w:t>
            </w:r>
            <w:r w:rsidRPr="008B28B3">
              <w:rPr>
                <w:i/>
                <w:iCs/>
              </w:rPr>
              <w:t>Shigella</w:t>
            </w:r>
            <w:r w:rsidRPr="008B28B3">
              <w:t xml:space="preserve"> spp., or </w:t>
            </w:r>
            <w:r w:rsidRPr="008B28B3">
              <w:rPr>
                <w:i/>
                <w:iCs/>
              </w:rPr>
              <w:t>Vibrio cholerae</w:t>
            </w:r>
          </w:p>
        </w:tc>
        <w:tc>
          <w:tcPr>
            <w:tcW w:w="3152" w:type="dxa"/>
            <w:vAlign w:val="center"/>
          </w:tcPr>
          <w:p w14:paraId="68EB94C2" w14:textId="77777777" w:rsidR="008B28B3" w:rsidRPr="008B28B3" w:rsidRDefault="008B28B3" w:rsidP="008B28B3">
            <w:r w:rsidRPr="008B28B3">
              <w:rPr>
                <w:i/>
                <w:iCs/>
              </w:rPr>
              <w:t>Bacteroides</w:t>
            </w:r>
            <w:r w:rsidRPr="008B28B3">
              <w:t xml:space="preserve"> spp., non-pertussis </w:t>
            </w:r>
            <w:r w:rsidRPr="008B28B3">
              <w:rPr>
                <w:i/>
                <w:iCs/>
              </w:rPr>
              <w:t>Bordetella</w:t>
            </w:r>
            <w:r w:rsidRPr="008B28B3">
              <w:t xml:space="preserve"> spp., </w:t>
            </w:r>
            <w:r w:rsidRPr="008B28B3">
              <w:rPr>
                <w:i/>
                <w:iCs/>
              </w:rPr>
              <w:t>Brucella</w:t>
            </w:r>
            <w:r w:rsidRPr="008B28B3">
              <w:t xml:space="preserve"> spp., </w:t>
            </w:r>
            <w:r w:rsidRPr="008B28B3">
              <w:rPr>
                <w:i/>
                <w:iCs/>
              </w:rPr>
              <w:t>Moraxella</w:t>
            </w:r>
            <w:r w:rsidRPr="008B28B3">
              <w:t xml:space="preserve"> spp., </w:t>
            </w:r>
            <w:r w:rsidRPr="008B28B3">
              <w:rPr>
                <w:i/>
                <w:iCs/>
              </w:rPr>
              <w:t>Pasteurella</w:t>
            </w:r>
            <w:r w:rsidRPr="008B28B3">
              <w:t xml:space="preserve"> spp., </w:t>
            </w:r>
            <w:proofErr w:type="spellStart"/>
            <w:r w:rsidRPr="008B28B3">
              <w:rPr>
                <w:i/>
                <w:iCs/>
              </w:rPr>
              <w:t>Prevotella</w:t>
            </w:r>
            <w:proofErr w:type="spellEnd"/>
            <w:r w:rsidRPr="008B28B3">
              <w:t xml:space="preserve"> spp., </w:t>
            </w:r>
            <w:r w:rsidRPr="008B28B3">
              <w:rPr>
                <w:i/>
                <w:iCs/>
              </w:rPr>
              <w:t>Providencia</w:t>
            </w:r>
            <w:r w:rsidRPr="008B28B3">
              <w:t xml:space="preserve"> spp., </w:t>
            </w:r>
            <w:r w:rsidRPr="008B28B3">
              <w:rPr>
                <w:i/>
              </w:rPr>
              <w:t>Stenotrophomonas</w:t>
            </w:r>
            <w:r w:rsidRPr="008B28B3">
              <w:t xml:space="preserve"> spp., non</w:t>
            </w:r>
            <w:r w:rsidRPr="008B28B3">
              <w:noBreakHyphen/>
            </w:r>
            <w:r w:rsidRPr="008B28B3">
              <w:rPr>
                <w:i/>
                <w:iCs/>
              </w:rPr>
              <w:t>cholerae Vibrio</w:t>
            </w:r>
            <w:r w:rsidRPr="008B28B3">
              <w:t xml:space="preserve"> spp., </w:t>
            </w:r>
            <w:r w:rsidRPr="008B28B3">
              <w:rPr>
                <w:i/>
                <w:iCs/>
              </w:rPr>
              <w:t>Yersinia</w:t>
            </w:r>
            <w:r w:rsidRPr="008B28B3">
              <w:t xml:space="preserve"> spp.</w:t>
            </w:r>
          </w:p>
        </w:tc>
      </w:tr>
      <w:tr w:rsidR="008B28B3" w:rsidRPr="008B28B3" w14:paraId="30740AEF" w14:textId="77777777" w:rsidTr="00ED0096">
        <w:tc>
          <w:tcPr>
            <w:tcW w:w="1706" w:type="dxa"/>
            <w:vAlign w:val="center"/>
          </w:tcPr>
          <w:p w14:paraId="7139E42C" w14:textId="77777777" w:rsidR="008B28B3" w:rsidRPr="008B28B3" w:rsidRDefault="008B28B3" w:rsidP="008B28B3">
            <w:r w:rsidRPr="008B28B3">
              <w:t>Gram-positive others</w:t>
            </w:r>
          </w:p>
        </w:tc>
        <w:tc>
          <w:tcPr>
            <w:tcW w:w="4492" w:type="dxa"/>
            <w:vAlign w:val="center"/>
          </w:tcPr>
          <w:p w14:paraId="54F36E95" w14:textId="77777777" w:rsidR="008B28B3" w:rsidRPr="008B28B3" w:rsidRDefault="008B28B3" w:rsidP="008B28B3">
            <w:r w:rsidRPr="008B28B3">
              <w:t xml:space="preserve">Gram-positive bacteria not otherwise represented in:   </w:t>
            </w:r>
            <w:r w:rsidRPr="008B28B3">
              <w:rPr>
                <w:i/>
                <w:iCs/>
              </w:rPr>
              <w:t>Actinomyces</w:t>
            </w:r>
            <w:r w:rsidRPr="008B28B3">
              <w:t xml:space="preserve"> spp., </w:t>
            </w:r>
            <w:r w:rsidRPr="008B28B3">
              <w:rPr>
                <w:i/>
                <w:iCs/>
              </w:rPr>
              <w:t>Clostridium</w:t>
            </w:r>
            <w:r w:rsidRPr="008B28B3">
              <w:t xml:space="preserve"> spp., </w:t>
            </w:r>
            <w:r w:rsidRPr="008B28B3">
              <w:rPr>
                <w:i/>
                <w:iCs/>
              </w:rPr>
              <w:t>Corynebacterium diphtheriae</w:t>
            </w:r>
            <w:r w:rsidRPr="008B28B3">
              <w:t xml:space="preserve">, </w:t>
            </w:r>
            <w:r w:rsidRPr="008B28B3">
              <w:rPr>
                <w:i/>
                <w:iCs/>
              </w:rPr>
              <w:t>Enterococcus</w:t>
            </w:r>
            <w:r w:rsidRPr="008B28B3">
              <w:t xml:space="preserve"> spp., </w:t>
            </w:r>
            <w:r w:rsidRPr="008B28B3">
              <w:rPr>
                <w:i/>
                <w:iCs/>
              </w:rPr>
              <w:t>Helicobacter</w:t>
            </w:r>
            <w:r w:rsidRPr="008B28B3">
              <w:t xml:space="preserve"> spp., </w:t>
            </w:r>
            <w:r w:rsidRPr="008B28B3">
              <w:rPr>
                <w:i/>
                <w:iCs/>
              </w:rPr>
              <w:t>Listeria</w:t>
            </w:r>
            <w:r w:rsidRPr="008B28B3">
              <w:t xml:space="preserve"> spp., </w:t>
            </w:r>
            <w:r w:rsidRPr="008B28B3">
              <w:rPr>
                <w:i/>
                <w:iCs/>
              </w:rPr>
              <w:t>Mycobacterium</w:t>
            </w:r>
            <w:r w:rsidRPr="008B28B3">
              <w:t xml:space="preserve"> spp., </w:t>
            </w:r>
            <w:r w:rsidRPr="008B28B3">
              <w:rPr>
                <w:i/>
                <w:iCs/>
              </w:rPr>
              <w:t>Staphylococcus</w:t>
            </w:r>
            <w:r w:rsidRPr="008B28B3">
              <w:t xml:space="preserve"> spp., </w:t>
            </w:r>
            <w:r w:rsidRPr="008B28B3">
              <w:rPr>
                <w:i/>
                <w:iCs/>
              </w:rPr>
              <w:t>Streptococcus</w:t>
            </w:r>
            <w:r w:rsidRPr="008B28B3">
              <w:t xml:space="preserve"> spp., </w:t>
            </w:r>
            <w:r w:rsidRPr="008B28B3">
              <w:rPr>
                <w:i/>
                <w:iCs/>
              </w:rPr>
              <w:t>Treponema pallidum</w:t>
            </w:r>
          </w:p>
        </w:tc>
        <w:tc>
          <w:tcPr>
            <w:tcW w:w="3152" w:type="dxa"/>
            <w:vAlign w:val="center"/>
          </w:tcPr>
          <w:p w14:paraId="19E63B0C" w14:textId="77777777" w:rsidR="008B28B3" w:rsidRPr="008B28B3" w:rsidRDefault="008B28B3" w:rsidP="008B28B3">
            <w:r w:rsidRPr="008B28B3">
              <w:rPr>
                <w:i/>
                <w:iCs/>
              </w:rPr>
              <w:t>Bacillus</w:t>
            </w:r>
            <w:r w:rsidRPr="008B28B3">
              <w:t xml:space="preserve"> spp., </w:t>
            </w:r>
            <w:r w:rsidRPr="008B28B3">
              <w:rPr>
                <w:i/>
                <w:iCs/>
              </w:rPr>
              <w:t>Lactobacillus</w:t>
            </w:r>
            <w:r w:rsidRPr="008B28B3">
              <w:t xml:space="preserve"> spp., </w:t>
            </w:r>
            <w:r w:rsidRPr="008B28B3">
              <w:rPr>
                <w:i/>
                <w:iCs/>
              </w:rPr>
              <w:t>Micrococcus</w:t>
            </w:r>
            <w:r w:rsidRPr="008B28B3">
              <w:t xml:space="preserve"> spp., </w:t>
            </w:r>
            <w:proofErr w:type="spellStart"/>
            <w:r w:rsidRPr="008B28B3">
              <w:rPr>
                <w:i/>
                <w:iCs/>
              </w:rPr>
              <w:t>Peptostreptococcus</w:t>
            </w:r>
            <w:proofErr w:type="spellEnd"/>
            <w:r w:rsidRPr="008B28B3">
              <w:t xml:space="preserve"> spp., </w:t>
            </w:r>
            <w:r w:rsidRPr="008B28B3">
              <w:rPr>
                <w:i/>
                <w:iCs/>
              </w:rPr>
              <w:t>Propionibacterium</w:t>
            </w:r>
            <w:r w:rsidRPr="008B28B3">
              <w:t xml:space="preserve"> spp., </w:t>
            </w:r>
            <w:proofErr w:type="spellStart"/>
            <w:r w:rsidRPr="008B28B3">
              <w:rPr>
                <w:i/>
                <w:iCs/>
              </w:rPr>
              <w:t>Rothia</w:t>
            </w:r>
            <w:proofErr w:type="spellEnd"/>
            <w:r w:rsidRPr="008B28B3">
              <w:t xml:space="preserve"> spp.</w:t>
            </w:r>
          </w:p>
        </w:tc>
      </w:tr>
      <w:tr w:rsidR="008B28B3" w:rsidRPr="008B28B3" w14:paraId="5F6DE0C8" w14:textId="77777777" w:rsidTr="00ED0096">
        <w:tc>
          <w:tcPr>
            <w:tcW w:w="1706" w:type="dxa"/>
            <w:vAlign w:val="center"/>
          </w:tcPr>
          <w:p w14:paraId="6ED448EA" w14:textId="77777777" w:rsidR="008B28B3" w:rsidRPr="008B28B3" w:rsidRDefault="008B28B3" w:rsidP="008B28B3">
            <w:r w:rsidRPr="008B28B3">
              <w:rPr>
                <w:i/>
                <w:iCs/>
              </w:rPr>
              <w:t>Klebsiella</w:t>
            </w:r>
            <w:r w:rsidRPr="008B28B3">
              <w:t xml:space="preserve"> others</w:t>
            </w:r>
          </w:p>
        </w:tc>
        <w:tc>
          <w:tcPr>
            <w:tcW w:w="4492" w:type="dxa"/>
            <w:vAlign w:val="center"/>
          </w:tcPr>
          <w:p w14:paraId="60FE2DE5" w14:textId="77777777" w:rsidR="008B28B3" w:rsidRPr="008B28B3" w:rsidRDefault="008B28B3" w:rsidP="008B28B3">
            <w:r w:rsidRPr="008B28B3">
              <w:t xml:space="preserve">Non-pneumoniae </w:t>
            </w:r>
            <w:r w:rsidRPr="008B28B3">
              <w:rPr>
                <w:i/>
                <w:iCs/>
              </w:rPr>
              <w:t>Klebsiella</w:t>
            </w:r>
          </w:p>
        </w:tc>
        <w:tc>
          <w:tcPr>
            <w:tcW w:w="3152" w:type="dxa"/>
            <w:vAlign w:val="center"/>
          </w:tcPr>
          <w:p w14:paraId="123391D2" w14:textId="77777777" w:rsidR="008B28B3" w:rsidRPr="008B28B3" w:rsidRDefault="008B28B3" w:rsidP="008B28B3">
            <w:pPr>
              <w:rPr>
                <w:lang w:val="sv-SE"/>
              </w:rPr>
            </w:pPr>
            <w:r w:rsidRPr="008B28B3">
              <w:rPr>
                <w:i/>
                <w:iCs/>
                <w:lang w:val="sv-SE"/>
              </w:rPr>
              <w:t>Klebsiella aerogenes</w:t>
            </w:r>
            <w:r w:rsidRPr="008B28B3">
              <w:rPr>
                <w:lang w:val="sv-SE"/>
              </w:rPr>
              <w:t xml:space="preserve">, </w:t>
            </w:r>
            <w:r w:rsidRPr="008B28B3">
              <w:rPr>
                <w:i/>
                <w:iCs/>
                <w:lang w:val="sv-SE"/>
              </w:rPr>
              <w:t>Klebsiella granulomatis</w:t>
            </w:r>
            <w:r w:rsidRPr="008B28B3">
              <w:rPr>
                <w:lang w:val="sv-SE"/>
              </w:rPr>
              <w:t xml:space="preserve">, </w:t>
            </w:r>
            <w:r w:rsidRPr="008B28B3">
              <w:rPr>
                <w:i/>
                <w:iCs/>
                <w:lang w:val="sv-SE"/>
              </w:rPr>
              <w:t>Klebsiella oxytoca</w:t>
            </w:r>
          </w:p>
        </w:tc>
      </w:tr>
      <w:tr w:rsidR="008B28B3" w:rsidRPr="008B28B3" w14:paraId="5AF32732" w14:textId="77777777" w:rsidTr="00ED0096">
        <w:tc>
          <w:tcPr>
            <w:tcW w:w="1706" w:type="dxa"/>
            <w:vAlign w:val="center"/>
          </w:tcPr>
          <w:p w14:paraId="15553B0A" w14:textId="77777777" w:rsidR="008B28B3" w:rsidRPr="008B28B3" w:rsidRDefault="008B28B3" w:rsidP="008B28B3">
            <w:r w:rsidRPr="008B28B3">
              <w:rPr>
                <w:i/>
                <w:iCs/>
              </w:rPr>
              <w:t>Mycobacterium</w:t>
            </w:r>
            <w:r w:rsidRPr="008B28B3">
              <w:t xml:space="preserve"> others</w:t>
            </w:r>
          </w:p>
        </w:tc>
        <w:tc>
          <w:tcPr>
            <w:tcW w:w="4492" w:type="dxa"/>
            <w:vAlign w:val="center"/>
          </w:tcPr>
          <w:p w14:paraId="01C6B512" w14:textId="77777777" w:rsidR="008B28B3" w:rsidRPr="008B28B3" w:rsidRDefault="008B28B3" w:rsidP="008B28B3">
            <w:r w:rsidRPr="008B28B3">
              <w:t>Non-</w:t>
            </w:r>
            <w:r w:rsidRPr="008B28B3">
              <w:rPr>
                <w:i/>
                <w:iCs/>
              </w:rPr>
              <w:t>tuberculosis</w:t>
            </w:r>
            <w:r w:rsidRPr="008B28B3">
              <w:t>/</w:t>
            </w:r>
            <w:r w:rsidRPr="008B28B3">
              <w:rPr>
                <w:i/>
                <w:iCs/>
              </w:rPr>
              <w:t>leprae Mycobacterium</w:t>
            </w:r>
          </w:p>
        </w:tc>
        <w:tc>
          <w:tcPr>
            <w:tcW w:w="3152" w:type="dxa"/>
            <w:vAlign w:val="center"/>
          </w:tcPr>
          <w:p w14:paraId="3F1D1D20" w14:textId="77777777" w:rsidR="008B28B3" w:rsidRPr="008B28B3" w:rsidRDefault="008B28B3" w:rsidP="008B28B3">
            <w:r w:rsidRPr="008B28B3">
              <w:rPr>
                <w:i/>
                <w:iCs/>
              </w:rPr>
              <w:t>Mycobacterium avium</w:t>
            </w:r>
            <w:r w:rsidRPr="008B28B3">
              <w:rPr>
                <w:iCs/>
              </w:rPr>
              <w:t>,</w:t>
            </w:r>
            <w:r w:rsidRPr="008B28B3">
              <w:t xml:space="preserve"> </w:t>
            </w:r>
            <w:r w:rsidRPr="008B28B3">
              <w:rPr>
                <w:i/>
                <w:iCs/>
              </w:rPr>
              <w:t xml:space="preserve">Mycobacterium </w:t>
            </w:r>
            <w:proofErr w:type="spellStart"/>
            <w:r w:rsidRPr="008B28B3">
              <w:rPr>
                <w:i/>
                <w:iCs/>
              </w:rPr>
              <w:t>intracellulare</w:t>
            </w:r>
            <w:proofErr w:type="spellEnd"/>
            <w:r w:rsidRPr="008B28B3">
              <w:rPr>
                <w:iCs/>
              </w:rPr>
              <w:t>,</w:t>
            </w:r>
            <w:r w:rsidRPr="008B28B3">
              <w:t xml:space="preserve"> </w:t>
            </w:r>
            <w:r w:rsidRPr="008B28B3">
              <w:rPr>
                <w:i/>
                <w:iCs/>
              </w:rPr>
              <w:t xml:space="preserve">Mycobacterium </w:t>
            </w:r>
            <w:proofErr w:type="spellStart"/>
            <w:r w:rsidRPr="008B28B3">
              <w:rPr>
                <w:i/>
                <w:iCs/>
              </w:rPr>
              <w:t>fortuitum</w:t>
            </w:r>
            <w:proofErr w:type="spellEnd"/>
          </w:p>
        </w:tc>
      </w:tr>
      <w:tr w:rsidR="008B28B3" w:rsidRPr="008B28B3" w14:paraId="76A25524" w14:textId="77777777" w:rsidTr="00ED0096">
        <w:tc>
          <w:tcPr>
            <w:tcW w:w="1706" w:type="dxa"/>
            <w:vAlign w:val="center"/>
          </w:tcPr>
          <w:p w14:paraId="3D33A073" w14:textId="77777777" w:rsidR="008B28B3" w:rsidRPr="008B28B3" w:rsidRDefault="008B28B3" w:rsidP="008B28B3">
            <w:r w:rsidRPr="008B28B3">
              <w:rPr>
                <w:i/>
                <w:iCs/>
              </w:rPr>
              <w:t>Pseudomonas</w:t>
            </w:r>
            <w:r w:rsidRPr="008B28B3">
              <w:t xml:space="preserve"> others</w:t>
            </w:r>
          </w:p>
        </w:tc>
        <w:tc>
          <w:tcPr>
            <w:tcW w:w="4492" w:type="dxa"/>
            <w:vAlign w:val="center"/>
          </w:tcPr>
          <w:p w14:paraId="009F3C37" w14:textId="77777777" w:rsidR="008B28B3" w:rsidRPr="008B28B3" w:rsidRDefault="008B28B3" w:rsidP="008B28B3">
            <w:r w:rsidRPr="008B28B3">
              <w:t>Non-</w:t>
            </w:r>
            <w:r w:rsidRPr="008B28B3">
              <w:rPr>
                <w:i/>
                <w:iCs/>
              </w:rPr>
              <w:t>aeruginosa</w:t>
            </w:r>
            <w:r w:rsidRPr="008B28B3">
              <w:t xml:space="preserve"> </w:t>
            </w:r>
            <w:r w:rsidRPr="008B28B3">
              <w:rPr>
                <w:i/>
                <w:iCs/>
              </w:rPr>
              <w:t>Pseudomonas</w:t>
            </w:r>
          </w:p>
        </w:tc>
        <w:tc>
          <w:tcPr>
            <w:tcW w:w="3152" w:type="dxa"/>
            <w:vAlign w:val="center"/>
          </w:tcPr>
          <w:p w14:paraId="77D5B4B0" w14:textId="77777777" w:rsidR="008B28B3" w:rsidRPr="008B28B3" w:rsidRDefault="008B28B3" w:rsidP="008B28B3">
            <w:pPr>
              <w:rPr>
                <w:i/>
                <w:iCs/>
              </w:rPr>
            </w:pPr>
            <w:r w:rsidRPr="008B28B3">
              <w:rPr>
                <w:i/>
                <w:iCs/>
              </w:rPr>
              <w:t>Pseudomonas fluorescens</w:t>
            </w:r>
            <w:r w:rsidRPr="008B28B3">
              <w:rPr>
                <w:iCs/>
              </w:rPr>
              <w:t>,</w:t>
            </w:r>
            <w:r w:rsidRPr="008B28B3">
              <w:t xml:space="preserve"> </w:t>
            </w:r>
            <w:r w:rsidRPr="008B28B3">
              <w:rPr>
                <w:i/>
                <w:iCs/>
              </w:rPr>
              <w:t xml:space="preserve">Pseudomonas </w:t>
            </w:r>
            <w:proofErr w:type="spellStart"/>
            <w:r w:rsidRPr="008B28B3">
              <w:rPr>
                <w:i/>
                <w:iCs/>
              </w:rPr>
              <w:t>luteola</w:t>
            </w:r>
            <w:proofErr w:type="spellEnd"/>
            <w:r w:rsidRPr="008B28B3">
              <w:rPr>
                <w:iCs/>
              </w:rPr>
              <w:t>,</w:t>
            </w:r>
            <w:r w:rsidRPr="008B28B3">
              <w:t xml:space="preserve"> </w:t>
            </w:r>
            <w:r w:rsidRPr="008B28B3">
              <w:rPr>
                <w:i/>
                <w:iCs/>
              </w:rPr>
              <w:t>Pseudomonas putida</w:t>
            </w:r>
          </w:p>
          <w:p w14:paraId="5C81B24E" w14:textId="77777777" w:rsidR="008B28B3" w:rsidRPr="008B28B3" w:rsidRDefault="008B28B3" w:rsidP="008B28B3"/>
        </w:tc>
      </w:tr>
      <w:tr w:rsidR="008B28B3" w:rsidRPr="008B28B3" w14:paraId="52DE0093" w14:textId="77777777" w:rsidTr="00ED0096">
        <w:tc>
          <w:tcPr>
            <w:tcW w:w="1706" w:type="dxa"/>
            <w:vAlign w:val="center"/>
          </w:tcPr>
          <w:p w14:paraId="4CA93B1E" w14:textId="77777777" w:rsidR="008B28B3" w:rsidRPr="008B28B3" w:rsidRDefault="008B28B3" w:rsidP="008B28B3">
            <w:r w:rsidRPr="008B28B3">
              <w:rPr>
                <w:i/>
                <w:iCs/>
              </w:rPr>
              <w:t>Streptococcus</w:t>
            </w:r>
            <w:r w:rsidRPr="008B28B3">
              <w:t xml:space="preserve"> others</w:t>
            </w:r>
          </w:p>
        </w:tc>
        <w:tc>
          <w:tcPr>
            <w:tcW w:w="4492" w:type="dxa"/>
            <w:vAlign w:val="center"/>
          </w:tcPr>
          <w:p w14:paraId="134DBD40" w14:textId="77777777" w:rsidR="008B28B3" w:rsidRPr="008B28B3" w:rsidRDefault="008B28B3" w:rsidP="008B28B3">
            <w:r w:rsidRPr="008B28B3">
              <w:t>Non-Group A/Group B/</w:t>
            </w:r>
            <w:r w:rsidRPr="008B28B3">
              <w:rPr>
                <w:i/>
                <w:iCs/>
              </w:rPr>
              <w:t>pneumoniae Streptococcus</w:t>
            </w:r>
          </w:p>
        </w:tc>
        <w:tc>
          <w:tcPr>
            <w:tcW w:w="3152" w:type="dxa"/>
            <w:vAlign w:val="center"/>
          </w:tcPr>
          <w:p w14:paraId="28620170" w14:textId="77777777" w:rsidR="008B28B3" w:rsidRPr="008B28B3" w:rsidRDefault="008B28B3" w:rsidP="008B28B3">
            <w:r w:rsidRPr="008B28B3">
              <w:rPr>
                <w:i/>
                <w:iCs/>
              </w:rPr>
              <w:t xml:space="preserve">Streptococcus </w:t>
            </w:r>
            <w:proofErr w:type="spellStart"/>
            <w:r w:rsidRPr="008B28B3">
              <w:rPr>
                <w:i/>
                <w:iCs/>
              </w:rPr>
              <w:t>anginosus</w:t>
            </w:r>
            <w:proofErr w:type="spellEnd"/>
            <w:r w:rsidRPr="008B28B3">
              <w:rPr>
                <w:iCs/>
              </w:rPr>
              <w:t>,</w:t>
            </w:r>
            <w:r w:rsidRPr="008B28B3">
              <w:t xml:space="preserve"> </w:t>
            </w:r>
            <w:r w:rsidRPr="008B28B3">
              <w:rPr>
                <w:i/>
                <w:iCs/>
              </w:rPr>
              <w:t xml:space="preserve">Streptococcus </w:t>
            </w:r>
            <w:proofErr w:type="spellStart"/>
            <w:r w:rsidRPr="008B28B3">
              <w:rPr>
                <w:i/>
                <w:iCs/>
              </w:rPr>
              <w:t>bovis</w:t>
            </w:r>
            <w:proofErr w:type="spellEnd"/>
            <w:r w:rsidRPr="008B28B3">
              <w:rPr>
                <w:iCs/>
              </w:rPr>
              <w:t>,</w:t>
            </w:r>
            <w:r w:rsidRPr="008B28B3">
              <w:t xml:space="preserve"> </w:t>
            </w:r>
            <w:r w:rsidRPr="008B28B3">
              <w:rPr>
                <w:i/>
                <w:iCs/>
              </w:rPr>
              <w:t>Streptococcus mitis</w:t>
            </w:r>
            <w:r w:rsidRPr="008B28B3">
              <w:rPr>
                <w:iCs/>
              </w:rPr>
              <w:t>,</w:t>
            </w:r>
            <w:r w:rsidRPr="008B28B3">
              <w:t xml:space="preserve"> </w:t>
            </w:r>
            <w:r w:rsidRPr="008B28B3">
              <w:rPr>
                <w:i/>
                <w:iCs/>
              </w:rPr>
              <w:t>Streptococcus mutans</w:t>
            </w:r>
            <w:r w:rsidRPr="008B28B3">
              <w:rPr>
                <w:iCs/>
              </w:rPr>
              <w:t>,</w:t>
            </w:r>
            <w:r w:rsidRPr="008B28B3">
              <w:t xml:space="preserve"> </w:t>
            </w:r>
            <w:r w:rsidRPr="008B28B3">
              <w:rPr>
                <w:i/>
                <w:iCs/>
              </w:rPr>
              <w:t>Streptococcus salivarius</w:t>
            </w:r>
          </w:p>
        </w:tc>
      </w:tr>
      <w:tr w:rsidR="008B28B3" w:rsidRPr="008B28B3" w14:paraId="528D0414" w14:textId="77777777" w:rsidTr="00ED0096">
        <w:tc>
          <w:tcPr>
            <w:tcW w:w="1706" w:type="dxa"/>
            <w:vAlign w:val="center"/>
          </w:tcPr>
          <w:p w14:paraId="29C8EDE8" w14:textId="77777777" w:rsidR="008B28B3" w:rsidRPr="008B28B3" w:rsidRDefault="008B28B3" w:rsidP="008B28B3">
            <w:r w:rsidRPr="008B28B3">
              <w:t>Virus others</w:t>
            </w:r>
          </w:p>
        </w:tc>
        <w:tc>
          <w:tcPr>
            <w:tcW w:w="4492" w:type="dxa"/>
            <w:vAlign w:val="center"/>
          </w:tcPr>
          <w:p w14:paraId="1C5BA357" w14:textId="77777777" w:rsidR="008B28B3" w:rsidRPr="008B28B3" w:rsidRDefault="008B28B3" w:rsidP="008B28B3">
            <w:r w:rsidRPr="008B28B3">
              <w:t>Viral pathogens not otherwise represented in:</w:t>
            </w:r>
            <w:r w:rsidRPr="008B28B3">
              <w:br/>
              <w:t>adenovirus, astrovirus, Chikungunya virus, coronavirus, cytomegalovirus, dengue, Ebola, enterovirus, Epstein Barr virus, hepatitis, herpes virus, HIV, HPV, influenza, measles, molluscum contagiosum virus, mumps, norovirus, rabies, respiratory syncytial virus, rotavirus, varicella zoster virus, West Nile virus, yellow fever, Zika virus</w:t>
            </w:r>
          </w:p>
        </w:tc>
        <w:tc>
          <w:tcPr>
            <w:tcW w:w="3152" w:type="dxa"/>
            <w:vAlign w:val="center"/>
          </w:tcPr>
          <w:p w14:paraId="02961414" w14:textId="77777777" w:rsidR="008B28B3" w:rsidRPr="008B28B3" w:rsidRDefault="008B28B3" w:rsidP="008B28B3">
            <w:r w:rsidRPr="008B28B3">
              <w:t xml:space="preserve">Human metapneumovirus, </w:t>
            </w:r>
            <w:proofErr w:type="spellStart"/>
            <w:r w:rsidRPr="008B28B3">
              <w:t>orthopoxvirus</w:t>
            </w:r>
            <w:proofErr w:type="spellEnd"/>
            <w:r w:rsidRPr="008B28B3">
              <w:t xml:space="preserve">, </w:t>
            </w:r>
            <w:proofErr w:type="spellStart"/>
            <w:r w:rsidRPr="008B28B3">
              <w:t>parapoxvirus</w:t>
            </w:r>
            <w:proofErr w:type="spellEnd"/>
            <w:r w:rsidRPr="008B28B3">
              <w:t>, picornaviruses, poliovirus, retrovirus, rubella</w:t>
            </w:r>
          </w:p>
        </w:tc>
      </w:tr>
    </w:tbl>
    <w:p w14:paraId="06E251AE" w14:textId="77777777" w:rsidR="008B28B3" w:rsidRDefault="008B28B3" w:rsidP="008B28B3"/>
    <w:p w14:paraId="6203834A" w14:textId="3B3017B0" w:rsidR="008B28B3" w:rsidRPr="000F32B0" w:rsidRDefault="001E7F0C" w:rsidP="008B28B3">
      <w:pPr>
        <w:rPr>
          <w:color w:val="1F3864" w:themeColor="accent1" w:themeShade="80"/>
        </w:rPr>
      </w:pPr>
      <w:r w:rsidRPr="000F32B0">
        <w:rPr>
          <w:i/>
          <w:iCs/>
          <w:color w:val="1F3864" w:themeColor="accent1" w:themeShade="80"/>
        </w:rPr>
        <w:t xml:space="preserve">Contaminants, opportunistic pathogens, and no </w:t>
      </w:r>
      <w:proofErr w:type="spellStart"/>
      <w:r w:rsidRPr="000F32B0">
        <w:rPr>
          <w:i/>
          <w:iCs/>
          <w:color w:val="1F3864" w:themeColor="accent1" w:themeShade="80"/>
        </w:rPr>
        <w:t>aetiology</w:t>
      </w:r>
      <w:proofErr w:type="spellEnd"/>
      <w:r w:rsidRPr="000F32B0">
        <w:rPr>
          <w:i/>
          <w:iCs/>
          <w:color w:val="1F3864" w:themeColor="accent1" w:themeShade="80"/>
        </w:rPr>
        <w:t xml:space="preserve"> detected</w:t>
      </w:r>
    </w:p>
    <w:p w14:paraId="623BBB07" w14:textId="77777777" w:rsidR="001F0FEC" w:rsidRPr="001F0FEC" w:rsidRDefault="001F0FEC" w:rsidP="001F0FEC">
      <w:r w:rsidRPr="001F0FEC">
        <w:t xml:space="preserve">Some pathogens, such as coagulase-negative </w:t>
      </w:r>
      <w:r w:rsidRPr="001F0FEC">
        <w:rPr>
          <w:i/>
          <w:iCs/>
        </w:rPr>
        <w:t>Staphylococci</w:t>
      </w:r>
      <w:r w:rsidRPr="001F0FEC">
        <w:t xml:space="preserve"> or miscellaneous gram-positive species in urinary tract infections, cause disease so rarely or are so commonly contaminants that we considered them to be contaminants, unlikely to be the true cause of disease. Other pathogens—such as </w:t>
      </w:r>
      <w:r w:rsidRPr="001F0FEC">
        <w:rPr>
          <w:i/>
          <w:iCs/>
        </w:rPr>
        <w:t>Cryptococcus</w:t>
      </w:r>
      <w:r w:rsidRPr="001F0FEC">
        <w:t xml:space="preserve">, </w:t>
      </w:r>
      <w:r w:rsidRPr="001F0FEC">
        <w:rPr>
          <w:i/>
          <w:iCs/>
        </w:rPr>
        <w:t>Pneumocystis</w:t>
      </w:r>
      <w:r w:rsidRPr="001F0FEC">
        <w:t xml:space="preserve">, and </w:t>
      </w:r>
      <w:r w:rsidRPr="001F0FEC">
        <w:rPr>
          <w:i/>
          <w:iCs/>
        </w:rPr>
        <w:t>Toxoplasma</w:t>
      </w:r>
      <w:r w:rsidRPr="001F0FEC">
        <w:t>—are opportunistic and are commonly found in immunocompromised patients. In</w:t>
      </w:r>
      <w:r w:rsidRPr="001F0FEC" w:rsidDel="00B55628">
        <w:t xml:space="preserve"> </w:t>
      </w:r>
      <w:r w:rsidRPr="001F0FEC">
        <w:t>some of such cases, HIV is responsible for the underlying infection and should be the attributable pathogen. More broadly, opportunistic pathogens are prone to oversampling among young and middle-aged adults with immunocompromising conditions as these infections occur in a patient population that is typically more frequently monitored and integrated with local health care systems. Correspondingly, we dropped all contaminants and opportunistic pathogens as reported in table 6.2.5.1 from the analysis, as well as any record listed by treating clinicians in the data as a contaminant.</w:t>
      </w:r>
    </w:p>
    <w:p w14:paraId="2882DB01" w14:textId="77777777" w:rsidR="001F0FEC" w:rsidRPr="001F0FEC" w:rsidRDefault="001F0FEC" w:rsidP="001F0FEC">
      <w:r w:rsidRPr="001F0FEC">
        <w:t>Table 6.2.5.1: Contaminants and opportunistic pathogens not assessed in pathogen distribution models</w:t>
      </w:r>
    </w:p>
    <w:tbl>
      <w:tblPr>
        <w:tblStyle w:val="PlainTable1"/>
        <w:tblW w:w="0" w:type="auto"/>
        <w:tblLook w:val="04A0" w:firstRow="1" w:lastRow="0" w:firstColumn="1" w:lastColumn="0" w:noHBand="0" w:noVBand="1"/>
      </w:tblPr>
      <w:tblGrid>
        <w:gridCol w:w="3055"/>
        <w:gridCol w:w="6295"/>
      </w:tblGrid>
      <w:tr w:rsidR="001F0FEC" w:rsidRPr="001F0FEC" w14:paraId="469175B9" w14:textId="77777777" w:rsidTr="000F32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3F187893" w14:textId="77777777" w:rsidR="001F0FEC" w:rsidRPr="001F0FEC" w:rsidRDefault="001F0FEC" w:rsidP="001F0FEC">
            <w:pPr>
              <w:spacing w:after="160" w:line="259" w:lineRule="auto"/>
              <w:rPr>
                <w:b w:val="0"/>
              </w:rPr>
            </w:pPr>
            <w:r w:rsidRPr="001F0FEC">
              <w:t>Contaminant/opportunistic pathogen</w:t>
            </w:r>
          </w:p>
        </w:tc>
        <w:tc>
          <w:tcPr>
            <w:tcW w:w="6295" w:type="dxa"/>
          </w:tcPr>
          <w:p w14:paraId="28D6769F" w14:textId="77777777" w:rsidR="001F0FEC" w:rsidRPr="001F0FEC" w:rsidRDefault="001F0FEC" w:rsidP="001F0FEC">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1F0FEC">
              <w:t>Excluded syndromes</w:t>
            </w:r>
          </w:p>
        </w:tc>
      </w:tr>
      <w:tr w:rsidR="001F0FEC" w:rsidRPr="001F0FEC" w14:paraId="70F7CA66"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555E0A61" w14:textId="77777777" w:rsidR="001F0FEC" w:rsidRPr="001F0FEC" w:rsidRDefault="001F0FEC" w:rsidP="001F0FEC">
            <w:pPr>
              <w:spacing w:after="160" w:line="259" w:lineRule="auto"/>
            </w:pPr>
            <w:r w:rsidRPr="001F0FEC">
              <w:t>Adenovirus</w:t>
            </w:r>
          </w:p>
        </w:tc>
        <w:tc>
          <w:tcPr>
            <w:tcW w:w="6295" w:type="dxa"/>
          </w:tcPr>
          <w:p w14:paraId="13C112B8" w14:textId="77777777" w:rsidR="001F0FEC" w:rsidRPr="001F0FEC" w:rsidRDefault="001F0FEC" w:rsidP="001F0FEC">
            <w:pPr>
              <w:spacing w:after="160" w:line="259" w:lineRule="auto"/>
              <w:cnfStyle w:val="000000100000" w:firstRow="0" w:lastRow="0" w:firstColumn="0" w:lastColumn="0" w:oddVBand="0" w:evenVBand="0" w:oddHBand="1" w:evenHBand="0" w:firstRowFirstColumn="0" w:firstRowLastColumn="0" w:lastRowFirstColumn="0" w:lastRowLastColumn="0"/>
            </w:pPr>
            <w:r w:rsidRPr="001F0FEC">
              <w:t>Lower respiratory infections</w:t>
            </w:r>
          </w:p>
        </w:tc>
      </w:tr>
      <w:tr w:rsidR="001F0FEC" w:rsidRPr="001F0FEC" w14:paraId="2CD07D21"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6D1C95AD" w14:textId="77777777" w:rsidR="001F0FEC" w:rsidRPr="001F0FEC" w:rsidRDefault="001F0FEC" w:rsidP="001F0FEC">
            <w:pPr>
              <w:spacing w:after="160" w:line="259" w:lineRule="auto"/>
              <w:rPr>
                <w:iCs/>
              </w:rPr>
            </w:pPr>
            <w:r w:rsidRPr="001F0FEC">
              <w:rPr>
                <w:i/>
                <w:iCs/>
              </w:rPr>
              <w:t>Candida</w:t>
            </w:r>
            <w:r w:rsidRPr="001F0FEC">
              <w:rPr>
                <w:iCs/>
              </w:rPr>
              <w:t xml:space="preserve"> spp.</w:t>
            </w:r>
          </w:p>
        </w:tc>
        <w:tc>
          <w:tcPr>
            <w:tcW w:w="6295" w:type="dxa"/>
          </w:tcPr>
          <w:p w14:paraId="7CA6F9F7" w14:textId="77777777" w:rsidR="001F0FEC" w:rsidRPr="001F0FEC" w:rsidRDefault="001F0FEC" w:rsidP="001F0FEC">
            <w:pPr>
              <w:spacing w:after="160" w:line="259" w:lineRule="auto"/>
              <w:cnfStyle w:val="000000000000" w:firstRow="0" w:lastRow="0" w:firstColumn="0" w:lastColumn="0" w:oddVBand="0" w:evenVBand="0" w:oddHBand="0" w:evenHBand="0" w:firstRowFirstColumn="0" w:firstRowLastColumn="0" w:lastRowFirstColumn="0" w:lastRowLastColumn="0"/>
            </w:pPr>
            <w:r w:rsidRPr="001F0FEC">
              <w:t>Lower respiratory infections</w:t>
            </w:r>
          </w:p>
        </w:tc>
      </w:tr>
      <w:tr w:rsidR="001F0FEC" w:rsidRPr="001F0FEC" w14:paraId="1CAF4584"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555D3354" w14:textId="77777777" w:rsidR="001F0FEC" w:rsidRPr="001F0FEC" w:rsidRDefault="001F0FEC" w:rsidP="001F0FEC">
            <w:pPr>
              <w:spacing w:after="160" w:line="259" w:lineRule="auto"/>
              <w:rPr>
                <w:iCs/>
              </w:rPr>
            </w:pPr>
            <w:r w:rsidRPr="001F0FEC">
              <w:rPr>
                <w:i/>
                <w:iCs/>
              </w:rPr>
              <w:t>Cryptococcus</w:t>
            </w:r>
            <w:r w:rsidRPr="001F0FEC">
              <w:rPr>
                <w:iCs/>
              </w:rPr>
              <w:t xml:space="preserve"> spp.</w:t>
            </w:r>
          </w:p>
        </w:tc>
        <w:tc>
          <w:tcPr>
            <w:tcW w:w="6295" w:type="dxa"/>
          </w:tcPr>
          <w:p w14:paraId="7386FD45" w14:textId="77777777" w:rsidR="001F0FEC" w:rsidRPr="001F0FEC" w:rsidRDefault="001F0FEC" w:rsidP="001F0FEC">
            <w:pPr>
              <w:spacing w:after="160" w:line="259" w:lineRule="auto"/>
              <w:cnfStyle w:val="000000100000" w:firstRow="0" w:lastRow="0" w:firstColumn="0" w:lastColumn="0" w:oddVBand="0" w:evenVBand="0" w:oddHBand="1" w:evenHBand="0" w:firstRowFirstColumn="0" w:firstRowLastColumn="0" w:lastRowFirstColumn="0" w:lastRowLastColumn="0"/>
            </w:pPr>
            <w:r w:rsidRPr="001F0FEC">
              <w:t>Meningitis</w:t>
            </w:r>
          </w:p>
        </w:tc>
      </w:tr>
      <w:tr w:rsidR="001F0FEC" w:rsidRPr="001F0FEC" w14:paraId="59D2BD08"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0B0A9FC4" w14:textId="77777777" w:rsidR="001F0FEC" w:rsidRPr="001F0FEC" w:rsidRDefault="001F0FEC" w:rsidP="001F0FEC">
            <w:pPr>
              <w:spacing w:after="160" w:line="259" w:lineRule="auto"/>
            </w:pPr>
            <w:r w:rsidRPr="001F0FEC">
              <w:t>Gram-positive others</w:t>
            </w:r>
          </w:p>
        </w:tc>
        <w:tc>
          <w:tcPr>
            <w:tcW w:w="6295" w:type="dxa"/>
          </w:tcPr>
          <w:p w14:paraId="319FC845" w14:textId="77777777" w:rsidR="001F0FEC" w:rsidRPr="001F0FEC" w:rsidRDefault="001F0FEC" w:rsidP="001F0FEC">
            <w:pPr>
              <w:spacing w:after="160" w:line="259" w:lineRule="auto"/>
              <w:cnfStyle w:val="000000000000" w:firstRow="0" w:lastRow="0" w:firstColumn="0" w:lastColumn="0" w:oddVBand="0" w:evenVBand="0" w:oddHBand="0" w:evenHBand="0" w:firstRowFirstColumn="0" w:firstRowLastColumn="0" w:lastRowFirstColumn="0" w:lastRowLastColumn="0"/>
            </w:pPr>
            <w:r w:rsidRPr="001F0FEC">
              <w:t>Urinary tract infections and pyelonephritis</w:t>
            </w:r>
          </w:p>
        </w:tc>
      </w:tr>
      <w:tr w:rsidR="001F0FEC" w:rsidRPr="001F0FEC" w14:paraId="2D142CB4"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04AABE11" w14:textId="77777777" w:rsidR="001F0FEC" w:rsidRPr="001F0FEC" w:rsidRDefault="001F0FEC" w:rsidP="001F0FEC">
            <w:pPr>
              <w:spacing w:after="160" w:line="259" w:lineRule="auto"/>
            </w:pPr>
            <w:r w:rsidRPr="001F0FEC">
              <w:rPr>
                <w:i/>
                <w:iCs/>
              </w:rPr>
              <w:t>Pneumocystis</w:t>
            </w:r>
            <w:r w:rsidRPr="001F0FEC">
              <w:t xml:space="preserve"> spp.</w:t>
            </w:r>
          </w:p>
        </w:tc>
        <w:tc>
          <w:tcPr>
            <w:tcW w:w="6295" w:type="dxa"/>
          </w:tcPr>
          <w:p w14:paraId="254A43B5" w14:textId="77777777" w:rsidR="001F0FEC" w:rsidRPr="001F0FEC" w:rsidRDefault="001F0FEC" w:rsidP="001F0FEC">
            <w:pPr>
              <w:spacing w:after="160" w:line="259" w:lineRule="auto"/>
              <w:cnfStyle w:val="000000100000" w:firstRow="0" w:lastRow="0" w:firstColumn="0" w:lastColumn="0" w:oddVBand="0" w:evenVBand="0" w:oddHBand="1" w:evenHBand="0" w:firstRowFirstColumn="0" w:firstRowLastColumn="0" w:lastRowFirstColumn="0" w:lastRowLastColumn="0"/>
            </w:pPr>
            <w:r w:rsidRPr="001F0FEC">
              <w:t>Bloodstream infections, infections of bones, joints, and related organs</w:t>
            </w:r>
          </w:p>
        </w:tc>
      </w:tr>
      <w:tr w:rsidR="001F0FEC" w:rsidRPr="001F0FEC" w14:paraId="78077D97"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7A03C6D6" w14:textId="77777777" w:rsidR="001F0FEC" w:rsidRPr="001F0FEC" w:rsidRDefault="001F0FEC" w:rsidP="001F0FEC">
            <w:pPr>
              <w:spacing w:after="160" w:line="259" w:lineRule="auto"/>
            </w:pPr>
            <w:r w:rsidRPr="001F0FEC">
              <w:t>Staphylococcus saprophyticus</w:t>
            </w:r>
          </w:p>
        </w:tc>
        <w:tc>
          <w:tcPr>
            <w:tcW w:w="6295" w:type="dxa"/>
          </w:tcPr>
          <w:p w14:paraId="7DEFEA96" w14:textId="77777777" w:rsidR="001F0FEC" w:rsidRPr="001F0FEC" w:rsidRDefault="001F0FEC" w:rsidP="001F0FEC">
            <w:pPr>
              <w:spacing w:after="160" w:line="259" w:lineRule="auto"/>
              <w:cnfStyle w:val="000000000000" w:firstRow="0" w:lastRow="0" w:firstColumn="0" w:lastColumn="0" w:oddVBand="0" w:evenVBand="0" w:oddHBand="0" w:evenHBand="0" w:firstRowFirstColumn="0" w:firstRowLastColumn="0" w:lastRowFirstColumn="0" w:lastRowLastColumn="0"/>
            </w:pPr>
            <w:r w:rsidRPr="001F0FEC">
              <w:t>All syndromes except for meningitis, urinary tract infections and pyelonephritis</w:t>
            </w:r>
          </w:p>
        </w:tc>
      </w:tr>
      <w:tr w:rsidR="001F0FEC" w:rsidRPr="001F0FEC" w14:paraId="3C50C746"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526A08DC" w14:textId="77777777" w:rsidR="001F0FEC" w:rsidRPr="001F0FEC" w:rsidRDefault="001F0FEC" w:rsidP="001F0FEC">
            <w:pPr>
              <w:spacing w:after="160" w:line="259" w:lineRule="auto"/>
            </w:pPr>
            <w:r w:rsidRPr="001F0FEC">
              <w:t xml:space="preserve">All other coagulase-negative </w:t>
            </w:r>
            <w:r w:rsidRPr="001F0FEC">
              <w:rPr>
                <w:i/>
                <w:iCs/>
              </w:rPr>
              <w:t>Staphylococci</w:t>
            </w:r>
          </w:p>
        </w:tc>
        <w:tc>
          <w:tcPr>
            <w:tcW w:w="6295" w:type="dxa"/>
          </w:tcPr>
          <w:p w14:paraId="48E2B544" w14:textId="77777777" w:rsidR="001F0FEC" w:rsidRPr="001F0FEC" w:rsidRDefault="001F0FEC" w:rsidP="001F0FEC">
            <w:pPr>
              <w:spacing w:after="160" w:line="259" w:lineRule="auto"/>
              <w:cnfStyle w:val="000000100000" w:firstRow="0" w:lastRow="0" w:firstColumn="0" w:lastColumn="0" w:oddVBand="0" w:evenVBand="0" w:oddHBand="1" w:evenHBand="0" w:firstRowFirstColumn="0" w:firstRowLastColumn="0" w:lastRowFirstColumn="0" w:lastRowLastColumn="0"/>
            </w:pPr>
            <w:r w:rsidRPr="001F0FEC">
              <w:t>All syndromes except for meningitis</w:t>
            </w:r>
          </w:p>
        </w:tc>
      </w:tr>
      <w:tr w:rsidR="001F0FEC" w:rsidRPr="001F0FEC" w14:paraId="2E58F1C3" w14:textId="77777777" w:rsidTr="000F32B0">
        <w:tc>
          <w:tcPr>
            <w:cnfStyle w:val="001000000000" w:firstRow="0" w:lastRow="0" w:firstColumn="1" w:lastColumn="0" w:oddVBand="0" w:evenVBand="0" w:oddHBand="0" w:evenHBand="0" w:firstRowFirstColumn="0" w:firstRowLastColumn="0" w:lastRowFirstColumn="0" w:lastRowLastColumn="0"/>
            <w:tcW w:w="3055" w:type="dxa"/>
          </w:tcPr>
          <w:p w14:paraId="01F98C8B" w14:textId="77777777" w:rsidR="001F0FEC" w:rsidRPr="001F0FEC" w:rsidRDefault="001F0FEC" w:rsidP="001F0FEC">
            <w:pPr>
              <w:spacing w:after="160" w:line="259" w:lineRule="auto"/>
              <w:rPr>
                <w:iCs/>
              </w:rPr>
            </w:pPr>
            <w:r w:rsidRPr="001F0FEC">
              <w:rPr>
                <w:i/>
                <w:iCs/>
              </w:rPr>
              <w:t>Toxoplasma</w:t>
            </w:r>
            <w:r w:rsidRPr="001F0FEC">
              <w:t xml:space="preserve"> </w:t>
            </w:r>
            <w:r w:rsidRPr="001F0FEC">
              <w:rPr>
                <w:iCs/>
              </w:rPr>
              <w:t>spp.</w:t>
            </w:r>
          </w:p>
        </w:tc>
        <w:tc>
          <w:tcPr>
            <w:tcW w:w="6295" w:type="dxa"/>
          </w:tcPr>
          <w:p w14:paraId="5D91683E" w14:textId="77777777" w:rsidR="001F0FEC" w:rsidRPr="001F0FEC" w:rsidRDefault="001F0FEC" w:rsidP="001F0FEC">
            <w:pPr>
              <w:spacing w:after="160" w:line="259" w:lineRule="auto"/>
              <w:cnfStyle w:val="000000000000" w:firstRow="0" w:lastRow="0" w:firstColumn="0" w:lastColumn="0" w:oddVBand="0" w:evenVBand="0" w:oddHBand="0" w:evenHBand="0" w:firstRowFirstColumn="0" w:firstRowLastColumn="0" w:lastRowFirstColumn="0" w:lastRowLastColumn="0"/>
            </w:pPr>
            <w:r w:rsidRPr="001F0FEC">
              <w:t>Meningitis</w:t>
            </w:r>
          </w:p>
        </w:tc>
      </w:tr>
    </w:tbl>
    <w:p w14:paraId="253F8B27" w14:textId="77777777" w:rsidR="001F0FEC" w:rsidRPr="001F0FEC" w:rsidRDefault="001F0FEC" w:rsidP="001F0FEC">
      <w:r w:rsidRPr="001F0FEC">
        <w:t xml:space="preserve">We also dropped from the analysis all records where no pathogen was detected, or the patient diagnosis indicated an unspecified bacterium, virus, fungus, or parasite. This assumes that the distribution of pathogens among cases with known </w:t>
      </w:r>
      <w:proofErr w:type="spellStart"/>
      <w:r w:rsidRPr="001F0FEC">
        <w:t>aetiology</w:t>
      </w:r>
      <w:proofErr w:type="spellEnd"/>
      <w:r w:rsidRPr="001F0FEC">
        <w:t xml:space="preserve"> are the same as those with unknown </w:t>
      </w:r>
      <w:proofErr w:type="spellStart"/>
      <w:r w:rsidRPr="001F0FEC">
        <w:t>aetiology</w:t>
      </w:r>
      <w:proofErr w:type="spellEnd"/>
      <w:r w:rsidRPr="001F0FEC">
        <w:t>; in other words, that the probability of detection is the same for every pathogen. This assumption may break down if certain pathogens are more difficult to detect than others, or in cases where a pathogen is irregularly tested for within a laboratory.</w:t>
      </w:r>
    </w:p>
    <w:p w14:paraId="7CC0EBE2" w14:textId="43973B67" w:rsidR="001E7F0C" w:rsidRPr="000F32B0" w:rsidRDefault="001F0FEC" w:rsidP="008B28B3">
      <w:pPr>
        <w:rPr>
          <w:color w:val="1F3864" w:themeColor="accent1" w:themeShade="80"/>
        </w:rPr>
      </w:pPr>
      <w:r w:rsidRPr="000F32B0">
        <w:rPr>
          <w:i/>
          <w:iCs/>
          <w:color w:val="1F3864" w:themeColor="accent1" w:themeShade="80"/>
        </w:rPr>
        <w:t>Polymicrobial infections</w:t>
      </w:r>
    </w:p>
    <w:p w14:paraId="13956F58" w14:textId="77777777" w:rsidR="009C3FD0" w:rsidRPr="009C3FD0" w:rsidRDefault="009C3FD0" w:rsidP="009C3FD0">
      <w:r w:rsidRPr="009C3FD0">
        <w:t xml:space="preserve">In our previous analysis for 2019, we attributed more than 5% of the sepsis deaths to “polymicrobial infections,” which were generally defined as infections involving two or more bacteria, two or more viruses, or two or more fungi. Classifying polymicrobial infections as such was useful for two main reasons: 1) it allowed us to apply case fatality ratios more accurately for these infections, which were typically more severe, and 2) it provided a sense of how prevalent these infections were for a given infectious syndrome. Due to the aggregated nature of this polymicrobial category, however, we were unable to assess the extent to which AMR might have been involved in these infections, leaving </w:t>
      </w:r>
      <w:proofErr w:type="spellStart"/>
      <w:r w:rsidRPr="009C3FD0">
        <w:t>polybacterial</w:t>
      </w:r>
      <w:proofErr w:type="spellEnd"/>
      <w:r w:rsidRPr="009C3FD0">
        <w:t xml:space="preserve"> disease involving important AMR species (</w:t>
      </w:r>
      <w:proofErr w:type="spellStart"/>
      <w:r w:rsidRPr="009C3FD0">
        <w:t>eg</w:t>
      </w:r>
      <w:proofErr w:type="spellEnd"/>
      <w:r w:rsidRPr="009C3FD0">
        <w:t xml:space="preserve">, </w:t>
      </w:r>
      <w:r w:rsidRPr="009C3FD0">
        <w:rPr>
          <w:i/>
        </w:rPr>
        <w:t>K. pneumoniae</w:t>
      </w:r>
      <w:r w:rsidRPr="009C3FD0">
        <w:t xml:space="preserve"> and </w:t>
      </w:r>
      <w:r w:rsidRPr="009C3FD0">
        <w:rPr>
          <w:i/>
        </w:rPr>
        <w:t>E. coli</w:t>
      </w:r>
      <w:r w:rsidRPr="009C3FD0">
        <w:t xml:space="preserve"> co-infection) unaccounted for.</w:t>
      </w:r>
    </w:p>
    <w:p w14:paraId="66DD47D4" w14:textId="77777777" w:rsidR="009C3FD0" w:rsidRPr="009C3FD0" w:rsidRDefault="009C3FD0" w:rsidP="009C3FD0">
      <w:r w:rsidRPr="009C3FD0">
        <w:t xml:space="preserve">To better represent the burden of AMR in this analysis, we retained all pathogens associated with polymicrobial infections in our input data pipeline as discrete entities. Death and case counts related to polymicrobial infections are now evenly allocated to all constituent pathogens involved in that polymicrobial record. For example, if we had hospital data indicating one person died of pneumonia stemming from an influenza and </w:t>
      </w:r>
      <w:r w:rsidRPr="009C3FD0">
        <w:rPr>
          <w:i/>
        </w:rPr>
        <w:t>S. pneumoniae</w:t>
      </w:r>
      <w:r w:rsidRPr="009C3FD0">
        <w:t xml:space="preserve"> co-infection, this record would be expressed as two rows with half a death each, one in which the pathogen was influenza, and the other in which the pathogen was </w:t>
      </w:r>
      <w:r w:rsidRPr="009C3FD0">
        <w:rPr>
          <w:i/>
        </w:rPr>
        <w:t>S. pneumoniae</w:t>
      </w:r>
      <w:r w:rsidRPr="009C3FD0">
        <w:t xml:space="preserve">. As such, the </w:t>
      </w:r>
      <w:r w:rsidRPr="009C3FD0">
        <w:rPr>
          <w:i/>
        </w:rPr>
        <w:t>S. pneumoniae</w:t>
      </w:r>
      <w:r w:rsidRPr="009C3FD0">
        <w:t xml:space="preserve"> burden related to this infection is passed down to subsequent models where the involvement of AMR can be determined.</w:t>
      </w:r>
    </w:p>
    <w:p w14:paraId="52197573" w14:textId="77777777" w:rsidR="009C3FD0" w:rsidRPr="009C3FD0" w:rsidRDefault="009C3FD0" w:rsidP="009C3FD0">
      <w:r w:rsidRPr="009C3FD0">
        <w:t xml:space="preserve">Our new approach has a key limitation. After splitting these infections into their constituent pathogens, they are then pooled with mono-pathogen data from the same demographic strata, and we lose information about which of our records were initially polymicrobial. For sources that provide information on deaths, pooled data including these fractional splits will then be scaled using the mono-pathogen specific case fatality ratio (we exclude all polymicrobial infection records from our case fatality estimation). As polymicrobial infections often represent more severe disease in compromised hosts, the use of the mono-pathogen case fatality is almost certainly an underestimate, and an underestimate of CFR will in turn yield an overestimate of implied incidence. However, because the proportion of data that originated as a polymicrobial record is low for any given pathogen, we anticipate the effect of this overestimation is small. Moreover, our decision to attribute a fractional split rather than the entirety of polymicrobial disease to each underlying pathogen further </w:t>
      </w:r>
      <w:proofErr w:type="spellStart"/>
      <w:r w:rsidRPr="009C3FD0">
        <w:t>minimises</w:t>
      </w:r>
      <w:proofErr w:type="spellEnd"/>
      <w:r w:rsidRPr="009C3FD0">
        <w:t xml:space="preserve"> the contribution of polymicrobial records to our input data for specific pathogens.</w:t>
      </w:r>
    </w:p>
    <w:p w14:paraId="35BB9C3D" w14:textId="77777777" w:rsidR="009C3FD0" w:rsidRPr="009C3FD0" w:rsidRDefault="009C3FD0" w:rsidP="009C3FD0">
      <w:r w:rsidRPr="009C3FD0">
        <w:t xml:space="preserve">As a consequence of this methodological change, we no longer estimate the proportion of infectious disease that is polymicrobial. However, the intended purpose of our work has been to quantify AMR burden, and our new method more effectively captures specific pathogens (be they resistant or not) from polymicrobial disease. Future work will attempt to more appropriately quantify the case fatality ratios of these infections to </w:t>
      </w:r>
      <w:proofErr w:type="spellStart"/>
      <w:r w:rsidRPr="009C3FD0">
        <w:t>minimise</w:t>
      </w:r>
      <w:proofErr w:type="spellEnd"/>
      <w:r w:rsidRPr="009C3FD0">
        <w:t xml:space="preserve"> the degree to which the incidence of their constituent pathogens is overestimated.  </w:t>
      </w:r>
    </w:p>
    <w:p w14:paraId="0FD70536" w14:textId="63068C6A" w:rsidR="001F0FEC" w:rsidRPr="000F32B0" w:rsidRDefault="009C3FD0" w:rsidP="008B28B3">
      <w:pPr>
        <w:rPr>
          <w:color w:val="1F3864" w:themeColor="accent1" w:themeShade="80"/>
        </w:rPr>
      </w:pPr>
      <w:r w:rsidRPr="000F32B0">
        <w:rPr>
          <w:i/>
          <w:iCs/>
          <w:color w:val="1F3864" w:themeColor="accent1" w:themeShade="80"/>
        </w:rPr>
        <w:t>Estimating unbiased other categories</w:t>
      </w:r>
    </w:p>
    <w:p w14:paraId="23E9CD3F" w14:textId="77777777" w:rsidR="002B4862" w:rsidRPr="002B4862" w:rsidRDefault="002B4862" w:rsidP="002B4862">
      <w:r w:rsidRPr="002B4862">
        <w:t xml:space="preserve">One of the central challenges of estimating pathogen distributions was that not every data source tested for or reported every possible </w:t>
      </w:r>
      <w:proofErr w:type="spellStart"/>
      <w:r w:rsidRPr="002B4862">
        <w:t>aetiology</w:t>
      </w:r>
      <w:proofErr w:type="spellEnd"/>
      <w:r w:rsidRPr="002B4862">
        <w:t xml:space="preserve"> of a given infectious syndrome. For example, many literature studies on the </w:t>
      </w:r>
      <w:proofErr w:type="spellStart"/>
      <w:r w:rsidRPr="002B4862">
        <w:t>aetiologies</w:t>
      </w:r>
      <w:proofErr w:type="spellEnd"/>
      <w:r w:rsidRPr="002B4862">
        <w:t xml:space="preserve"> of meningitis only report on bacterial </w:t>
      </w:r>
      <w:proofErr w:type="spellStart"/>
      <w:r w:rsidRPr="002B4862">
        <w:t>aetiologies</w:t>
      </w:r>
      <w:proofErr w:type="spellEnd"/>
      <w:r w:rsidRPr="002B4862">
        <w:t xml:space="preserve">. Some surveillance systems, like the US Centers for Disease Control and Prevention (CDC) Active Bacterial Core surveillance (ABCs), only collect data on certain pathogens of interest. Only certain pathogens are referenced explicitly in the International Classification of Diseases (ICD), limiting which pathogens can be identified from ICD-based data types like </w:t>
      </w:r>
      <w:proofErr w:type="spellStart"/>
      <w:r w:rsidRPr="002B4862">
        <w:t>MCoD</w:t>
      </w:r>
      <w:proofErr w:type="spellEnd"/>
      <w:r w:rsidRPr="002B4862">
        <w:t xml:space="preserve"> and hospital discharge. Finally, some datasets reported only a subset of the pathogens that we are interested in for a given infectious syndrome, reporting the remaining </w:t>
      </w:r>
      <w:proofErr w:type="spellStart"/>
      <w:r w:rsidRPr="002B4862">
        <w:t>aetiologies</w:t>
      </w:r>
      <w:proofErr w:type="spellEnd"/>
      <w:r w:rsidRPr="002B4862">
        <w:t xml:space="preserve"> in an aggregate “other” category. These practices have led to inconsistencies in the “other</w:t>
      </w:r>
      <w:r w:rsidRPr="002B4862" w:rsidDel="00904E62">
        <w:t xml:space="preserve">” </w:t>
      </w:r>
      <w:r w:rsidRPr="002B4862">
        <w:t>categories across data sources leading to datasets either over or under-reporting “other.”</w:t>
      </w:r>
    </w:p>
    <w:p w14:paraId="5B73A65B" w14:textId="77777777" w:rsidR="002B4862" w:rsidRPr="002B4862" w:rsidRDefault="002B4862" w:rsidP="002B4862">
      <w:r w:rsidRPr="002B4862">
        <w:t>To address this problem, we maintained a list of data sources that we believe have sufficient testing and reporting to give unbiased estimates of “other” for all syndromes. We dropped any data on “other” that did not come from these data sources. These data sources all had a complete sampling framework (</w:t>
      </w:r>
      <w:proofErr w:type="spellStart"/>
      <w:r w:rsidRPr="002B4862">
        <w:t>eg</w:t>
      </w:r>
      <w:proofErr w:type="spellEnd"/>
      <w:r w:rsidRPr="002B4862">
        <w:t xml:space="preserve">, they do not limit the scope of </w:t>
      </w:r>
      <w:proofErr w:type="spellStart"/>
      <w:r w:rsidRPr="002B4862">
        <w:t>aetologies</w:t>
      </w:r>
      <w:proofErr w:type="spellEnd"/>
      <w:r w:rsidRPr="002B4862">
        <w:t xml:space="preserve"> that they test for) and reported their results without any deliberate aggregation. While we believe this list provided an accurate starting place for the estimation of “other”, future work to improve this method would involve a more detailed analysis of sampling framework and reporting categories in each dataset, specific to each infectious syndrome.</w:t>
      </w:r>
    </w:p>
    <w:p w14:paraId="7EC1C670" w14:textId="21D44481" w:rsidR="002B4862" w:rsidRPr="002B4862" w:rsidRDefault="002B4862" w:rsidP="002B4862">
      <w:r w:rsidRPr="002B4862">
        <w:t>There were</w:t>
      </w:r>
      <w:r w:rsidRPr="002B4862" w:rsidDel="00432647">
        <w:t xml:space="preserve"> </w:t>
      </w:r>
      <w:r w:rsidRPr="002B4862">
        <w:t>three major exceptions to this method for handling “other specified pathogens.” First, determining the pathogenic aetiology of LRI with microbiology represents challenges that have been well described previously.</w:t>
      </w:r>
      <w:r w:rsidRPr="002B4862">
        <w:fldChar w:fldCharType="begin"/>
      </w:r>
      <w:r w:rsidR="00777247">
        <w:instrText xml:space="preserve"> ADDIN ZOTERO_ITEM CSL_CITATION {"citationID":"Q2XNCvOD","properties":{"formattedCitation":"\\super 6,7\\nosupersub{}","plainCitation":"6,7","noteIndex":0},"citationItems":[{"id":"2r5qN3V4/Oa0ycGWK","uris":["http://zotero.org/groups/2154524/items/76YTEQSK"],"itemData":{"id":20350,"type":"article-journal","abstract":"STUDY OBJECTIVES: We evaluated the role of sputum examination in the management of patients with community-acquired pneumonia (CAP) in a primary-care hospital without microbiologic laboratory facilities.\nDESIGN AND INTERVENTIONS: A diagnostic strategy using regular collection of sputum samples, Gram staining in a local laboratory, and mailing of samples to a commercial laboratory for culture analysis.\nSETTING: A 200-bed primary-care hospital without subspeciality physicians.\nPATIENTS: One hundred sixteen consecutive patients with a diagnosis of CAP were prospectively evaluated during a 12-month period.\nRESULTS: Of 116 patients, 42 patients (36%) were capable of producing a sputum sample. Age &gt; or = 75 years (odds ratio [OR], 0.4; 95% confidence interval [CI], 0.18 to 0.93) and prior ambulatory antimicrobial treatment (OR, 3.2; 95% CI, 1.2 to 8.4) were independent predictors of sputum production. A delay in collection and processing of sputum samples of &gt; 24 h was present in 31% and 39%, respectively. A delay in collection yielded an increased number of Gram-negative enteric bacilli and nonfermenters (44% vs. 7%, p = 0.056). A delay in processing was associated with an increased number of Candida spp isolates (33% vs. 9%, p = 0.16). The overall diagnostic yield was low (10 of 116 patients, 9%) due to a limited number of valid samples (n = 23 of 42 patients, 55%) and a limited number of definitely or probably positive samples on Gram's stain and culture (n = 10 of 42 patients, 24%). Prior ambulatory antimicrobial treatment was associated with a reduction in diagnostic yield (14% vs. 56%, p = 0.09). The impact of diagnostic results on antimicrobial treatment decisions was minimal, with antimicrobial treatment directed to diagnostic results in only one patient.\nCONCLUSIONS: We conclude that in this setting representative of primary-care hospitals in Germany, sputum had a low diagnostic yield and did not contribute significantly to patient management.","container-title":"Chest","DOI":"10.1378/chest.121.5.1486","ISSN":"0012-3692","issue":"5","journalAbbreviation":"Chest","language":"eng","note":"PMID: 12006433","page":"1486-1492","source":"PubMed","title":"Applying sputum as a diagnostic tool in pneumonia: limited yield, minimal impact on treatment decisions","title-short":"Applying sputum as a diagnostic tool in pneumonia","volume":"121","author":[{"family":"Ewig","given":"Santiago"},{"family":"Schlochtermeier","given":"Matthias"},{"family":"Göke","given":"Norbert"},{"family":"Niederman","given":"Michael S."}],"issued":{"date-parts":[["2002",5]]}},"label":"page"},{"id":"2r5qN3V4/cC0rT5rk","uris":["http://zotero.org/groups/2154524/items/PRGCQ8RZ"],"itemData":{"id":20349,"type":"article-journal","abstract":"The clinical role of sputum Gram stain (SGS) in community-acquired pneumonia (CAP) diagnosis remains controversial. A 1996 meta-analysis of the diagnostic accuracy of SGS reported heterogeneous results. To update the available evidence, we performed a systematic review and a Bayesian standard and latent-class model meta-analysis.We searched Medline, Embase, and Cochrane Central by 23 August 2018 to identify studies reporting on the diagnostic accuracy, yield (percentage of patients with any pathogen[s] correctly identified by SGS), and clinical outcomes of SGS in adult patients with CAP. Two reviewers extracted the data. We quantitatively synthesized the diagnostic accuracy and yield, and descriptively analyzed other outcomes.Twenty-four studies with 4533 patients were included. The methodological and reporting quality of the included studies was limited. When good-quality sputum specimens were selected, SGS had a summary sensitivity of 0.69 (95% credible interval [CrI], .56–.80) and specificity of 0.91 (CrI, .83–.96) for detecting Streptococcus pneumoniae, and a sensitivity of 0.76 (CrI, .60–.87) and specificity of 0.97 (CrI, .91–.99) for Haemophilus influenzae. Adjusted analyses accounting for imperfect reference standards provided higher-specificity estimates than the unadjusted analyses. Bacterial pathogens were identified in 73% (CrI, 26%–96%) of good-quality specimens, and 36% (CrI, 22%–53%) of all specimens regardless of quality. Evidence on other bacteria was sparse.SGS was highly specific to diagnose S. pneumoniae and H. influenzae infections in patients with CAP. With good-quality specimens, SGS can provide clinically actionable information for pathogen-directed antibiotic therapies.","container-title":"Clinical Infectious Diseases","DOI":"10.1093/cid/ciz876","ISSN":"1058-4838","issue":"3","journalAbbreviation":"Clinical Infectious Diseases","page":"499-513","source":"Silverchair","title":"Sputum gram stain for bacterial pathogen diagnosis in community-acquired pneumonia: a systematic review and Bayesian meta-analysis of diagnostic accuracy and yield","title-short":"Sputum Gram Stain for Bacterial Pathogen Diagnosis in Community-acquired Pneumonia","volume":"71","author":[{"family":"Ogawa","given":"Hiroaki"},{"family":"Kitsios","given":"Georgios D"},{"family":"Iwata","given":"Mitsunaga"},{"family":"Terasawa","given":"Teruhiko"}],"issued":{"date-parts":[["2020",7,27]]}},"label":"page"}],"schema":"https://github.com/citation-style-language/schema/raw/master/csl-citation.json"} </w:instrText>
      </w:r>
      <w:r w:rsidRPr="002B4862">
        <w:fldChar w:fldCharType="separate"/>
      </w:r>
      <w:r w:rsidR="00777247" w:rsidRPr="00777247">
        <w:rPr>
          <w:rFonts w:ascii="Calibri" w:hAnsi="Calibri" w:cs="Calibri"/>
          <w:vertAlign w:val="superscript"/>
        </w:rPr>
        <w:t>6,7</w:t>
      </w:r>
      <w:r w:rsidRPr="002B4862">
        <w:fldChar w:fldCharType="end"/>
      </w:r>
      <w:r w:rsidRPr="002B4862">
        <w:t xml:space="preserve"> In order to account for this limitation, we utilised a vaccine probe design to inform the </w:t>
      </w:r>
      <w:r w:rsidRPr="4CD63928">
        <w:rPr>
          <w:i/>
          <w:iCs/>
        </w:rPr>
        <w:t>Streptococcus pneumoniae</w:t>
      </w:r>
      <w:r w:rsidRPr="002B4862">
        <w:t xml:space="preserve"> cause fraction of LRI, consistent with the approach used in the GBD aetiology estimation process.</w:t>
      </w:r>
      <w:r w:rsidRPr="002B4862">
        <w:fldChar w:fldCharType="begin"/>
      </w:r>
      <w:r w:rsidR="00777247">
        <w:instrText xml:space="preserve"> ADDIN ZOTERO_ITEM CSL_CITATION {"citationID":"HZTlG5Xq","properties":{"formattedCitation":"\\super 8,9\\nosupersub{}","plainCitation":"8,9","noteIndex":0},"citationItems":[{"id":"2r5qN3V4/RXQ8IlrU","uris":["http://zotero.org/groups/2154524/items/WT7ETTUN"],"itemData":{"id":20248,"type":"article-journal","abstract":"Vaccine probe studies have emerged in the past 15 years as a useful way to characterise disease. By contrast, traditional studies of vaccines focus on defining the vaccine effectiveness or efficacy. The underlying basis for the vaccine probe approach is that the difference in disease burden between vaccinated and unvaccinated individuals can be ascribed to the vaccine-specific pathogen. Vaccine probe studies can increase understanding of a vaccine's public health value. For instance, even when a vaccine has a seemingly low efficacy, a high baseline disease incidence can lead to a large vaccine-preventable disease burden and thus that population-based vaccine introduction would be justified. So far, vaccines have been used as probes to characterise disease syndromes caused by Haemophilus influenzae type b, pneumococcus, rotavirus, and early infant influenza. However, vaccine probe studies have enormous potential and could be used more widely in epidemiology, for example, to define the vaccine-preventable burden of malaria, typhoid, paediatric influenza, and dengue, and to identify causal interactions between different pathogens.","container-title":"Lancet","DOI":"10.1016/S0140-6736(13)61682-7","ISSN":"1474-547X","issue":"9930","journalAbbreviation":"Lancet","language":"eng","note":"PMID: 24553294\nPMCID: PMC4682543","page":"1762-1770","source":"PubMed","title":"Use of vaccines as probes to define disease burden","volume":"383","author":[{"family":"Feikin","given":"Daniel R."},{"family":"Scott","given":"J. Anthony G."},{"family":"Gessner","given":"Bradford D."}],"issued":{"date-parts":[["2014",5,17]]}},"label":"page"},{"id":"2r5qN3V4/WYc2rkAn","uris":["http://zotero.org/groups/2154524/items/6KSUSXYK"],"itemData":{"id":20247,"type":"article-journal","abstract":"&lt;h2&gt;Summary&lt;/h2&gt;&lt;h3&gt;Background&lt;/h3&gt;&lt;p&gt;Lower respiratory infections are a leading cause of morbidity and mortality around the world. The Global Burden of Diseases, Injuries, and Risk Factors (GBD) Study 2016, provides an up-to-date analysis of the burden of lower respiratory infections in 195 countries. This study assesses cases, deaths, and aetiologies spanning the past 26 years and shows how the burden of lower respiratory infection has changed in people of all ages.&lt;/p&gt;&lt;h3&gt;Methods&lt;/h3&gt;&lt;p&gt;We used three separate modelling strategies for lower respiratory infections in GBD 2016: a Bayesian hierarchical ensemble modelling platform (Cause of Death Ensemble model), which uses vital registration, verbal autopsy data, and surveillance system data to predict mortality due to lower respiratory infections; a compartmental meta-regression tool (DisMod-MR), which uses scientific literature, population representative surveys, and health-care data to predict incidence, prevalence, and mortality; and modelling of counterfactual estimates of the population attributable fraction of lower respiratory infection episodes due to &lt;i&gt;Streptococcus pneumoniae, Haemophilus influenzae&lt;/i&gt; type b, influenza, and respiratory syncytial virus. We calculated each modelled estimate for each age, sex, year, and location. We modelled the exposure level in a population for a given risk factor using DisMod-MR and a spatio-temporal Gaussian process regression, and assessed the effectiveness of targeted interventions for each risk factor in children younger than 5 years. We also did a decomposition analysis of the change in LRI deaths from 2000–16 using the risk factors associated with LRI in GBD 2016.&lt;/p&gt;&lt;h3&gt;Findings&lt;/h3&gt;&lt;p&gt;In 2016, lower respiratory infections caused 652 572 deaths (95% uncertainty interval [UI] 586 475–720 612) in children younger than 5 years (under-5s), 1 080 958 deaths (943 749–1 170 638) in adults older than 70 years, and 2 377 697 deaths (2 145 584–2 512 809) in people of all ages, worldwide. &lt;i&gt;Streptococcus pneumoniae&lt;/i&gt; was the leading cause of lower respiratory infection morbidity and mortality globally, contributing to more deaths than all other aetiologies combined in 2016 (1 189 937 deaths, 95% UI 690 445–1 770 660). Childhood wasting remains the leading risk factor for lower respiratory infection mortality among children younger than 5 years, responsible for 61·4% of lower respiratory infection deaths in 2016 (95% UI 45·7–69·6). Interventions to improve wasting, household air pollution, ambient particulate matter pollution, and expanded antibiotic use could avert one under-5 death due to lower respiratory infection for every 4000 children treated in the countries with the highest lower respiratory infection burden.&lt;/p&gt;&lt;h3&gt;Interpretation&lt;/h3&gt;&lt;p&gt;Our findings show substantial progress in the reduction of lower respiratory infection burden, but this progress has not been equal across locations, has been driven by decreases in several primary risk factors, and might require more effort among elderly adults. By highlighting regions and populations with the highest burden, and the risk factors that could have the greatest effect, funders, policy makers, and programme implementers can more effectively reduce lower respiratory infections among the world's most susceptible populations.&lt;/p&gt;&lt;h3&gt;Funding&lt;/h3&gt;&lt;p&gt;Bill &amp; Melinda Gates Foundation.&lt;/p&gt;","container-title":"The Lancet Infectious Diseases","DOI":"10.1016/S1473-3099(18)30310-4","ISSN":"1473-3099, 1474-4457","issue":"11","journalAbbreviation":"The Lancet Infectious Diseases","language":"English","note":"publisher: Elsevier\nPMID: 30243584","page":"1191-1210","source":"www.thelancet.com","title":"Estimates of the global, regional, and national morbidity, mortality, and aetiologies of lower respiratory infections in 195 countries, 1990–2016: a systematic analysis for the Global Burden of Disease Study 2016","title-short":"Estimates of the global, regional, and national morbidity, mortality, and aetiologies of lower respiratory infections in 195 countries, 1990–2016","volume":"18","author":[{"family":"Troeger","given":"Christopher"},{"family":"Blacker","given":"Brigette"},{"family":"Khalil","given":"Ibrahim A."},{"family":"Rao","given":"Puja C."},{"family":"Cao","given":"Jackie"},{"family":"Zimsen","given":"Stephanie R. M."},{"family":"Albertson","given":"Samuel B."},{"family":"Deshpande","given":"Aniruddha"},{"family":"Farag","given":"Tamer"},{"family":"Abebe","given":"Zegeye"},{"family":"Adetifa","given":"Ifedayo Morayo O."},{"family":"Adhikari","given":"Tara Ballav"},{"family":"Akibu","given":"Mohammed"},{"family":"Lami","given":"Faris Hasan Al"},{"family":"Al-Eyadhy","given":"Ayman"},{"family":"Alvis-Guzman","given":"Nelson"},{"family":"Amare","given":"Azmeraw T."},{"family":"Amoako","given":"Yaw Ampem"},{"family":"Antonio","given":"Carl Abelardo T."},{"family":"Aremu","given":"Olatunde"},{"family":"Asfaw","given":"Ephrem Tsegay"},{"family":"Asgedom","given":"Solomon Weldegebreal"},{"family":"Atey","given":"Tesfay Mehari"},{"family":"Attia","given":"Engi Farouk"},{"family":"Avokpaho","given":"Euripide Frinel G. Arthur"},{"family":"Ayele","given":"Henok Tadesse"},{"family":"Ayuk","given":"Tambe Betrand"},{"family":"Balakrishnan","given":"Kalpana"},{"family":"Barac","given":"Aleksandra"},{"family":"Bassat","given":"Quique"},{"family":"Behzadifar","given":"Masoud"},{"family":"Behzadifar","given":"Meysam"},{"family":"Bhaumik","given":"Soumyadeep"},{"family":"Bhutta","given":"Zulfiqar A."},{"family":"Bijani","given":"Ali"},{"family":"Brauer","given":"Michael"},{"family":"Brown","given":"Alexandria"},{"family":"Camargos","given":"Paulo A. M."},{"family":"Castañeda-Orjuela","given":"Carlos A."},{"family":"Colombara","given":"Danny"},{"family":"Conti","given":"Sara"},{"family":"Dadi","given":"Abel Fekadu"},{"family":"Dandona","given":"Lalit"},{"family":"Dandona","given":"Rakhi"},{"family":"Do","given":"Huyen Phuc"},{"family":"Dubljanin","given":"Eleonora"},{"family":"Edessa","given":"Dumessa"},{"family":"Elkout","given":"Hajer"},{"family":"Endries","given":"Aman Yesuf"},{"family":"Fijabi","given":"Daniel Obadare"},{"family":"Foreman","given":"Kyle J."},{"family":"Forouzanfar","given":"Mohammad H."},{"family":"Fullman","given":"Nancy"},{"family":"Garcia-Basteiro","given":"Alberto L."},{"family":"Gessner","given":"Bradford D."},{"family":"Gething","given":"Peter W."},{"family":"Gupta","given":"Rahul"},{"family":"Gupta","given":"Tarun"},{"family":"Hailu","given":"Gessessew Bugssa"},{"family":"Hassen","given":"Hamid Yimam"},{"family":"Hedayati","given":"Mohammad T."},{"family":"Heidari","given":"Mohsen"},{"family":"Hibstu","given":"Desalegn Tsegaw"},{"family":"Horita","given":"Nobuyuki"},{"family":"Ilesanmi","given":"Olayinka S."},{"family":"Jakovljevic","given":"Mihajlo B."},{"family":"Jamal","given":"Amr A."},{"family":"Kahsay","given":"Amaha"},{"family":"Kasaeian","given":"Amir"},{"family":"Kassa","given":"Dessalegn Haile"},{"family":"Khader","given":"Yousef Saleh"},{"family":"Khan","given":"Ejaz Ahmad"},{"family":"Khan","given":"Md Nuruzzaman"},{"family":"Khang","given":"Young-Ho"},{"family":"Kim","given":"Yun Jin"},{"family":"Kissoon","given":"Niranjan"},{"family":"Knibbs","given":"Luke D."},{"family":"Kochhar","given":"Sonali"},{"family":"Koul","given":"Parvaiz A."},{"family":"Kumar","given":"G. Anil"},{"family":"Lodha","given":"Rakesh"},{"family":"Razek","given":"Hassan Magdy Abd El"},{"family":"Malta","given":"Deborah Carvalho"},{"family":"Mathew","given":"Joseph L."},{"family":"Mengistu","given":"Desalegn Tadese"},{"family":"Mezgebe","given":"Haftay Berhane"},{"family":"Mohammad","given":"Karzan Abdulmuhsin"},{"family":"Mohammed","given":"Mohammed A."},{"family":"Momeniha","given":"Fatemeh"},{"family":"Murthy","given":"Srinivas"},{"family":"Nguyen","given":"Cuong Tat"},{"family":"Nielsen","given":"Katie R."},{"family":"Ningrum","given":"Dina Nur Anggraini"},{"family":"Nirayo","given":"Yirga Legesse"},{"family":"Oren","given":"Eyal"},{"family":"Ortiz","given":"Justin R."},{"family":"Pa","given":"Mahesh"},{"family":"Postma","given":"Maarten J."},{"family":"Qorbani","given":"Mostafa"},{"family":"Quansah","given":"Reginald"},{"family":"Rai","given":"Rajesh Kumar"},{"family":"Rana","given":"Saleem M."},{"family":"Ranabhat","given":"Chhabi Lal"},{"family":"Ray","given":"Sarah E."},{"family":"Rezai","given":"Mohammad Sadegh"},{"family":"Ruhago","given":"George Mugambage"},{"family":"Safiri","given":"Saeid"},{"family":"Salomon","given":"Joshua A."},{"family":"Sartorius","given":"Benn"},{"family":"Savic","given":"Miloje"},{"family":"Sawhney","given":"Monika"},{"family":"She","given":"Jun"},{"family":"Sheikh","given":"Aziz"},{"family":"Shiferaw","given":"Mekonnen Sisay"},{"family":"Shigematsu","given":"Mika"},{"family":"Singh","given":"Jasvinder A."},{"family":"Somayaji","given":"Ranjani"},{"family":"Stanaway","given":"Jeffrey D."},{"family":"Sufiyan","given":"Muawiyyah Babale"},{"family":"Taffere","given":"Getachew Redae"},{"family":"Temsah","given":"Mohamad-Hani"},{"family":"Thompson","given":"Matthew J."},{"family":"Tobe-Gai","given":"Ruoyan"},{"family":"Topor-Madry","given":"Roman"},{"family":"Tran","given":"Bach Xuan"},{"family":"Tran","given":"Tung Thanh"},{"family":"Tuem","given":"Kald Beshir"},{"family":"Ukwaja","given":"Kingsley Nnanna"},{"family":"Vollset","given":"Stein Emil"},{"family":"Walson","given":"Judd L."},{"family":"Weldegebreal","given":"Fitsum"},{"family":"Werdecker","given":"Andrea"},{"family":"West","given":"T. Eoin"},{"family":"Yonemoto","given":"Naohiro"},{"family":"Zaki","given":"Maysaa El Sayed"},{"family":"Zhou","given":"Lei"},{"family":"Zodpey","given":"Sanjay"},{"family":"Vos","given":"Theo"},{"family":"Naghavi","given":"Mohsen"},{"family":"Lim","given":"Stephen S."},{"family":"Mokdad","given":"Ali H."},{"family":"Murray","given":"Christopher J. L."},{"family":"Hay","given":"Simon I."},{"family":"Reiner","given":"Robert C."}],"issued":{"date-parts":[["2018",11,1]]}},"label":"page"}],"schema":"https://github.com/citation-style-language/schema/raw/master/csl-citation.json"} </w:instrText>
      </w:r>
      <w:r w:rsidRPr="002B4862">
        <w:fldChar w:fldCharType="separate"/>
      </w:r>
      <w:r w:rsidR="00777247" w:rsidRPr="00777247">
        <w:rPr>
          <w:rFonts w:ascii="Calibri" w:hAnsi="Calibri" w:cs="Calibri"/>
          <w:vertAlign w:val="superscript"/>
        </w:rPr>
        <w:t>8,9</w:t>
      </w:r>
      <w:r w:rsidRPr="002B4862">
        <w:fldChar w:fldCharType="end"/>
      </w:r>
      <w:r w:rsidRPr="002B4862">
        <w:t xml:space="preserve"> In brief, we extracted the vaccine efficacy of the pneumococcal vaccine against all pneumonia from 18 vaccine probe studies with randomised-control trial, before-after, and cohort designs among children and adults. We then calculated the PAF of pneumonia due to </w:t>
      </w:r>
      <w:r w:rsidRPr="4CD63928">
        <w:rPr>
          <w:i/>
          <w:iCs/>
        </w:rPr>
        <w:t>S. pneumoniae</w:t>
      </w:r>
      <w:r w:rsidRPr="002B4862">
        <w:t xml:space="preserve"> in each study (</w:t>
      </w:r>
      <m:oMath>
        <m:r>
          <w:rPr>
            <w:rFonts w:ascii="Cambria Math" w:hAnsi="Cambria Math"/>
          </w:rPr>
          <m:t>Strep Base PAF</m:t>
        </m:r>
      </m:oMath>
      <w:r w:rsidRPr="002B4862">
        <w:t>) based on these vaccine efficacies (</w:t>
      </w:r>
      <m:oMath>
        <m:r>
          <w:rPr>
            <w:rFonts w:ascii="Cambria Math" w:hAnsi="Cambria Math"/>
          </w:rPr>
          <m:t>V</m:t>
        </m:r>
        <m:sSub>
          <m:sSubPr>
            <m:ctrlPr>
              <w:rPr>
                <w:rFonts w:ascii="Cambria Math" w:hAnsi="Cambria Math"/>
                <w:i/>
              </w:rPr>
            </m:ctrlPr>
          </m:sSubPr>
          <m:e>
            <m:r>
              <w:rPr>
                <w:rFonts w:ascii="Cambria Math" w:hAnsi="Cambria Math"/>
              </w:rPr>
              <m:t>E</m:t>
            </m:r>
          </m:e>
          <m:sub>
            <m:r>
              <w:rPr>
                <w:rFonts w:ascii="Cambria Math" w:hAnsi="Cambria Math"/>
              </w:rPr>
              <m:t>all pnuemonia</m:t>
            </m:r>
          </m:sub>
        </m:sSub>
      </m:oMath>
      <w:r w:rsidRPr="002B4862">
        <w:t>), the vaccine efficacy of pneumococcal vaccine against vaccine-type pneumococcal pneumonia as pooled from three studies (two in children and one in adults) (</w:t>
      </w:r>
      <m:oMath>
        <m:r>
          <w:rPr>
            <w:rFonts w:ascii="Cambria Math" w:hAnsi="Cambria Math"/>
          </w:rPr>
          <m:t>V</m:t>
        </m:r>
        <m:sSub>
          <m:sSubPr>
            <m:ctrlPr>
              <w:rPr>
                <w:rFonts w:ascii="Cambria Math" w:hAnsi="Cambria Math"/>
                <w:i/>
              </w:rPr>
            </m:ctrlPr>
          </m:sSubPr>
          <m:e>
            <m:r>
              <w:rPr>
                <w:rFonts w:ascii="Cambria Math" w:hAnsi="Cambria Math"/>
              </w:rPr>
              <m:t>E</m:t>
            </m:r>
          </m:e>
          <m:sub>
            <m:r>
              <w:rPr>
                <w:rFonts w:ascii="Cambria Math" w:hAnsi="Cambria Math"/>
              </w:rPr>
              <m:t>vtpp</m:t>
            </m:r>
          </m:sub>
        </m:sSub>
      </m:oMath>
      <w:r w:rsidRPr="002B4862">
        <w:t>), the percentage of the population covered by the pneumococcal vaccine as modelled in GBD (100% for RCTs) (</w:t>
      </w:r>
      <m:oMath>
        <m:r>
          <w:rPr>
            <w:rFonts w:ascii="Cambria Math" w:hAnsi="Cambria Math"/>
          </w:rPr>
          <m:t>Co</m:t>
        </m:r>
        <m:sSub>
          <m:sSubPr>
            <m:ctrlPr>
              <w:rPr>
                <w:rFonts w:ascii="Cambria Math" w:hAnsi="Cambria Math"/>
                <w:i/>
              </w:rPr>
            </m:ctrlPr>
          </m:sSubPr>
          <m:e>
            <m:r>
              <w:rPr>
                <w:rFonts w:ascii="Cambria Math" w:hAnsi="Cambria Math"/>
              </w:rPr>
              <m:t>v</m:t>
            </m:r>
          </m:e>
          <m:sub>
            <m:r>
              <w:rPr>
                <w:rFonts w:ascii="Cambria Math" w:hAnsi="Cambria Math"/>
              </w:rPr>
              <m:t>PCV3</m:t>
            </m:r>
          </m:sub>
        </m:sSub>
      </m:oMath>
      <w:r w:rsidRPr="002B4862">
        <w:t>),</w:t>
      </w:r>
      <w:r w:rsidRPr="002B4862">
        <w:fldChar w:fldCharType="begin"/>
      </w:r>
      <w:r w:rsidR="00777247">
        <w:instrText xml:space="preserve"> ADDIN ZOTERO_ITEM CSL_CITATION {"citationID":"i9nAZxNU","properties":{"formattedCitation":"\\super 9\\nosupersub{}","plainCitation":"9","noteIndex":0},"citationItems":[{"id":"2r5qN3V4/WYc2rkAn","uris":["http://zotero.org/groups/2154524/items/6KSUSXYK"],"itemData":{"id":20247,"type":"article-journal","abstract":"&lt;h2&gt;Summary&lt;/h2&gt;&lt;h3&gt;Background&lt;/h3&gt;&lt;p&gt;Lower respiratory infections are a leading cause of morbidity and mortality around the world. The Global Burden of Diseases, Injuries, and Risk Factors (GBD) Study 2016, provides an up-to-date analysis of the burden of lower respiratory infections in 195 countries. This study assesses cases, deaths, and aetiologies spanning the past 26 years and shows how the burden of lower respiratory infection has changed in people of all ages.&lt;/p&gt;&lt;h3&gt;Methods&lt;/h3&gt;&lt;p&gt;We used three separate modelling strategies for lower respiratory infections in GBD 2016: a Bayesian hierarchical ensemble modelling platform (Cause of Death Ensemble model), which uses vital registration, verbal autopsy data, and surveillance system data to predict mortality due to lower respiratory infections; a compartmental meta-regression tool (DisMod-MR), which uses scientific literature, population representative surveys, and health-care data to predict incidence, prevalence, and mortality; and modelling of counterfactual estimates of the population attributable fraction of lower respiratory infection episodes due to &lt;i&gt;Streptococcus pneumoniae, Haemophilus influenzae&lt;/i&gt; type b, influenza, and respiratory syncytial virus. We calculated each modelled estimate for each age, sex, year, and location. We modelled the exposure level in a population for a given risk factor using DisMod-MR and a spatio-temporal Gaussian process regression, and assessed the effectiveness of targeted interventions for each risk factor in children younger than 5 years. We also did a decomposition analysis of the change in LRI deaths from 2000–16 using the risk factors associated with LRI in GBD 2016.&lt;/p&gt;&lt;h3&gt;Findings&lt;/h3&gt;&lt;p&gt;In 2016, lower respiratory infections caused 652 572 deaths (95% uncertainty interval [UI] 586 475–720 612) in children younger than 5 years (under-5s), 1 080 958 deaths (943 749–1 170 638) in adults older than 70 years, and 2 377 697 deaths (2 145 584–2 512 809) in people of all ages, worldwide. &lt;i&gt;Streptococcus pneumoniae&lt;/i&gt; was the leading cause of lower respiratory infection morbidity and mortality globally, contributing to more deaths than all other aetiologies combined in 2016 (1 189 937 deaths, 95% UI 690 445–1 770 660). Childhood wasting remains the leading risk factor for lower respiratory infection mortality among children younger than 5 years, responsible for 61·4% of lower respiratory infection deaths in 2016 (95% UI 45·7–69·6). Interventions to improve wasting, household air pollution, ambient particulate matter pollution, and expanded antibiotic use could avert one under-5 death due to lower respiratory infection for every 4000 children treated in the countries with the highest lower respiratory infection burden.&lt;/p&gt;&lt;h3&gt;Interpretation&lt;/h3&gt;&lt;p&gt;Our findings show substantial progress in the reduction of lower respiratory infection burden, but this progress has not been equal across locations, has been driven by decreases in several primary risk factors, and might require more effort among elderly adults. By highlighting regions and populations with the highest burden, and the risk factors that could have the greatest effect, funders, policy makers, and programme implementers can more effectively reduce lower respiratory infections among the world's most susceptible populations.&lt;/p&gt;&lt;h3&gt;Funding&lt;/h3&gt;&lt;p&gt;Bill &amp; Melinda Gates Foundation.&lt;/p&gt;","container-title":"The Lancet Infectious Diseases","DOI":"10.1016/S1473-3099(18)30310-4","ISSN":"1473-3099, 1474-4457","issue":"11","journalAbbreviation":"The Lancet Infectious Diseases","language":"English","note":"publisher: Elsevier\nPMID: 30243584","page":"1191-1210","source":"www.thelancet.com","title":"Estimates of the global, regional, and national morbidity, mortality, and aetiologies of lower respiratory infections in 195 countries, 1990–2016: a systematic analysis for the Global Burden of Disease Study 2016","title-short":"Estimates of the global, regional, and national morbidity, mortality, and aetiologies of lower respiratory infections in 195 countries, 1990–2016","volume":"18","author":[{"family":"Troeger","given":"Christopher"},{"family":"Blacker","given":"Brigette"},{"family":"Khalil","given":"Ibrahim A."},{"family":"Rao","given":"Puja C."},{"family":"Cao","given":"Jackie"},{"family":"Zimsen","given":"Stephanie R. M."},{"family":"Albertson","given":"Samuel B."},{"family":"Deshpande","given":"Aniruddha"},{"family":"Farag","given":"Tamer"},{"family":"Abebe","given":"Zegeye"},{"family":"Adetifa","given":"Ifedayo Morayo O."},{"family":"Adhikari","given":"Tara Ballav"},{"family":"Akibu","given":"Mohammed"},{"family":"Lami","given":"Faris Hasan Al"},{"family":"Al-Eyadhy","given":"Ayman"},{"family":"Alvis-Guzman","given":"Nelson"},{"family":"Amare","given":"Azmeraw T."},{"family":"Amoako","given":"Yaw Ampem"},{"family":"Antonio","given":"Carl Abelardo T."},{"family":"Aremu","given":"Olatunde"},{"family":"Asfaw","given":"Ephrem Tsegay"},{"family":"Asgedom","given":"Solomon Weldegebreal"},{"family":"Atey","given":"Tesfay Mehari"},{"family":"Attia","given":"Engi Farouk"},{"family":"Avokpaho","given":"Euripide Frinel G. Arthur"},{"family":"Ayele","given":"Henok Tadesse"},{"family":"Ayuk","given":"Tambe Betrand"},{"family":"Balakrishnan","given":"Kalpana"},{"family":"Barac","given":"Aleksandra"},{"family":"Bassat","given":"Quique"},{"family":"Behzadifar","given":"Masoud"},{"family":"Behzadifar","given":"Meysam"},{"family":"Bhaumik","given":"Soumyadeep"},{"family":"Bhutta","given":"Zulfiqar A."},{"family":"Bijani","given":"Ali"},{"family":"Brauer","given":"Michael"},{"family":"Brown","given":"Alexandria"},{"family":"Camargos","given":"Paulo A. M."},{"family":"Castañeda-Orjuela","given":"Carlos A."},{"family":"Colombara","given":"Danny"},{"family":"Conti","given":"Sara"},{"family":"Dadi","given":"Abel Fekadu"},{"family":"Dandona","given":"Lalit"},{"family":"Dandona","given":"Rakhi"},{"family":"Do","given":"Huyen Phuc"},{"family":"Dubljanin","given":"Eleonora"},{"family":"Edessa","given":"Dumessa"},{"family":"Elkout","given":"Hajer"},{"family":"Endries","given":"Aman Yesuf"},{"family":"Fijabi","given":"Daniel Obadare"},{"family":"Foreman","given":"Kyle J."},{"family":"Forouzanfar","given":"Mohammad H."},{"family":"Fullman","given":"Nancy"},{"family":"Garcia-Basteiro","given":"Alberto L."},{"family":"Gessner","given":"Bradford D."},{"family":"Gething","given":"Peter W."},{"family":"Gupta","given":"Rahul"},{"family":"Gupta","given":"Tarun"},{"family":"Hailu","given":"Gessessew Bugssa"},{"family":"Hassen","given":"Hamid Yimam"},{"family":"Hedayati","given":"Mohammad T."},{"family":"Heidari","given":"Mohsen"},{"family":"Hibstu","given":"Desalegn Tsegaw"},{"family":"Horita","given":"Nobuyuki"},{"family":"Ilesanmi","given":"Olayinka S."},{"family":"Jakovljevic","given":"Mihajlo B."},{"family":"Jamal","given":"Amr A."},{"family":"Kahsay","given":"Amaha"},{"family":"Kasaeian","given":"Amir"},{"family":"Kassa","given":"Dessalegn Haile"},{"family":"Khader","given":"Yousef Saleh"},{"family":"Khan","given":"Ejaz Ahmad"},{"family":"Khan","given":"Md Nuruzzaman"},{"family":"Khang","given":"Young-Ho"},{"family":"Kim","given":"Yun Jin"},{"family":"Kissoon","given":"Niranjan"},{"family":"Knibbs","given":"Luke D."},{"family":"Kochhar","given":"Sonali"},{"family":"Koul","given":"Parvaiz A."},{"family":"Kumar","given":"G. Anil"},{"family":"Lodha","given":"Rakesh"},{"family":"Razek","given":"Hassan Magdy Abd El"},{"family":"Malta","given":"Deborah Carvalho"},{"family":"Mathew","given":"Joseph L."},{"family":"Mengistu","given":"Desalegn Tadese"},{"family":"Mezgebe","given":"Haftay Berhane"},{"family":"Mohammad","given":"Karzan Abdulmuhsin"},{"family":"Mohammed","given":"Mohammed A."},{"family":"Momeniha","given":"Fatemeh"},{"family":"Murthy","given":"Srinivas"},{"family":"Nguyen","given":"Cuong Tat"},{"family":"Nielsen","given":"Katie R."},{"family":"Ningrum","given":"Dina Nur Anggraini"},{"family":"Nirayo","given":"Yirga Legesse"},{"family":"Oren","given":"Eyal"},{"family":"Ortiz","given":"Justin R."},{"family":"Pa","given":"Mahesh"},{"family":"Postma","given":"Maarten J."},{"family":"Qorbani","given":"Mostafa"},{"family":"Quansah","given":"Reginald"},{"family":"Rai","given":"Rajesh Kumar"},{"family":"Rana","given":"Saleem M."},{"family":"Ranabhat","given":"Chhabi Lal"},{"family":"Ray","given":"Sarah E."},{"family":"Rezai","given":"Mohammad Sadegh"},{"family":"Ruhago","given":"George Mugambage"},{"family":"Safiri","given":"Saeid"},{"family":"Salomon","given":"Joshua A."},{"family":"Sartorius","given":"Benn"},{"family":"Savic","given":"Miloje"},{"family":"Sawhney","given":"Monika"},{"family":"She","given":"Jun"},{"family":"Sheikh","given":"Aziz"},{"family":"Shiferaw","given":"Mekonnen Sisay"},{"family":"Shigematsu","given":"Mika"},{"family":"Singh","given":"Jasvinder A."},{"family":"Somayaji","given":"Ranjani"},{"family":"Stanaway","given":"Jeffrey D."},{"family":"Sufiyan","given":"Muawiyyah Babale"},{"family":"Taffere","given":"Getachew Redae"},{"family":"Temsah","given":"Mohamad-Hani"},{"family":"Thompson","given":"Matthew J."},{"family":"Tobe-Gai","given":"Ruoyan"},{"family":"Topor-Madry","given":"Roman"},{"family":"Tran","given":"Bach Xuan"},{"family":"Tran","given":"Tung Thanh"},{"family":"Tuem","given":"Kald Beshir"},{"family":"Ukwaja","given":"Kingsley Nnanna"},{"family":"Vollset","given":"Stein Emil"},{"family":"Walson","given":"Judd L."},{"family":"Weldegebreal","given":"Fitsum"},{"family":"Werdecker","given":"Andrea"},{"family":"West","given":"T. Eoin"},{"family":"Yonemoto","given":"Naohiro"},{"family":"Zaki","given":"Maysaa El Sayed"},{"family":"Zhou","given":"Lei"},{"family":"Zodpey","given":"Sanjay"},{"family":"Vos","given":"Theo"},{"family":"Naghavi","given":"Mohsen"},{"family":"Lim","given":"Stephen S."},{"family":"Mokdad","given":"Ali H."},{"family":"Murray","given":"Christopher J. L."},{"family":"Hay","given":"Simon I."},{"family":"Reiner","given":"Robert C."}],"issued":{"date-parts":[["2018",11,1]]}}}],"schema":"https://github.com/citation-style-language/schema/raw/master/csl-citation.json"} </w:instrText>
      </w:r>
      <w:r w:rsidRPr="002B4862">
        <w:fldChar w:fldCharType="separate"/>
      </w:r>
      <w:r w:rsidR="00777247" w:rsidRPr="00777247">
        <w:rPr>
          <w:rFonts w:ascii="Calibri" w:hAnsi="Calibri" w:cs="Calibri"/>
          <w:vertAlign w:val="superscript"/>
        </w:rPr>
        <w:t>9</w:t>
      </w:r>
      <w:r w:rsidRPr="002B4862">
        <w:fldChar w:fldCharType="end"/>
      </w:r>
      <w:r w:rsidRPr="002B4862">
        <w:t xml:space="preserve"> and the percent of serotypes covered by the vaccine</w:t>
      </w:r>
      <w:r w:rsidRPr="002B4862">
        <w:fldChar w:fldCharType="begin"/>
      </w:r>
      <w:r w:rsidR="00777247">
        <w:instrText xml:space="preserve"> ADDIN ZOTERO_ITEM CSL_CITATION {"citationID":"niR6go2w","properties":{"formattedCitation":"\\super 10\\nosupersub{}","plainCitation":"10","noteIndex":0},"citationItems":[{"id":"2r5qN3V4/JoQFfdmN","uris":["http://zotero.org/groups/2154524/items/INYL44T4"],"itemData":{"id":20211,"type":"article-journal","abstract":"Hope Johnson and colleagues calculate the global and regional burden of serotype-specific pneumococcal disease in children under the age of five.","container-title":"PLOS Medicine","DOI":"10.1371/journal.pmed.1000348","ISSN":"1549-1676","issue":"10","journalAbbreviation":"PLOS Medicine","language":"en","note":"publisher: Public Library of Science","page":"e1000348","source":"PLoS Journals","title":"Systematic evaluation of serotypes causing invasive pneumococcal disease among children under five: The Pneumococcal Global Serotype Project","title-short":"Systematic Evaluation of Serotypes Causing Invasive Pneumococcal Disease among Children Under Five","volume":"7","author":[{"family":"Johnson","given":"Hope L."},{"family":"Deloria-Knoll","given":"Maria"},{"family":"Levine","given":"Orin S."},{"family":"Stoszek","given":"Sonia K."},{"family":"Hance","given":"Laura Freimanis"},{"family":"Reithinger","given":"Richard"},{"family":"Muenz","given":"Larry R."},{"family":"O'Brien","given":"Katherine L."}],"issued":{"date-parts":[["2010",10,5]]}}}],"schema":"https://github.com/citation-style-language/schema/raw/master/csl-citation.json"} </w:instrText>
      </w:r>
      <w:r w:rsidRPr="002B4862">
        <w:fldChar w:fldCharType="separate"/>
      </w:r>
      <w:r w:rsidR="00777247" w:rsidRPr="00777247">
        <w:rPr>
          <w:rFonts w:ascii="Calibri" w:hAnsi="Calibri" w:cs="Calibri"/>
          <w:vertAlign w:val="superscript"/>
        </w:rPr>
        <w:t>10</w:t>
      </w:r>
      <w:r w:rsidRPr="002B4862">
        <w:fldChar w:fldCharType="end"/>
      </w:r>
      <w:r w:rsidRPr="002B4862">
        <w:t xml:space="preserve"> </w:t>
      </w:r>
      <m:oMath>
        <m:r>
          <w:rPr>
            <w:rFonts w:ascii="Cambria Math" w:hAnsi="Cambria Math"/>
          </w:rPr>
          <m:t>(Co</m:t>
        </m:r>
        <m:sSub>
          <m:sSubPr>
            <m:ctrlPr>
              <w:rPr>
                <w:rFonts w:ascii="Cambria Math" w:hAnsi="Cambria Math"/>
                <w:i/>
              </w:rPr>
            </m:ctrlPr>
          </m:sSubPr>
          <m:e>
            <m:r>
              <w:rPr>
                <w:rFonts w:ascii="Cambria Math" w:hAnsi="Cambria Math"/>
              </w:rPr>
              <m:t>v</m:t>
            </m:r>
          </m:e>
          <m:sub>
            <m:r>
              <w:rPr>
                <w:rFonts w:ascii="Cambria Math" w:hAnsi="Cambria Math"/>
              </w:rPr>
              <m:t>serotype</m:t>
            </m:r>
          </m:sub>
        </m:sSub>
        <m:r>
          <w:rPr>
            <w:rFonts w:ascii="Cambria Math" w:hAnsi="Cambria Math"/>
          </w:rPr>
          <m:t>)</m:t>
        </m:r>
      </m:oMath>
      <w:r w:rsidRPr="002B4862">
        <w:t xml:space="preserve"> (equation 6.2.</w:t>
      </w:r>
      <w:r w:rsidR="002D01D2">
        <w:t>7</w:t>
      </w:r>
      <w:r w:rsidRPr="002B4862">
        <w:t xml:space="preserve">.1). We modelled a global age-specific PAF for </w:t>
      </w:r>
      <w:r w:rsidRPr="4CD63928">
        <w:rPr>
          <w:i/>
          <w:iCs/>
        </w:rPr>
        <w:t>S. pneumoniae</w:t>
      </w:r>
      <w:r w:rsidRPr="002B4862">
        <w:t xml:space="preserve"> based on these data in the MR-BRT environment and finally adjusted this PAF based on the vaccine coverage in children in every GBD location in 2019 and optimal vaccine efficacy in children (</w:t>
      </w:r>
      <m:oMath>
        <m:r>
          <w:rPr>
            <w:rFonts w:ascii="Cambria Math" w:hAnsi="Cambria Math"/>
          </w:rPr>
          <m:t>Strep Final PAF</m:t>
        </m:r>
      </m:oMath>
      <w:r w:rsidRPr="002B4862">
        <w:t>) (equation 6.2.7.2). In adults (age 5+), we assumed the effects of vaccination on adults would be primarily indirect from vaccination in children, and included an adjustment factor on the vaccine efficacy to account for this, derived from Grijalva et al.</w:t>
      </w:r>
      <w:r w:rsidRPr="002B4862">
        <w:fldChar w:fldCharType="begin"/>
      </w:r>
      <w:r w:rsidR="00777247">
        <w:instrText xml:space="preserve"> ADDIN ZOTERO_ITEM CSL_CITATION {"citationID":"edZIMIA5","properties":{"formattedCitation":"\\super 11\\nosupersub{}","plainCitation":"11","noteIndex":0},"citationItems":[{"id":"2r5qN3V4/vOgspBrD","uris":["http://zotero.org/groups/2154524/items/D52HYQ96"],"itemData":{"id":20210,"type":"article-journal","abstract":"Background\nRoutine infant immunisation with seven-valent pneumococcal conjugate vaccine (PCV7) began in the USA in 2000. Although invasive pneumococcal disease has declined substantially, the programme's effect on hospital admissions for pneumonia is unknown. We therefore assessed the effect of the programme on rates of all-cause and pneumococcal pneumonia admissions.\nMethods\nData from the Nationwide Inpatient Sample, the largest inpatient database available in the USA, were analysed with an interrupted time-series analysis that used pneumonia (all-cause and pneumococcal) admission rates as the main outcomes. Monthly admission rates estimated for years after the introduction of PCV7 vaccination (2001–2004) were compared with expected rates calculated from pre-PCV7 years (1997–1999). The year of vaccine introduction (2000) was excluded, and rates of admission for dehydration were assessed for comparison.\nFindings\nAt the end of 2004, all-cause pneumonia admission rates had declined by 39% (95% CI 22–52) for children younger than 2 years, who were the target population of the vaccination programme. This annual decline in all-cause pneumonia admissions of 506 (291–675) per 100 000 children younger than 2 years represented about 41 000 pneumonia admissions prevented in 2004. During the 8 study years, 10 659 (2%) children younger than 2 years admitted with pneumonia were coded as having pneumococcal disease; these rates declined by 65% (47–77). This decline represented about 17 fewer admissions per 100 000 children in 2004. Admission rates for dehydration for children younger than 2 years remained stable over the study period.\nInterpretation\nThe reduction in all-cause pneumonia admissions in children younger than 2 years provides an estimate of the proportion of childhood pneumonias attributable to Streptococcus pneumoniae in the USA that are vaccine preventable. Our results contribute to the growing body of evidence supporting the beneficial effects of the pneumococcal conjugate vaccines in children.","container-title":"Lancet","DOI":"10.1016/S0140-6736(07)60564-9","ISSN":"0140-6736","issue":"9568","journalAbbreviation":"The Lancet","language":"en","page":"1179-1186","source":"ScienceDirect","title":"Decline in pneumonia admissions after routine childhood immunisation with pneumococcal conjugate vaccine in the USA: a time-series analysis","title-short":"Decline in pneumonia admissions after routine childhood immunisation with pneumococcal conjugate vaccine in the USA","volume":"369","author":[{"family":"Grijalva","given":"Carlos G"},{"family":"Nuorti","given":"J Pekka"},{"family":"Arbogast","given":"Patrick G"},{"family":"Martin","given":"Stacey W"},{"family":"Edwards","given":"Kathryn M"},{"family":"Griffin","given":"Marie R"}],"issued":{"date-parts":[["2007",4,7]]}}}],"schema":"https://github.com/citation-style-language/schema/raw/master/csl-citation.json"} </w:instrText>
      </w:r>
      <w:r w:rsidRPr="002B4862">
        <w:fldChar w:fldCharType="separate"/>
      </w:r>
      <w:r w:rsidR="00777247" w:rsidRPr="00777247">
        <w:rPr>
          <w:rFonts w:ascii="Calibri" w:hAnsi="Calibri" w:cs="Calibri"/>
          <w:vertAlign w:val="superscript"/>
        </w:rPr>
        <w:t>11</w:t>
      </w:r>
      <w:r w:rsidRPr="002B4862">
        <w:fldChar w:fldCharType="end"/>
      </w:r>
      <w:r w:rsidRPr="002B4862">
        <w:t xml:space="preserve"> </w:t>
      </w:r>
    </w:p>
    <w:p w14:paraId="6AE6A2E2" w14:textId="58DACD02" w:rsidR="002B4862" w:rsidRPr="002B4862" w:rsidRDefault="005551EC" w:rsidP="002B4862">
      <m:oMathPara>
        <m:oMath>
          <m:eqArr>
            <m:eqArrPr>
              <m:maxDist m:val="1"/>
              <m:ctrlPr>
                <w:rPr>
                  <w:rFonts w:ascii="Cambria Math" w:hAnsi="Cambria Math"/>
                </w:rPr>
              </m:ctrlPr>
            </m:eqArrPr>
            <m:e>
              <m:r>
                <w:rPr>
                  <w:rFonts w:ascii="Cambria Math" w:hAnsi="Cambria Math"/>
                </w:rPr>
                <m:t>Strep Base PAF=</m:t>
              </m:r>
              <m:f>
                <m:fPr>
                  <m:ctrlPr>
                    <w:rPr>
                      <w:rFonts w:ascii="Cambria Math" w:hAnsi="Cambria Math"/>
                      <w:i/>
                      <w:iCs/>
                    </w:rPr>
                  </m:ctrlPr>
                </m:fPr>
                <m:num>
                  <m:r>
                    <w:rPr>
                      <w:rFonts w:ascii="Cambria Math" w:hAnsi="Cambria Math"/>
                    </w:rPr>
                    <m:t>V</m:t>
                  </m:r>
                  <m:sSub>
                    <m:sSubPr>
                      <m:ctrlPr>
                        <w:rPr>
                          <w:rFonts w:ascii="Cambria Math" w:hAnsi="Cambria Math"/>
                          <w:i/>
                          <w:iCs/>
                        </w:rPr>
                      </m:ctrlPr>
                    </m:sSubPr>
                    <m:e>
                      <m:r>
                        <w:rPr>
                          <w:rFonts w:ascii="Cambria Math" w:hAnsi="Cambria Math"/>
                        </w:rPr>
                        <m:t>E</m:t>
                      </m:r>
                    </m:e>
                    <m:sub>
                      <m:r>
                        <w:rPr>
                          <w:rFonts w:ascii="Cambria Math" w:hAnsi="Cambria Math"/>
                        </w:rPr>
                        <m:t>all pneumonia</m:t>
                      </m:r>
                    </m:sub>
                  </m:sSub>
                </m:num>
                <m:den>
                  <m:r>
                    <w:rPr>
                      <w:rFonts w:ascii="Cambria Math" w:hAnsi="Cambria Math"/>
                    </w:rPr>
                    <m:t>V</m:t>
                  </m:r>
                  <m:sSub>
                    <m:sSubPr>
                      <m:ctrlPr>
                        <w:rPr>
                          <w:rFonts w:ascii="Cambria Math" w:hAnsi="Cambria Math"/>
                          <w:i/>
                          <w:iCs/>
                        </w:rPr>
                      </m:ctrlPr>
                    </m:sSubPr>
                    <m:e>
                      <m:r>
                        <w:rPr>
                          <w:rFonts w:ascii="Cambria Math" w:hAnsi="Cambria Math"/>
                        </w:rPr>
                        <m:t>E</m:t>
                      </m:r>
                    </m:e>
                    <m:sub>
                      <m:r>
                        <w:rPr>
                          <w:rFonts w:ascii="Cambria Math" w:hAnsi="Cambria Math"/>
                        </w:rPr>
                        <m:t>vtpp</m:t>
                      </m:r>
                    </m:sub>
                  </m:sSub>
                  <m:r>
                    <w:rPr>
                      <w:rFonts w:ascii="Cambria Math" w:hAnsi="Cambria Math"/>
                    </w:rPr>
                    <m:t>Co</m:t>
                  </m:r>
                  <m:sSub>
                    <m:sSubPr>
                      <m:ctrlPr>
                        <w:rPr>
                          <w:rFonts w:ascii="Cambria Math" w:hAnsi="Cambria Math"/>
                          <w:i/>
                          <w:iCs/>
                        </w:rPr>
                      </m:ctrlPr>
                    </m:sSubPr>
                    <m:e>
                      <m:r>
                        <w:rPr>
                          <w:rFonts w:ascii="Cambria Math" w:hAnsi="Cambria Math"/>
                        </w:rPr>
                        <m:t>v</m:t>
                      </m:r>
                    </m:e>
                    <m:sub>
                      <m:r>
                        <w:rPr>
                          <w:rFonts w:ascii="Cambria Math" w:hAnsi="Cambria Math"/>
                        </w:rPr>
                        <m:t>PCV3</m:t>
                      </m:r>
                    </m:sub>
                  </m:sSub>
                  <m:r>
                    <w:rPr>
                      <w:rFonts w:ascii="Cambria Math" w:hAnsi="Cambria Math"/>
                    </w:rPr>
                    <m:t>Co</m:t>
                  </m:r>
                  <m:sSub>
                    <m:sSubPr>
                      <m:ctrlPr>
                        <w:rPr>
                          <w:rFonts w:ascii="Cambria Math" w:hAnsi="Cambria Math"/>
                          <w:i/>
                          <w:iCs/>
                        </w:rPr>
                      </m:ctrlPr>
                    </m:sSubPr>
                    <m:e>
                      <m:r>
                        <w:rPr>
                          <w:rFonts w:ascii="Cambria Math" w:hAnsi="Cambria Math"/>
                        </w:rPr>
                        <m:t>v</m:t>
                      </m:r>
                    </m:e>
                    <m:sub>
                      <m:r>
                        <w:rPr>
                          <w:rFonts w:ascii="Cambria Math" w:hAnsi="Cambria Math"/>
                        </w:rPr>
                        <m:t>serotype</m:t>
                      </m:r>
                    </m:sub>
                  </m:sSub>
                </m:den>
              </m:f>
              <m:r>
                <m:rPr>
                  <m:sty m:val="p"/>
                </m:rPr>
                <w:rPr>
                  <w:rFonts w:ascii="Cambria Math" w:hAnsi="Cambria Math"/>
                </w:rPr>
                <m:t>#(6.2.7.1)</m:t>
              </m:r>
            </m:e>
          </m:eqArr>
        </m:oMath>
      </m:oMathPara>
    </w:p>
    <w:p w14:paraId="2D039D08" w14:textId="6ACF6A0F" w:rsidR="002B4862" w:rsidRPr="002B4862" w:rsidRDefault="005551EC" w:rsidP="002B4862">
      <m:oMathPara>
        <m:oMath>
          <m:eqArr>
            <m:eqArrPr>
              <m:maxDist m:val="1"/>
              <m:ctrlPr>
                <w:rPr>
                  <w:rFonts w:ascii="Cambria Math" w:hAnsi="Cambria Math"/>
                </w:rPr>
              </m:ctrlPr>
            </m:eqArrPr>
            <m:e>
              <m:r>
                <w:rPr>
                  <w:rFonts w:ascii="Cambria Math" w:hAnsi="Cambria Math"/>
                </w:rPr>
                <m:t>Strep Final PAF=</m:t>
              </m:r>
              <m:f>
                <m:fPr>
                  <m:ctrlPr>
                    <w:rPr>
                      <w:rFonts w:ascii="Cambria Math" w:hAnsi="Cambria Math"/>
                      <w:i/>
                      <w:iCs/>
                    </w:rPr>
                  </m:ctrlPr>
                </m:fPr>
                <m:num>
                  <m:r>
                    <w:rPr>
                      <w:rFonts w:ascii="Cambria Math" w:hAnsi="Cambria Math"/>
                    </w:rPr>
                    <m:t>Strep Base PAF</m:t>
                  </m:r>
                  <m:d>
                    <m:dPr>
                      <m:ctrlPr>
                        <w:rPr>
                          <w:rFonts w:ascii="Cambria Math" w:hAnsi="Cambria Math"/>
                          <w:i/>
                          <w:iCs/>
                        </w:rPr>
                      </m:ctrlPr>
                    </m:dPr>
                    <m:e>
                      <m:r>
                        <w:rPr>
                          <w:rFonts w:ascii="Cambria Math" w:hAnsi="Cambria Math"/>
                        </w:rPr>
                        <m:t>1-Co</m:t>
                      </m:r>
                      <m:sSub>
                        <m:sSubPr>
                          <m:ctrlPr>
                            <w:rPr>
                              <w:rFonts w:ascii="Cambria Math" w:hAnsi="Cambria Math"/>
                              <w:i/>
                              <w:iCs/>
                            </w:rPr>
                          </m:ctrlPr>
                        </m:sSubPr>
                        <m:e>
                          <m:r>
                            <w:rPr>
                              <w:rFonts w:ascii="Cambria Math" w:hAnsi="Cambria Math"/>
                            </w:rPr>
                            <m:t>v</m:t>
                          </m:r>
                        </m:e>
                        <m:sub>
                          <m:r>
                            <w:rPr>
                              <w:rFonts w:ascii="Cambria Math" w:hAnsi="Cambria Math"/>
                            </w:rPr>
                            <m:t>PCV3</m:t>
                          </m:r>
                        </m:sub>
                      </m:sSub>
                      <m:r>
                        <w:rPr>
                          <w:rFonts w:ascii="Cambria Math" w:hAnsi="Cambria Math"/>
                        </w:rPr>
                        <m:t>Co</m:t>
                      </m:r>
                      <m:sSub>
                        <m:sSubPr>
                          <m:ctrlPr>
                            <w:rPr>
                              <w:rFonts w:ascii="Cambria Math" w:hAnsi="Cambria Math"/>
                              <w:i/>
                              <w:iCs/>
                            </w:rPr>
                          </m:ctrlPr>
                        </m:sSubPr>
                        <m:e>
                          <m:r>
                            <w:rPr>
                              <w:rFonts w:ascii="Cambria Math" w:hAnsi="Cambria Math"/>
                            </w:rPr>
                            <m:t>v</m:t>
                          </m:r>
                        </m:e>
                        <m:sub>
                          <m:r>
                            <w:rPr>
                              <w:rFonts w:ascii="Cambria Math" w:hAnsi="Cambria Math"/>
                            </w:rPr>
                            <m:t>serotype</m:t>
                          </m:r>
                        </m:sub>
                      </m:sSub>
                      <m:r>
                        <w:rPr>
                          <w:rFonts w:ascii="Cambria Math" w:hAnsi="Cambria Math"/>
                        </w:rPr>
                        <m:t>V</m:t>
                      </m:r>
                      <m:sSub>
                        <m:sSubPr>
                          <m:ctrlPr>
                            <w:rPr>
                              <w:rFonts w:ascii="Cambria Math" w:hAnsi="Cambria Math"/>
                              <w:i/>
                              <w:iCs/>
                            </w:rPr>
                          </m:ctrlPr>
                        </m:sSubPr>
                        <m:e>
                          <m:r>
                            <w:rPr>
                              <w:rFonts w:ascii="Cambria Math" w:hAnsi="Cambria Math"/>
                            </w:rPr>
                            <m:t>E</m:t>
                          </m:r>
                        </m:e>
                        <m:sub>
                          <m:r>
                            <w:rPr>
                              <w:rFonts w:ascii="Cambria Math" w:hAnsi="Cambria Math"/>
                            </w:rPr>
                            <m:t>PCV3 Optimal</m:t>
                          </m:r>
                        </m:sub>
                      </m:sSub>
                    </m:e>
                  </m:d>
                </m:num>
                <m:den>
                  <m:r>
                    <w:rPr>
                      <w:rFonts w:ascii="Cambria Math" w:hAnsi="Cambria Math"/>
                    </w:rPr>
                    <m:t>1-</m:t>
                  </m:r>
                  <m:d>
                    <m:dPr>
                      <m:ctrlPr>
                        <w:rPr>
                          <w:rFonts w:ascii="Cambria Math" w:hAnsi="Cambria Math"/>
                          <w:i/>
                          <w:iCs/>
                        </w:rPr>
                      </m:ctrlPr>
                    </m:dPr>
                    <m:e>
                      <m:r>
                        <w:rPr>
                          <w:rFonts w:ascii="Cambria Math" w:hAnsi="Cambria Math"/>
                        </w:rPr>
                        <m:t>Strep Base PAF</m:t>
                      </m:r>
                    </m:e>
                  </m:d>
                  <m:r>
                    <w:rPr>
                      <w:rFonts w:ascii="Cambria Math" w:hAnsi="Cambria Math"/>
                    </w:rPr>
                    <m:t>Co</m:t>
                  </m:r>
                  <m:sSub>
                    <m:sSubPr>
                      <m:ctrlPr>
                        <w:rPr>
                          <w:rFonts w:ascii="Cambria Math" w:hAnsi="Cambria Math"/>
                          <w:i/>
                          <w:iCs/>
                        </w:rPr>
                      </m:ctrlPr>
                    </m:sSubPr>
                    <m:e>
                      <m:r>
                        <w:rPr>
                          <w:rFonts w:ascii="Cambria Math" w:hAnsi="Cambria Math"/>
                        </w:rPr>
                        <m:t>v</m:t>
                      </m:r>
                    </m:e>
                    <m:sub>
                      <m:r>
                        <w:rPr>
                          <w:rFonts w:ascii="Cambria Math" w:hAnsi="Cambria Math"/>
                        </w:rPr>
                        <m:t>PCV3</m:t>
                      </m:r>
                    </m:sub>
                  </m:sSub>
                  <m:r>
                    <w:rPr>
                      <w:rFonts w:ascii="Cambria Math" w:hAnsi="Cambria Math"/>
                    </w:rPr>
                    <m:t>Co</m:t>
                  </m:r>
                  <m:sSub>
                    <m:sSubPr>
                      <m:ctrlPr>
                        <w:rPr>
                          <w:rFonts w:ascii="Cambria Math" w:hAnsi="Cambria Math"/>
                          <w:i/>
                          <w:iCs/>
                        </w:rPr>
                      </m:ctrlPr>
                    </m:sSubPr>
                    <m:e>
                      <m:r>
                        <w:rPr>
                          <w:rFonts w:ascii="Cambria Math" w:hAnsi="Cambria Math"/>
                        </w:rPr>
                        <m:t>v</m:t>
                      </m:r>
                    </m:e>
                    <m:sub>
                      <m:r>
                        <w:rPr>
                          <w:rFonts w:ascii="Cambria Math" w:hAnsi="Cambria Math"/>
                        </w:rPr>
                        <m:t>serotype</m:t>
                      </m:r>
                    </m:sub>
                  </m:sSub>
                  <m:r>
                    <w:rPr>
                      <w:rFonts w:ascii="Cambria Math" w:hAnsi="Cambria Math"/>
                    </w:rPr>
                    <m:t>V</m:t>
                  </m:r>
                  <m:sSub>
                    <m:sSubPr>
                      <m:ctrlPr>
                        <w:rPr>
                          <w:rFonts w:ascii="Cambria Math" w:hAnsi="Cambria Math"/>
                          <w:i/>
                          <w:iCs/>
                        </w:rPr>
                      </m:ctrlPr>
                    </m:sSubPr>
                    <m:e>
                      <m:r>
                        <w:rPr>
                          <w:rFonts w:ascii="Cambria Math" w:hAnsi="Cambria Math"/>
                        </w:rPr>
                        <m:t>E</m:t>
                      </m:r>
                    </m:e>
                    <m:sub>
                      <m:r>
                        <w:rPr>
                          <w:rFonts w:ascii="Cambria Math" w:hAnsi="Cambria Math"/>
                        </w:rPr>
                        <m:t>PCV3 Optimal</m:t>
                      </m:r>
                    </m:sub>
                  </m:sSub>
                </m:den>
              </m:f>
              <m:r>
                <m:rPr>
                  <m:sty m:val="p"/>
                </m:rPr>
                <w:rPr>
                  <w:rFonts w:ascii="Cambria Math" w:hAnsi="Cambria Math"/>
                </w:rPr>
                <m:t>#(6.2.7.2)</m:t>
              </m:r>
            </m:e>
          </m:eqArr>
        </m:oMath>
      </m:oMathPara>
    </w:p>
    <w:p w14:paraId="7EAC0927" w14:textId="77777777" w:rsidR="002B4862" w:rsidRPr="002B4862" w:rsidRDefault="002B4862" w:rsidP="002B4862"/>
    <w:p w14:paraId="28E827C9" w14:textId="2950E21B" w:rsidR="002B4862" w:rsidRPr="002B4862" w:rsidRDefault="002B4862" w:rsidP="002B4862">
      <w:r w:rsidRPr="002B4862">
        <w:t>In this vaccine probe analysis, (</w:t>
      </w:r>
      <m:oMath>
        <m:r>
          <w:rPr>
            <w:rFonts w:ascii="Cambria Math" w:hAnsi="Cambria Math"/>
          </w:rPr>
          <m:t>1-Strep Final PAF</m:t>
        </m:r>
      </m:oMath>
      <w:r w:rsidRPr="002B4862">
        <w:t>) is not consistent with the “other” category in our model, since it includes all non-</w:t>
      </w:r>
      <w:r w:rsidRPr="002B4862">
        <w:rPr>
          <w:i/>
        </w:rPr>
        <w:softHyphen/>
        <w:t>S. pneumoniae</w:t>
      </w:r>
      <w:r w:rsidRPr="002B4862">
        <w:t xml:space="preserve"> </w:t>
      </w:r>
      <w:proofErr w:type="spellStart"/>
      <w:r w:rsidRPr="002B4862">
        <w:t>aetiologies</w:t>
      </w:r>
      <w:proofErr w:type="spellEnd"/>
      <w:r w:rsidRPr="002B4862">
        <w:t xml:space="preserve">. We retained all of the data from the vaccine probe analysis as two categories, </w:t>
      </w:r>
      <w:r w:rsidRPr="002B4862">
        <w:rPr>
          <w:i/>
        </w:rPr>
        <w:t>S. pneumoniae</w:t>
      </w:r>
      <w:r w:rsidRPr="002B4862">
        <w:t xml:space="preserve"> and “not </w:t>
      </w:r>
      <w:r w:rsidRPr="002B4862">
        <w:rPr>
          <w:i/>
        </w:rPr>
        <w:t>S. pneumoniae</w:t>
      </w:r>
      <w:r w:rsidRPr="002B4862">
        <w:t>” and addressed the inconsistencies between them and our other data using our modelling framework.</w:t>
      </w:r>
    </w:p>
    <w:p w14:paraId="6D4B255B" w14:textId="77777777" w:rsidR="002B4862" w:rsidRPr="002B4862" w:rsidRDefault="002B4862" w:rsidP="002B4862">
      <w:r w:rsidRPr="002B4862">
        <w:t xml:space="preserve">The second major exception involves several literature studies on the proportion of neonatal bacterial meningitis caused by </w:t>
      </w:r>
      <w:r w:rsidRPr="002B4862">
        <w:rPr>
          <w:i/>
        </w:rPr>
        <w:t>Streptococcus agalactiae</w:t>
      </w:r>
      <w:r w:rsidRPr="002B4862">
        <w:t xml:space="preserve"> (Group B </w:t>
      </w:r>
      <w:r w:rsidRPr="002B4862">
        <w:rPr>
          <w:i/>
        </w:rPr>
        <w:t>Streptococcus</w:t>
      </w:r>
      <w:r w:rsidRPr="002B4862">
        <w:t>; GBS). We found that these literature studies were important to our estimation of the pathogen distribution of neonatal meningitis, which is distinct from other age groups because of its high proportion of GBS. However, these studies either only reported or were only extracted with two categories, GBS and “other bacterial, not GBS.” We retained both these categories and addressed the inconsistencies between them and our other data by encoding “other bacterial, not GBS” as a composite observation in our modelling framework, as described in section 6.3.1.</w:t>
      </w:r>
    </w:p>
    <w:p w14:paraId="76E4FE01" w14:textId="77777777" w:rsidR="002B4862" w:rsidRPr="002B4862" w:rsidRDefault="002B4862" w:rsidP="002B4862">
      <w:r w:rsidRPr="002B4862">
        <w:t xml:space="preserve">The final exception was made for non-specific aggregate designations found in our ICD-coded data. For instance, ICD code A41.5 identifies “Sepsis due to other Gram-negative organisms,” with “other” in this case, representing all Gram-negative organisms not elsewhere described by a candidate ICD code. In the context of our analysis, this category could have represented </w:t>
      </w:r>
      <w:r w:rsidRPr="002B4862">
        <w:rPr>
          <w:i/>
        </w:rPr>
        <w:t>Acinetobacter baumannii</w:t>
      </w:r>
      <w:r w:rsidRPr="002B4862">
        <w:t xml:space="preserve">, </w:t>
      </w:r>
      <w:r w:rsidRPr="002B4862">
        <w:rPr>
          <w:i/>
        </w:rPr>
        <w:t>Acinetobacter</w:t>
      </w:r>
      <w:r w:rsidRPr="002B4862">
        <w:t xml:space="preserve"> others, </w:t>
      </w:r>
      <w:r w:rsidRPr="002B4862">
        <w:rPr>
          <w:i/>
        </w:rPr>
        <w:t>Citrobacter</w:t>
      </w:r>
      <w:r w:rsidRPr="002B4862">
        <w:t xml:space="preserve"> spp., </w:t>
      </w:r>
      <w:r w:rsidRPr="002B4862">
        <w:rPr>
          <w:i/>
        </w:rPr>
        <w:t>Klebsiella pneumoniae</w:t>
      </w:r>
      <w:r w:rsidRPr="002B4862">
        <w:t xml:space="preserve">, </w:t>
      </w:r>
      <w:r w:rsidRPr="002B4862">
        <w:rPr>
          <w:i/>
        </w:rPr>
        <w:t>Klebsiella</w:t>
      </w:r>
      <w:r w:rsidRPr="002B4862">
        <w:t xml:space="preserve"> others, </w:t>
      </w:r>
      <w:proofErr w:type="spellStart"/>
      <w:r w:rsidRPr="002B4862">
        <w:rPr>
          <w:i/>
        </w:rPr>
        <w:t>Morganella</w:t>
      </w:r>
      <w:proofErr w:type="spellEnd"/>
      <w:r w:rsidRPr="002B4862">
        <w:t xml:space="preserve"> spp., or </w:t>
      </w:r>
      <w:r w:rsidRPr="002B4862">
        <w:rPr>
          <w:i/>
        </w:rPr>
        <w:t>Proteus</w:t>
      </w:r>
      <w:r w:rsidRPr="002B4862">
        <w:t xml:space="preserve"> spp., none of which have an ICD10 code for BSI, or our “Gram-negative others” category. Correspondingly, ICD code A41.5 was encoded in our work as an amalgam of all the above pathogens/pathogen categories, and we addressed the inconsistencies between this group and our other data using our modelling framework. Similar adjustments were made for ICD code J15.6 “Pneumonia due to other aerobic Gram-negative bacteria,” though with a different set of aggregate pathogens as the candidate list for Gram-negative species is slightly different for LRI and BSI in ICD.</w:t>
      </w:r>
    </w:p>
    <w:p w14:paraId="4996623F" w14:textId="313FE9BC" w:rsidR="009C3FD0" w:rsidRPr="000F32B0" w:rsidRDefault="00CD029B" w:rsidP="008B28B3">
      <w:pPr>
        <w:rPr>
          <w:color w:val="1F3864" w:themeColor="accent1" w:themeShade="80"/>
        </w:rPr>
      </w:pPr>
      <w:r w:rsidRPr="000F32B0">
        <w:rPr>
          <w:i/>
          <w:iCs/>
          <w:color w:val="1F3864" w:themeColor="accent1" w:themeShade="80"/>
        </w:rPr>
        <w:t>Age-sex splitting</w:t>
      </w:r>
    </w:p>
    <w:p w14:paraId="6ED4DF07" w14:textId="5B81916A" w:rsidR="00106704" w:rsidRPr="00106704" w:rsidRDefault="00106704" w:rsidP="00106704">
      <w:r w:rsidRPr="00106704">
        <w:t xml:space="preserve">We </w:t>
      </w:r>
      <w:proofErr w:type="spellStart"/>
      <w:r w:rsidRPr="00106704">
        <w:t>standardised</w:t>
      </w:r>
      <w:proofErr w:type="spellEnd"/>
      <w:r w:rsidRPr="00106704">
        <w:t xml:space="preserve"> age and sex across all datasets to the following most-detailed groups using the GBD causes of death age-sex splitting algorithm for age:</w:t>
      </w:r>
      <w:r w:rsidRPr="00106704">
        <w:fldChar w:fldCharType="begin"/>
      </w:r>
      <w:r w:rsidR="00777247">
        <w:instrText xml:space="preserve"> ADDIN ZOTERO_ITEM CSL_CITATION {"citationID":"aWUjc2bF","properties":{"formattedCitation":"\\super 12\\nosupersub{}","plainCitation":"12","noteIndex":0},"citationItems":[{"id":"2r5qN3V4/xeGOgexq","uris":["http://zotero.org/groups/2154524/items/4QI5F9JG"],"itemData":{"id":39836,"type":"article-journal","abstract":"BACKGROUND: Regular, detailed reporting on population health by underlying cause of death is fundamental for public health decision making. Cause-specific estimates of mortality and the subsequent effects on life expectancy worldwide are valuable metrics to gauge progress in reducing mortality rates. These estimates are particularly important following large-scale mortality spikes, such as the COVID-19 pandemic. When systematically analysed, mortality rates and life expectancy allow comparisons of the consequences of causes of death globally and over time, providing a nuanced understanding of the effect of these causes on global populations.\nMETHODS: The Global Burden of Diseases, Injuries, and Risk Factors Study (GBD) 2021 cause-of-death analysis estimated mortality and years of life lost (YLLs) from 288 causes of death by age-sex-location-year in 204 countries and territories and 811 subnational locations for each year from 1990 until 2021. The analysis used 56 604 data sources, including data from vital registration and verbal autopsy as well as surveys, censuses, surveillance systems, and cancer registries, among others. As with previous GBD rounds, cause-specific death rates for most causes were estimated using the Cause of Death Ensemble model-a modelling tool developed for GBD to assess the out-of-sample predictive validity of different statistical models and covariate permutations and combine those results to produce cause-specific mortality estimates-with alternative strategies adapted to model causes with insufficient data, substantial changes in reporting over the study period, or unusual epidemiology. YLLs were computed as the product of the number of deaths for each cause-age-sex-location-year and the standard life expectancy at each age. As part of the modelling process, uncertainty intervals (UIs) were generated using the 2·5th and 97·5th percentiles from a 1000-draw distribution for each metric. We decomposed life expectancy by cause of death, location, and year to show cause-specific effects on life expectancy from 1990 to 2021. We also used the coefficient of variation and the fraction of population affected by 90% of deaths to highlight concentrations of mortality. Findings are reported in counts and age-standardised rates. Methodological improvements for cause-of-death estimates in GBD 2021 include the expansion of under-5-years age group to include four new age groups, enhanced methods to account for stochastic variation of sparse data, and the inclusion of COVID-19 and other pandemic-related mortality-which includes excess mortality associated with the pandemic, excluding COVID-19, lower respiratory infections, measles, malaria, and pertussis. For this analysis, 199 new country-years of vital registration cause-of-death data, 5 country-years of surveillance data, 21 country-years of verbal autopsy data, and 94 country-years of other data types were added to those used in previous GBD rounds.\nFINDINGS: The leading causes of age-standardised deaths globally were the same in 2019 as they were in 1990; in descending order, these were, ischaemic heart disease, stroke, chronic obstructive pulmonary disease, and lower respiratory infections. In 2021, however, COVID-19 replaced stroke as the second-leading age-standardised cause of death, with 94·0 deaths (95% UI 89·2-100·0) per 100 000 population. The COVID-19 pandemic shifted the rankings of the leading five causes, lowering stroke to the third-leading and chronic obstructive pulmonary disease to the fourth-leading position. In 2021, the highest age-standardised death rates from COVID-19 occurred in sub-Saharan Africa (271·0 deaths [250·1-290·7] per 100 000 population) and Latin America and the Caribbean (195·4 deaths [182·1-211·4] per 100 000 population). The lowest age-standardised death rates from COVID-19 were in the high-income super-region (48·1 deaths [47·4-48·8] per 100 000 population) and southeast Asia, east Asia, and Oceania (23·2 deaths [16·3-37·2] per 100 000 population). Globally, life expectancy steadily improved between 1990 and 2019 for 18 of the 22 investigated causes. Decomposition of global and regional life expectancy showed the positive effect that reductions in deaths from enteric infections, lower respiratory infections, stroke, and neonatal deaths, among others have contributed to improved survival over the study period. However, a net reduction of 1·6 years occurred in global life expectancy between 2019 and 2021, primarily due to increased death rates from COVID-19 and other pandemic-related mortality. Life expectancy was highly variable between super-regions over the study period, with southeast Asia, east Asia, and Oceania gaining 8·3 years (6·7-9·9) overall, while having the smallest reduction in life expectancy due to COVID-19 (0·4 years). The largest reduction in life expectancy due to COVID-19 occurred in Latin America and the Caribbean (3·6 years). Additionally, 53 of the 288 causes of death were highly concentrated in locations with less than 50% of the global population as of 2021, and these causes of death became progressively more concentrated since 1990, when only 44 causes showed this pattern. The concentration phenomenon is discussed heuristically with respect to enteric and lower respiratory infections, malaria, HIV/AIDS, neonatal disorders, tuberculosis, and measles.\nINTERPRETATION: Long-standing gains in life expectancy and reductions in many of the leading causes of death have been disrupted by the COVID-19 pandemic, the adverse effects of which were spread unevenly among populations. Despite the pandemic, there has been continued progress in combatting several notable causes of death, leading to improved global life expectancy over the study period. Each of the seven GBD super-regions showed an overall improvement from 1990 and 2021, obscuring the negative effect in the years of the pandemic. Additionally, our findings regarding regional variation in causes of death driving increases in life expectancy hold clear policy utility. Analyses of shifting mortality trends reveal that several causes, once widespread globally, are now increasingly concentrated geographically. These changes in mortality concentration, alongside further investigation of changing risks, interventions, and relevant policy, present an important opportunity to deepen our understanding of mortality-reduction strategies. Examining patterns in mortality concentration might reveal areas where successful public health interventions have been implemented. Translating these successes to locations where certain causes of death remain entrenched can inform policies that work to improve life expectancy for people everywhere.\nFUNDING: Bill &amp; Melinda Gates Foundation.","container-title":"Lancet","DOI":"10.1016/S0140-6736(24)00367-2","ISSN":"1474-547X","issue":"10440","journalAbbreviation":"Lancet","language":"eng","note":"PMID: 38582094","page":"2100-2132","source":"PubMed","title":"Global burden of 288 causes of death and life expectancy decomposition in 204 countries and territories and 811 subnational locations, 1990-2021: a systematic analysis for the Global Burden of Disease Study 2021","title-short":"Global burden of 288 causes of death and life expectancy decomposition in 204 countries and territories and 811 subnational locations, 1990-2021","volume":"403","author":[{"literal":"GBD 2021 Causes of Death Collaborators"}],"issued":{"date-parts":[["2024",5,18]]}}}],"schema":"https://github.com/citation-style-language/schema/raw/master/csl-citation.json"} </w:instrText>
      </w:r>
      <w:r w:rsidRPr="00106704">
        <w:fldChar w:fldCharType="separate"/>
      </w:r>
      <w:r w:rsidR="00777247" w:rsidRPr="00777247">
        <w:rPr>
          <w:rFonts w:ascii="Calibri" w:hAnsi="Calibri" w:cs="Calibri"/>
          <w:vertAlign w:val="superscript"/>
        </w:rPr>
        <w:t>12</w:t>
      </w:r>
      <w:r w:rsidRPr="00106704">
        <w:fldChar w:fldCharType="end"/>
      </w:r>
      <w:r w:rsidRPr="00106704">
        <w:t xml:space="preserve"> 0–6, 7–27, 1-5 months, 6-11 months, 12-23 months, 2-4 years, 5–9, 10–14, 15–19, 20–24, 25–29, 30–34, 35–39, 40–44, 45–49, 50–54, 55–59, 60–64, 65–69, 70–74, 75–79, 80–84, 85–89, 90–94, 95+ years; and sex: male and female. This algorithm is based on the assumption that age-sex pattern of the death or case rate for a given infectious syndrome or pathogen is inherent to the pathology of the disease and is therefore constant across location and year.</w:t>
      </w:r>
    </w:p>
    <w:p w14:paraId="777D0960" w14:textId="77777777" w:rsidR="00106704" w:rsidRPr="00106704" w:rsidRDefault="00106704" w:rsidP="00106704">
      <w:r w:rsidRPr="00106704">
        <w:t>To apply the algorithm, we first calculated distinct age-sex weights for every infectious syndrome and pathogen, separately for deaths and cases. These weights are the aggregate death and case rates across all datasets that report every detailed age-sex group. If we were to use a dataset that only reported some of the detailed age-sex groups, then the unreported age-sex groups would be biased downwards in the weight distribution. Calculating rates based on raw data counts could lead to extremely low rates, since we are typically comparing the entire population of a given location-year to deaths or cases captured within a single study, hospital, or surveillance system. Since the age-sex splitting algorithm only relies on the relative distribution of the weights, however, rather than their absolute level, this bias ultimately had no effect. For any infectious syndrome or pathogen combination for which we did not have enough data to create plausible age-sex weights, we used a set of all-pathogen weights for that infectious syndrome instead.</w:t>
      </w:r>
    </w:p>
    <w:p w14:paraId="12DD8F34" w14:textId="77777777" w:rsidR="00106704" w:rsidRPr="00106704" w:rsidRDefault="00106704" w:rsidP="00106704">
      <w:r w:rsidRPr="00106704">
        <w:t>Since we split cases and deaths independently, it is possible for a detailed age-sex group produced by the splitting algorithm to contain fewer cases than deaths. When this occurred, we capped the deaths to match the cases. For future improvement, a possible solution to this problem may be to split deaths, survivors, and cases without indication of outcome separately.</w:t>
      </w:r>
    </w:p>
    <w:p w14:paraId="2664941B" w14:textId="406C5AD2" w:rsidR="00CD029B" w:rsidRPr="000F32B0" w:rsidRDefault="00106704" w:rsidP="008B28B3">
      <w:pPr>
        <w:rPr>
          <w:color w:val="1F3864" w:themeColor="accent1" w:themeShade="80"/>
        </w:rPr>
      </w:pPr>
      <w:proofErr w:type="spellStart"/>
      <w:r w:rsidRPr="000F32B0">
        <w:rPr>
          <w:i/>
          <w:iCs/>
          <w:color w:val="1F3864" w:themeColor="accent1" w:themeShade="80"/>
        </w:rPr>
        <w:t>Standardising</w:t>
      </w:r>
      <w:proofErr w:type="spellEnd"/>
      <w:r w:rsidRPr="000F32B0">
        <w:rPr>
          <w:i/>
          <w:iCs/>
          <w:color w:val="1F3864" w:themeColor="accent1" w:themeShade="80"/>
        </w:rPr>
        <w:t xml:space="preserve"> measures</w:t>
      </w:r>
    </w:p>
    <w:p w14:paraId="6820A4E3" w14:textId="01249EE0" w:rsidR="0094459A" w:rsidRPr="0094459A" w:rsidRDefault="0094459A" w:rsidP="0094459A">
      <w:r w:rsidRPr="0094459A">
        <w:t xml:space="preserve">The input data sources reported a variety of combinations of measures, including some that reported deaths only, some that reported cases only, and some that reported both cases and deaths. In order to </w:t>
      </w:r>
      <w:proofErr w:type="spellStart"/>
      <w:r w:rsidRPr="0094459A">
        <w:t>standardise</w:t>
      </w:r>
      <w:proofErr w:type="spellEnd"/>
      <w:r w:rsidRPr="0094459A">
        <w:t xml:space="preserve"> these measures to cases, we estimated infectious syndrome- and pathogen-specific CFRs and used these CFRs to convert all deaths-only datasets to cases. All modelling was done in case space.</w:t>
      </w:r>
    </w:p>
    <w:p w14:paraId="4762985E" w14:textId="77777777" w:rsidR="0094459A" w:rsidRPr="0094459A" w:rsidRDefault="0094459A" w:rsidP="0094459A">
      <w:r w:rsidRPr="0094459A">
        <w:t xml:space="preserve">Several of our microbial databases came exclusively from ICUs and were therefore heavily biased towards severe illness. In order to mitigate this bias, we dropped all information on cases in ICU-only datasets and recalculated implied cases based on reported deaths and our CFRs. No similar adjustment was made to attempt to account for biases between </w:t>
      </w:r>
      <w:proofErr w:type="spellStart"/>
      <w:r w:rsidRPr="0094459A">
        <w:t>hospitalised</w:t>
      </w:r>
      <w:proofErr w:type="spellEnd"/>
      <w:r w:rsidRPr="0094459A">
        <w:t xml:space="preserve"> and un-</w:t>
      </w:r>
      <w:proofErr w:type="spellStart"/>
      <w:r w:rsidRPr="0094459A">
        <w:t>hospitalised</w:t>
      </w:r>
      <w:proofErr w:type="spellEnd"/>
      <w:r w:rsidRPr="0094459A">
        <w:t xml:space="preserve"> populations, although we did account for HAI versus CAI for two infectious syndromes—LRI and UTI—within our modelling framework.</w:t>
      </w:r>
    </w:p>
    <w:p w14:paraId="512CDA94" w14:textId="2A0ECA04" w:rsidR="00106704" w:rsidRDefault="0094459A" w:rsidP="008B28B3">
      <w:pPr>
        <w:rPr>
          <w:rFonts w:asciiTheme="majorHAnsi" w:eastAsiaTheme="majorEastAsia" w:hAnsiTheme="majorHAnsi" w:cstheme="majorBidi"/>
          <w:color w:val="1F3763" w:themeColor="accent1" w:themeShade="7F"/>
          <w:sz w:val="24"/>
          <w:szCs w:val="24"/>
        </w:rPr>
      </w:pPr>
      <w:r w:rsidRPr="0094459A">
        <w:rPr>
          <w:rFonts w:asciiTheme="majorHAnsi" w:eastAsiaTheme="majorEastAsia" w:hAnsiTheme="majorHAnsi" w:cstheme="majorBidi"/>
          <w:color w:val="1F3763" w:themeColor="accent1" w:themeShade="7F"/>
          <w:sz w:val="24"/>
          <w:szCs w:val="24"/>
        </w:rPr>
        <w:t>Modeling framework</w:t>
      </w:r>
    </w:p>
    <w:p w14:paraId="290F8783" w14:textId="2F84835B" w:rsidR="0094459A" w:rsidRPr="000F32B0" w:rsidRDefault="0094459A" w:rsidP="008B28B3">
      <w:pPr>
        <w:rPr>
          <w:i/>
          <w:iCs/>
          <w:color w:val="1F3864" w:themeColor="accent1" w:themeShade="80"/>
        </w:rPr>
      </w:pPr>
      <w:r w:rsidRPr="000F32B0">
        <w:rPr>
          <w:i/>
          <w:iCs/>
          <w:color w:val="1F3864" w:themeColor="accent1" w:themeShade="80"/>
        </w:rPr>
        <w:t>Overview</w:t>
      </w:r>
    </w:p>
    <w:p w14:paraId="47CDAFAA" w14:textId="77777777" w:rsidR="00C716D3" w:rsidRPr="00C716D3" w:rsidRDefault="00C716D3" w:rsidP="00C716D3">
      <w:r w:rsidRPr="00C716D3">
        <w:t xml:space="preserve">To model the distribution of pathogens for each infectious syndrome, we developed a method for the multinomial estimation of partial and compositional observations (MEPCO). We assumed that the </w:t>
      </w:r>
      <w:proofErr w:type="spellStart"/>
      <w:r w:rsidRPr="00C716D3">
        <w:t>aetiologies</w:t>
      </w:r>
      <w:proofErr w:type="spellEnd"/>
      <w:r w:rsidRPr="00C716D3">
        <w:t xml:space="preserve"> of a given infectious syndrome followed a multinomial distribution. Due to inconsistencies in which pathogens are tested for and reported by different data sources, each data source contained partial observations of the possible outcomes of the underlying multinomial distribution. Certain data sources like the vaccine probe estimates and the GBS neonatal meningitis studies represent compositional observations, where pathogens like “not S. pneumoniae” and “other bacterial, not GBS” represent aggregates of more detailed pathogens. </w:t>
      </w:r>
    </w:p>
    <w:p w14:paraId="38D8E16D" w14:textId="10C2EE41" w:rsidR="00C716D3" w:rsidRPr="00C716D3" w:rsidRDefault="00C716D3" w:rsidP="00C716D3">
      <w:r w:rsidRPr="00C716D3">
        <w:t xml:space="preserve">In order to use both partial and compositional data, we constructed a network model with the dependent variable as the log ratio of cases between different pathogens and estimated over a flexible </w:t>
      </w:r>
      <w:proofErr w:type="spellStart"/>
      <w:r w:rsidRPr="00C716D3">
        <w:t>parameterisation</w:t>
      </w:r>
      <w:proofErr w:type="spellEnd"/>
      <w:r w:rsidRPr="00C716D3">
        <w:t xml:space="preserve"> of multinomial parameters using a maximum likelihood approach. Consider a given infectious syndrome with a multinomial distribution of </w:t>
      </w:r>
      <m:oMath>
        <m:r>
          <w:rPr>
            <w:rFonts w:ascii="Cambria Math" w:hAnsi="Cambria Math"/>
          </w:rPr>
          <m:t>n</m:t>
        </m:r>
      </m:oMath>
      <w:r w:rsidRPr="00C716D3">
        <w:t xml:space="preserve"> mutually exclusive, collectively exhaustive aetiologies with probabilities </w:t>
      </w:r>
      <m:oMath>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m:t>
        </m:r>
      </m:oMath>
      <w:r w:rsidRPr="00C716D3">
        <w:t xml:space="preserve">, so that each </w:t>
      </w:r>
      <m:oMath>
        <m:sSub>
          <m:sSubPr>
            <m:ctrlPr>
              <w:rPr>
                <w:rFonts w:ascii="Cambria Math" w:hAnsi="Cambria Math"/>
              </w:rPr>
            </m:ctrlPr>
          </m:sSubPr>
          <m:e>
            <m:r>
              <w:rPr>
                <w:rFonts w:ascii="Cambria Math" w:hAnsi="Cambria Math"/>
              </w:rPr>
              <m:t>p</m:t>
            </m:r>
          </m:e>
          <m:sub>
            <m:r>
              <w:rPr>
                <w:rFonts w:ascii="Cambria Math" w:hAnsi="Cambria Math"/>
              </w:rPr>
              <m:t>j</m:t>
            </m:r>
          </m:sub>
        </m:sSub>
        <m:r>
          <m:rPr>
            <m:sty m:val="p"/>
          </m:rPr>
          <w:rPr>
            <w:rFonts w:ascii="Cambria Math" w:hAnsi="Cambria Math"/>
          </w:rPr>
          <m:t>∈(0,1)</m:t>
        </m:r>
      </m:oMath>
      <w:r w:rsidRPr="00C716D3">
        <w:t xml:space="preserve"> and </w:t>
      </w:r>
      <m:oMath>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p</m:t>
                </m:r>
              </m:e>
              <m:sub>
                <m:r>
                  <w:rPr>
                    <w:rFonts w:ascii="Cambria Math" w:hAnsi="Cambria Math"/>
                  </w:rPr>
                  <m:t>j</m:t>
                </m:r>
              </m:sub>
            </m:sSub>
          </m:e>
        </m:nary>
        <m:r>
          <m:rPr>
            <m:sty m:val="p"/>
          </m:rPr>
          <w:rPr>
            <w:rFonts w:ascii="Cambria Math" w:hAnsi="Cambria Math"/>
          </w:rPr>
          <m:t>=1</m:t>
        </m:r>
      </m:oMath>
      <w:r w:rsidRPr="00C716D3">
        <w:t xml:space="preserve">. The likelihood of an observation of </w:t>
      </w:r>
      <m:oMath>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oMath>
      <w:r w:rsidRPr="00C716D3">
        <w:t xml:space="preserve">, where </w:t>
      </w:r>
      <m:oMath>
        <m:sSub>
          <m:sSubPr>
            <m:ctrlPr>
              <w:rPr>
                <w:rFonts w:ascii="Cambria Math" w:hAnsi="Cambria Math"/>
              </w:rPr>
            </m:ctrlPr>
          </m:sSubPr>
          <m:e>
            <m:r>
              <w:rPr>
                <w:rFonts w:ascii="Cambria Math" w:hAnsi="Cambria Math"/>
              </w:rPr>
              <m:t>c</m:t>
            </m:r>
          </m:e>
          <m:sub>
            <m:r>
              <w:rPr>
                <w:rFonts w:ascii="Cambria Math" w:hAnsi="Cambria Math"/>
              </w:rPr>
              <m:t>j</m:t>
            </m:r>
          </m:sub>
        </m:sSub>
      </m:oMath>
      <w:r w:rsidRPr="00C716D3">
        <w:t xml:space="preserve"> = number of cases of pathogen </w:t>
      </w:r>
      <m:oMath>
        <m:r>
          <w:rPr>
            <w:rFonts w:ascii="Cambria Math" w:hAnsi="Cambria Math"/>
          </w:rPr>
          <m:t>j</m:t>
        </m:r>
      </m:oMath>
      <w:r w:rsidRPr="00C716D3">
        <w:t xml:space="preserve"> in a total sample of </w:t>
      </w:r>
      <m:oMath>
        <m:r>
          <w:rPr>
            <w:rFonts w:ascii="Cambria Math" w:hAnsi="Cambria Math"/>
          </w:rPr>
          <m:t>N</m:t>
        </m:r>
      </m:oMath>
      <w:r w:rsidRPr="00C716D3">
        <w:t xml:space="preserve"> infections (</w:t>
      </w:r>
      <m:oMath>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c</m:t>
                </m:r>
              </m:e>
              <m:sub>
                <m:r>
                  <w:rPr>
                    <w:rFonts w:ascii="Cambria Math" w:hAnsi="Cambria Math"/>
                  </w:rPr>
                  <m:t>j</m:t>
                </m:r>
              </m:sub>
            </m:sSub>
          </m:e>
        </m:nary>
        <m:r>
          <m:rPr>
            <m:sty m:val="p"/>
          </m:rPr>
          <w:rPr>
            <w:rFonts w:ascii="Cambria Math" w:hAnsi="Cambria Math"/>
          </w:rPr>
          <m:t>=</m:t>
        </m:r>
        <m:r>
          <w:rPr>
            <w:rFonts w:ascii="Cambria Math" w:hAnsi="Cambria Math"/>
          </w:rPr>
          <m:t>N</m:t>
        </m:r>
      </m:oMath>
      <w:r w:rsidRPr="00C716D3">
        <w:t>), is:</w:t>
      </w:r>
    </w:p>
    <w:p w14:paraId="734CF62D" w14:textId="3E00B567" w:rsidR="00C716D3" w:rsidRPr="00C716D3" w:rsidRDefault="005551EC" w:rsidP="00C716D3">
      <m:oMathPara>
        <m:oMath>
          <m:eqArr>
            <m:eqArrPr>
              <m:maxDist m:val="1"/>
              <m:ctrlPr>
                <w:rPr>
                  <w:rFonts w:ascii="Cambria Math" w:hAnsi="Cambria Math"/>
                </w:rPr>
              </m:ctrlPr>
            </m:eqArrPr>
            <m:e>
              <m:r>
                <w:rPr>
                  <w:rFonts w:ascii="Cambria Math" w:hAnsi="Cambria Math"/>
                </w:rPr>
                <m:t>P</m:t>
              </m:r>
              <m:d>
                <m:dPr>
                  <m:ctrlPr>
                    <w:rPr>
                      <w:rFonts w:ascii="Cambria Math" w:hAnsi="Cambria Math"/>
                    </w:rPr>
                  </m:ctrlPr>
                </m:dPr>
                <m:e>
                  <m:r>
                    <w:rPr>
                      <w:rFonts w:ascii="Cambria Math" w:hAnsi="Cambria Math"/>
                    </w:rPr>
                    <m:t>c</m:t>
                  </m:r>
                </m:e>
                <m:e>
                  <m:r>
                    <w:rPr>
                      <w:rFonts w:ascii="Cambria Math" w:hAnsi="Cambria Math"/>
                    </w:rPr>
                    <m:t>p</m:t>
                  </m:r>
                </m:e>
              </m:d>
              <m:r>
                <m:rPr>
                  <m:sty m:val="p"/>
                </m:rPr>
                <w:rPr>
                  <w:rFonts w:ascii="Cambria Math" w:hAnsi="Cambria Math"/>
                </w:rPr>
                <m:t>=</m:t>
              </m:r>
              <m:r>
                <w:rPr>
                  <w:rFonts w:ascii="Cambria Math" w:hAnsi="Cambria Math"/>
                </w:rPr>
                <m:t>N</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n</m:t>
                  </m:r>
                </m:sup>
                <m:e>
                  <m:f>
                    <m:fPr>
                      <m:ctrlPr>
                        <w:rPr>
                          <w:rFonts w:ascii="Cambria Math" w:hAnsi="Cambria Math"/>
                        </w:rPr>
                      </m:ctrlPr>
                    </m:fPr>
                    <m:num>
                      <m:sSubSup>
                        <m:sSubSupPr>
                          <m:ctrlPr>
                            <w:rPr>
                              <w:rFonts w:ascii="Cambria Math" w:hAnsi="Cambria Math"/>
                            </w:rPr>
                          </m:ctrlPr>
                        </m:sSubSupPr>
                        <m:e>
                          <m:r>
                            <w:rPr>
                              <w:rFonts w:ascii="Cambria Math" w:hAnsi="Cambria Math"/>
                            </w:rPr>
                            <m:t>p</m:t>
                          </m:r>
                        </m:e>
                        <m:sub>
                          <m:r>
                            <w:rPr>
                              <w:rFonts w:ascii="Cambria Math" w:hAnsi="Cambria Math"/>
                            </w:rPr>
                            <m:t>j</m:t>
                          </m:r>
                        </m:sub>
                        <m:sup>
                          <m:sSub>
                            <m:sSubPr>
                              <m:ctrlPr>
                                <w:rPr>
                                  <w:rFonts w:ascii="Cambria Math" w:hAnsi="Cambria Math"/>
                                </w:rPr>
                              </m:ctrlPr>
                            </m:sSubPr>
                            <m:e>
                              <m:r>
                                <w:rPr>
                                  <w:rFonts w:ascii="Cambria Math" w:hAnsi="Cambria Math"/>
                                </w:rPr>
                                <m:t>c</m:t>
                              </m:r>
                            </m:e>
                            <m:sub>
                              <m:r>
                                <w:rPr>
                                  <w:rFonts w:ascii="Cambria Math" w:hAnsi="Cambria Math"/>
                                </w:rPr>
                                <m:t>j</m:t>
                              </m:r>
                            </m:sub>
                          </m:sSub>
                        </m:sup>
                      </m:sSubSup>
                    </m:num>
                    <m:den>
                      <m:sSub>
                        <m:sSubPr>
                          <m:ctrlPr>
                            <w:rPr>
                              <w:rFonts w:ascii="Cambria Math" w:hAnsi="Cambria Math"/>
                            </w:rPr>
                          </m:ctrlPr>
                        </m:sSubPr>
                        <m:e>
                          <m:r>
                            <w:rPr>
                              <w:rFonts w:ascii="Cambria Math" w:hAnsi="Cambria Math"/>
                            </w:rPr>
                            <m:t>c</m:t>
                          </m:r>
                        </m:e>
                        <m:sub>
                          <m:r>
                            <w:rPr>
                              <w:rFonts w:ascii="Cambria Math" w:hAnsi="Cambria Math"/>
                            </w:rPr>
                            <m:t>j</m:t>
                          </m:r>
                        </m:sub>
                      </m:sSub>
                      <m:r>
                        <m:rPr>
                          <m:sty m:val="p"/>
                        </m:rPr>
                        <w:rPr>
                          <w:rFonts w:ascii="Cambria Math" w:hAnsi="Cambria Math"/>
                        </w:rPr>
                        <m:t>!</m:t>
                      </m:r>
                    </m:den>
                  </m:f>
                </m:e>
              </m:nary>
              <m:r>
                <m:rPr>
                  <m:sty m:val="p"/>
                </m:rPr>
                <w:rPr>
                  <w:rFonts w:ascii="Cambria Math" w:hAnsi="Cambria Math"/>
                </w:rPr>
                <m:t>#</m:t>
              </m:r>
              <m:d>
                <m:dPr>
                  <m:ctrlPr>
                    <w:rPr>
                      <w:rFonts w:ascii="Cambria Math" w:hAnsi="Cambria Math"/>
                    </w:rPr>
                  </m:ctrlPr>
                </m:dPr>
                <m:e>
                  <m:r>
                    <m:rPr>
                      <m:sty m:val="p"/>
                    </m:rPr>
                    <w:rPr>
                      <w:rFonts w:ascii="Cambria Math" w:hAnsi="Cambria Math"/>
                    </w:rPr>
                    <m:t>6.3.1.1</m:t>
                  </m:r>
                </m:e>
              </m:d>
            </m:e>
          </m:eqArr>
        </m:oMath>
      </m:oMathPara>
    </w:p>
    <w:p w14:paraId="6A8D058B" w14:textId="77777777" w:rsidR="00C716D3" w:rsidRPr="00C716D3" w:rsidRDefault="00C716D3" w:rsidP="00C716D3">
      <w:r w:rsidRPr="00C716D3">
        <w:t>We modelled the probabilities using a composition of a link function with a linear predictor:</w:t>
      </w:r>
    </w:p>
    <w:p w14:paraId="3F1AA699" w14:textId="3A481234" w:rsidR="00C716D3" w:rsidRPr="00C716D3" w:rsidRDefault="005551EC" w:rsidP="00C716D3">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r>
                <m:rPr>
                  <m:sty m:val="p"/>
                </m:rPr>
                <w:rPr>
                  <w:rFonts w:ascii="Cambria Math" w:hAnsi="Cambria Math"/>
                </w:rPr>
                <m:t>#</m:t>
              </m:r>
              <m:d>
                <m:dPr>
                  <m:ctrlPr>
                    <w:rPr>
                      <w:rFonts w:ascii="Cambria Math" w:hAnsi="Cambria Math"/>
                    </w:rPr>
                  </m:ctrlPr>
                </m:dPr>
                <m:e>
                  <m:r>
                    <m:rPr>
                      <m:sty m:val="p"/>
                    </m:rPr>
                    <w:rPr>
                      <w:rFonts w:ascii="Cambria Math" w:hAnsi="Cambria Math"/>
                    </w:rPr>
                    <m:t>6.3.1.2</m:t>
                  </m:r>
                </m:e>
              </m:d>
            </m:e>
          </m:eqArr>
        </m:oMath>
      </m:oMathPara>
    </w:p>
    <w:p w14:paraId="7C761425" w14:textId="6B0BDEBA" w:rsidR="00C716D3" w:rsidRPr="00C716D3" w:rsidRDefault="00C716D3" w:rsidP="00C716D3">
      <w:r w:rsidRPr="00C716D3">
        <w:t xml:space="preserve">for observations </w:t>
      </w:r>
      <m:oMath>
        <m:r>
          <w:rPr>
            <w:rFonts w:ascii="Cambria Math" w:hAnsi="Cambria Math"/>
          </w:rPr>
          <m:t>i</m:t>
        </m:r>
      </m:oMath>
      <w:r w:rsidRPr="00C716D3">
        <w:t xml:space="preserve">, a vector of covariates </w:t>
      </w:r>
      <m:oMath>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oMath>
      <w:r w:rsidRPr="00C716D3">
        <w:t xml:space="preserve">, and a vector of coefficients </w:t>
      </w:r>
      <m:oMath>
        <m:sSub>
          <m:sSubPr>
            <m:ctrlPr>
              <w:rPr>
                <w:rFonts w:ascii="Cambria Math" w:hAnsi="Cambria Math"/>
              </w:rPr>
            </m:ctrlPr>
          </m:sSubPr>
          <m:e>
            <m:r>
              <w:rPr>
                <w:rFonts w:ascii="Cambria Math" w:hAnsi="Cambria Math"/>
              </w:rPr>
              <m:t>β</m:t>
            </m:r>
          </m:e>
          <m:sub>
            <m:r>
              <w:rPr>
                <w:rFonts w:ascii="Cambria Math" w:hAnsi="Cambria Math"/>
              </w:rPr>
              <m:t>j</m:t>
            </m:r>
          </m:sub>
        </m:sSub>
      </m:oMath>
      <w:r w:rsidRPr="00C716D3">
        <w:t xml:space="preserve"> for each pathogen </w:t>
      </w:r>
      <m:oMath>
        <m:r>
          <w:rPr>
            <w:rFonts w:ascii="Cambria Math" w:hAnsi="Cambria Math"/>
          </w:rPr>
          <m:t>j</m:t>
        </m:r>
      </m:oMath>
      <w:r w:rsidRPr="00C716D3">
        <w:t>. However, we did not observe these probabilities directly. Rather, we observed ratios between sums of these probabilities, which reduce to ratios between sums of cases within each study. These observations therefore take the form:</w:t>
      </w:r>
    </w:p>
    <w:p w14:paraId="58EFC41B" w14:textId="23F479F8" w:rsidR="00C716D3" w:rsidRPr="00C716D3" w:rsidRDefault="005551EC" w:rsidP="00C716D3">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cases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pathogen</m:t>
                  </m:r>
                  <m:r>
                    <m:rPr>
                      <m:sty m:val="p"/>
                    </m:rPr>
                    <w:rPr>
                      <w:rFonts w:ascii="Cambria Math" w:hAnsi="Cambria Math"/>
                    </w:rPr>
                    <m:t xml:space="preserve"> </m:t>
                  </m:r>
                  <m:r>
                    <w:rPr>
                      <w:rFonts w:ascii="Cambria Math" w:hAnsi="Cambria Math"/>
                    </w:rPr>
                    <m:t>A</m:t>
                  </m:r>
                </m:num>
                <m:den>
                  <m:r>
                    <w:rPr>
                      <w:rFonts w:ascii="Cambria Math" w:hAnsi="Cambria Math"/>
                    </w:rPr>
                    <m:t>cases</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pathogen</m:t>
                  </m:r>
                  <m:r>
                    <m:rPr>
                      <m:sty m:val="p"/>
                    </m:rPr>
                    <w:rPr>
                      <w:rFonts w:ascii="Cambria Math" w:hAnsi="Cambria Math"/>
                    </w:rPr>
                    <m:t xml:space="preserve"> </m:t>
                  </m:r>
                  <m:r>
                    <w:rPr>
                      <w:rFonts w:ascii="Cambria Math" w:hAnsi="Cambria Math"/>
                    </w:rPr>
                    <m:t>B</m:t>
                  </m:r>
                </m:den>
              </m:f>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a</m:t>
                          </m:r>
                        </m:sup>
                      </m:sSubSup>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e>
                  </m:nary>
                </m:num>
                <m:den>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b</m:t>
                          </m:r>
                        </m:sup>
                      </m:sSubSup>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e>
                  </m:nary>
                </m:den>
              </m:f>
              <m:r>
                <m:rPr>
                  <m:sty m:val="p"/>
                </m:rPr>
                <w:rPr>
                  <w:rFonts w:ascii="Cambria Math" w:hAnsi="Cambria Math"/>
                </w:rPr>
                <m:t>#(6.3.1.3)</m:t>
              </m:r>
            </m:e>
          </m:eqArr>
        </m:oMath>
      </m:oMathPara>
    </w:p>
    <w:p w14:paraId="0143129C" w14:textId="583C0A5B" w:rsidR="00C716D3" w:rsidRPr="00C716D3" w:rsidRDefault="00C716D3" w:rsidP="00C716D3">
      <w:r w:rsidRPr="00C716D3">
        <w:t xml:space="preserve">where </w:t>
      </w:r>
      <m:oMath>
        <m:sSubSup>
          <m:sSubSupPr>
            <m:ctrlPr>
              <w:rPr>
                <w:rFonts w:ascii="Cambria Math" w:hAnsi="Cambria Math"/>
              </w:rPr>
            </m:ctrlPr>
          </m:sSubSup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a</m:t>
            </m:r>
          </m:sup>
        </m:sSubSup>
      </m:oMath>
      <w:r w:rsidRPr="00C716D3">
        <w:t xml:space="preserve"> is a weight of 0 or 1 that selects the mutually exclusive, collectively exhaustive most-detailed pathogens that make up observed pathogen A, which may be a composite observation. For example, for the “other bacterial, non-GBS” pathogen, </w:t>
      </w:r>
      <m:oMath>
        <m:sSub>
          <m:sSubPr>
            <m:ctrlPr>
              <w:rPr>
                <w:rFonts w:ascii="Cambria Math" w:hAnsi="Cambria Math"/>
              </w:rPr>
            </m:ctrlPr>
          </m:sSub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Sub>
      </m:oMath>
      <w:r w:rsidRPr="00C716D3">
        <w:t xml:space="preserve"> would be 1 for S. aureus, S. pneumoniae, H. influenzae, N. meningitidis, Listeria</w:t>
      </w:r>
      <w:r w:rsidRPr="00C716D3" w:rsidDel="00EC1089">
        <w:t xml:space="preserve"> </w:t>
      </w:r>
      <w:r w:rsidRPr="00C716D3">
        <w:t>monocytogenes, K. pneumoniae, E. coli, and other pathogens and 0 for GBS and virus. We dropped all observations where either the numerator or denominator had 0 observed cases in order to make this calculation and a forthcoming log transform possible. This may bias the model towards overestimating less common pathogens.</w:t>
      </w:r>
    </w:p>
    <w:p w14:paraId="052D9323" w14:textId="7F5F5E71" w:rsidR="00C716D3" w:rsidRPr="00C716D3" w:rsidRDefault="00C716D3" w:rsidP="00C716D3">
      <w:r w:rsidRPr="00C716D3">
        <w:t xml:space="preserve">Table 6.3.1.1 shows the covariates used for each infectious syndrome model; a typical specification included an intercept term, HAQ Index, a categorical age group dummy for large age bins, and any relevant vaccine coverage proportions by country. It is not possible to infer all coefficients </w:t>
      </w:r>
      <m:oMath>
        <m:sSub>
          <m:sSubPr>
            <m:ctrlPr>
              <w:rPr>
                <w:rFonts w:ascii="Cambria Math" w:hAnsi="Cambria Math"/>
              </w:rPr>
            </m:ctrlPr>
          </m:sSubPr>
          <m:e>
            <m:r>
              <w:rPr>
                <w:rFonts w:ascii="Cambria Math" w:hAnsi="Cambria Math"/>
              </w:rPr>
              <m:t>β</m:t>
            </m:r>
          </m:e>
          <m:sub>
            <m:r>
              <w:rPr>
                <w:rFonts w:ascii="Cambria Math" w:hAnsi="Cambria Math"/>
              </w:rPr>
              <m:t>j</m:t>
            </m:r>
          </m:sub>
        </m:sSub>
      </m:oMath>
      <w:r w:rsidRPr="00C716D3">
        <w:t xml:space="preserve"> from the observations since they are all relative. However, if we fix all of the coefficients for one pathogen to 0 as a reference group, then we obtain a well-posed inverse problem, as long as there is enough data to estimate the remaining coefficients. Without loss of generality, we assumed </w:t>
      </w:r>
      <m:oMath>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=0</m:t>
        </m:r>
      </m:oMath>
      <w:r w:rsidRPr="00C716D3">
        <w:t xml:space="preserve"> for all elements and obtain estimates of the remaining </w:t>
      </w:r>
      <m:oMath>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m:t>
        </m:r>
        <m:sSub>
          <m:sSubPr>
            <m:ctrlPr>
              <w:rPr>
                <w:rFonts w:ascii="Cambria Math" w:hAnsi="Cambria Math"/>
              </w:rPr>
            </m:ctrlPr>
          </m:sSubPr>
          <m:e>
            <m:r>
              <w:rPr>
                <w:rFonts w:ascii="Cambria Math" w:hAnsi="Cambria Math"/>
              </w:rPr>
              <m:t>β</m:t>
            </m:r>
          </m:e>
          <m:sub>
            <m:r>
              <w:rPr>
                <w:rFonts w:ascii="Cambria Math" w:hAnsi="Cambria Math"/>
              </w:rPr>
              <m:t>n</m:t>
            </m:r>
          </m:sub>
        </m:sSub>
      </m:oMath>
      <w:r w:rsidRPr="00C716D3">
        <w:t xml:space="preserve"> by minimising the sum of the residuals between log-transformed observations </w:t>
      </w:r>
      <m:oMath>
        <m:r>
          <w:rPr>
            <w:rFonts w:ascii="Cambria Math" w:hAnsi="Cambria Math"/>
          </w:rPr>
          <m:t>y</m:t>
        </m:r>
      </m:oMath>
      <w:r w:rsidRPr="00C716D3">
        <w:t xml:space="preserve"> and corresponding log-transformed predictions from equation 6.3.1.3:</w:t>
      </w:r>
    </w:p>
    <w:p w14:paraId="40725C7D" w14:textId="1BBE8FE4" w:rsidR="00C716D3" w:rsidRPr="00C716D3" w:rsidRDefault="005551EC" w:rsidP="00C716D3">
      <m:oMathPara>
        <m:oMath>
          <m:eqArr>
            <m:eqArrPr>
              <m:maxDist m:val="1"/>
              <m:ctrlPr>
                <w:rPr>
                  <w:rFonts w:ascii="Cambria Math" w:hAnsi="Cambria Math"/>
                </w:rPr>
              </m:ctrlPr>
            </m:eqArrPr>
            <m:e>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n</m:t>
                          </m:r>
                        </m:sub>
                      </m:sSub>
                    </m:lim>
                  </m:limLow>
                </m:fName>
                <m:e>
                  <m:r>
                    <w:rPr>
                      <w:rFonts w:ascii="Cambria Math" w:hAnsi="Cambria Math"/>
                    </w:rPr>
                    <m:t>f</m:t>
                  </m:r>
                  <m:d>
                    <m:dPr>
                      <m:ctrlPr>
                        <w:rPr>
                          <w:rFonts w:ascii="Cambria Math" w:hAnsi="Cambria Math"/>
                        </w:rPr>
                      </m:ctrlPr>
                    </m:dPr>
                    <m:e>
                      <m:r>
                        <w:rPr>
                          <w:rFonts w:ascii="Cambria Math" w:hAnsi="Cambria Math"/>
                        </w:rPr>
                        <m:t>β</m:t>
                      </m:r>
                    </m:e>
                  </m:d>
                  <m:r>
                    <m:rPr>
                      <m:sty m:val="p"/>
                    </m:rPr>
                    <w:rPr>
                      <w:rFonts w:ascii="Cambria Math" w:hAnsi="Cambria Math"/>
                    </w:rPr>
                    <m:t>≔</m:t>
                  </m:r>
                  <m:nary>
                    <m:naryPr>
                      <m:chr m:val="∑"/>
                      <m:supHide m:val="1"/>
                      <m:ctrlPr>
                        <w:rPr>
                          <w:rFonts w:ascii="Cambria Math" w:hAnsi="Cambria Math"/>
                        </w:rPr>
                      </m:ctrlPr>
                    </m:naryPr>
                    <m:sub>
                      <m:r>
                        <w:rPr>
                          <w:rFonts w:ascii="Cambria Math" w:hAnsi="Cambria Math"/>
                        </w:rPr>
                        <m:t>i</m:t>
                      </m:r>
                    </m:sub>
                    <m:sup/>
                    <m:e>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σ</m:t>
                              </m:r>
                            </m:e>
                            <m:sub>
                              <m:r>
                                <w:rPr>
                                  <w:rFonts w:ascii="Cambria Math" w:hAnsi="Cambria Math"/>
                                </w:rPr>
                                <m:t>i</m:t>
                              </m:r>
                            </m:sub>
                            <m:sup>
                              <m:r>
                                <m:rPr>
                                  <m:sty m:val="p"/>
                                </m:rPr>
                                <w:rPr>
                                  <w:rFonts w:ascii="Cambria Math" w:hAnsi="Cambria Math"/>
                                </w:rPr>
                                <m:t>2</m:t>
                              </m:r>
                            </m:sup>
                          </m:sSubSup>
                        </m:den>
                      </m:f>
                    </m:e>
                  </m:nary>
                  <m:sSup>
                    <m:sSupPr>
                      <m:ctrlPr>
                        <w:rPr>
                          <w:rFonts w:ascii="Cambria Math" w:hAnsi="Cambria Math"/>
                        </w:rPr>
                      </m:ctrlPr>
                    </m:sSupPr>
                    <m:e>
                      <m:d>
                        <m:dPr>
                          <m:begChr m:val="["/>
                          <m:endChr m:val="]"/>
                          <m:ctrlPr>
                            <w:rPr>
                              <w:rFonts w:ascii="Cambria Math" w:hAnsi="Cambria Math"/>
                            </w:rPr>
                          </m:ctrlPr>
                        </m:dPr>
                        <m:e>
                          <m:func>
                            <m:funcPr>
                              <m:ctrlPr>
                                <w:rPr>
                                  <w:rFonts w:ascii="Cambria Math" w:hAnsi="Cambria Math"/>
                                </w:rPr>
                              </m:ctrlPr>
                            </m:funcPr>
                            <m:fName>
                              <m:r>
                                <w:rPr>
                                  <w:rFonts w:ascii="Cambria Math" w:hAnsi="Cambria Math"/>
                                </w:rPr>
                                <m:t>ln</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e>
                              </m:d>
                            </m:e>
                          </m:func>
                          <m:r>
                            <m:rPr>
                              <m:sty m:val="p"/>
                            </m:rPr>
                            <w:rPr>
                              <w:rFonts w:ascii="Cambria Math" w:hAnsi="Cambria Math"/>
                            </w:rPr>
                            <m:t>-</m:t>
                          </m:r>
                          <m:func>
                            <m:funcPr>
                              <m:ctrlPr>
                                <w:rPr>
                                  <w:rFonts w:ascii="Cambria Math" w:hAnsi="Cambria Math"/>
                                </w:rPr>
                              </m:ctrlPr>
                            </m:funcPr>
                            <m:fName>
                              <m:r>
                                <w:rPr>
                                  <w:rFonts w:ascii="Cambria Math" w:hAnsi="Cambria Math"/>
                                </w:rPr>
                                <m:t>ln</m:t>
                              </m:r>
                            </m:fName>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a</m:t>
                                          </m:r>
                                        </m:sup>
                                      </m:sSubSup>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e>
                                  </m:nary>
                                </m:e>
                              </m:d>
                            </m:e>
                          </m:func>
                          <m:r>
                            <m:rPr>
                              <m:sty m:val="p"/>
                            </m:rPr>
                            <w:rPr>
                              <w:rFonts w:ascii="Cambria Math" w:hAnsi="Cambria Math"/>
                            </w:rPr>
                            <m:t>+</m:t>
                          </m:r>
                          <m:func>
                            <m:funcPr>
                              <m:ctrlPr>
                                <w:rPr>
                                  <w:rFonts w:ascii="Cambria Math" w:hAnsi="Cambria Math"/>
                                </w:rPr>
                              </m:ctrlPr>
                            </m:funcPr>
                            <m:fName>
                              <m:r>
                                <w:rPr>
                                  <w:rFonts w:ascii="Cambria Math" w:hAnsi="Cambria Math"/>
                                </w:rPr>
                                <m:t>ln</m:t>
                              </m:r>
                            </m:fName>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w</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b</m:t>
                                          </m:r>
                                        </m:sup>
                                      </m:sSubSup>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e>
                                  </m:nary>
                                </m:e>
                              </m:d>
                            </m:e>
                          </m:func>
                        </m:e>
                      </m:d>
                    </m:e>
                    <m:sup>
                      <m:r>
                        <m:rPr>
                          <m:sty m:val="p"/>
                        </m:rPr>
                        <w:rPr>
                          <w:rFonts w:ascii="Cambria Math" w:hAnsi="Cambria Math"/>
                        </w:rPr>
                        <m:t>2</m:t>
                      </m:r>
                    </m:sup>
                  </m:sSup>
                </m:e>
              </m:func>
              <m:r>
                <m:rPr>
                  <m:sty m:val="p"/>
                </m:rPr>
                <w:rPr>
                  <w:rFonts w:ascii="Cambria Math" w:hAnsi="Cambria Math"/>
                </w:rPr>
                <m:t>#</m:t>
              </m:r>
              <m:d>
                <m:dPr>
                  <m:ctrlPr>
                    <w:rPr>
                      <w:rFonts w:ascii="Cambria Math" w:hAnsi="Cambria Math"/>
                    </w:rPr>
                  </m:ctrlPr>
                </m:dPr>
                <m:e>
                  <m:r>
                    <m:rPr>
                      <m:sty m:val="p"/>
                    </m:rPr>
                    <w:rPr>
                      <w:rFonts w:ascii="Cambria Math" w:hAnsi="Cambria Math"/>
                    </w:rPr>
                    <m:t>6.3.1.4</m:t>
                  </m:r>
                </m:e>
              </m:d>
            </m:e>
          </m:eqArr>
        </m:oMath>
      </m:oMathPara>
    </w:p>
    <w:p w14:paraId="7E530447" w14:textId="716438C8" w:rsidR="00C716D3" w:rsidRPr="00C716D3" w:rsidRDefault="00C716D3" w:rsidP="00C716D3">
      <w:r w:rsidRPr="00C716D3">
        <w:t xml:space="preserve">where </w:t>
      </w:r>
      <m:oMath>
        <m:sSubSup>
          <m:sSubSupPr>
            <m:ctrlPr>
              <w:rPr>
                <w:rFonts w:ascii="Cambria Math" w:hAnsi="Cambria Math"/>
              </w:rPr>
            </m:ctrlPr>
          </m:sSubSupPr>
          <m:e>
            <m:r>
              <w:rPr>
                <w:rFonts w:ascii="Cambria Math" w:hAnsi="Cambria Math"/>
              </w:rPr>
              <m:t>σ</m:t>
            </m:r>
          </m:e>
          <m:sub>
            <m:r>
              <w:rPr>
                <w:rFonts w:ascii="Cambria Math" w:hAnsi="Cambria Math"/>
              </w:rPr>
              <m:t>i</m:t>
            </m:r>
          </m:sub>
          <m:sup>
            <m:r>
              <m:rPr>
                <m:sty m:val="p"/>
              </m:rPr>
              <w:rPr>
                <w:rFonts w:ascii="Cambria Math" w:hAnsi="Cambria Math"/>
              </w:rPr>
              <m:t>2</m:t>
            </m:r>
          </m:sup>
        </m:sSubSup>
      </m:oMath>
      <w:r w:rsidRPr="00C716D3">
        <w:t xml:space="preserve"> are variances corresponding to the data points. Equation 6.3.4 is a nonlinear likelihood minimisation problem that that we optimised using a standard implementation of the Gauss-Newton method.</w:t>
      </w:r>
      <w:r w:rsidRPr="00C716D3">
        <w:fldChar w:fldCharType="begin"/>
      </w:r>
      <w:r w:rsidR="00777247">
        <w:instrText xml:space="preserve"> ADDIN ZOTERO_ITEM CSL_CITATION {"citationID":"qxSvmlQG","properties":{"formattedCitation":"\\super 13\\nosupersub{}","plainCitation":"13","noteIndex":0},"citationItems":[{"id":"2r5qN3V4/IPynEoOe","uris":["http://zotero.org/groups/2154524/items/NP648TIK"],"itemData":{"id":20209,"type":"book","abstract":"Numerical Optimization presents a comprehensive and up-to-date description of the most effective methods in continuous optimization. It responds to the growing interest in optimization in engineering, science, and business by focusing on the methods that are best suited to practical problems. For this new edition the book has been thoroughly updated throughout. There are new chapters on nonlinear interior methods and derivative-free methods for optimization, both of which are used widely in practice and the focus of much current research. Because of the emphasis on practical methods, as well as the extensive illustrations and exercises, the book is accessible to a wide audience. It can be used as a graduate text in engineering, operations research, mathematics, computer science, and business. It also serves as a handbook for researchers and practitioners in the field. The authors have strived to produce a text that is pleasant to read, informative, and rigorous - one that reveals both the beautiful nature of the discipline and its practical side.","collection-title":"Springer Series in Operations Research and Financial Engineering","edition":"2","event-place":"New York","ISBN":"978-0-387-30303-1","language":"en","note":"DOI: 10.1007/978-0-387-40065-5","publisher":"Springer-Verlag","publisher-place":"New York","source":"www.springer.com","title":"Numerical optimization","URL":"https://www.springer.com/gp/book/9780387303031","author":[{"family":"Nocedal","given":"Jorge"},{"family":"Wright","given":"S."}],"accessed":{"date-parts":[["2021",5,3]]},"issued":{"date-parts":[["2006"]]}}}],"schema":"https://github.com/citation-style-language/schema/raw/master/csl-citation.json"} </w:instrText>
      </w:r>
      <w:r w:rsidRPr="00C716D3">
        <w:fldChar w:fldCharType="separate"/>
      </w:r>
      <w:r w:rsidR="00777247" w:rsidRPr="00777247">
        <w:rPr>
          <w:rFonts w:ascii="Calibri" w:hAnsi="Calibri" w:cs="Calibri"/>
          <w:vertAlign w:val="superscript"/>
        </w:rPr>
        <w:t>13</w:t>
      </w:r>
      <w:r w:rsidRPr="00C716D3">
        <w:fldChar w:fldCharType="end"/>
      </w:r>
      <w:r w:rsidRPr="00C716D3">
        <w:t xml:space="preserve"> We then re-</w:t>
      </w:r>
      <w:proofErr w:type="spellStart"/>
      <w:r w:rsidRPr="00C716D3">
        <w:t>normalised</w:t>
      </w:r>
      <w:proofErr w:type="spellEnd"/>
      <w:r w:rsidRPr="00C716D3">
        <w:t xml:space="preserve"> the optimal coefficients to obtain final predictions of the probabilities of each pathogen:</w:t>
      </w:r>
    </w:p>
    <w:p w14:paraId="51D802B7" w14:textId="5ED3BE6A" w:rsidR="00C716D3" w:rsidRPr="00C716D3" w:rsidRDefault="005551EC" w:rsidP="00C716D3">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β</m:t>
                              </m:r>
                            </m:e>
                            <m:sub>
                              <m:r>
                                <w:rPr>
                                  <w:rFonts w:ascii="Cambria Math" w:hAnsi="Cambria Math"/>
                                </w:rPr>
                                <m:t>j</m:t>
                              </m:r>
                            </m:sub>
                          </m:sSub>
                        </m:e>
                      </m:d>
                    </m:e>
                  </m:func>
                </m:num>
                <m:den>
                  <m:nary>
                    <m:naryPr>
                      <m:chr m:val="∑"/>
                      <m:limLoc m:val="undOvr"/>
                      <m:supHide m:val="1"/>
                      <m:ctrlPr>
                        <w:rPr>
                          <w:rFonts w:ascii="Cambria Math" w:hAnsi="Cambria Math"/>
                        </w:rPr>
                      </m:ctrlPr>
                    </m:naryPr>
                    <m:sub>
                      <m:acc>
                        <m:accPr>
                          <m:ctrlPr>
                            <w:rPr>
                              <w:rFonts w:ascii="Cambria Math" w:hAnsi="Cambria Math"/>
                            </w:rPr>
                          </m:ctrlPr>
                        </m:accPr>
                        <m:e>
                          <m:r>
                            <w:rPr>
                              <w:rFonts w:ascii="Cambria Math" w:hAnsi="Cambria Math"/>
                            </w:rPr>
                            <m:t>j</m:t>
                          </m:r>
                        </m:e>
                      </m:acc>
                    </m:sub>
                    <m:sup/>
                    <m:e>
                      <m:func>
                        <m:funcPr>
                          <m:ctrlPr>
                            <w:rPr>
                              <w:rFonts w:ascii="Cambria Math" w:hAnsi="Cambria Math"/>
                            </w:rPr>
                          </m:ctrlPr>
                        </m:funcPr>
                        <m:fName>
                          <m:r>
                            <w:rPr>
                              <w:rFonts w:ascii="Cambria Math" w:hAnsi="Cambria Math"/>
                            </w:rPr>
                            <m:t>exp</m:t>
                          </m:r>
                        </m:fName>
                        <m:e>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acc>
                                    <m:accPr>
                                      <m:ctrlPr>
                                        <w:rPr>
                                          <w:rFonts w:ascii="Cambria Math" w:hAnsi="Cambria Math"/>
                                        </w:rPr>
                                      </m:ctrlPr>
                                    </m:accPr>
                                    <m:e>
                                      <m:r>
                                        <w:rPr>
                                          <w:rFonts w:ascii="Cambria Math" w:hAnsi="Cambria Math"/>
                                        </w:rPr>
                                        <m:t>j</m:t>
                                      </m:r>
                                    </m:e>
                                  </m:acc>
                                </m:sub>
                                <m:sup>
                                  <m:r>
                                    <w:rPr>
                                      <w:rFonts w:ascii="Cambria Math" w:hAnsi="Cambria Math"/>
                                    </w:rPr>
                                    <m:t>T</m:t>
                                  </m:r>
                                </m:sup>
                              </m:sSubSup>
                              <m:sSub>
                                <m:sSubPr>
                                  <m:ctrlPr>
                                    <w:rPr>
                                      <w:rFonts w:ascii="Cambria Math" w:hAnsi="Cambria Math"/>
                                    </w:rPr>
                                  </m:ctrlPr>
                                </m:sSubPr>
                                <m:e>
                                  <m:r>
                                    <w:rPr>
                                      <w:rFonts w:ascii="Cambria Math" w:hAnsi="Cambria Math"/>
                                    </w:rPr>
                                    <m:t>β</m:t>
                                  </m:r>
                                </m:e>
                                <m:sub>
                                  <m:acc>
                                    <m:accPr>
                                      <m:ctrlPr>
                                        <w:rPr>
                                          <w:rFonts w:ascii="Cambria Math" w:hAnsi="Cambria Math"/>
                                        </w:rPr>
                                      </m:ctrlPr>
                                    </m:accPr>
                                    <m:e>
                                      <m:r>
                                        <w:rPr>
                                          <w:rFonts w:ascii="Cambria Math" w:hAnsi="Cambria Math"/>
                                        </w:rPr>
                                        <m:t>j</m:t>
                                      </m:r>
                                    </m:e>
                                  </m:acc>
                                </m:sub>
                              </m:sSub>
                            </m:e>
                          </m:d>
                        </m:e>
                      </m:func>
                    </m:e>
                  </m:nary>
                </m:den>
              </m:f>
              <m:r>
                <m:rPr>
                  <m:sty m:val="p"/>
                </m:rPr>
                <w:rPr>
                  <w:rFonts w:ascii="Cambria Math" w:hAnsi="Cambria Math"/>
                </w:rPr>
                <m:t>#</m:t>
              </m:r>
              <m:d>
                <m:dPr>
                  <m:ctrlPr>
                    <w:rPr>
                      <w:rFonts w:ascii="Cambria Math" w:hAnsi="Cambria Math"/>
                    </w:rPr>
                  </m:ctrlPr>
                </m:dPr>
                <m:e>
                  <m:r>
                    <m:rPr>
                      <m:sty m:val="p"/>
                    </m:rPr>
                    <w:rPr>
                      <w:rFonts w:ascii="Cambria Math" w:hAnsi="Cambria Math"/>
                    </w:rPr>
                    <m:t>6.3.1.5</m:t>
                  </m:r>
                </m:e>
              </m:d>
            </m:e>
          </m:eqArr>
        </m:oMath>
      </m:oMathPara>
    </w:p>
    <w:p w14:paraId="66ED081C" w14:textId="7F330AFC" w:rsidR="00C716D3" w:rsidRPr="00C716D3" w:rsidRDefault="00C716D3" w:rsidP="00C716D3">
      <w:r w:rsidRPr="00C716D3">
        <w:t xml:space="preserve">To quantify the uncertainty of this estimate, we used asymptotic statistics to obtain the posterior distribution of </w:t>
      </w:r>
      <m:oMath>
        <m:sSub>
          <m:sSubPr>
            <m:ctrlPr>
              <w:rPr>
                <w:rFonts w:ascii="Cambria Math" w:hAnsi="Cambria Math"/>
              </w:rPr>
            </m:ctrlPr>
          </m:sSubPr>
          <m:e>
            <m:r>
              <m:rPr>
                <m:sty m:val="p"/>
              </m:rPr>
              <w:rPr>
                <w:rFonts w:ascii="Cambria Math" w:hAnsi="Cambria Math"/>
              </w:rPr>
              <m:t>(</m:t>
            </m:r>
            <m:r>
              <w:rPr>
                <w:rFonts w:ascii="Cambria Math" w:hAnsi="Cambria Math"/>
              </w:rPr>
              <m:t>β</m:t>
            </m:r>
          </m:e>
          <m:sub>
            <m:r>
              <m:rPr>
                <m:sty m:val="p"/>
              </m:rPr>
              <w:rPr>
                <w:rFonts w:ascii="Cambria Math" w:hAnsi="Cambria Math"/>
              </w:rPr>
              <m:t>2</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β</m:t>
            </m:r>
          </m:e>
          <m:sub>
            <m:r>
              <w:rPr>
                <w:rFonts w:ascii="Cambria Math" w:hAnsi="Cambria Math"/>
              </w:rPr>
              <m:t>n</m:t>
            </m:r>
          </m:sub>
        </m:sSub>
        <m:r>
          <m:rPr>
            <m:sty m:val="p"/>
          </m:rPr>
          <w:rPr>
            <w:rFonts w:ascii="Cambria Math" w:hAnsi="Cambria Math"/>
          </w:rPr>
          <m:t>)</m:t>
        </m:r>
      </m:oMath>
      <w:r w:rsidRPr="00C716D3">
        <w:t xml:space="preserve">. Specifically, using the Gauss-Newton Hessian approximation gave us the asymptotic information matrix for all </w:t>
      </w:r>
      <m:oMath>
        <m:sSub>
          <m:sSubPr>
            <m:ctrlPr>
              <w:rPr>
                <w:rFonts w:ascii="Cambria Math" w:hAnsi="Cambria Math"/>
              </w:rPr>
            </m:ctrlPr>
          </m:sSubPr>
          <m:e>
            <m:r>
              <w:rPr>
                <w:rFonts w:ascii="Cambria Math" w:hAnsi="Cambria Math"/>
              </w:rPr>
              <m:t>β</m:t>
            </m:r>
          </m:e>
          <m:sub>
            <m:r>
              <w:rPr>
                <w:rFonts w:ascii="Cambria Math" w:hAnsi="Cambria Math"/>
              </w:rPr>
              <m:t>j</m:t>
            </m:r>
          </m:sub>
        </m:sSub>
      </m:oMath>
      <w:r w:rsidRPr="00C716D3">
        <w:t xml:space="preserve"> except for the reference pathogen, allowing us to sample draws of </w:t>
      </w:r>
      <m:oMath>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n</m:t>
            </m:r>
          </m:sub>
        </m:sSub>
        <m:r>
          <m:rPr>
            <m:sty m:val="p"/>
          </m:rPr>
          <w:rPr>
            <w:rFonts w:ascii="Cambria Math" w:hAnsi="Cambria Math"/>
          </w:rPr>
          <m:t>)</m:t>
        </m:r>
      </m:oMath>
      <w:r w:rsidRPr="00C716D3">
        <w:t xml:space="preserve">. For each </w:t>
      </w:r>
      <m:oMath>
        <m:r>
          <w:rPr>
            <w:rFonts w:ascii="Cambria Math" w:hAnsi="Cambria Math"/>
          </w:rPr>
          <m:t>β</m:t>
        </m:r>
      </m:oMath>
      <w:r w:rsidRPr="00C716D3">
        <w:t xml:space="preserve"> draw and given feature </w:t>
      </w:r>
      <m:oMath>
        <m:r>
          <w:rPr>
            <w:rFonts w:ascii="Cambria Math" w:hAnsi="Cambria Math"/>
          </w:rPr>
          <m:t>x</m:t>
        </m:r>
      </m:oMath>
      <w:r w:rsidRPr="00C716D3">
        <w:t xml:space="preserve">, we obtained a corresponding draw of </w:t>
      </w:r>
      <m:oMath>
        <m:r>
          <w:rPr>
            <w:rFonts w:ascii="Cambria Math" w:hAnsi="Cambria Math"/>
          </w:rPr>
          <m:t>p</m:t>
        </m:r>
      </m:oMath>
      <w:r w:rsidRPr="00C716D3">
        <w:t xml:space="preserve"> using equation 6.3.1.5.</w:t>
      </w:r>
    </w:p>
    <w:p w14:paraId="2E5D0E03" w14:textId="7727142C" w:rsidR="00C716D3" w:rsidRPr="00C716D3" w:rsidRDefault="00C716D3" w:rsidP="00C716D3">
      <w:r w:rsidRPr="00C716D3">
        <w:t xml:space="preserve">Finally, to convert </w:t>
      </w: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m:t>
            </m:r>
            <m:r>
              <w:rPr>
                <w:rFonts w:ascii="Cambria Math" w:hAnsi="Cambria Math"/>
              </w:rPr>
              <m:t>j</m:t>
            </m:r>
          </m:sub>
        </m:sSub>
      </m:oMath>
      <w:r w:rsidRPr="00C716D3">
        <w:t xml:space="preserve"> for a given demographic group </w:t>
      </w:r>
      <m:oMath>
        <m:r>
          <w:rPr>
            <w:rFonts w:ascii="Cambria Math" w:hAnsi="Cambria Math"/>
          </w:rPr>
          <m:t>i</m:t>
        </m:r>
      </m:oMath>
      <w:r w:rsidRPr="00C716D3">
        <w:t xml:space="preserve"> from case space to deaths space, we transformed using our CFR estimate for demographic </w:t>
      </w:r>
      <m:oMath>
        <m:r>
          <w:rPr>
            <w:rFonts w:ascii="Cambria Math" w:hAnsi="Cambria Math"/>
          </w:rPr>
          <m:t>i</m:t>
        </m:r>
      </m:oMath>
      <w:r w:rsidRPr="00C716D3">
        <w:t>:</w:t>
      </w:r>
    </w:p>
    <w:p w14:paraId="42EF5BE3" w14:textId="45850799" w:rsidR="00C716D3" w:rsidRPr="00C716D3" w:rsidRDefault="005551EC" w:rsidP="00C716D3">
      <m:oMathPara>
        <m:oMath>
          <m:eqArr>
            <m:eqArrPr>
              <m:maxDist m:val="1"/>
              <m:ctrlPr>
                <w:rPr>
                  <w:rFonts w:ascii="Cambria Math" w:hAnsi="Cambria Math"/>
                </w:rPr>
              </m:ctrlPr>
            </m:eqArrPr>
            <m:e>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i,j</m:t>
                  </m:r>
                </m:sub>
                <m:sup>
                  <m:r>
                    <m:rPr>
                      <m:sty m:val="p"/>
                    </m:rPr>
                    <w:rPr>
                      <w:rFonts w:ascii="Cambria Math" w:hAnsi="Cambria Math"/>
                    </w:rPr>
                    <m:t>deaths</m:t>
                  </m:r>
                </m:sup>
              </m:sSubSup>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i,j</m:t>
                      </m:r>
                    </m:sub>
                  </m:sSub>
                  <m:r>
                    <m:rPr>
                      <m:sty m:val="p"/>
                    </m:rPr>
                    <w:rPr>
                      <w:rFonts w:ascii="Cambria Math" w:hAnsi="Cambria Math"/>
                    </w:rPr>
                    <m:t>×CF</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num>
                <m:den>
                  <m:nary>
                    <m:naryPr>
                      <m:chr m:val="∑"/>
                      <m:limLoc m:val="undOvr"/>
                      <m:supHide m:val="1"/>
                      <m:ctrlPr>
                        <w:rPr>
                          <w:rFonts w:ascii="Cambria Math" w:hAnsi="Cambria Math"/>
                        </w:rPr>
                      </m:ctrlPr>
                    </m:naryPr>
                    <m:sub>
                      <m:acc>
                        <m:accPr>
                          <m:ctrlPr>
                            <w:rPr>
                              <w:rFonts w:ascii="Cambria Math" w:hAnsi="Cambria Math"/>
                            </w:rPr>
                          </m:ctrlPr>
                        </m:accPr>
                        <m:e>
                          <m:r>
                            <m:rPr>
                              <m:sty m:val="p"/>
                            </m:rPr>
                            <w:rPr>
                              <w:rFonts w:ascii="Cambria Math" w:hAnsi="Cambria Math"/>
                            </w:rPr>
                            <m:t>j</m:t>
                          </m:r>
                        </m:e>
                      </m:acc>
                    </m:sub>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acc>
                            <m:accPr>
                              <m:ctrlPr>
                                <w:rPr>
                                  <w:rFonts w:ascii="Cambria Math" w:hAnsi="Cambria Math"/>
                                </w:rPr>
                              </m:ctrlPr>
                            </m:accPr>
                            <m:e>
                              <m:r>
                                <m:rPr>
                                  <m:sty m:val="p"/>
                                </m:rPr>
                                <w:rPr>
                                  <w:rFonts w:ascii="Cambria Math" w:hAnsi="Cambria Math"/>
                                </w:rPr>
                                <m:t>j</m:t>
                              </m:r>
                            </m:e>
                          </m:acc>
                        </m:sub>
                      </m:sSub>
                      <m:r>
                        <m:rPr>
                          <m:sty m:val="p"/>
                        </m:rPr>
                        <w:rPr>
                          <w:rFonts w:ascii="Cambria Math" w:hAnsi="Cambria Math"/>
                        </w:rPr>
                        <m:t>×CF</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e>
                  </m:nary>
                </m:den>
              </m:f>
              <m:r>
                <m:rPr>
                  <m:sty m:val="p"/>
                </m:rPr>
                <w:rPr>
                  <w:rFonts w:ascii="Cambria Math" w:hAnsi="Cambria Math"/>
                </w:rPr>
                <m:t>#</m:t>
              </m:r>
              <m:d>
                <m:dPr>
                  <m:ctrlPr>
                    <w:rPr>
                      <w:rFonts w:ascii="Cambria Math" w:hAnsi="Cambria Math"/>
                    </w:rPr>
                  </m:ctrlPr>
                </m:dPr>
                <m:e>
                  <m:r>
                    <m:rPr>
                      <m:sty m:val="p"/>
                    </m:rPr>
                    <w:rPr>
                      <w:rFonts w:ascii="Cambria Math" w:hAnsi="Cambria Math"/>
                    </w:rPr>
                    <m:t>6.3.1.6</m:t>
                  </m:r>
                </m:e>
              </m:d>
            </m:e>
          </m:eqArr>
        </m:oMath>
      </m:oMathPara>
    </w:p>
    <w:p w14:paraId="73A4E249" w14:textId="77777777" w:rsidR="00C716D3" w:rsidRPr="00C716D3" w:rsidRDefault="00C716D3" w:rsidP="00C716D3"/>
    <w:p w14:paraId="178A0E05" w14:textId="77777777" w:rsidR="00C716D3" w:rsidRPr="00C716D3" w:rsidRDefault="00C716D3" w:rsidP="00C716D3">
      <w:bookmarkStart w:id="67" w:name="_Toc73876914"/>
      <w:r w:rsidRPr="00C716D3">
        <w:t>Table 6.3.1.1: Pathogens assessed, pathogen distribution model covariates, and age groups for each infectious syndrome</w:t>
      </w:r>
      <w:bookmarkEnd w:id="67"/>
    </w:p>
    <w:tbl>
      <w:tblPr>
        <w:tblStyle w:val="PlainTable1"/>
        <w:tblW w:w="5000" w:type="pct"/>
        <w:tblLayout w:type="fixed"/>
        <w:tblLook w:val="04A0" w:firstRow="1" w:lastRow="0" w:firstColumn="1" w:lastColumn="0" w:noHBand="0" w:noVBand="1"/>
      </w:tblPr>
      <w:tblGrid>
        <w:gridCol w:w="1525"/>
        <w:gridCol w:w="3512"/>
        <w:gridCol w:w="2609"/>
        <w:gridCol w:w="1704"/>
      </w:tblGrid>
      <w:tr w:rsidR="00C716D3" w:rsidRPr="00C716D3" w14:paraId="42FA1587" w14:textId="77777777" w:rsidTr="000F32B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16" w:type="pct"/>
            <w:noWrap/>
            <w:hideMark/>
          </w:tcPr>
          <w:p w14:paraId="2648A744" w14:textId="77777777" w:rsidR="00C716D3" w:rsidRPr="00C716D3" w:rsidRDefault="00C716D3" w:rsidP="00C716D3">
            <w:pPr>
              <w:spacing w:after="160" w:line="259" w:lineRule="auto"/>
            </w:pPr>
            <w:r w:rsidRPr="00C716D3">
              <w:t>Infectious syndrome</w:t>
            </w:r>
          </w:p>
        </w:tc>
        <w:tc>
          <w:tcPr>
            <w:tcW w:w="1878" w:type="pct"/>
            <w:hideMark/>
          </w:tcPr>
          <w:p w14:paraId="4C45A030" w14:textId="77777777" w:rsidR="00C716D3" w:rsidRPr="00C716D3" w:rsidRDefault="00C716D3" w:rsidP="00C716D3">
            <w:pPr>
              <w:spacing w:after="160" w:line="259" w:lineRule="auto"/>
              <w:cnfStyle w:val="100000000000" w:firstRow="1" w:lastRow="0" w:firstColumn="0" w:lastColumn="0" w:oddVBand="0" w:evenVBand="0" w:oddHBand="0" w:evenHBand="0" w:firstRowFirstColumn="0" w:firstRowLastColumn="0" w:lastRowFirstColumn="0" w:lastRowLastColumn="0"/>
            </w:pPr>
            <w:r w:rsidRPr="00C716D3">
              <w:t>Pathogens assessed</w:t>
            </w:r>
          </w:p>
        </w:tc>
        <w:tc>
          <w:tcPr>
            <w:tcW w:w="1395" w:type="pct"/>
            <w:hideMark/>
          </w:tcPr>
          <w:p w14:paraId="261F2C07" w14:textId="77777777" w:rsidR="00C716D3" w:rsidRPr="00C716D3" w:rsidRDefault="00C716D3" w:rsidP="00C716D3">
            <w:pPr>
              <w:spacing w:after="160" w:line="259" w:lineRule="auto"/>
              <w:cnfStyle w:val="100000000000" w:firstRow="1" w:lastRow="0" w:firstColumn="0" w:lastColumn="0" w:oddVBand="0" w:evenVBand="0" w:oddHBand="0" w:evenHBand="0" w:firstRowFirstColumn="0" w:firstRowLastColumn="0" w:lastRowFirstColumn="0" w:lastRowLastColumn="0"/>
            </w:pPr>
            <w:r w:rsidRPr="00C716D3">
              <w:t>Model covariates</w:t>
            </w:r>
          </w:p>
        </w:tc>
        <w:tc>
          <w:tcPr>
            <w:tcW w:w="911" w:type="pct"/>
          </w:tcPr>
          <w:p w14:paraId="14E8D32D" w14:textId="77777777" w:rsidR="00C716D3" w:rsidRPr="00C716D3" w:rsidRDefault="00C716D3" w:rsidP="00C716D3">
            <w:pPr>
              <w:spacing w:after="160" w:line="259" w:lineRule="auto"/>
              <w:cnfStyle w:val="100000000000" w:firstRow="1" w:lastRow="0" w:firstColumn="0" w:lastColumn="0" w:oddVBand="0" w:evenVBand="0" w:oddHBand="0" w:evenHBand="0" w:firstRowFirstColumn="0" w:firstRowLastColumn="0" w:lastRowFirstColumn="0" w:lastRowLastColumn="0"/>
            </w:pPr>
            <w:r w:rsidRPr="00C716D3">
              <w:t>Age groups</w:t>
            </w:r>
          </w:p>
        </w:tc>
      </w:tr>
      <w:tr w:rsidR="00C716D3" w:rsidRPr="00C716D3" w14:paraId="618396C9" w14:textId="77777777" w:rsidTr="000F32B0">
        <w:trPr>
          <w:cnfStyle w:val="000000100000" w:firstRow="0" w:lastRow="0" w:firstColumn="0" w:lastColumn="0" w:oddVBand="0" w:evenVBand="0" w:oddHBand="1" w:evenHBand="0" w:firstRowFirstColumn="0" w:firstRowLastColumn="0" w:lastRowFirstColumn="0" w:lastRowLastColumn="0"/>
          <w:trHeight w:val="1704"/>
        </w:trPr>
        <w:tc>
          <w:tcPr>
            <w:cnfStyle w:val="001000000000" w:firstRow="0" w:lastRow="0" w:firstColumn="1" w:lastColumn="0" w:oddVBand="0" w:evenVBand="0" w:oddHBand="0" w:evenHBand="0" w:firstRowFirstColumn="0" w:firstRowLastColumn="0" w:lastRowFirstColumn="0" w:lastRowLastColumn="0"/>
            <w:tcW w:w="816" w:type="pct"/>
            <w:noWrap/>
            <w:hideMark/>
          </w:tcPr>
          <w:p w14:paraId="0F18AE05" w14:textId="77777777" w:rsidR="00C716D3" w:rsidRPr="00C716D3" w:rsidRDefault="00C716D3" w:rsidP="00C716D3">
            <w:pPr>
              <w:spacing w:after="160" w:line="259" w:lineRule="auto"/>
            </w:pPr>
            <w:r w:rsidRPr="00C716D3">
              <w:t>Bloodstream infections</w:t>
            </w:r>
          </w:p>
        </w:tc>
        <w:tc>
          <w:tcPr>
            <w:tcW w:w="1878" w:type="pct"/>
            <w:hideMark/>
          </w:tcPr>
          <w:p w14:paraId="40D89E5A"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Acinetobacter baumannii, Acinetobacter others, Burkholderia spp., Candida spp., Citrobacter spp., Enterobacter spp., Enterococcus faecalis, Enterococcus faecium, Escherichia coli, Gram-negative others, </w:t>
            </w:r>
            <w:proofErr w:type="spellStart"/>
            <w:r w:rsidRPr="00C716D3">
              <w:t>Haemophilus</w:t>
            </w:r>
            <w:proofErr w:type="spellEnd"/>
            <w:r w:rsidRPr="00C716D3">
              <w:t xml:space="preserve"> influenzae, Klebsiella others, Klebsiella pneumoniae, </w:t>
            </w:r>
            <w:proofErr w:type="spellStart"/>
            <w:r w:rsidRPr="00C716D3">
              <w:t>Morganella</w:t>
            </w:r>
            <w:proofErr w:type="spellEnd"/>
            <w:r w:rsidRPr="00C716D3">
              <w:t xml:space="preserve"> spp., Mycobacterium others, Neisseria meningitidis, Proteus spp., Pseudomonas aeruginosa, Serratia spp. Staphylococcus aureus, Group A Streptococcus, Group B Streptococcus, Streptococcus others, Streptococcus pneumoniae, Virus others</w:t>
            </w:r>
          </w:p>
        </w:tc>
        <w:tc>
          <w:tcPr>
            <w:tcW w:w="1395" w:type="pct"/>
            <w:hideMark/>
          </w:tcPr>
          <w:p w14:paraId="513FC6CC" w14:textId="5E063C9B"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HAQ Index,</w:t>
            </w:r>
            <w:r w:rsidRPr="00C716D3">
              <w:fldChar w:fldCharType="begin"/>
            </w:r>
            <w:r w:rsidR="00777247">
              <w:instrText xml:space="preserve"> ADDIN ZOTERO_ITEM CSL_CITATION {"citationID":"mbSp94ku","properties":{"formattedCitation":"\\super 14\\nosupersub{}","plainCitation":"14","noteIndex":0},"citationItems":[{"id":"2r5qN3V4/L9ryNHWb","uris":["http://zotero.org/groups/2154524/items/YLTPIF3T"],"itemData":{"id":40047,"type":"article-journal","abstract":"BACKGROUND: Health-care needs change throughout the life course. It is thus crucial to assess whether health systems provide access to quality health care for all ages. Drawing from the Global Burden of Diseases, Injuries, and Risk Factors Study 2019 (GBD 2019), we measured the Healthcare Access and Quality (HAQ) Index overall and for select age groups in 204 locations from 1990 to 2019.\nMETHODS: We distinguished the overall HAQ Index (ages 0-74 years) from scores for select age groups: the young (ages 0-14 years), working (ages 15-64 years), and post-working (ages 65-74 years) groups. For GBD 2019, HAQ Index construction methods were updated to use the arithmetic mean of scaled mortality-to-incidence ratios (MIRs) and risk-standardised death rates (RSDRs) for 32 causes of death that should not occur in the presence of timely, quality health care. Across locations and years, MIRs and RSDRs were scaled from 0 (worst) to 100 (best) separately, putting the HAQ Index on a different relative scale for each age group. We estimated absolute convergence for each group on the basis of whether the HAQ Index grew faster in absolute terms between 1990 and 2019 in countries with lower 1990 HAQ Index scores than countries with higher 1990 HAQ Index scores and by Socio-demographic Index (SDI) quintile. SDI is a summary metric of overall development.\nFINDINGS: Between 1990 and 2019, the HAQ Index increased overall (by 19·6 points, 95% uncertainty interval 17·9-21·3), as well as among the young (22·5, 19·9-24·7), working (17·2, 15·2-19·1), and post-working (15·1, 13·2-17·0) age groups. Large differences in HAQ Index scores were present across SDI levels in 2019, with the overall index ranging from 30·7 (28·6-33·0) on average in low-SDI countries to 83·4 (82·4-84·3) on average in high-SDI countries. Similarly large ranges between low-SDI and high-SDI countries, respectively, were estimated in the HAQ Index for the young (40·4-89·0), working (33·8-82·8), and post-working (30·4-79·1) groups. Absolute convergence in HAQ Index was estimated in the young group only. In contrast, divergence was estimated among the working and post-working groups, driven by slow progress in low-SDI countries.\nINTERPRETATION: Although major gaps remain across levels of social and economic development, convergence in the young group is an encouraging sign of reduced disparities in health-care access and quality. However, divergence in the working and post-working groups indicates that health-care access and quality is lagging at lower levels of social and economic development. To meet the needs of ageing populations, health systems need to improve health-care access and quality for working-age adults and older populations while continuing to realise gains among the young.\nFUNDING: Bill &amp; Melinda Gates Foundation.","container-title":"The Lancet. Global Health","DOI":"10.1016/S2214-109X(22)00429-6","ISSN":"2214-109X","issue":"12","journalAbbreviation":"Lancet Glob Health","language":"eng","note":"PMID: 36209761\nPMCID: PMC9666426","page":"e1715-e1743","source":"PubMed","title":"Assessing performance of the Healthcare Access and Quality Index, overall and by select age groups, for 204 countries and territories, 1990-2019: a systematic analysis from the Global Burden of Disease Study 2019","title-short":"Assessing performance of the Healthcare Access and Quality Index, overall and by select age groups, for 204 countries and territories, 1990-2019","volume":"10","author":[{"literal":"GBD 2019 Healthcare Access and Quality Collaborators"}],"issued":{"date-parts":[["2022",12]]}}}],"schema":"https://github.com/citation-style-language/schema/raw/master/csl-citation.json"} </w:instrText>
            </w:r>
            <w:r w:rsidRPr="00C716D3">
              <w:fldChar w:fldCharType="separate"/>
            </w:r>
            <w:r w:rsidR="00777247" w:rsidRPr="00777247">
              <w:rPr>
                <w:rFonts w:ascii="Calibri" w:hAnsi="Calibri" w:cs="Calibri"/>
                <w:vertAlign w:val="superscript"/>
              </w:rPr>
              <w:t>14</w:t>
            </w:r>
            <w:r w:rsidRPr="00C716D3">
              <w:fldChar w:fldCharType="end"/>
            </w:r>
            <w:r w:rsidRPr="00C716D3">
              <w:t xml:space="preserve"> age group, age-</w:t>
            </w:r>
            <w:proofErr w:type="spellStart"/>
            <w:r w:rsidRPr="00C716D3">
              <w:t>standardised</w:t>
            </w:r>
            <w:proofErr w:type="spellEnd"/>
            <w:r w:rsidRPr="00C716D3">
              <w:t xml:space="preserve"> proportion of intravenous drug use,</w:t>
            </w:r>
            <w:r w:rsidRPr="00C716D3">
              <w:fldChar w:fldCharType="begin"/>
            </w:r>
            <w:r w:rsidR="00777247">
              <w:instrText xml:space="preserve"> ADDIN ZOTERO_ITEM CSL_CITATION {"citationID":"iekD2esU","properties":{"formattedCitation":"\\super 15\\nosupersub{}","plainCitation":"15","noteIndex":0},"citationItems":[{"id":"2r5qN3V4/AEAFNi6s","uris":["http://zotero.org/groups/2154524/items/YDCGZYYT"],"itemData":{"id":40052,"type":"article-journal","abstract":"BACKGROUND: Understanding the health consequences associated with exposure to risk factors is necessary to inform public health policy and practice. To systematically quantify the contributions of risk factor exposures to specific health outcomes, the Global Burden of Diseases, Injuries, and Risk Factors Study (GBD) 2021 aims to provide comprehensive estimates of exposure levels, relative health risks, and attributable burden of disease for 88 risk factors in 204 countries and territories and 811 subnational locations, from 1990 to 2021.\nMETHODS: The GBD 2021 risk factor analysis used data from 54 561 total distinct sources to produce epidemiological estimates for 88 risk factors and their associated health outcomes for a total of 631 risk-outcome pairs. Pairs were included on the basis of data-driven determination of a risk-outcome association. Age-sex-location-year-specific estimates were generated at global, regional, and national levels. Our approach followed the comparative risk assessment framework predicated on a causal web of hierarchically organised, potentially combinative, modifiable risks. Relative risks (RRs) of a given outcome occurring as a function of risk factor exposure were estimated separately for each risk-outcome pair, and summary exposure values (SEVs), representing risk-weighted exposure prevalence, and theoretical minimum risk exposure levels (TMRELs) were estimated for each risk factor. These estimates were used to calculate the population attributable fraction (PAF; ie, the proportional change in health risk that would occur if exposure to a risk factor were reduced to the TMREL). The product of PAFs and disease burden associated with a given outcome, measured in disability-adjusted life-years (DALYs), yielded measures of attributable burden (ie, the proportion of total disease burden attributable to a particular risk factor or combination of risk factors). Adjustments for mediation were applied to account for relationships involving risk factors that act indirectly on outcomes via intermediate risks. Attributable burden estimates were stratified by Socio-demographic Index (SDI) quintile and presented as counts, age-standardised rates, and rankings. To complement estimates of RR and attributable burden, newly developed burden of proof risk function (BPRF) methods were applied to yield supplementary, conservative interpretations of risk-outcome associations based on the consistency of underlying evidence, accounting for unexplained heterogeneity between input data from different studies. Estimates reported represent the mean value across 500 draws from the estimate's distribution, with 95% uncertainty intervals (UIs) calculated as the 2·5th and 97·5th percentile values across the draws.\nFINDINGS: Among the specific risk factors analysed for this study, particulate matter air pollution was the leading contributor to the global disease burden in 2021, contributing 8·0% (95% UI 6·7-9·4) of total DALYs, followed by high systolic blood pressure (SBP; 7·8% [6·4-9·2]), smoking (5·7% [4·7-6·8]), low birthweight and short gestation (5·6% [4·8-6·3]), and high fasting plasma glucose (FPG; 5·4% [4·8-6·0]). For younger demographics (ie, those aged 0-4 years and 5-14 years), risks such as low birthweight and short gestation and unsafe water, sanitation, and handwashing (WaSH) were among the leading risk factors, while for older age groups, metabolic risks such as high SBP, high body-mass index (BMI), high FPG, and high LDL cholesterol had a greater impact. From 2000 to 2021, there was an observable shift in global health challenges, marked by a decline in the number of all-age DALYs broadly attributable to behavioural risks (decrease of 20·7% [13·9-27·7]) and environmental and occupational risks (decrease of 22·0% [15·5-28·8]), coupled with a 49·4% (42·3-56·9) increase in DALYs attributable to metabolic risks, all reflecting ageing populations and changing lifestyles on a global scale. Age-standardised global DALY rates attributable to high BMI and high FPG rose considerably (15·7% [9·9-21·7] for high BMI and 7·9% [3·3-12·9] for high FPG) over this period, with exposure to these risks increasing annually at rates of 1·8% (1·6-1·9) for high BMI and 1·3% (1·1-1·5) for high FPG. By contrast, the global risk-attributable burden and exposure to many other risk factors declined, notably for risks such as child growth failure and unsafe water source, with age-standardised attributable DALYs decreasing by 71·5% (64·4-78·8) for child growth failure and 66·3% (60·2-72·0) for unsafe water source. We separated risk factors into three groups according to trajectory over time: those with a decreasing attributable burden, due largely to declining risk exposure (eg, diet high in trans-fat and household air pollution) but also to proportionally smaller child and youth populations (eg, child and maternal malnutrition); those for which the burden increased moderately in spite of declining risk exposure, due largely to population ageing (eg, smoking); and those for which the burden increased considerably due to both increasing risk exposure and population ageing (eg, ambient particulate matter air pollution, high BMI, high FPG, and high SBP).\nINTERPRETATION: Substantial progress has been made in reducing the global disease burden attributable to a range of risk factors, particularly those related to maternal and child health, WaSH, and household air pollution. Maintaining efforts to minimise the impact of these risk factors, especially in low SDI locations, is necessary to sustain progress. Successes in moderating the smoking-related burden by reducing risk exposure highlight the need to advance policies that reduce exposure to other leading risk factors such as ambient particulate matter air pollution and high SBP. Troubling increases in high FPG, high BMI, and other risk factors related to obesity and metabolic syndrome indicate an urgent need to identify and implement interventions.\nFUNDING: Bill &amp; Melinda Gates Foundation.","container-title":"Lancet","DOI":"10.1016/S0140-6736(24)00933-4","ISSN":"1474-547X","issue":"10440","journalAbbreviation":"Lancet","language":"eng","note":"PMID: 38762324\nPMCID: PMC11120204","page":"2162-2203","source":"PubMed","title":"Global burden and strength of evidence for 88 risk factors in 204 countries and 811 subnational locations, 1990-2021: a systematic analysis for the Global Burden of Disease Study 2021","title-short":"Global burden and strength of evidence for 88 risk factors in 204 countries and 811 subnational locations, 1990-2021","volume":"403","author":[{"literal":"GBD 2021 Risk Factors Collaborators"}],"issued":{"date-parts":[["2024",5,18]]}}}],"schema":"https://github.com/citation-style-language/schema/raw/master/csl-citation.json"} </w:instrText>
            </w:r>
            <w:r w:rsidRPr="00C716D3">
              <w:fldChar w:fldCharType="separate"/>
            </w:r>
            <w:r w:rsidR="00777247" w:rsidRPr="00777247">
              <w:rPr>
                <w:rFonts w:ascii="Calibri" w:hAnsi="Calibri" w:cs="Calibri"/>
                <w:vertAlign w:val="superscript"/>
              </w:rPr>
              <w:t>15</w:t>
            </w:r>
            <w:r w:rsidRPr="00C716D3">
              <w:fldChar w:fldCharType="end"/>
            </w:r>
            <w:r w:rsidRPr="00C716D3">
              <w:t xml:space="preserve"> Proportion of people who as infants were vaccinated with PCV,</w:t>
            </w:r>
            <w:r w:rsidRPr="00C716D3">
              <w:fldChar w:fldCharType="begin"/>
            </w:r>
            <w:r w:rsidR="00777247">
              <w:instrText xml:space="preserve"> ADDIN ZOTERO_ITEM CSL_CITATION {"citationID":"42nIxnQo","properties":{"formattedCitation":"\\super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Proportion of population age 15 or younger who received PCV vaccine, mean temperature, inpatient utilization envelope</w:t>
            </w:r>
          </w:p>
        </w:tc>
        <w:tc>
          <w:tcPr>
            <w:tcW w:w="911" w:type="pct"/>
          </w:tcPr>
          <w:p w14:paraId="16BA73BA"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Neonatal,</w:t>
            </w:r>
          </w:p>
          <w:p w14:paraId="09F66477"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Post-neonatal–5,</w:t>
            </w:r>
          </w:p>
          <w:p w14:paraId="4C78DE0E"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5–50,</w:t>
            </w:r>
          </w:p>
          <w:p w14:paraId="53EB9B19"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50–70,</w:t>
            </w:r>
          </w:p>
          <w:p w14:paraId="10A9EA06"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70+</w:t>
            </w:r>
          </w:p>
        </w:tc>
      </w:tr>
      <w:tr w:rsidR="00C716D3" w:rsidRPr="00C716D3" w14:paraId="1997E798" w14:textId="77777777" w:rsidTr="000F32B0">
        <w:trPr>
          <w:trHeight w:val="1152"/>
        </w:trPr>
        <w:tc>
          <w:tcPr>
            <w:cnfStyle w:val="001000000000" w:firstRow="0" w:lastRow="0" w:firstColumn="1" w:lastColumn="0" w:oddVBand="0" w:evenVBand="0" w:oddHBand="0" w:evenHBand="0" w:firstRowFirstColumn="0" w:firstRowLastColumn="0" w:lastRowFirstColumn="0" w:lastRowLastColumn="0"/>
            <w:tcW w:w="816" w:type="pct"/>
            <w:noWrap/>
          </w:tcPr>
          <w:p w14:paraId="103C761D" w14:textId="77777777" w:rsidR="00C716D3" w:rsidRPr="00C716D3" w:rsidRDefault="00C716D3" w:rsidP="00C716D3">
            <w:pPr>
              <w:spacing w:after="160" w:line="259" w:lineRule="auto"/>
            </w:pPr>
            <w:r w:rsidRPr="00C716D3">
              <w:t>Infections of bones, joints, and related organs</w:t>
            </w:r>
          </w:p>
        </w:tc>
        <w:tc>
          <w:tcPr>
            <w:tcW w:w="1878" w:type="pct"/>
          </w:tcPr>
          <w:p w14:paraId="7A8BE8E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Acinetobacter baumannii, Enterobacter spp. Enterococcus faecalis, Enterococcus faecium, Escherichia coli, Gram-negative others, Gram-positive others, Klebsiella others, Klebsiella pneumoniae, </w:t>
            </w:r>
            <w:proofErr w:type="spellStart"/>
            <w:r w:rsidRPr="00C716D3">
              <w:t>Morganella</w:t>
            </w:r>
            <w:proofErr w:type="spellEnd"/>
            <w:r w:rsidRPr="00C716D3">
              <w:t xml:space="preserve"> spp., Proteus spp., Pseudomonas aeruginosa, Serratia spp., Staphylococcus aureus, Group A Streptococcus, Group B Streptococcus, Streptococcus others, Streptococcus pneumoniae</w:t>
            </w:r>
          </w:p>
        </w:tc>
        <w:tc>
          <w:tcPr>
            <w:tcW w:w="1395" w:type="pct"/>
          </w:tcPr>
          <w:p w14:paraId="647228B3"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HAQ Index, age group, Proportion of population age 15 or younger who received PCV vaccine</w:t>
            </w:r>
          </w:p>
        </w:tc>
        <w:tc>
          <w:tcPr>
            <w:tcW w:w="911" w:type="pct"/>
          </w:tcPr>
          <w:p w14:paraId="0A904BF3"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Under 5,</w:t>
            </w:r>
          </w:p>
          <w:p w14:paraId="5CBE527D"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5–50,</w:t>
            </w:r>
          </w:p>
          <w:p w14:paraId="0C6F5B8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50–70,</w:t>
            </w:r>
          </w:p>
          <w:p w14:paraId="27163264"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70+</w:t>
            </w:r>
          </w:p>
        </w:tc>
      </w:tr>
      <w:tr w:rsidR="00C716D3" w:rsidRPr="00C716D3" w14:paraId="2BFFB5E5" w14:textId="77777777" w:rsidTr="000F32B0">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816" w:type="pct"/>
            <w:noWrap/>
          </w:tcPr>
          <w:p w14:paraId="739C6DB6" w14:textId="77777777" w:rsidR="00C716D3" w:rsidRPr="00C716D3" w:rsidRDefault="00C716D3" w:rsidP="00C716D3">
            <w:pPr>
              <w:spacing w:after="160" w:line="259" w:lineRule="auto"/>
            </w:pPr>
            <w:r w:rsidRPr="00C716D3">
              <w:t>Endocarditis</w:t>
            </w:r>
          </w:p>
        </w:tc>
        <w:tc>
          <w:tcPr>
            <w:tcW w:w="1878" w:type="pct"/>
          </w:tcPr>
          <w:p w14:paraId="5329C17F"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Candida spp., Escherichia coli, Klebsiella pneumoniae, Pseudomonas aeruginosa, Staphylococcus aureus, Group A Streptococcus</w:t>
            </w:r>
          </w:p>
        </w:tc>
        <w:tc>
          <w:tcPr>
            <w:tcW w:w="1395" w:type="pct"/>
          </w:tcPr>
          <w:p w14:paraId="03F11203"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HAQ Index, age group</w:t>
            </w:r>
          </w:p>
        </w:tc>
        <w:tc>
          <w:tcPr>
            <w:tcW w:w="911" w:type="pct"/>
          </w:tcPr>
          <w:p w14:paraId="524CADA5"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Neonatal,</w:t>
            </w:r>
          </w:p>
          <w:p w14:paraId="62AE616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Post-neonatal–5,</w:t>
            </w:r>
          </w:p>
          <w:p w14:paraId="56DB19FC"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5–50,</w:t>
            </w:r>
          </w:p>
          <w:p w14:paraId="2E80BE87"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50–70,</w:t>
            </w:r>
          </w:p>
          <w:p w14:paraId="1C19FCB0"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70+</w:t>
            </w:r>
          </w:p>
        </w:tc>
      </w:tr>
      <w:tr w:rsidR="00C716D3" w:rsidRPr="00C716D3" w14:paraId="6DF6CA11" w14:textId="77777777" w:rsidTr="000F32B0">
        <w:trPr>
          <w:trHeight w:val="1152"/>
        </w:trPr>
        <w:tc>
          <w:tcPr>
            <w:cnfStyle w:val="001000000000" w:firstRow="0" w:lastRow="0" w:firstColumn="1" w:lastColumn="0" w:oddVBand="0" w:evenVBand="0" w:oddHBand="0" w:evenHBand="0" w:firstRowFirstColumn="0" w:firstRowLastColumn="0" w:lastRowFirstColumn="0" w:lastRowLastColumn="0"/>
            <w:tcW w:w="816" w:type="pct"/>
            <w:noWrap/>
          </w:tcPr>
          <w:p w14:paraId="0BF1D063" w14:textId="77777777" w:rsidR="00C716D3" w:rsidRPr="00C716D3" w:rsidRDefault="00C716D3" w:rsidP="00C716D3">
            <w:pPr>
              <w:spacing w:after="160" w:line="259" w:lineRule="auto"/>
            </w:pPr>
            <w:proofErr w:type="spellStart"/>
            <w:r w:rsidRPr="00C716D3">
              <w:t>Diarrhoea</w:t>
            </w:r>
            <w:proofErr w:type="spellEnd"/>
          </w:p>
        </w:tc>
        <w:tc>
          <w:tcPr>
            <w:tcW w:w="1878" w:type="pct"/>
          </w:tcPr>
          <w:p w14:paraId="56D4104C"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Adenovirus, Aeromonas spp., Amebiasis, Campylobacter spp.., Clostridium difficile, cryptosporidium, enteropathogenic Escherichia coli, enterotoxigenic Escherichia coli, non-typhoidal Salmonella, norovirus, rotavirus, Shigella spp.., Vibrio cholerae</w:t>
            </w:r>
          </w:p>
        </w:tc>
        <w:tc>
          <w:tcPr>
            <w:tcW w:w="1395" w:type="pct"/>
          </w:tcPr>
          <w:p w14:paraId="20822581"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Not modelled here. GBD </w:t>
            </w:r>
            <w:proofErr w:type="spellStart"/>
            <w:r w:rsidRPr="00C716D3">
              <w:t>diarrhoea</w:t>
            </w:r>
            <w:proofErr w:type="spellEnd"/>
            <w:r w:rsidRPr="00C716D3">
              <w:t xml:space="preserve"> </w:t>
            </w:r>
            <w:proofErr w:type="spellStart"/>
            <w:r w:rsidRPr="00C716D3">
              <w:t>aetiology</w:t>
            </w:r>
            <w:proofErr w:type="spellEnd"/>
            <w:r w:rsidRPr="00C716D3">
              <w:t xml:space="preserve"> estimates are used.</w:t>
            </w:r>
          </w:p>
        </w:tc>
        <w:tc>
          <w:tcPr>
            <w:tcW w:w="911" w:type="pct"/>
          </w:tcPr>
          <w:p w14:paraId="3BE57CF0"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GBD most detailed age groups</w:t>
            </w:r>
          </w:p>
        </w:tc>
      </w:tr>
      <w:tr w:rsidR="00C716D3" w:rsidRPr="00C716D3" w14:paraId="0F8E6BA2" w14:textId="77777777" w:rsidTr="000F32B0">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816" w:type="pct"/>
            <w:noWrap/>
            <w:hideMark/>
          </w:tcPr>
          <w:p w14:paraId="2FB2E7F0" w14:textId="77777777" w:rsidR="00C716D3" w:rsidRPr="00C716D3" w:rsidRDefault="00C716D3" w:rsidP="00C716D3">
            <w:pPr>
              <w:spacing w:after="160" w:line="259" w:lineRule="auto"/>
            </w:pPr>
            <w:r w:rsidRPr="00C716D3">
              <w:t>Lower respiratory infections</w:t>
            </w:r>
          </w:p>
        </w:tc>
        <w:tc>
          <w:tcPr>
            <w:tcW w:w="1878" w:type="pct"/>
            <w:hideMark/>
          </w:tcPr>
          <w:p w14:paraId="7D789C1B"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Acinetobacter baumannii, Acinetobacter others, Aspergillus spp., Chlamydia spp., Citrobacter spp., Enterobacter spp., Escherichia coli, Fungi others, Gram-negative others, </w:t>
            </w:r>
            <w:proofErr w:type="spellStart"/>
            <w:r w:rsidRPr="00C716D3">
              <w:t>Haemophilus</w:t>
            </w:r>
            <w:proofErr w:type="spellEnd"/>
            <w:r w:rsidRPr="00C716D3">
              <w:t xml:space="preserve"> influenzae, Influenza virus, Klebsiella others, Klebsiella pneumoniae, Legionella spp., </w:t>
            </w:r>
            <w:proofErr w:type="spellStart"/>
            <w:r w:rsidRPr="00C716D3">
              <w:t>Morganella</w:t>
            </w:r>
            <w:proofErr w:type="spellEnd"/>
            <w:r w:rsidRPr="00C716D3">
              <w:t xml:space="preserve"> spp., Mycobacterium others, Mycoplasma spp., Proteus spp., Pseudomonas aeruginosa, Respiratory syncytial virus, Serratia spp., Staphylococcus aureus, Group A Streptococcus, Group B Streptococcus, Streptococcus pneumoniae</w:t>
            </w:r>
          </w:p>
        </w:tc>
        <w:tc>
          <w:tcPr>
            <w:tcW w:w="1395" w:type="pct"/>
            <w:hideMark/>
          </w:tcPr>
          <w:p w14:paraId="1709A14F" w14:textId="19917161"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HAQ Index, Proportion of people who as infants were vaccinated with PCV,</w:t>
            </w:r>
            <w:r w:rsidRPr="00C716D3">
              <w:fldChar w:fldCharType="begin"/>
            </w:r>
            <w:r w:rsidR="00777247">
              <w:instrText xml:space="preserve"> ADDIN ZOTERO_ITEM CSL_CITATION {"citationID":"jM0sUoRX","properties":{"formattedCitation":"\\super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Proportion of population age 15 or younger who received PCV vaccine, Proportion of people who as infants were vaccinated with Hib3 vaccine,</w:t>
            </w:r>
            <w:r w:rsidRPr="00C716D3">
              <w:fldChar w:fldCharType="begin"/>
            </w:r>
            <w:r w:rsidR="00777247">
              <w:instrText xml:space="preserve"> ADDIN ZOTERO_ITEM CSL_CITATION {"citationID":"ZRfVvCL4","properties":{"formattedCitation":"\\super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Proportion of population age 15 or younger who received Hib3 vaccine, age group, HAI/CAI</w:t>
            </w:r>
          </w:p>
        </w:tc>
        <w:tc>
          <w:tcPr>
            <w:tcW w:w="911" w:type="pct"/>
          </w:tcPr>
          <w:p w14:paraId="677E23F2"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Neonatal,</w:t>
            </w:r>
          </w:p>
          <w:p w14:paraId="6D35E95B"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Post-neonatal–5,</w:t>
            </w:r>
          </w:p>
          <w:p w14:paraId="48463E38"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5–50,</w:t>
            </w:r>
          </w:p>
          <w:p w14:paraId="49CDD56A"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50–70,</w:t>
            </w:r>
          </w:p>
          <w:p w14:paraId="788132FF"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70+</w:t>
            </w:r>
          </w:p>
        </w:tc>
      </w:tr>
      <w:tr w:rsidR="00C716D3" w:rsidRPr="00C716D3" w14:paraId="1A2D03B2" w14:textId="77777777" w:rsidTr="000F32B0">
        <w:trPr>
          <w:trHeight w:val="288"/>
        </w:trPr>
        <w:tc>
          <w:tcPr>
            <w:cnfStyle w:val="001000000000" w:firstRow="0" w:lastRow="0" w:firstColumn="1" w:lastColumn="0" w:oddVBand="0" w:evenVBand="0" w:oddHBand="0" w:evenHBand="0" w:firstRowFirstColumn="0" w:firstRowLastColumn="0" w:lastRowFirstColumn="0" w:lastRowLastColumn="0"/>
            <w:tcW w:w="816" w:type="pct"/>
            <w:noWrap/>
            <w:hideMark/>
          </w:tcPr>
          <w:p w14:paraId="65C3D73A" w14:textId="77777777" w:rsidR="00C716D3" w:rsidRPr="00C716D3" w:rsidRDefault="00C716D3" w:rsidP="00C716D3">
            <w:pPr>
              <w:spacing w:after="160" w:line="259" w:lineRule="auto"/>
            </w:pPr>
            <w:r w:rsidRPr="00C716D3">
              <w:t>Meningitis</w:t>
            </w:r>
          </w:p>
        </w:tc>
        <w:tc>
          <w:tcPr>
            <w:tcW w:w="1878" w:type="pct"/>
            <w:hideMark/>
          </w:tcPr>
          <w:p w14:paraId="2524C0D0"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Acinetobacter baumannii, Candida spp., Escherichia coli, Fungi others, </w:t>
            </w:r>
            <w:proofErr w:type="spellStart"/>
            <w:r w:rsidRPr="00C716D3">
              <w:t>Haemophilus</w:t>
            </w:r>
            <w:proofErr w:type="spellEnd"/>
            <w:r w:rsidRPr="00C716D3">
              <w:t xml:space="preserve"> influenzae, Klebsiella pneumoniae, Listeria spp., Neisseria meningitidis, non-polio enteroviruses, Pseudomonas aeruginosa, coagulase-negative Staphylococcus, Staphylococcus aureus, Group B Streptococcus, Streptococcus others, Streptococcus pneumoniae, Virus others</w:t>
            </w:r>
          </w:p>
        </w:tc>
        <w:tc>
          <w:tcPr>
            <w:tcW w:w="1395" w:type="pct"/>
            <w:hideMark/>
          </w:tcPr>
          <w:p w14:paraId="0E059EE4" w14:textId="7D61C8AF"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HAQ Index, Proportion of people who as infants were vaccinated with PCV,</w:t>
            </w:r>
            <w:r w:rsidRPr="00C716D3">
              <w:fldChar w:fldCharType="begin"/>
            </w:r>
            <w:r w:rsidR="00777247">
              <w:instrText xml:space="preserve"> ADDIN ZOTERO_ITEM CSL_CITATION {"citationID":"QBBdQIYu","properties":{"formattedCitation":"\\super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Proportion of population age 15 or younger who received PCV vaccine, Proportion of people who as infants were vaccinated with Hib3 vaccine,</w:t>
            </w:r>
            <w:r w:rsidRPr="00C716D3">
              <w:fldChar w:fldCharType="begin"/>
            </w:r>
            <w:r w:rsidR="00777247">
              <w:instrText xml:space="preserve"> ADDIN ZOTERO_ITEM CSL_CITATION {"citationID":"POzzfr2J","properties":{"formattedCitation":"\\super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Proportion of population age 15 or younger who received Hib3 vaccine, age group, proportion of population covered by ’10-’15 </w:t>
            </w:r>
            <w:proofErr w:type="spellStart"/>
            <w:r w:rsidRPr="00C716D3">
              <w:t>MenAfriVac</w:t>
            </w:r>
            <w:proofErr w:type="spellEnd"/>
            <w:r w:rsidRPr="00C716D3">
              <w:t xml:space="preserve"> rollout</w:t>
            </w:r>
            <w:r w:rsidRPr="00C716D3">
              <w:fldChar w:fldCharType="begin"/>
            </w:r>
            <w:r w:rsidR="00777247">
              <w:instrText xml:space="preserve"> ADDIN ZOTERO_ITEM CSL_CITATION {"citationID":"NuHMNaaM","properties":{"formattedCitation":"\\super 17\\nosupersub{}","plainCitation":"17","noteIndex":0},"citationItems":[{"id":"2r5qN3V4/7o5TO18l","uris":["http://zotero.org/groups/2154524/items/6GB547GA"],"itemData":{"id":20950,"type":"report","event-place":"Geneva, Switzerland","publisher":"WHO","publisher-place":"Geneva, Switzerland","title":"Update on meningococcal A vaccine development and introduction. Presented at: WHO Product Development for Vaccines Advisory Committee Meeting (PD-VAC)","author":[{"family":"Preziosi","given":"MP"},{"literal":"Department of Immunization, Vaccines, and Biologicals (World Health Organization)"}],"issued":{"date-parts":[["2015",9,7]]}}}],"schema":"https://github.com/citation-style-language/schema/raw/master/csl-citation.json"} </w:instrText>
            </w:r>
            <w:r w:rsidRPr="00C716D3">
              <w:fldChar w:fldCharType="separate"/>
            </w:r>
            <w:r w:rsidR="00777247" w:rsidRPr="00777247">
              <w:rPr>
                <w:rFonts w:ascii="Calibri" w:hAnsi="Calibri" w:cs="Calibri"/>
                <w:vertAlign w:val="superscript"/>
              </w:rPr>
              <w:t>17</w:t>
            </w:r>
            <w:r w:rsidRPr="00C716D3">
              <w:fldChar w:fldCharType="end"/>
            </w:r>
          </w:p>
        </w:tc>
        <w:tc>
          <w:tcPr>
            <w:tcW w:w="911" w:type="pct"/>
          </w:tcPr>
          <w:p w14:paraId="08AD5491"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Neonatal,</w:t>
            </w:r>
          </w:p>
          <w:p w14:paraId="7C91F9F1"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Post-neonatal–5,</w:t>
            </w:r>
          </w:p>
          <w:p w14:paraId="072E8665"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5-50,</w:t>
            </w:r>
          </w:p>
          <w:p w14:paraId="1EE67D47"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50-70,</w:t>
            </w:r>
          </w:p>
          <w:p w14:paraId="0B60C33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70+</w:t>
            </w:r>
          </w:p>
        </w:tc>
      </w:tr>
      <w:tr w:rsidR="00C716D3" w:rsidRPr="00C716D3" w14:paraId="7C04A51C" w14:textId="77777777" w:rsidTr="000F32B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816" w:type="pct"/>
            <w:noWrap/>
            <w:hideMark/>
          </w:tcPr>
          <w:p w14:paraId="4BF395C9" w14:textId="77777777" w:rsidR="00C716D3" w:rsidRPr="00C716D3" w:rsidRDefault="00C716D3" w:rsidP="00C716D3">
            <w:pPr>
              <w:spacing w:after="160" w:line="259" w:lineRule="auto"/>
            </w:pPr>
            <w:r w:rsidRPr="00C716D3">
              <w:t>Peritoneal and intra-abdominal infections</w:t>
            </w:r>
          </w:p>
        </w:tc>
        <w:tc>
          <w:tcPr>
            <w:tcW w:w="1878" w:type="pct"/>
            <w:hideMark/>
          </w:tcPr>
          <w:p w14:paraId="5AC61CDB"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Acinetobacter baumannii, Acinetobacter others, Actinomyces spp., Aeromonas spp., Burkholderia spp., Candida spp., Chlamydia spp., Citrobacter spp., Entamoeba histolytica, Enterobacter spp., Enterococcus faecalis, Enterococcus faecium, Enterococcus others, Escherichia coli, Gram-negative others, Klebsiella others, Klebsiella pneumoniae, </w:t>
            </w:r>
            <w:proofErr w:type="spellStart"/>
            <w:r w:rsidRPr="00C716D3">
              <w:t>Morganella</w:t>
            </w:r>
            <w:proofErr w:type="spellEnd"/>
            <w:r w:rsidRPr="00C716D3">
              <w:t xml:space="preserve"> spp. Proteus spp., Pseudomonas aeruginosa, Pseudomonas others, Serratia spp., Staphylococcus aureus, Streptococcus others, Streptococcus pneumoniae</w:t>
            </w:r>
          </w:p>
        </w:tc>
        <w:tc>
          <w:tcPr>
            <w:tcW w:w="1395" w:type="pct"/>
            <w:hideMark/>
          </w:tcPr>
          <w:p w14:paraId="7D4DD96B"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HAQ Index, age group</w:t>
            </w:r>
          </w:p>
        </w:tc>
        <w:tc>
          <w:tcPr>
            <w:tcW w:w="911" w:type="pct"/>
          </w:tcPr>
          <w:p w14:paraId="2E9AD23C"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Under 5, </w:t>
            </w:r>
          </w:p>
          <w:p w14:paraId="04802516"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5–50, </w:t>
            </w:r>
          </w:p>
          <w:p w14:paraId="431B75F0"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50–70, </w:t>
            </w:r>
          </w:p>
          <w:p w14:paraId="0F8853D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70+</w:t>
            </w:r>
          </w:p>
        </w:tc>
      </w:tr>
      <w:tr w:rsidR="00C716D3" w:rsidRPr="00C716D3" w14:paraId="269F75A9" w14:textId="77777777" w:rsidTr="000F32B0">
        <w:trPr>
          <w:trHeight w:val="288"/>
        </w:trPr>
        <w:tc>
          <w:tcPr>
            <w:cnfStyle w:val="001000000000" w:firstRow="0" w:lastRow="0" w:firstColumn="1" w:lastColumn="0" w:oddVBand="0" w:evenVBand="0" w:oddHBand="0" w:evenHBand="0" w:firstRowFirstColumn="0" w:firstRowLastColumn="0" w:lastRowFirstColumn="0" w:lastRowLastColumn="0"/>
            <w:tcW w:w="816" w:type="pct"/>
            <w:noWrap/>
            <w:hideMark/>
          </w:tcPr>
          <w:p w14:paraId="593F0CBF" w14:textId="77777777" w:rsidR="00C716D3" w:rsidRPr="00C716D3" w:rsidRDefault="00C716D3" w:rsidP="00C716D3">
            <w:pPr>
              <w:spacing w:after="160" w:line="259" w:lineRule="auto"/>
            </w:pPr>
            <w:r w:rsidRPr="00C716D3">
              <w:t>Infections of the skin and subcutaneous systems</w:t>
            </w:r>
          </w:p>
        </w:tc>
        <w:tc>
          <w:tcPr>
            <w:tcW w:w="1878" w:type="pct"/>
            <w:hideMark/>
          </w:tcPr>
          <w:p w14:paraId="62D8D2AD"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Acinetobacter baumannii, Actinomyces spp., Aeromonas spp., Citrobacter spp., Clostridium others, Enterobacter spp., Enterococcus faecalis, Enterococcus faecium, Escherichia coli, Gram-negative others, Gram-positive others, Klebsiella others, Klebsiella pneumoniae, </w:t>
            </w:r>
            <w:proofErr w:type="spellStart"/>
            <w:r w:rsidRPr="00C716D3">
              <w:t>Morganella</w:t>
            </w:r>
            <w:proofErr w:type="spellEnd"/>
            <w:r w:rsidRPr="00C716D3">
              <w:t xml:space="preserve"> spp., Mycobacterium others, non-polio enteroviruses, Proteus spp., Pseudomonas aeruginosa, Serratia spp., Staphylococcus aureus Group A Streptococcus, Group B Streptococcus, Streptococcus others, Streptococcus pneumoniae, Virus others</w:t>
            </w:r>
          </w:p>
        </w:tc>
        <w:tc>
          <w:tcPr>
            <w:tcW w:w="1395" w:type="pct"/>
            <w:hideMark/>
          </w:tcPr>
          <w:p w14:paraId="33172824"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HAQ Index, age group</w:t>
            </w:r>
          </w:p>
        </w:tc>
        <w:tc>
          <w:tcPr>
            <w:tcW w:w="911" w:type="pct"/>
          </w:tcPr>
          <w:p w14:paraId="1A6BB92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Under 5, </w:t>
            </w:r>
          </w:p>
          <w:p w14:paraId="31AA0ED7"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5–50, </w:t>
            </w:r>
          </w:p>
          <w:p w14:paraId="64081E80"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 xml:space="preserve">50–70, </w:t>
            </w:r>
          </w:p>
          <w:p w14:paraId="268710E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70+</w:t>
            </w:r>
          </w:p>
        </w:tc>
      </w:tr>
      <w:tr w:rsidR="00C716D3" w:rsidRPr="00C716D3" w14:paraId="0F9CE49A" w14:textId="77777777" w:rsidTr="000F32B0">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816" w:type="pct"/>
            <w:noWrap/>
            <w:hideMark/>
          </w:tcPr>
          <w:p w14:paraId="4E7199C7" w14:textId="77777777" w:rsidR="00C716D3" w:rsidRPr="00C716D3" w:rsidRDefault="00C716D3" w:rsidP="00C716D3">
            <w:pPr>
              <w:spacing w:after="160" w:line="259" w:lineRule="auto"/>
            </w:pPr>
            <w:r w:rsidRPr="00C716D3">
              <w:t>Urinary tract infections and pyelonephritis</w:t>
            </w:r>
          </w:p>
        </w:tc>
        <w:tc>
          <w:tcPr>
            <w:tcW w:w="1878" w:type="pct"/>
            <w:hideMark/>
          </w:tcPr>
          <w:p w14:paraId="772548C6"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Acinetobacter baumannii, Acinetobacter others, Aeromonas spp., Burkholderia spp., Candida spp., Citrobacter spp., Enterobacter spp., Enterococcus faecalis, Enterococcus faecium, Enterococcus others, Escherichia coli, Fungi others, Gram-negative others, Klebsiella others, Klebsiella pneumoniae, </w:t>
            </w:r>
            <w:proofErr w:type="spellStart"/>
            <w:r w:rsidRPr="00C716D3">
              <w:t>Morganella</w:t>
            </w:r>
            <w:proofErr w:type="spellEnd"/>
            <w:r w:rsidRPr="00C716D3">
              <w:t xml:space="preserve"> spp., Proteus spp., Pseudomonas aeruginosa, Pseudomonas others, Serratia spp., coagulase-negative Staphylococcus, Staphylococcus aureus, Group B Streptococcus, Streptococcus others, Streptococcus pneumoniae</w:t>
            </w:r>
          </w:p>
        </w:tc>
        <w:tc>
          <w:tcPr>
            <w:tcW w:w="1395" w:type="pct"/>
            <w:hideMark/>
          </w:tcPr>
          <w:p w14:paraId="6C65B9D4" w14:textId="66A8D82B"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HAQ Index, age group, sex, Proportion of population age 15 or younger who received PCV vaccine,</w:t>
            </w:r>
            <w:r w:rsidRPr="00C716D3">
              <w:fldChar w:fldCharType="begin"/>
            </w:r>
            <w:r w:rsidR="00777247">
              <w:instrText xml:space="preserve"> ADDIN ZOTERO_ITEM CSL_CITATION {"citationID":"lDuvLh50","properties":{"formattedCitation":"\\super 16\\nosupersub{}","plainCitation":"16","noteIndex":0},"citationItems":[{"id":"2r5qN3V4/D7tHOAZ7","uris":["http://zotero.org/groups/2154524/items/KTVACLFK",["http://zotero.org/groups/2154524/items/KTVACLFK"]],"itemData":{"id":20952,"type":"article-journal","abstract":"&lt;h2&gt;Summary&lt;/h2&gt;&lt;h3&gt;Background&lt;/h3&gt;&lt;p&gt;Measuring routine childhood vaccination is crucial to inform global vaccine policies and programme implementation, and to track progress towards targets set by the Global Vaccine Action Plan (GVAP) and Immunization Agenda 2030. Robust estimates of routine vaccine coverage are needed to identify past successes and persistent vulnerabilities. Drawing from the Global Burden of Diseases, Injuries, and Risk Factors Study (GBD) 2020, Release 1, we did a systematic analysis of global, regional, and national vaccine coverage trends using a statistical framework, by vaccine and over time.&lt;/p&gt;&lt;h3&gt;Methods&lt;/h3&gt;&lt;p&gt;For this analysis we collated 55 326 country-specific, cohort-specific, year-specific, vaccine-specific, and dose-specific observations of routine childhood vaccination coverage between 1980 and 2019. Using spatiotemporal Gaussian process regression, we produced location-specific and year-specific estimates of 11 routine childhood vaccine coverage indicators for 204 countries and territories from 1980 to 2019, adjusting for biases in country-reported data and reflecting reported stockouts and supply disruptions. We analysed global and regional trends in coverage and numbers of zero-dose children (defined as those who never received a diphtheria-tetanus-pertussis [DTP] vaccine dose), progress towards GVAP targets, and the relationship between vaccine coverage and sociodemographic development.&lt;/p&gt;&lt;h3&gt;Findings&lt;/h3&gt;&lt;p&gt;By 2019, global coverage of third-dose DTP (DTP3; 81·6% [95% uncertainty interval 80·4–82·7]) more than doubled from levels estimated in 1980 (39·9% [37·5–42·1]), as did global coverage of the first-dose measles-containing vaccine (MCV1; from 38·5% [35·4–41·3] in 1980 to 83·6% [82·3–84·8] in 2019). Third-dose polio vaccine (Pol3) coverage also increased, from 42·6% (41·4–44·1) in 1980 to 79·8% (78·4–81·1) in 2019, and global coverage of newer vaccines increased rapidly between 2000 and 2019. The global number of zero-dose children fell by nearly 75% between 1980 and 2019, from 56·8 million (52·6–60·9) to 14·5 million (13·4–15·9). However, over the past decade, global vaccine coverage broadly plateaued; 94 countries and territories recorded decreasing DTP3 coverage since 2010. Only 11 countries and territories were estimated to have reached the national GVAP target of at least 90% coverage for all assessed vaccines in 2019.&lt;/p&gt;&lt;h3&gt;Interpretation&lt;/h3&gt;&lt;p&gt;After achieving large gains in childhood vaccine coverage worldwide, in much of the world this progress was stalled or reversed from 2010 to 2019. These findings underscore the importance of revisiting routine immunisation strategies and programmatic approaches, recentring service delivery around equity and underserved populations. Strengthening vaccine data and monitoring systems is crucial to these pursuits, now and through to 2030, to ensure that all children have access to, and can benefit from, lifesaving vaccines.&lt;/p&gt;&lt;h3&gt;Funding&lt;/h3&gt;&lt;p&gt;Bill &amp; Melinda Gates Foundation.&lt;/p&gt;","container-title":"Lancet","DOI":"10.1016/S0140-6736(21)00984-3","ISSN":"0140-6736, 1474-547X","issue":"10299","journalAbbreviation":"The Lancet","language":"English","note":"publisher: Elsevier\nPMID: 34273291","page":"503-521","source":"www.thelancet.com","title":"Measuring routine childhood vaccination coverage in 204 countries and territories, 1980–2019: a systematic analysis for the Global Burden of Disease Study 2020, Release 1","title-short":"Measuring routine childhood vaccination coverage in 204 countries and territories, 1980–2019","volume":"398","author":[{"family":"Galles","given":"Natalie C."},{"family":"Liu","given":"Patrick Y."},{"family":"Updike","given":"Rachel L."},{"family":"Fullman","given":"Nancy"},{"family":"Nguyen","given":"Jason"},{"family":"Rolfe","given":"Sam"},{"family":"Sbarra","given":"Alyssa N."},{"family":"Schipp","given":"Megan F."},{"family":"Marks","given":"Ashley"},{"family":"Abady","given":"Gdiom Gebreheat"},{"family":"Abbas","given":"Kaja M."},{"family":"Abbasi","given":"Sumra Wajid"},{"family":"Abbastabar","given":"Hedayat"},{"family":"Abd-Allah","given":"Foad"},{"family":"Abdoli","given":"Amir"},{"family":"Abolhassani","given":"Hassan"},{"family":"Abosetugn","given":"Akine Eshete"},{"family":"Adabi","given":"Maryam"},{"family":"Adamu","given":"Abdu A."},{"family":"Adetokunboh","given":"Olatunji O."},{"family":"Adnani","given":"Qorinah Estiningtyas Sakilah"},{"family":"Advani","given":"Shailesh M."},{"family":"Afzal","given":"Saira"},{"family":"Aghamir","given":"Seyed Mohammad Kazem"},{"family":"Ahinkorah","given":"Bright Opoku"},{"family":"Ahmad","given":"Sohail"},{"family":"Ahmad","given":"Tauseef"},{"family":"Ahmadi","given":"Sepideh"},{"family":"Ahmed","given":"Haroon"},{"family":"Ahmed","given":"Muktar Beshir"},{"family":"Rashid","given":"Tarik Ahmed"},{"family":"Salih","given":"Yusra Ahmed"},{"family":"Akalu","given":"Yonas"},{"family":"Aklilu","given":"Addis"},{"family":"Akunna","given":"Chisom Joyqueenet"},{"family":"Hamad","given":"Hanadi Al"},{"family":"Alahdab","given":"Fares"},{"family":"Albano","given":"Luciana"},{"family":"Alemayehu","given":"Yosef"},{"family":"Alene","given":"Kefyalew Addis"},{"family":"Al-Eyadhy","given":"Ayman"},{"family":"Alhassan","given":"Robert Kaba"},{"family":"Ali","given":"Liaqat"},{"family":"Aljunid","given":"Syed Mohamed"},{"family":"Almustanyir","given":"Sami"},{"family":"Altirkawi","given":"Khalid A."},{"family":"Alvis-Guzman","given":"Nelson"},{"family":"Amu","given":"Hubert"},{"family":"Andrei","given":"Catalina Liliana"},{"family":"Andrei","given":"Tudorel"},{"family":"Ansar","given":"Adnan"},{"family":"Ansari-Moghaddam","given":"Alireza"},{"family":"Antonazzo","given":"Ippazio Cosimo"},{"family":"Antony","given":"Benny"},{"family":"Arabloo","given":"Jalal"},{"family":"Arab-Zozani","given":"Morteza"},{"family":"Artanti","given":"Kurnia Dwi"},{"family":"Arulappan","given":"Judie"},{"family":"Awan","given":"Asma Tahir"},{"family":"Awoke","given":"Mamaru Ayenew"},{"family":"Ayza","given":"Muluken Altaye"},{"family":"Azarian","given":"Ghasem"},{"family":"Azzam","given":"Ahmed Y."},{"family":"B","given":"Darshan B."},{"family":"Babar","given":"Zaheer-Ud-Din"},{"family":"Balakrishnan","given":"Senthilkumar"},{"family":"Banach","given":"Maciej"},{"family":"Bante","given":"Simachew Animen"},{"family":"Bärnighausen","given":"Till Winfried"},{"family":"Barqawi","given":"Hiba Jawdat"},{"family":"Barrow","given":"Amadou"},{"family":"Bassat","given":"Quique"},{"family":"Bayarmagnai","given":"Narantuya"},{"family":"Ramirez","given":"Diana Fernanda Bejarano"},{"family":"Bekuma","given":"Tariku Tesfaye"},{"family":"Belay","given":"Habtamu Gebrehana"},{"family":"Belgaumi","given":"Uzma Iqbal"},{"family":"Bhagavathula","given":"Akshaya Srikanth"},{"family":"Bhandari","given":"Dinesh"},{"family":"Bhardwaj","given":"Nikha"},{"family":"Bhardwaj","given":"Pankaj"},{"family":"Bhaskar","given":"Sonu"},{"family":"Bhattacharyya","given":"Krittika"},{"family":"Bibi","given":"Sadia"},{"family":"Bijani","given":"Ali"},{"family":"Biondi","given":"Antonio"},{"family":"Boloor","given":"Archith"},{"family":"Braithwaite","given":"Dejana"},{"family":"Buonsenso","given":"Danilo"},{"family":"Butt","given":"Zahid A."},{"family":"Camargos","given":"Paulo"},{"family":"Carreras","given":"Giulia"},{"family":"Carvalho","given":"Felix"},{"family":"Castañeda-Orjuela","given":"Carlos A."},{"family":"Chakinala","given":"Raja Chandra"},{"family":"Charan","given":"Jaykaran"},{"family":"Chatterjee","given":"Souranshu"},{"family":"Chattu","given":"Soosanna Kumary"},{"family":"Chattu","given":"Vijay Kumar"},{"family":"Chowdhury","given":"Fazle Rabbi"},{"family":"Christopher","given":"Devasahayam J."},{"family":"Chu","given":"Dinh-Toi"},{"family":"Chung","given":"Sheng-Chia"},{"family":"Cortesi","given":"Paolo Angelo"},{"family":"Costa","given":"Vera Marisa"},{"family":"Couto","given":"Rosa A. S."},{"family":"Dadras","given":"Omid"},{"family":"Dagnew","given":"Amare Belachew"},{"family":"Dagnew","given":"Baye"},{"family":"Dai","given":"Xiaochen"},{"family":"Dandona","given":"Lalit"},{"family":"Dandona","given":"Rakhi"},{"family":"Neve","given":"Jan-Walter De"},{"family":"Molla","given":"Meseret Derbew"},{"family":"Derseh","given":"Behailu Tariku"},{"family":"Desai","given":"Rupak"},{"family":"Desta","given":"Abebaw Alemayehu"},{"family":"Dhamnetiya","given":"Deepak"},{"family":"Dhimal","given":"Mandira Lamichhane"},{"family":"Dhimal","given":"Meghnath"},{"family":"Dianatinasab","given":"Mostafa"},{"family":"Diaz","given":"Daniel"},{"family":"Djalalinia","given":"Shirin"},{"family":"Dorostkar","given":"Fariba"},{"family":"Edem","given":"Bassey"},{"family":"Edinur","given":"Hisham Atan"},{"family":"Eftekharzadeh","given":"Sahar"},{"family":"Sayed","given":"Iman El"},{"family":"Zaki","given":"Maysaa El Sayed"},{"family":"Elhadi","given":"Muhammed"},{"family":"El-Jaafary","given":"Shaimaa I."},{"family":"Elsharkawy","given":"Aisha"},{"family":"Enany","given":"Shymaa"},{"family":"Erkhembayar","given":"Ryenchindorj"},{"family":"Esezobor","given":"Christopher Imokhuede"},{"family":"Eskandarieh","given":"Sharareh"},{"family":"Ezeonwumelu","given":"Ifeanyi Jude"},{"family":"Ezzikouri","given":"Sayeh"},{"family":"Fares","given":"Jawad"},{"family":"Faris","given":"Pawan Sirwan"},{"family":"Feleke","given":"Berhanu Elfu"},{"family":"Ferede","given":"Tomas Y."},{"family":"Fernandes","given":"Eduarda"},{"family":"Fernandes","given":"João C."},{"family":"Ferrara","given":"Pietro"},{"family":"Filip","given":"Irina"},{"family":"Fischer","given":"Florian"},{"family":"Francis","given":"Mark Rohit"},{"family":"Fukumoto","given":"Takeshi"},{"family":"Gad","given":"Mohamed M."},{"family":"Gaidhane","given":"Shilpa"},{"family":"Gallus","given":"Silvano"},{"family":"Garg","given":"Tushar"},{"family":"Geberemariyam","given":"Biniyam Sahiledengle"},{"family":"Gebre","given":"Teshome"},{"family":"Gebregiorgis","given":"Birhan Gebresillassie"},{"family":"Gebremedhin","given":"Ketema Bizuwork"},{"family":"Gebremichael","given":"Berhe"},{"family":"Gessner","given":"Bradford D."},{"family":"Ghadiri","given":"Keyghobad"},{"family":"Ghafourifard","given":"Mansour"},{"family":"Ghashghaee","given":"Ahmad"},{"family":"Gilani","given":"Syed Amir"},{"family":"Glăvan","given":"Ionela-Roxana"},{"family":"Glushkova","given":"Ekaterina Vladimirovna"},{"family":"Golechha","given":"Mahaveer"},{"family":"Gonfa","given":"Kebebe Bekele"},{"family":"Gopalani","given":"Sameer Vali"},{"family":"Goudarzi","given":"Houman"},{"family":"Gubari","given":"Mohammed Ibrahim Mohialdeen"},{"family":"Guo","given":"Yuming"},{"family":"Gupta","given":"Veer Bala"},{"family":"Gupta","given":"Vivek Kumar"},{"family":"Gutiérrez","given":"Reyna Alma"},{"family":"Haeuser","given":"Emily"},{"family":"Halwani","given":"Rabih"},{"family":"Hamidi","given":"Samer"},{"family":"Hanif","given":"Asif"},{"family":"Haque","given":"Shafiul"},{"family":"Harapan","given":"Harapan"},{"family":"Hargono","given":"Arief"},{"family":"Hashi","given":"Abdiwahab"},{"family":"Hassan","given":"Shoaib"},{"family":"Hassanein","given":"Mohamed H."},{"family":"Hassanipour","given":"Soheil"},{"family":"Hassankhani","given":"Hadi"},{"family":"Hay","given":"Simon I."},{"family":"Hayat","given":"Khezar"},{"family":"Hegazy","given":"Mohamed I."},{"family":"Heidari","given":"Golnaz"},{"family":"Hezam","given":"Kamal"},{"family":"Holla","given":"Ramesh"},{"family":"Hoque","given":"Mohammad Enamul"},{"family":"Hosseini","given":"Mostafa"},{"family":"Hosseinzadeh","given":"Mehdi"},{"family":"Hostiuc","given":"Mihaela"},{"family":"Househ","given":"Mowafa"},{"family":"Hsieh","given":"Vivian Chia-rong"},{"family":"Huang","given":"Junjie"},{"family":"Humayun","given":"Ayesha"},{"family":"Hussain","given":"Rabia"},{"family":"Hussein","given":"Nawfal R."},{"family":"Ibitoye","given":"Segun Emmanuel"},{"family":"Ilesanmi","given":"Olayinka Stephen"},{"family":"Ilic","given":"Irena M."},{"family":"Ilic","given":"Milena D."},{"family":"Inamdar","given":"Sumant"},{"family":"Iqbal","given":"Usman"},{"family":"Irham","given":"Lalu Muhammad"},{"family":"Irvani","given":"Seyed Sina Naghibi"},{"family":"Islam","given":"Sheikh Mohammed Shariful"},{"family":"Ismail","given":"Nahlah Elkudssiah"},{"family":"Itumalla","given":"Ramaiah"},{"family":"Jha","given":"Ravi Prakash"},{"family":"Joukar","given":"Farahnaz"},{"family":"Kabir","given":"Ali"},{"family":"Kabir","given":"Zubair"},{"family":"Kalhor","given":"Rohollah"},{"family":"Kamal","given":"Zul"},{"family":"Kamande","given":"Stanley M."},{"family":"Kandel","given":"Himal"},{"family":"Karch","given":"André"},{"family":"Kassahun","given":"Getinet"},{"family":"Kassebaum","given":"Nicholas J."},{"family":"Katoto","given":"Patrick DMC"},{"family":"Kelkay","given":"Bayew"},{"family":"Kengne","given":"Andre Pascal"},{"family":"Khader","given":"Yousef Saleh"},{"family":"Khajuria","given":"Himanshu"},{"family":"Khalil","given":"Ibrahim A."},{"family":"Khan","given":"Ejaz Ahmad"},{"family":"Khan","given":"Gulfaraz"},{"family":"Khan","given":"Junaid"},{"family":"Khan","given":"Maseer"},{"family":"Khan","given":"Moien AB"},{"family":"Khang","given":"Young-Ho"},{"family":"Khoja","given":"Abdullah T."},{"family":"Khubchandani","given":"Jagdish"},{"family":"Kim","given":"Gyu Ri"},{"family":"Kim","given":"Min Seo"},{"family":"Kim","given":"Yun Jin"},{"family":"Kimokoti","given":"Ruth W."},{"family":"Kisa","given":"Adnan"},{"family":"Kisa","given":"Sezer"},{"family":"Korshunov","given":"Vladimir Andreevich"},{"family":"Kosen","given":"Soewarta"},{"family":"Defo","given":"Barthelemy Kuate"},{"family":"Kulkarni","given":"Vaman"},{"family":"Kumar","given":"Avinash"},{"family":"Kumar","given":"G. Anil"},{"family":"Kumar","given":"Nithin"},{"family":"Kwarteng","given":"Alexander"},{"family":"Vecchia","given":"Carlo La"},{"family":"Lami","given":"Faris Hasan"},{"family":"Landires","given":"Iván"},{"family":"Lasrado","given":"Savita"},{"family":"Lassi","given":"Zohra S."},{"family":"Lee","given":"Hankil"},{"family":"Lee","given":"Yeong Yeh"},{"family":"Levi","given":"Miriam"},{"family":"Lewycka","given":"Sonia"},{"family":"Li","given":"Shanshan"},{"family":"Liu","given":"Xuefeng"},{"family":"Lobo","given":"Stany W."},{"family":"Lopukhov","given":"Platon D."},{"family":"Lozano","given":"Rafael"},{"family":"Saute","given":"Ricardo Lutzky"},{"family":"Razek","given":"Muhammed Magdy Abd El"},{"family":"Makki","given":"Alaa"},{"family":"Malik","given":"Ahmad Azam"},{"family":"Mansour-Ghanaei","given":"Fariborz"},{"family":"Mansournia","given":"Mohammad Ali"},{"family":"Mantovani","given":"Lorenzo Giovanni"},{"family":"Martins-Melo","given":"Francisco Rogerlândio"},{"family":"Matthews","given":"Philippa C."},{"family":"Medina","given":"John Robert Carabeo"},{"family":"Mendoza","given":"Walter"},{"family":"Menezes","given":"Ritesh G."},{"family":"Mengesha","given":"Endalkachew Worku"},{"family":"Meretoja","given":"Tuomo J."},{"family":"Mersha","given":"Amanual Getnet"},{"family":"Mesregah","given":"Mohamed Kamal"},{"family":"Mestrovic","given":"Tomislav"},{"family":"Miazgowski","given":"Bartosz"},{"family":"Milne","given":"George J."},{"family":"Mirica","given":"Andreea"},{"family":"Mirrakhimov","given":"Erkin M."},{"family":"Mirzaei","given":"Hamid Reza"},{"family":"Misra","given":"Sanjeev"},{"family":"Mithra","given":"Prasanna"},{"family":"Moghadaszadeh","given":"Masoud"},{"family":"Mohamed","given":"Teroj Abdulrahman"},{"family":"Mohammad","given":"Karzan Abdulmuhsin"},{"family":"Mohammad","given":"Yousef"},{"family":"Mohammadi","given":"Mokhtar"},{"family":"Mohammadian-Hafshejani","given":"Abdollah"},{"family":"Mohammed","given":"Arif"},{"family":"Mohammed","given":"Shafiu"},{"family":"Mohapatra","given":"Archisman"},{"family":"Mokdad","given":"Ali H."},{"family":"Molokhia","given":"Mariam"},{"family":"Monasta","given":"Lorenzo"},{"family":"Moni","given":"Mohammad Ali"},{"family":"Montasir","given":"Ahmed Al"},{"family":"Moore","given":"Catrin E."},{"family":"Moradi","given":"Ghobad"},{"family":"Moradzadeh","given":"Rahmatollah"},{"family":"Moraga","given":"Paula"},{"family":"Mueller","given":"Ulrich Otto"},{"family":"Munro","given":"Sandra B."},{"family":"Naghavi","given":"Mohsen"},{"family":"Naimzada","given":"Mukhammad David"},{"family":"Naveed","given":"Muhammad"},{"family":"Nayak","given":"Biswa Prakash"},{"family":"Negoi","given":"Ionut"},{"family":"Kandel","given":"Sandhya Neupane"},{"family":"Nguyen","given":"Trang Huyen"},{"family":"Nikbakhsh","given":"Rajan"},{"family":"Ningrum","given":"Dina Nur Anggraini"},{"family":"Nixon","given":"Molly R."},{"family":"Nnaji","given":"Chukwudi A."},{"family":"Noubiap","given":"Jean Jacques"},{"family":"Nuñez-Samudio","given":"Virginia"},{"family":"Nwatah","given":"Vincent Ebuka"},{"family":"Oancea","given":"Bogdan"},{"family":"Ochir","given":"Chimedsuren"},{"family":"Ogbo","given":"Felix Akpojene"},{"family":"Olagunju","given":"Andrew T."},{"family":"Olakunde","given":"Babayemi Oluwaseun"},{"family":"Onwujekwe","given":"Obinna E."},{"family":"Otstavnov","given":"Nikita"},{"family":"Otstavnov","given":"Stanislav S."},{"family":"Owolabi","given":"Mayowa O."},{"family":"Padubidri","given":"Jagadish Rao"},{"family":"Pakshir","given":"Keyvan"},{"family":"Park","given":"Eun-Cheol"},{"family":"Kan","given":"Fatemeh Pashazadeh"},{"family":"Pathak","given":"Mona"},{"family":"Paudel","given":"Rajan"},{"family":"Pawar","given":"Shrikant"},{"family":"Pereira","given":"Jeevan"},{"family":"Peres","given":"Mario F. P."},{"family":"Perianayagam","given":"Arokiasamy"},{"family":"Pinheiro","given":"Marina"},{"family":"Pirestani","given":"Majid"},{"family":"Podder","given":"Vivek"},{"family":"Polibin","given":"Roman V."},{"family":"Pollok","given":"Richard Charles G."},{"family":"Postma","given":"Maarten J."},{"family":"Pottoo","given":"Faheem Hyder"},{"family":"Rabiee","given":"Mohammad"},{"family":"Rabiee","given":"Navid"},{"family":"Radfar","given":"Amir"},{"family":"Rafiei","given":"Alireza"},{"family":"Rahimi-Movaghar","given":"Vafa"},{"family":"Rahman","given":"Mosiur"},{"family":"Rahmani","given":"Amir Masoud"},{"family":"Rahmawaty","given":"Setyaningrum"},{"family":"Rajesh","given":"Aashish"},{"family":"Ramshaw","given":"Rebecca E."},{"family":"Ranasinghe","given":"Priyanga"},{"family":"Rao","given":"Chythra R."},{"family":"Rao","given":"Sowmya J."},{"family":"Rathi","given":"Priya"},{"family":"Rawaf","given":"David Laith"},{"family":"Rawaf","given":"Salman"},{"family":"Renzaho","given":"Andre M. N."},{"family":"Rezaei","given":"Negar"},{"family":"Rezai","given":"Mohammad Sadegh"},{"family":"Rios-Blancas","given":"Maria"},{"family":"Rogowski","given":"Emma L. B."},{"family":"Ronfani","given":"Luca"},{"family":"Rwegerera","given":"Godfrey M."},{"family":"Saad","given":"Anas M."},{"family":"Sabour","given":"Siamak"},{"family":"Saddik","given":"Basema"},{"family":"Saeb","given":"Mohammad Reza"},{"family":"Saeed","given":"Umar"},{"family":"Sahebkar","given":"Amirhossein"},{"family":"Sahraian","given":"Mohammad Ali"},{"family":"Salam","given":"Nasir"},{"family":"Salimzadeh","given":"Hamideh"},{"family":"Samaei","given":"Mehrnoosh"},{"family":"Samy","given":"Abdallah M."},{"family":"Sanabria","given":"Juan"},{"family":"Sanmarchi","given":"Francesco"},{"family":"Santric-Milicevic","given":"Milena M."},{"family":"Sartorius","given":"Benn"},{"family":"Sarveazad","given":"Arash"},{"family":"Sathian","given":"Brijesh"},{"family":"Sawhney","given":"Monika"},{"family":"Saxena","given":"Deepak"},{"family":"Saxena","given":"Sonia"},{"family":"Seidu","given":"Abdul-Aziz"},{"family":"Seylani","given":"Allen"},{"family":"Shaikh","given":"Masood Ali"},{"family":"Shamsizadeh","given":"Morteza"},{"family":"Shetty","given":"Pavanchand H."},{"family":"Shigematsu","given":"Mika"},{"family":"Shin","given":"Jae Il"},{"family":"Sidemo","given":"Negussie Boti"},{"family":"Singh","given":"Ambrish"},{"family":"Singh","given":"Jasvinder A."},{"family":"Sinha","given":"Smriti"},{"family":"Skryabin","given":"Valentin Yurievich"},{"family":"Skryabina","given":"Anna Aleksandrovna"},{"family":"Soheili","given":"Amin"},{"family":"Tadesse","given":"Eyayou Girma"},{"family":"Tamiru","given":"Animut Tagele"},{"family":"Tan","given":"Ker-Kan"},{"family":"Tekalegn","given":"Yohannes"},{"family":"Temsah","given":"Mohamad-Hani"},{"family":"Thakur","given":"Bhaskar"},{"family":"Thapar","given":"Rekha"},{"family":"Thavamani","given":"Aravind"},{"family":"Tobe-Gai","given":"Ruoyan"},{"family":"Tohidinik","given":"Hamid Reza"},{"family":"Tovani-Palone","given":"Marcos Roberto"},{"family":"Traini","given":"Eugenio"},{"family":"Tran","given":"Bach Xuan"},{"family":"Tripathi","given":"Manjari"},{"family":"Tsegaye","given":"Berhan"},{"family":"Tsegaye","given":"Gebiyaw Wudie"},{"family":"Ullah","given":"Anayat"},{"family":"Ullah","given":"Saif"},{"family":"Ullah","given":"Sana"},{"family":"Unim","given":"Brigid"},{"family":"Vacante","given":"Marco"},{"family":"Velazquez","given":"Diana Zuleika"},{"family":"Vo","given":"Bay"},{"family":"Vollmer","given":"Sebastian"},{"family":"Vu","given":"Giang Thu"},{"family":"Vu","given":"Linh Gia"},{"family":"Waheed","given":"Yasir"},{"family":"Winkler","given":"Andrea Sylvia"},{"family":"Wiysonge","given":"Charles Shey"},{"family":"Yiğit","given":"Vahit"},{"family":"Yirdaw","given":"Birhanu Wubale"},{"family":"Yon","given":"Dong Keon"},{"family":"Yonemoto","given":"Naohiro"},{"family":"Yu","given":"Chuanhua"},{"family":"Yuce","given":"Deniz"},{"family":"Yunusa","given":"Ismaeel"},{"family":"Zamani","given":"Mohammad"},{"family":"Zamanian","given":"Maryam"},{"family":"Zewdie","given":"Dejene Tesfaye"},{"family":"Zhang","given":"Zhi-Jiang"},{"family":"Zhong","given":"Chenwen"},{"family":"Zumla","given":"Alimuddin"},{"family":"Murray","given":"Christopher J. L."},{"family":"Lim","given":"Stephen S."},{"family":"Mosser","given":"Jonathan F."}],"issued":{"date-parts":[["2021",8,7]]}}}],"schema":"https://github.com/citation-style-language/schema/raw/master/csl-citation.json"} </w:instrText>
            </w:r>
            <w:r w:rsidRPr="00C716D3">
              <w:fldChar w:fldCharType="separate"/>
            </w:r>
            <w:r w:rsidR="00777247" w:rsidRPr="00777247">
              <w:rPr>
                <w:rFonts w:ascii="Calibri" w:hAnsi="Calibri" w:cs="Calibri"/>
                <w:vertAlign w:val="superscript"/>
              </w:rPr>
              <w:t>16</w:t>
            </w:r>
            <w:r w:rsidRPr="00C716D3">
              <w:fldChar w:fldCharType="end"/>
            </w:r>
            <w:r w:rsidRPr="00C716D3">
              <w:t xml:space="preserve"> HAI/CAI</w:t>
            </w:r>
          </w:p>
        </w:tc>
        <w:tc>
          <w:tcPr>
            <w:tcW w:w="911" w:type="pct"/>
          </w:tcPr>
          <w:p w14:paraId="1596FB6B"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Under 5, </w:t>
            </w:r>
          </w:p>
          <w:p w14:paraId="5C380605"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5–50, </w:t>
            </w:r>
          </w:p>
          <w:p w14:paraId="6C4BD8F6"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 xml:space="preserve">50–70, </w:t>
            </w:r>
          </w:p>
          <w:p w14:paraId="34CF4BD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70+</w:t>
            </w:r>
          </w:p>
        </w:tc>
      </w:tr>
    </w:tbl>
    <w:p w14:paraId="10FAA098" w14:textId="77777777" w:rsidR="00C716D3" w:rsidRPr="00C716D3" w:rsidRDefault="00C716D3" w:rsidP="00C716D3">
      <w:r w:rsidRPr="00C716D3">
        <w:t xml:space="preserve">Group A Streptococcus = Streptococcus pyogenes. Group B Streptococcus = Streptococcus agalactiae. HAQ Index = Healthcare Access and Quality Index. HAI/CAI = hospital-acquired infection/community-acquired infection. </w:t>
      </w:r>
    </w:p>
    <w:p w14:paraId="79EFA6FB" w14:textId="77777777" w:rsidR="00C716D3" w:rsidRPr="00C716D3" w:rsidRDefault="00C716D3" w:rsidP="00C716D3"/>
    <w:p w14:paraId="79E5DB20" w14:textId="77777777" w:rsidR="00C716D3" w:rsidRPr="00C716D3" w:rsidRDefault="00C716D3" w:rsidP="00C716D3">
      <w:bookmarkStart w:id="68" w:name="_Toc73876915"/>
      <w:r w:rsidRPr="00C716D3">
        <w:t>Table 6.3.1.3: Number of data points and parameters in each pathogen distribution model</w:t>
      </w:r>
      <w:bookmarkEnd w:id="68"/>
    </w:p>
    <w:tbl>
      <w:tblPr>
        <w:tblStyle w:val="PlainTable1"/>
        <w:tblW w:w="5000" w:type="pct"/>
        <w:tblLook w:val="04A0" w:firstRow="1" w:lastRow="0" w:firstColumn="1" w:lastColumn="0" w:noHBand="0" w:noVBand="1"/>
      </w:tblPr>
      <w:tblGrid>
        <w:gridCol w:w="4627"/>
        <w:gridCol w:w="2469"/>
        <w:gridCol w:w="2254"/>
      </w:tblGrid>
      <w:tr w:rsidR="00C716D3" w:rsidRPr="00C716D3" w14:paraId="6326E1BF" w14:textId="77777777" w:rsidTr="000F32B0">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401" w:type="pct"/>
            <w:noWrap/>
            <w:hideMark/>
          </w:tcPr>
          <w:p w14:paraId="021442DB" w14:textId="77777777" w:rsidR="00C716D3" w:rsidRPr="00C716D3" w:rsidRDefault="00C716D3" w:rsidP="00C716D3">
            <w:pPr>
              <w:spacing w:after="160" w:line="259" w:lineRule="auto"/>
            </w:pPr>
            <w:bookmarkStart w:id="69" w:name="_Hlk170136119"/>
            <w:r w:rsidRPr="00C716D3">
              <w:t>Infectious syndrome</w:t>
            </w:r>
          </w:p>
        </w:tc>
        <w:tc>
          <w:tcPr>
            <w:tcW w:w="1357" w:type="pct"/>
          </w:tcPr>
          <w:p w14:paraId="5E557225" w14:textId="77777777" w:rsidR="00C716D3" w:rsidRPr="00C716D3" w:rsidRDefault="00C716D3" w:rsidP="00C716D3">
            <w:pPr>
              <w:spacing w:after="160" w:line="259" w:lineRule="auto"/>
              <w:cnfStyle w:val="100000000000" w:firstRow="1" w:lastRow="0" w:firstColumn="0" w:lastColumn="0" w:oddVBand="0" w:evenVBand="0" w:oddHBand="0" w:evenHBand="0" w:firstRowFirstColumn="0" w:firstRowLastColumn="0" w:lastRowFirstColumn="0" w:lastRowLastColumn="0"/>
            </w:pPr>
            <w:r w:rsidRPr="00C716D3">
              <w:t>Number of data points</w:t>
            </w:r>
          </w:p>
        </w:tc>
        <w:tc>
          <w:tcPr>
            <w:tcW w:w="1242" w:type="pct"/>
          </w:tcPr>
          <w:p w14:paraId="0F08E431" w14:textId="77777777" w:rsidR="00C716D3" w:rsidRPr="00C716D3" w:rsidRDefault="00C716D3" w:rsidP="00C716D3">
            <w:pPr>
              <w:spacing w:after="160" w:line="259" w:lineRule="auto"/>
              <w:cnfStyle w:val="100000000000" w:firstRow="1" w:lastRow="0" w:firstColumn="0" w:lastColumn="0" w:oddVBand="0" w:evenVBand="0" w:oddHBand="0" w:evenHBand="0" w:firstRowFirstColumn="0" w:firstRowLastColumn="0" w:lastRowFirstColumn="0" w:lastRowLastColumn="0"/>
            </w:pPr>
            <w:r w:rsidRPr="00C716D3">
              <w:t>Number of parameters</w:t>
            </w:r>
          </w:p>
        </w:tc>
      </w:tr>
      <w:tr w:rsidR="00C716D3" w:rsidRPr="00C716D3" w14:paraId="4601EBD7" w14:textId="77777777" w:rsidTr="000F32B0">
        <w:trPr>
          <w:cnfStyle w:val="000000100000" w:firstRow="0" w:lastRow="0" w:firstColumn="0" w:lastColumn="0" w:oddVBand="0" w:evenVBand="0" w:oddHBand="1" w:evenHBand="0"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2401" w:type="pct"/>
            <w:noWrap/>
            <w:hideMark/>
          </w:tcPr>
          <w:p w14:paraId="65AF5432" w14:textId="77777777" w:rsidR="00C716D3" w:rsidRPr="00C716D3" w:rsidRDefault="00C716D3" w:rsidP="00C716D3">
            <w:pPr>
              <w:spacing w:after="160" w:line="259" w:lineRule="auto"/>
            </w:pPr>
            <w:r w:rsidRPr="00C716D3">
              <w:t>Bloodstream infections</w:t>
            </w:r>
          </w:p>
        </w:tc>
        <w:tc>
          <w:tcPr>
            <w:tcW w:w="1357" w:type="pct"/>
          </w:tcPr>
          <w:p w14:paraId="123DED0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147,310</w:t>
            </w:r>
          </w:p>
        </w:tc>
        <w:tc>
          <w:tcPr>
            <w:tcW w:w="1242" w:type="pct"/>
          </w:tcPr>
          <w:p w14:paraId="6CBA66AD"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286</w:t>
            </w:r>
          </w:p>
        </w:tc>
      </w:tr>
      <w:tr w:rsidR="00C716D3" w:rsidRPr="00C716D3" w14:paraId="7289B767" w14:textId="77777777" w:rsidTr="000F32B0">
        <w:trPr>
          <w:trHeight w:val="34"/>
        </w:trPr>
        <w:tc>
          <w:tcPr>
            <w:cnfStyle w:val="001000000000" w:firstRow="0" w:lastRow="0" w:firstColumn="1" w:lastColumn="0" w:oddVBand="0" w:evenVBand="0" w:oddHBand="0" w:evenHBand="0" w:firstRowFirstColumn="0" w:firstRowLastColumn="0" w:lastRowFirstColumn="0" w:lastRowLastColumn="0"/>
            <w:tcW w:w="2401" w:type="pct"/>
            <w:noWrap/>
          </w:tcPr>
          <w:p w14:paraId="52C16DA6" w14:textId="77777777" w:rsidR="00C716D3" w:rsidRPr="00C716D3" w:rsidRDefault="00C716D3" w:rsidP="00C716D3">
            <w:pPr>
              <w:spacing w:after="160" w:line="259" w:lineRule="auto"/>
            </w:pPr>
            <w:r w:rsidRPr="00C716D3">
              <w:t>Infections of bones, joints, and related organs</w:t>
            </w:r>
          </w:p>
        </w:tc>
        <w:tc>
          <w:tcPr>
            <w:tcW w:w="1357" w:type="pct"/>
          </w:tcPr>
          <w:p w14:paraId="61984B46"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5,657</w:t>
            </w:r>
          </w:p>
        </w:tc>
        <w:tc>
          <w:tcPr>
            <w:tcW w:w="1242" w:type="pct"/>
          </w:tcPr>
          <w:p w14:paraId="2A8CB1B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114</w:t>
            </w:r>
          </w:p>
        </w:tc>
      </w:tr>
      <w:tr w:rsidR="00C716D3" w:rsidRPr="00C716D3" w14:paraId="183DD089" w14:textId="77777777" w:rsidTr="000F32B0">
        <w:trPr>
          <w:cnfStyle w:val="000000100000" w:firstRow="0" w:lastRow="0" w:firstColumn="0" w:lastColumn="0" w:oddVBand="0" w:evenVBand="0" w:oddHBand="1"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2401" w:type="pct"/>
            <w:noWrap/>
          </w:tcPr>
          <w:p w14:paraId="284DDE09" w14:textId="77777777" w:rsidR="00C716D3" w:rsidRPr="00C716D3" w:rsidRDefault="00C716D3" w:rsidP="00C716D3">
            <w:pPr>
              <w:spacing w:after="160" w:line="259" w:lineRule="auto"/>
            </w:pPr>
            <w:r w:rsidRPr="00C716D3">
              <w:t>Endocarditis</w:t>
            </w:r>
          </w:p>
        </w:tc>
        <w:tc>
          <w:tcPr>
            <w:tcW w:w="1357" w:type="pct"/>
          </w:tcPr>
          <w:p w14:paraId="4E4BBD3C"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3,187</w:t>
            </w:r>
          </w:p>
        </w:tc>
        <w:tc>
          <w:tcPr>
            <w:tcW w:w="1242" w:type="pct"/>
          </w:tcPr>
          <w:p w14:paraId="4AA788F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35</w:t>
            </w:r>
          </w:p>
        </w:tc>
      </w:tr>
      <w:tr w:rsidR="00C716D3" w:rsidRPr="00C716D3" w14:paraId="3306C286" w14:textId="77777777" w:rsidTr="000F32B0">
        <w:trPr>
          <w:trHeight w:val="152"/>
        </w:trPr>
        <w:tc>
          <w:tcPr>
            <w:cnfStyle w:val="001000000000" w:firstRow="0" w:lastRow="0" w:firstColumn="1" w:lastColumn="0" w:oddVBand="0" w:evenVBand="0" w:oddHBand="0" w:evenHBand="0" w:firstRowFirstColumn="0" w:firstRowLastColumn="0" w:lastRowFirstColumn="0" w:lastRowLastColumn="0"/>
            <w:tcW w:w="2401" w:type="pct"/>
            <w:noWrap/>
            <w:hideMark/>
          </w:tcPr>
          <w:p w14:paraId="1675CDB9" w14:textId="77777777" w:rsidR="00C716D3" w:rsidRPr="00C716D3" w:rsidRDefault="00C716D3" w:rsidP="00C716D3">
            <w:pPr>
              <w:spacing w:after="160" w:line="259" w:lineRule="auto"/>
            </w:pPr>
            <w:r w:rsidRPr="00C716D3">
              <w:t>Lower respiratory infections</w:t>
            </w:r>
          </w:p>
        </w:tc>
        <w:tc>
          <w:tcPr>
            <w:tcW w:w="1357" w:type="pct"/>
          </w:tcPr>
          <w:p w14:paraId="4061DD4B"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197,345</w:t>
            </w:r>
          </w:p>
        </w:tc>
        <w:tc>
          <w:tcPr>
            <w:tcW w:w="1242" w:type="pct"/>
          </w:tcPr>
          <w:p w14:paraId="05734ABC"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286</w:t>
            </w:r>
          </w:p>
        </w:tc>
      </w:tr>
      <w:tr w:rsidR="00C716D3" w:rsidRPr="00C716D3" w14:paraId="6ED79509" w14:textId="77777777" w:rsidTr="000F32B0">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2401" w:type="pct"/>
            <w:noWrap/>
            <w:hideMark/>
          </w:tcPr>
          <w:p w14:paraId="2561594F" w14:textId="77777777" w:rsidR="00C716D3" w:rsidRPr="00C716D3" w:rsidRDefault="00C716D3" w:rsidP="00C716D3">
            <w:pPr>
              <w:spacing w:after="160" w:line="259" w:lineRule="auto"/>
            </w:pPr>
            <w:r w:rsidRPr="00C716D3">
              <w:t>Meningitis</w:t>
            </w:r>
          </w:p>
        </w:tc>
        <w:tc>
          <w:tcPr>
            <w:tcW w:w="1357" w:type="pct"/>
          </w:tcPr>
          <w:p w14:paraId="22AC023E"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38,205</w:t>
            </w:r>
          </w:p>
        </w:tc>
        <w:tc>
          <w:tcPr>
            <w:tcW w:w="1242" w:type="pct"/>
          </w:tcPr>
          <w:p w14:paraId="3BDED67F"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187</w:t>
            </w:r>
          </w:p>
        </w:tc>
      </w:tr>
      <w:tr w:rsidR="00C716D3" w:rsidRPr="00C716D3" w14:paraId="0440ABEE" w14:textId="77777777" w:rsidTr="000F32B0">
        <w:trPr>
          <w:trHeight w:val="56"/>
        </w:trPr>
        <w:tc>
          <w:tcPr>
            <w:cnfStyle w:val="001000000000" w:firstRow="0" w:lastRow="0" w:firstColumn="1" w:lastColumn="0" w:oddVBand="0" w:evenVBand="0" w:oddHBand="0" w:evenHBand="0" w:firstRowFirstColumn="0" w:firstRowLastColumn="0" w:lastRowFirstColumn="0" w:lastRowLastColumn="0"/>
            <w:tcW w:w="2401" w:type="pct"/>
            <w:noWrap/>
            <w:hideMark/>
          </w:tcPr>
          <w:p w14:paraId="5F7D5E5F" w14:textId="77777777" w:rsidR="00C716D3" w:rsidRPr="00C716D3" w:rsidRDefault="00C716D3" w:rsidP="00C716D3">
            <w:pPr>
              <w:spacing w:after="160" w:line="259" w:lineRule="auto"/>
            </w:pPr>
            <w:r w:rsidRPr="00C716D3">
              <w:t>Peritoneal and intra-abdominal infections</w:t>
            </w:r>
          </w:p>
        </w:tc>
        <w:tc>
          <w:tcPr>
            <w:tcW w:w="1357" w:type="pct"/>
          </w:tcPr>
          <w:p w14:paraId="679A5620"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34,812</w:t>
            </w:r>
          </w:p>
        </w:tc>
        <w:tc>
          <w:tcPr>
            <w:tcW w:w="1242" w:type="pct"/>
          </w:tcPr>
          <w:p w14:paraId="26E6EDE2"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130</w:t>
            </w:r>
          </w:p>
        </w:tc>
      </w:tr>
      <w:tr w:rsidR="00C716D3" w:rsidRPr="00C716D3" w14:paraId="1190422C" w14:textId="77777777" w:rsidTr="000F32B0">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2401" w:type="pct"/>
            <w:noWrap/>
            <w:hideMark/>
          </w:tcPr>
          <w:p w14:paraId="40107F1C" w14:textId="77777777" w:rsidR="00C716D3" w:rsidRPr="00C716D3" w:rsidRDefault="00C716D3" w:rsidP="00C716D3">
            <w:pPr>
              <w:spacing w:after="160" w:line="259" w:lineRule="auto"/>
            </w:pPr>
            <w:r w:rsidRPr="00C716D3">
              <w:t>Infections of the skin and subcutaneous systems</w:t>
            </w:r>
          </w:p>
        </w:tc>
        <w:tc>
          <w:tcPr>
            <w:tcW w:w="1357" w:type="pct"/>
          </w:tcPr>
          <w:p w14:paraId="53E9311C"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32,674</w:t>
            </w:r>
          </w:p>
        </w:tc>
        <w:tc>
          <w:tcPr>
            <w:tcW w:w="1242" w:type="pct"/>
          </w:tcPr>
          <w:p w14:paraId="340DD424" w14:textId="77777777" w:rsidR="00C716D3" w:rsidRPr="00C716D3" w:rsidRDefault="00C716D3" w:rsidP="00C716D3">
            <w:pPr>
              <w:spacing w:after="160" w:line="259" w:lineRule="auto"/>
              <w:cnfStyle w:val="000000100000" w:firstRow="0" w:lastRow="0" w:firstColumn="0" w:lastColumn="0" w:oddVBand="0" w:evenVBand="0" w:oddHBand="1" w:evenHBand="0" w:firstRowFirstColumn="0" w:firstRowLastColumn="0" w:lastRowFirstColumn="0" w:lastRowLastColumn="0"/>
            </w:pPr>
            <w:r w:rsidRPr="00C716D3">
              <w:t>130</w:t>
            </w:r>
          </w:p>
        </w:tc>
      </w:tr>
      <w:tr w:rsidR="00C716D3" w:rsidRPr="00C716D3" w14:paraId="1A9F13DE" w14:textId="77777777" w:rsidTr="000F32B0">
        <w:trPr>
          <w:trHeight w:val="62"/>
        </w:trPr>
        <w:tc>
          <w:tcPr>
            <w:cnfStyle w:val="001000000000" w:firstRow="0" w:lastRow="0" w:firstColumn="1" w:lastColumn="0" w:oddVBand="0" w:evenVBand="0" w:oddHBand="0" w:evenHBand="0" w:firstRowFirstColumn="0" w:firstRowLastColumn="0" w:lastRowFirstColumn="0" w:lastRowLastColumn="0"/>
            <w:tcW w:w="2401" w:type="pct"/>
            <w:noWrap/>
            <w:hideMark/>
          </w:tcPr>
          <w:p w14:paraId="66474456" w14:textId="77777777" w:rsidR="00C716D3" w:rsidRPr="00C716D3" w:rsidRDefault="00C716D3" w:rsidP="00C716D3">
            <w:pPr>
              <w:spacing w:after="160" w:line="259" w:lineRule="auto"/>
            </w:pPr>
            <w:r w:rsidRPr="00C716D3">
              <w:t>Urinary tract infections and pyelonephritis</w:t>
            </w:r>
          </w:p>
        </w:tc>
        <w:tc>
          <w:tcPr>
            <w:tcW w:w="1357" w:type="pct"/>
          </w:tcPr>
          <w:p w14:paraId="5715737A"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63,651</w:t>
            </w:r>
          </w:p>
        </w:tc>
        <w:tc>
          <w:tcPr>
            <w:tcW w:w="1242" w:type="pct"/>
          </w:tcPr>
          <w:p w14:paraId="6CFC0029" w14:textId="77777777" w:rsidR="00C716D3" w:rsidRPr="00C716D3" w:rsidRDefault="00C716D3" w:rsidP="00C716D3">
            <w:pPr>
              <w:spacing w:after="160" w:line="259" w:lineRule="auto"/>
              <w:cnfStyle w:val="000000000000" w:firstRow="0" w:lastRow="0" w:firstColumn="0" w:lastColumn="0" w:oddVBand="0" w:evenVBand="0" w:oddHBand="0" w:evenHBand="0" w:firstRowFirstColumn="0" w:firstRowLastColumn="0" w:lastRowFirstColumn="0" w:lastRowLastColumn="0"/>
            </w:pPr>
            <w:r w:rsidRPr="00C716D3">
              <w:t>208</w:t>
            </w:r>
          </w:p>
        </w:tc>
      </w:tr>
    </w:tbl>
    <w:p w14:paraId="63C9DF92" w14:textId="77777777" w:rsidR="00C716D3" w:rsidRPr="00C716D3" w:rsidRDefault="00C716D3" w:rsidP="00C716D3"/>
    <w:bookmarkEnd w:id="69"/>
    <w:p w14:paraId="6854711F" w14:textId="7C656536" w:rsidR="0094459A" w:rsidRPr="000F32B0" w:rsidRDefault="00C716D3" w:rsidP="008B28B3">
      <w:pPr>
        <w:rPr>
          <w:color w:val="1F3864" w:themeColor="accent1" w:themeShade="80"/>
        </w:rPr>
      </w:pPr>
      <w:r w:rsidRPr="000F32B0">
        <w:rPr>
          <w:i/>
          <w:iCs/>
          <w:color w:val="1F3864" w:themeColor="accent1" w:themeShade="80"/>
        </w:rPr>
        <w:t>Model priors</w:t>
      </w:r>
    </w:p>
    <w:p w14:paraId="747827A8" w14:textId="77777777" w:rsidR="00721BB5" w:rsidRPr="00721BB5" w:rsidRDefault="00721BB5" w:rsidP="00721BB5">
      <w:pPr>
        <w:rPr>
          <w:i/>
        </w:rPr>
      </w:pPr>
      <w:r w:rsidRPr="00721BB5">
        <w:t>The network regression with covariates framework allowed us to use partial and composite data that reported on one or only a few pathogens, or that reported multiple pathogens aggregated together. Networks, however, can be unstable with sparse data and stable estimates have in some cases required the use of non-diffuse Bayesian priors in these models. In particular, we imposed Gaussian priors with mean 0 and non-zero variance on all coefficients except intercepts, to bias the model away from spurious effects driven by data sparsity. These priors were based on expert opinion and designed with the guiding philosophy that they should minimally alter model results and serve to inhibit overfitting. Given that the various models differed tremendously with respect to their quantity of input data, the prior standard deviation needed to achieve this effect was lower for some infectious syndromes than others. Even after applying these adjustments, a small set of coefficients still had an outsized and clinically implausible effect on the result; for instance, a pathogen representing 10% of the syndrome distribution in a low healthcare access setting and 65% of the distribution is a high healthcare access setting. In such cases, the standard deviation for the Gaussian prior for that coefficient was lowered in accordance with expert review to achieve a more reasonable fit. Table 6.3.2.1 provides a list of these priors, which could be improved with further empirical validation in the future.</w:t>
      </w:r>
    </w:p>
    <w:p w14:paraId="4096444E" w14:textId="77777777" w:rsidR="00721BB5" w:rsidRPr="00721BB5" w:rsidRDefault="00721BB5" w:rsidP="00721BB5">
      <w:r w:rsidRPr="00721BB5">
        <w:t>Table 6.3.2.1: Gaussian prior standard deviations for non-intercept coefficients for each pathogen distribution model</w:t>
      </w:r>
    </w:p>
    <w:tbl>
      <w:tblPr>
        <w:tblStyle w:val="PlainTable1"/>
        <w:tblW w:w="5000" w:type="pct"/>
        <w:tblLook w:val="04A0" w:firstRow="1" w:lastRow="0" w:firstColumn="1" w:lastColumn="0" w:noHBand="0" w:noVBand="1"/>
      </w:tblPr>
      <w:tblGrid>
        <w:gridCol w:w="1885"/>
        <w:gridCol w:w="2790"/>
        <w:gridCol w:w="4675"/>
      </w:tblGrid>
      <w:tr w:rsidR="000F32B0" w:rsidRPr="000F32B0" w14:paraId="3E3F03CF" w14:textId="77777777" w:rsidTr="000F32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tcPr>
          <w:p w14:paraId="5FC729F1" w14:textId="77777777" w:rsidR="00721BB5" w:rsidRPr="000F32B0" w:rsidRDefault="00721BB5" w:rsidP="00721BB5">
            <w:pPr>
              <w:spacing w:after="160" w:line="259" w:lineRule="auto"/>
              <w:rPr>
                <w:b w:val="0"/>
              </w:rPr>
            </w:pPr>
            <w:r w:rsidRPr="000F32B0">
              <w:t>Infectious syndrome</w:t>
            </w:r>
          </w:p>
        </w:tc>
        <w:tc>
          <w:tcPr>
            <w:tcW w:w="1492" w:type="pct"/>
          </w:tcPr>
          <w:p w14:paraId="76A0F8EF" w14:textId="77777777" w:rsidR="00721BB5" w:rsidRPr="000F32B0"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0F32B0">
              <w:t>Gaussian prior standard deviation</w:t>
            </w:r>
          </w:p>
        </w:tc>
        <w:tc>
          <w:tcPr>
            <w:tcW w:w="2500" w:type="pct"/>
          </w:tcPr>
          <w:p w14:paraId="187AE8BB" w14:textId="77777777" w:rsidR="00721BB5" w:rsidRPr="000F32B0"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0F32B0">
              <w:t>Exceptions</w:t>
            </w:r>
          </w:p>
        </w:tc>
      </w:tr>
      <w:tr w:rsidR="000F32B0" w:rsidRPr="000F32B0" w14:paraId="5910A03A"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tcPr>
          <w:p w14:paraId="1281E6AE" w14:textId="77777777" w:rsidR="00721BB5" w:rsidRPr="000F32B0" w:rsidRDefault="00721BB5" w:rsidP="00721BB5">
            <w:pPr>
              <w:spacing w:after="160" w:line="259" w:lineRule="auto"/>
            </w:pPr>
            <w:r w:rsidRPr="000F32B0">
              <w:t>BSI</w:t>
            </w:r>
          </w:p>
        </w:tc>
        <w:tc>
          <w:tcPr>
            <w:tcW w:w="1492" w:type="pct"/>
          </w:tcPr>
          <w:p w14:paraId="1C7B69D2"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 xml:space="preserve">0.1 </w:t>
            </w:r>
          </w:p>
        </w:tc>
        <w:tc>
          <w:tcPr>
            <w:tcW w:w="2500" w:type="pct"/>
          </w:tcPr>
          <w:p w14:paraId="45975124"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0.02 for A. baumannii/HAQ Index coefficient</w:t>
            </w:r>
          </w:p>
        </w:tc>
      </w:tr>
      <w:tr w:rsidR="000F32B0" w:rsidRPr="000F32B0" w14:paraId="7CFBD8DB" w14:textId="77777777" w:rsidTr="000F32B0">
        <w:tc>
          <w:tcPr>
            <w:cnfStyle w:val="001000000000" w:firstRow="0" w:lastRow="0" w:firstColumn="1" w:lastColumn="0" w:oddVBand="0" w:evenVBand="0" w:oddHBand="0" w:evenHBand="0" w:firstRowFirstColumn="0" w:firstRowLastColumn="0" w:lastRowFirstColumn="0" w:lastRowLastColumn="0"/>
            <w:tcW w:w="1008" w:type="pct"/>
          </w:tcPr>
          <w:p w14:paraId="6DDFBC37" w14:textId="77777777" w:rsidR="00721BB5" w:rsidRPr="000F32B0" w:rsidRDefault="00721BB5" w:rsidP="00721BB5">
            <w:pPr>
              <w:spacing w:after="160" w:line="259" w:lineRule="auto"/>
            </w:pPr>
            <w:r w:rsidRPr="000F32B0">
              <w:t>Bone+</w:t>
            </w:r>
          </w:p>
        </w:tc>
        <w:tc>
          <w:tcPr>
            <w:tcW w:w="1492" w:type="pct"/>
          </w:tcPr>
          <w:p w14:paraId="3B448071"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0.4</w:t>
            </w:r>
          </w:p>
        </w:tc>
        <w:tc>
          <w:tcPr>
            <w:tcW w:w="2500" w:type="pct"/>
          </w:tcPr>
          <w:p w14:paraId="4E004FA2"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0.15 for all pathogens/HAQ Index coefficient</w:t>
            </w:r>
          </w:p>
        </w:tc>
      </w:tr>
      <w:tr w:rsidR="000F32B0" w:rsidRPr="000F32B0" w14:paraId="1A58CF8F"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tcPr>
          <w:p w14:paraId="64BB560C" w14:textId="77777777" w:rsidR="00721BB5" w:rsidRPr="000F32B0" w:rsidRDefault="00721BB5" w:rsidP="00721BB5">
            <w:pPr>
              <w:spacing w:after="160" w:line="259" w:lineRule="auto"/>
            </w:pPr>
            <w:r w:rsidRPr="000F32B0">
              <w:t>Endocarditis</w:t>
            </w:r>
          </w:p>
        </w:tc>
        <w:tc>
          <w:tcPr>
            <w:tcW w:w="1492" w:type="pct"/>
          </w:tcPr>
          <w:p w14:paraId="01E0FA62"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0.5</w:t>
            </w:r>
          </w:p>
        </w:tc>
        <w:tc>
          <w:tcPr>
            <w:tcW w:w="2500" w:type="pct"/>
          </w:tcPr>
          <w:p w14:paraId="2EF223EC"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0F32B0" w:rsidRPr="000F32B0" w14:paraId="6950DA1C" w14:textId="77777777" w:rsidTr="000F32B0">
        <w:tc>
          <w:tcPr>
            <w:cnfStyle w:val="001000000000" w:firstRow="0" w:lastRow="0" w:firstColumn="1" w:lastColumn="0" w:oddVBand="0" w:evenVBand="0" w:oddHBand="0" w:evenHBand="0" w:firstRowFirstColumn="0" w:firstRowLastColumn="0" w:lastRowFirstColumn="0" w:lastRowLastColumn="0"/>
            <w:tcW w:w="1008" w:type="pct"/>
          </w:tcPr>
          <w:p w14:paraId="5C1F5B9E" w14:textId="77777777" w:rsidR="00721BB5" w:rsidRPr="000F32B0" w:rsidRDefault="00721BB5" w:rsidP="00721BB5">
            <w:pPr>
              <w:spacing w:after="160" w:line="259" w:lineRule="auto"/>
            </w:pPr>
            <w:r w:rsidRPr="000F32B0">
              <w:t>Meningitis</w:t>
            </w:r>
          </w:p>
        </w:tc>
        <w:tc>
          <w:tcPr>
            <w:tcW w:w="1492" w:type="pct"/>
          </w:tcPr>
          <w:p w14:paraId="3A0A9EDB"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0.2</w:t>
            </w:r>
          </w:p>
        </w:tc>
        <w:tc>
          <w:tcPr>
            <w:tcW w:w="2500" w:type="pct"/>
          </w:tcPr>
          <w:p w14:paraId="447D04F6"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0.02 for Group B Streptococcus/HAQ Index coefficient</w:t>
            </w:r>
          </w:p>
          <w:p w14:paraId="0B341D33"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0.02 for Non-polio enteroviruses/HAQ Index coefficient</w:t>
            </w:r>
          </w:p>
        </w:tc>
      </w:tr>
      <w:tr w:rsidR="000F32B0" w:rsidRPr="000F32B0" w14:paraId="7CB60190"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tcPr>
          <w:p w14:paraId="5DCC40EE" w14:textId="77777777" w:rsidR="00721BB5" w:rsidRPr="000F32B0" w:rsidRDefault="00721BB5" w:rsidP="00721BB5">
            <w:pPr>
              <w:spacing w:after="160" w:line="259" w:lineRule="auto"/>
            </w:pPr>
            <w:r w:rsidRPr="000F32B0">
              <w:t>LRI+</w:t>
            </w:r>
          </w:p>
        </w:tc>
        <w:tc>
          <w:tcPr>
            <w:tcW w:w="1492" w:type="pct"/>
          </w:tcPr>
          <w:p w14:paraId="7FE3E5B7"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0.</w:t>
            </w:r>
            <w:r w:rsidRPr="000F32B0" w:rsidDel="008C53E5">
              <w:t>1</w:t>
            </w:r>
          </w:p>
        </w:tc>
        <w:tc>
          <w:tcPr>
            <w:tcW w:w="2500" w:type="pct"/>
          </w:tcPr>
          <w:p w14:paraId="64F095F7"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0.02 for Mycobacterium others/HAQ Index coefficient</w:t>
            </w:r>
          </w:p>
        </w:tc>
      </w:tr>
      <w:tr w:rsidR="000F32B0" w:rsidRPr="000F32B0" w14:paraId="5B473C4E" w14:textId="77777777" w:rsidTr="000F32B0">
        <w:tc>
          <w:tcPr>
            <w:cnfStyle w:val="001000000000" w:firstRow="0" w:lastRow="0" w:firstColumn="1" w:lastColumn="0" w:oddVBand="0" w:evenVBand="0" w:oddHBand="0" w:evenHBand="0" w:firstRowFirstColumn="0" w:firstRowLastColumn="0" w:lastRowFirstColumn="0" w:lastRowLastColumn="0"/>
            <w:tcW w:w="1008" w:type="pct"/>
          </w:tcPr>
          <w:p w14:paraId="6D66F389" w14:textId="77777777" w:rsidR="00721BB5" w:rsidRPr="000F32B0" w:rsidRDefault="00721BB5" w:rsidP="00721BB5">
            <w:pPr>
              <w:spacing w:after="160" w:line="259" w:lineRule="auto"/>
            </w:pPr>
            <w:r w:rsidRPr="000F32B0">
              <w:t>Peritonitis+</w:t>
            </w:r>
          </w:p>
        </w:tc>
        <w:tc>
          <w:tcPr>
            <w:tcW w:w="1492" w:type="pct"/>
          </w:tcPr>
          <w:p w14:paraId="2199C349"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0.3</w:t>
            </w:r>
          </w:p>
        </w:tc>
        <w:tc>
          <w:tcPr>
            <w:tcW w:w="2500" w:type="pct"/>
          </w:tcPr>
          <w:p w14:paraId="22E58C61"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p>
        </w:tc>
      </w:tr>
      <w:tr w:rsidR="000F32B0" w:rsidRPr="000F32B0" w14:paraId="2720B960"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8" w:type="pct"/>
          </w:tcPr>
          <w:p w14:paraId="56E158B9" w14:textId="77777777" w:rsidR="00721BB5" w:rsidRPr="000F32B0" w:rsidRDefault="00721BB5" w:rsidP="00721BB5">
            <w:pPr>
              <w:spacing w:after="160" w:line="259" w:lineRule="auto"/>
            </w:pPr>
            <w:r w:rsidRPr="000F32B0">
              <w:t>Skin</w:t>
            </w:r>
          </w:p>
        </w:tc>
        <w:tc>
          <w:tcPr>
            <w:tcW w:w="1492" w:type="pct"/>
          </w:tcPr>
          <w:p w14:paraId="1E1589A0"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0F32B0">
              <w:t>0.5</w:t>
            </w:r>
          </w:p>
        </w:tc>
        <w:tc>
          <w:tcPr>
            <w:tcW w:w="2500" w:type="pct"/>
          </w:tcPr>
          <w:p w14:paraId="3B4D7F7D" w14:textId="77777777" w:rsidR="00721BB5" w:rsidRPr="000F32B0"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p>
        </w:tc>
      </w:tr>
      <w:tr w:rsidR="000F32B0" w:rsidRPr="000F32B0" w14:paraId="4799197C" w14:textId="77777777" w:rsidTr="000F32B0">
        <w:tc>
          <w:tcPr>
            <w:cnfStyle w:val="001000000000" w:firstRow="0" w:lastRow="0" w:firstColumn="1" w:lastColumn="0" w:oddVBand="0" w:evenVBand="0" w:oddHBand="0" w:evenHBand="0" w:firstRowFirstColumn="0" w:firstRowLastColumn="0" w:lastRowFirstColumn="0" w:lastRowLastColumn="0"/>
            <w:tcW w:w="1008" w:type="pct"/>
          </w:tcPr>
          <w:p w14:paraId="2D745EFC" w14:textId="77777777" w:rsidR="00721BB5" w:rsidRPr="000F32B0" w:rsidRDefault="00721BB5" w:rsidP="00721BB5">
            <w:pPr>
              <w:spacing w:after="160" w:line="259" w:lineRule="auto"/>
            </w:pPr>
            <w:r w:rsidRPr="000F32B0">
              <w:t>UTI</w:t>
            </w:r>
          </w:p>
        </w:tc>
        <w:tc>
          <w:tcPr>
            <w:tcW w:w="1492" w:type="pct"/>
          </w:tcPr>
          <w:p w14:paraId="646CAB7B"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0.2</w:t>
            </w:r>
          </w:p>
        </w:tc>
        <w:tc>
          <w:tcPr>
            <w:tcW w:w="2500" w:type="pct"/>
          </w:tcPr>
          <w:p w14:paraId="37FB87E4" w14:textId="77777777" w:rsidR="00721BB5" w:rsidRPr="000F32B0"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0F32B0">
              <w:t>0.27 for all pathogens/sex coefficient</w:t>
            </w:r>
          </w:p>
        </w:tc>
      </w:tr>
    </w:tbl>
    <w:p w14:paraId="577373DA" w14:textId="77777777" w:rsidR="00721BB5" w:rsidRPr="00721BB5" w:rsidRDefault="00721BB5" w:rsidP="00721BB5">
      <w:r w:rsidRPr="00721BB5">
        <w:t>BSI = Bloodstream infections. Bone+ = Infections of bones, joints, and related organs. LRI = Lower respiratory infections. Peritonitis+ = Peritoneal and intra-abdominal infections. Skin = Infections of the skin and subcutaneous systems. UTI = Urinary tract infections and pyelonephritis.</w:t>
      </w:r>
    </w:p>
    <w:p w14:paraId="033048D1" w14:textId="77777777" w:rsidR="00721BB5" w:rsidRPr="00721BB5" w:rsidRDefault="00721BB5" w:rsidP="00721BB5">
      <w:r w:rsidRPr="00721BB5">
        <w:t xml:space="preserve">Additionally, there were certain covariates that we assumed would have a monotonic relationship with the proportion of a syndrome attributable to a given pathogen. For example, the proportion of people who as infants were vaccinated with the pneumococcal conjugate vaccine (PCV) was anticipated to be negatively associated with the proportion of LRI that was caused by </w:t>
      </w:r>
      <w:r w:rsidRPr="00721BB5">
        <w:rPr>
          <w:i/>
        </w:rPr>
        <w:t>Streptococcus pneumoniae</w:t>
      </w:r>
      <w:r w:rsidRPr="00721BB5">
        <w:t xml:space="preserve">. Such monotonic relationships were enforced by design using uniform priors as outlined in Table 6.3.2.2. Because the network model estimates a coefficient for every combination of covariate and pathogen, covariate estimates for the effect of PCV vaccination on the proportion of disease due to non-pneumococcal pathogens is also quantified. To ensure that these pathogens were not shaped by some unmeasured variable that trended with PCV vaccination, we employed a more restrictive Gaussian prior on these less-directly related pathogens (“less-directly related” because, if the proportion of pneumococcus is to decrease, other pathogens must correspondingly increase in relative space). </w:t>
      </w:r>
    </w:p>
    <w:p w14:paraId="6E662C80" w14:textId="77777777" w:rsidR="00721BB5" w:rsidRPr="00721BB5" w:rsidRDefault="00721BB5" w:rsidP="00721BB5">
      <w:r w:rsidRPr="00721BB5">
        <w:t>Table 6.3.2.2: Pathogen distribution model covariates with uniform priors</w:t>
      </w:r>
    </w:p>
    <w:tbl>
      <w:tblPr>
        <w:tblStyle w:val="PlainTable1"/>
        <w:tblW w:w="0" w:type="auto"/>
        <w:tblLook w:val="04A0" w:firstRow="1" w:lastRow="0" w:firstColumn="1" w:lastColumn="0" w:noHBand="0" w:noVBand="1"/>
      </w:tblPr>
      <w:tblGrid>
        <w:gridCol w:w="2935"/>
        <w:gridCol w:w="1468"/>
        <w:gridCol w:w="1402"/>
        <w:gridCol w:w="1595"/>
        <w:gridCol w:w="1950"/>
      </w:tblGrid>
      <w:tr w:rsidR="00721BB5" w:rsidRPr="00721BB5" w14:paraId="57C122F9" w14:textId="77777777" w:rsidTr="000F32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0C61BA4" w14:textId="77777777" w:rsidR="00721BB5" w:rsidRPr="00721BB5" w:rsidRDefault="00721BB5" w:rsidP="00721BB5">
            <w:pPr>
              <w:spacing w:after="160" w:line="259" w:lineRule="auto"/>
              <w:rPr>
                <w:b w:val="0"/>
              </w:rPr>
            </w:pPr>
            <w:r w:rsidRPr="00721BB5">
              <w:t>Covariate</w:t>
            </w:r>
          </w:p>
        </w:tc>
        <w:tc>
          <w:tcPr>
            <w:tcW w:w="1475" w:type="dxa"/>
          </w:tcPr>
          <w:p w14:paraId="2B1F5E23" w14:textId="77777777" w:rsidR="00721BB5" w:rsidRPr="00721BB5"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721BB5">
              <w:t>Pathogen</w:t>
            </w:r>
          </w:p>
        </w:tc>
        <w:tc>
          <w:tcPr>
            <w:tcW w:w="1248" w:type="dxa"/>
          </w:tcPr>
          <w:p w14:paraId="6D6B2C58" w14:textId="77777777" w:rsidR="00721BB5" w:rsidRPr="00721BB5"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721BB5">
              <w:t>Uniform Prior (Association)</w:t>
            </w:r>
          </w:p>
        </w:tc>
        <w:tc>
          <w:tcPr>
            <w:tcW w:w="1618" w:type="dxa"/>
          </w:tcPr>
          <w:p w14:paraId="43911EAF" w14:textId="77777777" w:rsidR="00721BB5" w:rsidRPr="00721BB5"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721BB5">
              <w:t>Gaussian prior standard deviation for</w:t>
            </w:r>
            <w:r w:rsidRPr="00721BB5" w:rsidDel="0049093D">
              <w:t xml:space="preserve"> </w:t>
            </w:r>
            <w:r w:rsidRPr="00721BB5">
              <w:t>other pathogens</w:t>
            </w:r>
          </w:p>
        </w:tc>
        <w:tc>
          <w:tcPr>
            <w:tcW w:w="1989" w:type="dxa"/>
          </w:tcPr>
          <w:p w14:paraId="3152FD03" w14:textId="77777777" w:rsidR="00721BB5" w:rsidRPr="00721BB5" w:rsidRDefault="00721BB5" w:rsidP="00721BB5">
            <w:pPr>
              <w:spacing w:after="160" w:line="259" w:lineRule="auto"/>
              <w:cnfStyle w:val="100000000000" w:firstRow="1" w:lastRow="0" w:firstColumn="0" w:lastColumn="0" w:oddVBand="0" w:evenVBand="0" w:oddHBand="0" w:evenHBand="0" w:firstRowFirstColumn="0" w:firstRowLastColumn="0" w:lastRowFirstColumn="0" w:lastRowLastColumn="0"/>
              <w:rPr>
                <w:b w:val="0"/>
              </w:rPr>
            </w:pPr>
            <w:r w:rsidRPr="00721BB5">
              <w:t>Syndromes</w:t>
            </w:r>
          </w:p>
        </w:tc>
      </w:tr>
      <w:tr w:rsidR="00721BB5" w:rsidRPr="00721BB5" w14:paraId="12F30642"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27677DDB" w14:textId="77777777" w:rsidR="00721BB5" w:rsidRPr="00721BB5" w:rsidRDefault="00721BB5" w:rsidP="00721BB5">
            <w:pPr>
              <w:spacing w:after="160" w:line="259" w:lineRule="auto"/>
            </w:pPr>
            <w:r w:rsidRPr="00721BB5">
              <w:t>Proportion of people who as infants were vaccinated with PCV</w:t>
            </w:r>
          </w:p>
        </w:tc>
        <w:tc>
          <w:tcPr>
            <w:tcW w:w="1475" w:type="dxa"/>
          </w:tcPr>
          <w:p w14:paraId="4853F467"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rPr>
                <w:i/>
                <w:iCs/>
              </w:rPr>
            </w:pPr>
            <w:r w:rsidRPr="00721BB5">
              <w:rPr>
                <w:i/>
                <w:iCs/>
              </w:rPr>
              <w:t xml:space="preserve">S. pneumoniae </w:t>
            </w:r>
          </w:p>
        </w:tc>
        <w:tc>
          <w:tcPr>
            <w:tcW w:w="1248" w:type="dxa"/>
          </w:tcPr>
          <w:p w14:paraId="57D3F5F3"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(-inf, 0]</w:t>
            </w:r>
          </w:p>
          <w:p w14:paraId="798F3FA5"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(Negative)</w:t>
            </w:r>
          </w:p>
        </w:tc>
        <w:tc>
          <w:tcPr>
            <w:tcW w:w="1618" w:type="dxa"/>
          </w:tcPr>
          <w:p w14:paraId="07898B04"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0.01</w:t>
            </w:r>
          </w:p>
        </w:tc>
        <w:tc>
          <w:tcPr>
            <w:tcW w:w="1989" w:type="dxa"/>
          </w:tcPr>
          <w:p w14:paraId="42A6C57C"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BSI, LRI, Meningitis</w:t>
            </w:r>
          </w:p>
        </w:tc>
      </w:tr>
      <w:tr w:rsidR="00721BB5" w:rsidRPr="00721BB5" w14:paraId="1D8AA2A5" w14:textId="77777777" w:rsidTr="000F32B0">
        <w:tc>
          <w:tcPr>
            <w:cnfStyle w:val="001000000000" w:firstRow="0" w:lastRow="0" w:firstColumn="1" w:lastColumn="0" w:oddVBand="0" w:evenVBand="0" w:oddHBand="0" w:evenHBand="0" w:firstRowFirstColumn="0" w:firstRowLastColumn="0" w:lastRowFirstColumn="0" w:lastRowLastColumn="0"/>
            <w:tcW w:w="3020" w:type="dxa"/>
          </w:tcPr>
          <w:p w14:paraId="1043CE26" w14:textId="77777777" w:rsidR="00721BB5" w:rsidRPr="00721BB5" w:rsidRDefault="00721BB5" w:rsidP="00721BB5">
            <w:pPr>
              <w:spacing w:after="160" w:line="259" w:lineRule="auto"/>
            </w:pPr>
            <w:r w:rsidRPr="00721BB5">
              <w:t>Proportion of population age 15 or younger who received PCV vaccine</w:t>
            </w:r>
          </w:p>
        </w:tc>
        <w:tc>
          <w:tcPr>
            <w:tcW w:w="1475" w:type="dxa"/>
          </w:tcPr>
          <w:p w14:paraId="144835D0"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rPr>
                <w:i/>
                <w:iCs/>
              </w:rPr>
            </w:pPr>
            <w:r w:rsidRPr="00721BB5">
              <w:rPr>
                <w:i/>
                <w:iCs/>
              </w:rPr>
              <w:t>S. pneumoniae</w:t>
            </w:r>
          </w:p>
        </w:tc>
        <w:tc>
          <w:tcPr>
            <w:tcW w:w="1248" w:type="dxa"/>
          </w:tcPr>
          <w:p w14:paraId="31453445"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(-inf, 0]</w:t>
            </w:r>
          </w:p>
          <w:p w14:paraId="46F30E63"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(Negative)</w:t>
            </w:r>
          </w:p>
        </w:tc>
        <w:tc>
          <w:tcPr>
            <w:tcW w:w="1618" w:type="dxa"/>
          </w:tcPr>
          <w:p w14:paraId="757BC534"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0.01</w:t>
            </w:r>
          </w:p>
        </w:tc>
        <w:tc>
          <w:tcPr>
            <w:tcW w:w="1989" w:type="dxa"/>
          </w:tcPr>
          <w:p w14:paraId="2849428B"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rPr>
                <w:lang w:val="sv-SE"/>
              </w:rPr>
            </w:pPr>
            <w:r w:rsidRPr="00721BB5">
              <w:rPr>
                <w:lang w:val="sv-SE"/>
              </w:rPr>
              <w:t>BSI, Bone+, LRI, Meningitis, UTI</w:t>
            </w:r>
          </w:p>
        </w:tc>
      </w:tr>
      <w:tr w:rsidR="00721BB5" w:rsidRPr="00721BB5" w14:paraId="389B304E"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6A8E46BE" w14:textId="77777777" w:rsidR="00721BB5" w:rsidRPr="00721BB5" w:rsidRDefault="00721BB5" w:rsidP="00721BB5">
            <w:pPr>
              <w:spacing w:after="160" w:line="259" w:lineRule="auto"/>
            </w:pPr>
            <w:r w:rsidRPr="00721BB5">
              <w:t>Proportion of people who as infants were vaccinated with Hib3 vaccine</w:t>
            </w:r>
          </w:p>
        </w:tc>
        <w:tc>
          <w:tcPr>
            <w:tcW w:w="1475" w:type="dxa"/>
          </w:tcPr>
          <w:p w14:paraId="6F3CC6B4"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rPr>
                <w:i/>
                <w:iCs/>
              </w:rPr>
            </w:pPr>
            <w:r w:rsidRPr="00721BB5">
              <w:rPr>
                <w:i/>
                <w:iCs/>
              </w:rPr>
              <w:t>H. influenzae</w:t>
            </w:r>
          </w:p>
        </w:tc>
        <w:tc>
          <w:tcPr>
            <w:tcW w:w="1248" w:type="dxa"/>
          </w:tcPr>
          <w:p w14:paraId="099FE5E0"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(-inf, 0]</w:t>
            </w:r>
          </w:p>
          <w:p w14:paraId="564266DD"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(Negative)</w:t>
            </w:r>
          </w:p>
        </w:tc>
        <w:tc>
          <w:tcPr>
            <w:tcW w:w="1618" w:type="dxa"/>
          </w:tcPr>
          <w:p w14:paraId="4C7117BB"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0.01</w:t>
            </w:r>
          </w:p>
        </w:tc>
        <w:tc>
          <w:tcPr>
            <w:tcW w:w="1989" w:type="dxa"/>
          </w:tcPr>
          <w:p w14:paraId="29A84CE8"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LRI, Meningitis</w:t>
            </w:r>
          </w:p>
        </w:tc>
      </w:tr>
      <w:tr w:rsidR="00721BB5" w:rsidRPr="00721BB5" w14:paraId="0662563B" w14:textId="77777777" w:rsidTr="000F32B0">
        <w:tc>
          <w:tcPr>
            <w:cnfStyle w:val="001000000000" w:firstRow="0" w:lastRow="0" w:firstColumn="1" w:lastColumn="0" w:oddVBand="0" w:evenVBand="0" w:oddHBand="0" w:evenHBand="0" w:firstRowFirstColumn="0" w:firstRowLastColumn="0" w:lastRowFirstColumn="0" w:lastRowLastColumn="0"/>
            <w:tcW w:w="3020" w:type="dxa"/>
          </w:tcPr>
          <w:p w14:paraId="3498F9E0" w14:textId="77777777" w:rsidR="00721BB5" w:rsidRPr="00721BB5" w:rsidRDefault="00721BB5" w:rsidP="00721BB5">
            <w:pPr>
              <w:spacing w:after="160" w:line="259" w:lineRule="auto"/>
            </w:pPr>
            <w:r w:rsidRPr="00721BB5">
              <w:t>Proportion of population age 15 or younger who received Hib3 vaccine</w:t>
            </w:r>
          </w:p>
        </w:tc>
        <w:tc>
          <w:tcPr>
            <w:tcW w:w="1475" w:type="dxa"/>
          </w:tcPr>
          <w:p w14:paraId="6BB6E289"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rPr>
                <w:i/>
                <w:iCs/>
              </w:rPr>
            </w:pPr>
            <w:r w:rsidRPr="00721BB5">
              <w:rPr>
                <w:i/>
                <w:iCs/>
              </w:rPr>
              <w:t>H. influenzae</w:t>
            </w:r>
          </w:p>
        </w:tc>
        <w:tc>
          <w:tcPr>
            <w:tcW w:w="1248" w:type="dxa"/>
          </w:tcPr>
          <w:p w14:paraId="621D8BA4"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(-inf, 0]</w:t>
            </w:r>
          </w:p>
          <w:p w14:paraId="228305BF"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(Negative)</w:t>
            </w:r>
          </w:p>
        </w:tc>
        <w:tc>
          <w:tcPr>
            <w:tcW w:w="1618" w:type="dxa"/>
          </w:tcPr>
          <w:p w14:paraId="17802AD5"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0.01</w:t>
            </w:r>
          </w:p>
        </w:tc>
        <w:tc>
          <w:tcPr>
            <w:tcW w:w="1989" w:type="dxa"/>
          </w:tcPr>
          <w:p w14:paraId="2AF7FAEE"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LRI, Meningitis</w:t>
            </w:r>
          </w:p>
        </w:tc>
      </w:tr>
      <w:tr w:rsidR="00721BB5" w:rsidRPr="00721BB5" w14:paraId="691357CC" w14:textId="77777777" w:rsidTr="000F32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14:paraId="0592B9C7" w14:textId="77777777" w:rsidR="00721BB5" w:rsidRPr="00721BB5" w:rsidRDefault="00721BB5" w:rsidP="00721BB5">
            <w:pPr>
              <w:spacing w:after="160" w:line="259" w:lineRule="auto"/>
            </w:pPr>
            <w:r w:rsidRPr="00721BB5">
              <w:t xml:space="preserve">Proportion of population covered by ’10-’15 </w:t>
            </w:r>
            <w:proofErr w:type="spellStart"/>
            <w:r w:rsidRPr="00721BB5">
              <w:t>MenAfriVac</w:t>
            </w:r>
            <w:proofErr w:type="spellEnd"/>
            <w:r w:rsidRPr="00721BB5">
              <w:t xml:space="preserve"> rollout</w:t>
            </w:r>
          </w:p>
        </w:tc>
        <w:tc>
          <w:tcPr>
            <w:tcW w:w="1475" w:type="dxa"/>
          </w:tcPr>
          <w:p w14:paraId="68EDBE70"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rPr>
                <w:i/>
                <w:iCs/>
              </w:rPr>
            </w:pPr>
            <w:r w:rsidRPr="00721BB5">
              <w:rPr>
                <w:i/>
                <w:iCs/>
              </w:rPr>
              <w:t>N. meningitidis</w:t>
            </w:r>
          </w:p>
        </w:tc>
        <w:tc>
          <w:tcPr>
            <w:tcW w:w="1248" w:type="dxa"/>
          </w:tcPr>
          <w:p w14:paraId="03AFC2E8"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(-inf, 0]</w:t>
            </w:r>
          </w:p>
          <w:p w14:paraId="08D4E732"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(Negative)</w:t>
            </w:r>
          </w:p>
        </w:tc>
        <w:tc>
          <w:tcPr>
            <w:tcW w:w="1618" w:type="dxa"/>
          </w:tcPr>
          <w:p w14:paraId="6AB62362"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0.02</w:t>
            </w:r>
          </w:p>
        </w:tc>
        <w:tc>
          <w:tcPr>
            <w:tcW w:w="1989" w:type="dxa"/>
          </w:tcPr>
          <w:p w14:paraId="6878459C" w14:textId="77777777" w:rsidR="00721BB5" w:rsidRPr="00721BB5" w:rsidRDefault="00721BB5" w:rsidP="00721BB5">
            <w:pPr>
              <w:spacing w:after="160" w:line="259" w:lineRule="auto"/>
              <w:cnfStyle w:val="000000100000" w:firstRow="0" w:lastRow="0" w:firstColumn="0" w:lastColumn="0" w:oddVBand="0" w:evenVBand="0" w:oddHBand="1" w:evenHBand="0" w:firstRowFirstColumn="0" w:firstRowLastColumn="0" w:lastRowFirstColumn="0" w:lastRowLastColumn="0"/>
            </w:pPr>
            <w:r w:rsidRPr="00721BB5">
              <w:t>Meningitis</w:t>
            </w:r>
          </w:p>
        </w:tc>
      </w:tr>
      <w:tr w:rsidR="00721BB5" w:rsidRPr="00721BB5" w14:paraId="2DA3FD6F" w14:textId="77777777" w:rsidTr="000F32B0">
        <w:tc>
          <w:tcPr>
            <w:cnfStyle w:val="001000000000" w:firstRow="0" w:lastRow="0" w:firstColumn="1" w:lastColumn="0" w:oddVBand="0" w:evenVBand="0" w:oddHBand="0" w:evenHBand="0" w:firstRowFirstColumn="0" w:firstRowLastColumn="0" w:lastRowFirstColumn="0" w:lastRowLastColumn="0"/>
            <w:tcW w:w="3020" w:type="dxa"/>
          </w:tcPr>
          <w:p w14:paraId="261C1D0E" w14:textId="77777777" w:rsidR="00721BB5" w:rsidRPr="00721BB5" w:rsidRDefault="00721BB5" w:rsidP="00721BB5">
            <w:pPr>
              <w:spacing w:after="160" w:line="259" w:lineRule="auto"/>
            </w:pPr>
            <w:r w:rsidRPr="00721BB5">
              <w:t>Mean temperature</w:t>
            </w:r>
          </w:p>
        </w:tc>
        <w:tc>
          <w:tcPr>
            <w:tcW w:w="1475" w:type="dxa"/>
          </w:tcPr>
          <w:p w14:paraId="1F9363CD"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rPr>
                <w:i/>
                <w:iCs/>
              </w:rPr>
            </w:pPr>
            <w:r w:rsidRPr="00721BB5">
              <w:rPr>
                <w:i/>
                <w:iCs/>
              </w:rPr>
              <w:t>A. baumannii</w:t>
            </w:r>
          </w:p>
        </w:tc>
        <w:tc>
          <w:tcPr>
            <w:tcW w:w="1248" w:type="dxa"/>
          </w:tcPr>
          <w:p w14:paraId="74686E69"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[0, inf)</w:t>
            </w:r>
          </w:p>
          <w:p w14:paraId="6560A229"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(Positive)</w:t>
            </w:r>
          </w:p>
        </w:tc>
        <w:tc>
          <w:tcPr>
            <w:tcW w:w="1618" w:type="dxa"/>
          </w:tcPr>
          <w:p w14:paraId="4739EE03"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0.0001</w:t>
            </w:r>
          </w:p>
        </w:tc>
        <w:tc>
          <w:tcPr>
            <w:tcW w:w="1989" w:type="dxa"/>
          </w:tcPr>
          <w:p w14:paraId="146CD13E" w14:textId="77777777" w:rsidR="00721BB5" w:rsidRPr="00721BB5" w:rsidRDefault="00721BB5" w:rsidP="00721BB5">
            <w:pPr>
              <w:spacing w:after="160" w:line="259" w:lineRule="auto"/>
              <w:cnfStyle w:val="000000000000" w:firstRow="0" w:lastRow="0" w:firstColumn="0" w:lastColumn="0" w:oddVBand="0" w:evenVBand="0" w:oddHBand="0" w:evenHBand="0" w:firstRowFirstColumn="0" w:firstRowLastColumn="0" w:lastRowFirstColumn="0" w:lastRowLastColumn="0"/>
            </w:pPr>
            <w:r w:rsidRPr="00721BB5">
              <w:t>BSI</w:t>
            </w:r>
          </w:p>
        </w:tc>
      </w:tr>
    </w:tbl>
    <w:p w14:paraId="073E50DD" w14:textId="77777777" w:rsidR="00721BB5" w:rsidRPr="00721BB5" w:rsidRDefault="00721BB5" w:rsidP="00721BB5">
      <w:r w:rsidRPr="00721BB5">
        <w:t xml:space="preserve">BSI = Bloodstream infections. Bone+ = Infections of bones, joints, and related organs. LRI = Lower respiratory infections. UTI = Urinary tract infections and pyelonephritis. </w:t>
      </w:r>
    </w:p>
    <w:p w14:paraId="6DB60587" w14:textId="6C5E0CD7" w:rsidR="00C716D3" w:rsidRPr="008B28B3" w:rsidRDefault="00721BB5" w:rsidP="00721BB5">
      <w:r w:rsidRPr="00721BB5">
        <w:t xml:space="preserve">The role of mean temperature in the estimation of proportion of bloodstream infections caused by </w:t>
      </w:r>
      <w:r w:rsidRPr="00721BB5">
        <w:rPr>
          <w:i/>
        </w:rPr>
        <w:t>Acinetobacter baumannii</w:t>
      </w:r>
      <w:r w:rsidRPr="00721BB5">
        <w:t xml:space="preserve"> deserves special mention. Assessments of </w:t>
      </w:r>
      <w:r w:rsidRPr="00721BB5">
        <w:rPr>
          <w:i/>
        </w:rPr>
        <w:t>A. baumannii</w:t>
      </w:r>
      <w:r w:rsidRPr="00721BB5">
        <w:t xml:space="preserve"> epidemiology have outlined that the pathogen has strong seasonal variability,</w:t>
      </w:r>
      <w:r w:rsidRPr="00721BB5">
        <w:fldChar w:fldCharType="begin"/>
      </w:r>
      <w:r w:rsidR="00777247">
        <w:instrText xml:space="preserve"> ADDIN ZOTERO_ITEM CSL_CITATION {"citationID":"V9T8woOc","properties":{"formattedCitation":"\\super 18\\nosupersub{}","plainCitation":"18","noteIndex":0},"citationItems":[{"id":"2r5qN3V4/unwRFSyB","uris":["http://zotero.org/groups/2154524/items/Z398UGXZ"],"itemData":{"id":40602,"type":"article-journal","abstract":"Identifying the trends in community-onset Acinetobacter baumannii complex isolation and diversity according to temperature could help provide insight into the behavior of the A. baumannii complex. We performed a retrospective analysis of A. baumannii complex (Acinetobacter baumannii, Acinetobacter nosocomialis, Acinetobacter pittii, and Acinetobacter calcoaceticus) isolates obtained from patients at a Korean community hospital from 2006 to 2015 with reference to seasonal temperatures. The incidence rates were compared between warm (June–September) and cold (November–March) months, defined as an average mean temperature ≥20</w:instrText>
      </w:r>
      <w:r w:rsidR="00777247">
        <w:rPr>
          <w:rFonts w:ascii="Cambria Math" w:hAnsi="Cambria Math" w:cs="Cambria Math"/>
        </w:rPr>
        <w:instrText>℃</w:instrText>
      </w:r>
      <w:r w:rsidR="00777247">
        <w:instrText xml:space="preserve"> and </w:instrText>
      </w:r>
      <w:r w:rsidR="00777247">
        <w:rPr>
          <w:rFonts w:ascii="Calibri" w:hAnsi="Calibri" w:cs="Calibri"/>
        </w:rPr>
        <w:instrText>≤</w:instrText>
      </w:r>
      <w:r w:rsidR="00777247">
        <w:instrText>5</w:instrText>
      </w:r>
      <w:r w:rsidR="00777247">
        <w:rPr>
          <w:rFonts w:ascii="Cambria Math" w:hAnsi="Cambria Math" w:cs="Cambria Math"/>
        </w:rPr>
        <w:instrText>℃</w:instrText>
      </w:r>
      <w:r w:rsidR="00777247">
        <w:instrText xml:space="preserve">, respectively. Incidence rate was calculated as the number of cases per month, converted to cases/105 admissions for healthcare-acquired isolates and cases/103 outpatients for community-onset isolates. Approximately 3,500 A. baumannii complex cases were identified, and 26.2% of them were community-onset cases. The median (interquartile range) number of community-onset A. baumannii complex cases was significantly higher (P=0.0002) in warm months at 13.8 (9.5–17.6) than in cold months at 10.1 (6.3–13.2). There was a strong correlation between community-onset A. baumannii complex cases and temperature (Pearson's r=0.6805, P=0.0149). Thus, we identified a seasonality pattern for community-onset A. baumannii complex colonization or infection, but not for healthcare-acquired cases.","container-title":"Annals of Laboratory Medicine","DOI":"10.3343/alm.2018.38.3.266","ISSN":"2234-3806","issue":"3","journalAbbreviation":"Ann Lab Med","note":"PMID: 29401563\nPMCID: PMC5820073","page":"266-270","source":"PubMed Central","title":"Seasonal and temperature-associated increase in community-onset Acinetobacter baumannii complex colonization or infection","volume":"38","author":[{"family":"Kim","given":"Young Ah"},{"family":"Kim","given":"Jin Ju"},{"family":"Won","given":"Dong Ju"},{"family":"Lee","given":"Kyungwon"}],"issued":{"date-parts":[["2018",5]]}}}],"schema":"https://github.com/citation-style-language/schema/raw/master/csl-citation.json"} </w:instrText>
      </w:r>
      <w:r w:rsidRPr="00721BB5">
        <w:fldChar w:fldCharType="separate"/>
      </w:r>
      <w:r w:rsidR="00777247" w:rsidRPr="00777247">
        <w:rPr>
          <w:rFonts w:ascii="Calibri" w:hAnsi="Calibri" w:cs="Calibri"/>
          <w:vertAlign w:val="superscript"/>
        </w:rPr>
        <w:t>18</w:t>
      </w:r>
      <w:r w:rsidRPr="00721BB5">
        <w:fldChar w:fldCharType="end"/>
      </w:r>
      <w:r w:rsidRPr="00721BB5">
        <w:t xml:space="preserve"> is found most in tropical and temperature climates, and that across geographies, the only climatic variable with a consistent association with the pathogen is temperature.</w:t>
      </w:r>
      <w:r w:rsidRPr="00721BB5">
        <w:fldChar w:fldCharType="begin"/>
      </w:r>
      <w:r w:rsidR="00777247">
        <w:instrText xml:space="preserve"> ADDIN ZOTERO_ITEM CSL_CITATION {"citationID":"F8duJYeQ","properties":{"formattedCitation":"\\super 19\\nosupersub{}","plainCitation":"19","noteIndex":0},"citationItems":[{"id":"2r5qN3V4/ixkXixuO","uris":["http://zotero.org/groups/2154524/items/FWUPNLJJ"],"itemData":{"id":40605,"type":"article-journal","abstract":"Background\nAcinetobacter is a leading multidrug resistant pathogen in hospitals worldwide that has been seen to exhibit periodic surges during summer months. However, winter peaks and lack of seasonality have also been noted.\nObjectives\nTo systematically collate and examine the evidence describing seasonal patterns in the incidence of Acinetobacter infection in hospitalized patients.\nData sources\nMEDLINE/Ovid, EMBASE, Scopus and Web of Science.\nStudy eligibility criteria\nLongitudinal observational studies investigating seasonal variation in the incidence of Acinetobacter infection.\nParticipants\nPatients receiving hospital care.\nInterventions\nRoutine hospital care.\nMethods\nSystematic review with narrative evidence synthesis structured around clinical and methodological heterogeneity and internal validity of retrieved studies, seasonal patterns and risk factors detected, and stated hypotheses of mechanisms underlying seasonality. To examine consistency in reported seasonal patterns across different conditions, monthly incidence data were extracted, standardised, weighted and presented graphically.\nResults\nTwenty-five studies reporting 37006 cases of Acinetobacter infection or colonization during 1954 months of follow-up were reviewed. Standardised monthly incidence data pooled across studies exhibited a global seasonal pattern with an incidence peak in summer/warmer months and a trough in winter/colder months. This seasonal pattern remained consistent under different weighting schemes accounting for study size, length of follow-up and overall quality assessment rating. Seasonality persisted in different clinical settings and for different types and sources of infection. Nine studies provided consistent evidence of temperature-associated variation in Acinetobacter incidence, while there were controversial findings regarding other environmental variables. No study detected patient-related or clinical practice-related seasonal variation in Acinetobacter incidence.\nConclusions\nDespite substantial clinical and methodological heterogeneity in retrieved studies, a consistent global seasonal pattern in Acinetobacter infection incidence was evident in this review. This merits attention when designing or evaluating infection control interventions in hospitals. Future research should focus on elucidating driving mechanisms underlying the observed seasonality.","container-title":"Clinical Microbiology and Infection","DOI":"10.1016/j.cmi.2019.09.020","ISSN":"1198-743X","issue":"5","journalAbbreviation":"Clinical Microbiology and Infection","page":"553-562","source":"ScienceDirect","title":"A systematic review of the global seasonality of infections caused by &lt;i&gt;Acinetobacter&lt;/i&gt; species in hospitalized patients","volume":"26","author":[{"family":"Kritsotakis","given":"E. I."},{"family":"Groves-Kozhageldiyeva","given":"A."}],"issued":{"date-parts":[["2020",5,1]]}}}],"schema":"https://github.com/citation-style-language/schema/raw/master/csl-citation.json"} </w:instrText>
      </w:r>
      <w:r w:rsidRPr="00721BB5">
        <w:fldChar w:fldCharType="separate"/>
      </w:r>
      <w:r w:rsidR="00777247" w:rsidRPr="00777247">
        <w:rPr>
          <w:rFonts w:ascii="Calibri" w:hAnsi="Calibri" w:cs="Calibri"/>
          <w:vertAlign w:val="superscript"/>
        </w:rPr>
        <w:t>19</w:t>
      </w:r>
      <w:r w:rsidRPr="00721BB5">
        <w:fldChar w:fldCharType="end"/>
      </w:r>
      <w:r w:rsidRPr="00721BB5">
        <w:t xml:space="preserve"> Of note is temperature’s</w:t>
      </w:r>
      <w:r w:rsidRPr="00721BB5" w:rsidDel="00D8310A">
        <w:t xml:space="preserve"> </w:t>
      </w:r>
      <w:r w:rsidRPr="00721BB5">
        <w:t xml:space="preserve">negative correlation with healthcare access and quality (in aggregate, warmer climates tend to be some of the most resource poor), one of the primary covariates we use to extrapolate our pathogen distributions across time. This negative correlation, in addition to the fact that the data we have for </w:t>
      </w:r>
      <w:r w:rsidRPr="00721BB5">
        <w:rPr>
          <w:i/>
        </w:rPr>
        <w:t>A. baumannii</w:t>
      </w:r>
      <w:r w:rsidRPr="00721BB5">
        <w:t xml:space="preserve"> is more geographically rather than temporally disperse, determined a highly negative relationship between </w:t>
      </w:r>
      <w:r w:rsidRPr="00721BB5">
        <w:rPr>
          <w:i/>
        </w:rPr>
        <w:t>A. baumannii</w:t>
      </w:r>
      <w:r w:rsidRPr="00721BB5">
        <w:t xml:space="preserve"> and healthcare access and quality in preliminary models that omitted temperature; in such models, the global death rate of BSI attributable to </w:t>
      </w:r>
      <w:r w:rsidRPr="00721BB5">
        <w:rPr>
          <w:i/>
        </w:rPr>
        <w:t>A. baumannii</w:t>
      </w:r>
      <w:r w:rsidRPr="00721BB5">
        <w:t xml:space="preserve"> decreased by more than 50% between 1990 and 2021, far more than any other pathogen. After we included temperature as a covariate, the relationship between </w:t>
      </w:r>
      <w:r w:rsidRPr="00721BB5">
        <w:rPr>
          <w:i/>
        </w:rPr>
        <w:t>A. baumannii</w:t>
      </w:r>
      <w:r w:rsidRPr="00721BB5">
        <w:t xml:space="preserve"> and healthcare access and quality </w:t>
      </w:r>
      <w:proofErr w:type="spellStart"/>
      <w:r w:rsidRPr="00721BB5">
        <w:t>stabilised</w:t>
      </w:r>
      <w:proofErr w:type="spellEnd"/>
      <w:r w:rsidRPr="00721BB5">
        <w:t xml:space="preserve">, and trends in </w:t>
      </w:r>
      <w:r w:rsidRPr="00721BB5">
        <w:rPr>
          <w:i/>
        </w:rPr>
        <w:t>A. baumannii</w:t>
      </w:r>
      <w:r w:rsidRPr="00721BB5">
        <w:t xml:space="preserve"> were much more consistent with similar Gram-negative pathogens. To mitigate the effect of temperature on other pathogens, we applied an exceptionally strong Gaussian prior as documented in table 6.3.2.1.</w:t>
      </w:r>
    </w:p>
    <w:p w14:paraId="00682658" w14:textId="2A182C4B" w:rsidR="00833E99" w:rsidRPr="000F32B0" w:rsidRDefault="00721BB5" w:rsidP="0BB36B9D">
      <w:proofErr w:type="spellStart"/>
      <w:r w:rsidRPr="000F32B0">
        <w:rPr>
          <w:i/>
          <w:iCs/>
        </w:rPr>
        <w:t>Outliering</w:t>
      </w:r>
      <w:proofErr w:type="spellEnd"/>
    </w:p>
    <w:p w14:paraId="0E1EE679" w14:textId="77777777" w:rsidR="00294D7C" w:rsidRPr="00294D7C" w:rsidRDefault="00294D7C" w:rsidP="00294D7C">
      <w:r w:rsidRPr="00294D7C">
        <w:t>Pathogen distributions by age, syndrome, and year were reviewed by an expert committee of infectious disease specialists. Input data for pathogens found to make up an unreasonably low or high proportion of the syndrome distribution were reviewed using a varied set of visualizations and metrics (including in and out-of-sample residual estimates). Following this assessment, a select group of data (amounting to no more than 0.05% of the overall input data for any given syndrome) was omitted as outliers.</w:t>
      </w:r>
    </w:p>
    <w:p w14:paraId="06966DF9" w14:textId="3EA87AA3" w:rsidR="00721BB5" w:rsidRPr="000F32B0" w:rsidRDefault="00294D7C" w:rsidP="0BB36B9D">
      <w:r w:rsidRPr="000F32B0">
        <w:rPr>
          <w:i/>
          <w:iCs/>
        </w:rPr>
        <w:t>Redistribution of “other pathogens”</w:t>
      </w:r>
    </w:p>
    <w:p w14:paraId="507665D6" w14:textId="6E5DED78" w:rsidR="00294D7C" w:rsidRDefault="0085384B" w:rsidP="0BB36B9D">
      <w:r w:rsidRPr="0085384B">
        <w:t xml:space="preserve">Given computational and statistical limitations of assessing every possible pathogen in every syndrome model, our framework assessed the 25 most prevalent pathogens in the raw data (or all pathogens with over 300 records, if that number was smaller). The remaining pathogens were lumped into a residual “other pathogens” category. To better represent the pathogens encompassed in this “other” category in our results, we proportionally redistributed the “other pathogens” burden to the pathogens from our input data that weren’t explicitly estimated (based on the number of cases observed in the data). For example, for bloodstream infections, our data included 12 pathogens in addition to the 25 we explicitly estimated: </w:t>
      </w:r>
      <w:r w:rsidRPr="0085384B">
        <w:rPr>
          <w:i/>
          <w:iCs/>
        </w:rPr>
        <w:t>Actinomyces</w:t>
      </w:r>
      <w:r w:rsidRPr="0085384B">
        <w:t xml:space="preserve"> spp., </w:t>
      </w:r>
      <w:r w:rsidRPr="0085384B">
        <w:rPr>
          <w:i/>
          <w:iCs/>
        </w:rPr>
        <w:t>Aeromonas</w:t>
      </w:r>
      <w:r w:rsidRPr="0085384B">
        <w:t xml:space="preserve"> spp., </w:t>
      </w:r>
      <w:r w:rsidRPr="0085384B">
        <w:rPr>
          <w:i/>
          <w:iCs/>
        </w:rPr>
        <w:t>Aspergillus</w:t>
      </w:r>
      <w:r w:rsidRPr="0085384B">
        <w:t xml:space="preserve"> spp., </w:t>
      </w:r>
      <w:r w:rsidRPr="0085384B">
        <w:rPr>
          <w:i/>
          <w:iCs/>
        </w:rPr>
        <w:t>Cryptococcus</w:t>
      </w:r>
      <w:r w:rsidRPr="0085384B">
        <w:t xml:space="preserve"> spp., Other </w:t>
      </w:r>
      <w:r w:rsidRPr="0085384B">
        <w:rPr>
          <w:i/>
          <w:iCs/>
        </w:rPr>
        <w:t>enterococci</w:t>
      </w:r>
      <w:r w:rsidRPr="0085384B">
        <w:t xml:space="preserve">, Other fungi, Other Gram-positives, </w:t>
      </w:r>
      <w:r w:rsidRPr="0085384B">
        <w:rPr>
          <w:i/>
          <w:iCs/>
        </w:rPr>
        <w:t>Histoplasma</w:t>
      </w:r>
      <w:r w:rsidRPr="0085384B">
        <w:t xml:space="preserve"> spp., </w:t>
      </w:r>
      <w:r w:rsidRPr="0085384B">
        <w:rPr>
          <w:i/>
          <w:iCs/>
        </w:rPr>
        <w:t>Leptospira</w:t>
      </w:r>
      <w:r w:rsidRPr="0085384B">
        <w:t xml:space="preserve"> spp., </w:t>
      </w:r>
      <w:r w:rsidRPr="0085384B">
        <w:rPr>
          <w:i/>
          <w:iCs/>
        </w:rPr>
        <w:t xml:space="preserve">Listeria </w:t>
      </w:r>
      <w:r w:rsidRPr="0085384B">
        <w:t xml:space="preserve">spp., non-polio enteroviruses, and Other </w:t>
      </w:r>
      <w:r w:rsidRPr="0085384B">
        <w:rPr>
          <w:i/>
          <w:iCs/>
        </w:rPr>
        <w:t xml:space="preserve">pseudomonas </w:t>
      </w:r>
      <w:r w:rsidRPr="0085384B">
        <w:t xml:space="preserve">species. Thus, the 3.1% of bloodstream infection cases attributed to “other pathogens” in neonates in Sub-Saharan Africa was redistributed to these 12 pathogens in accordance with their prevalence in the input data, with the proportion of burden attributed ranging from 1.2% for Other </w:t>
      </w:r>
      <w:r w:rsidRPr="0085384B">
        <w:rPr>
          <w:i/>
          <w:iCs/>
        </w:rPr>
        <w:t>enterococci</w:t>
      </w:r>
      <w:r w:rsidRPr="0085384B">
        <w:t xml:space="preserve"> to 21.7% for Other fungi. The redistribution proportions varied by syndrome but were constant across age, location, and outcome (they were the same for both deaths and cases); future work will attempt to improve this estimation. The proportion of any given syndrome attributable to “other pathogens” was generally under 5%, with the leading non-estimated pathogen generally receiving around 20% of that burden—in other words, the amount of burden ascribed to any specific pathogen via this method was typically very small.</w:t>
      </w:r>
    </w:p>
    <w:p w14:paraId="488420DB" w14:textId="3D63ADC9" w:rsidR="00922A21" w:rsidRPr="008C609A" w:rsidRDefault="008C609A" w:rsidP="31F26954">
      <w:pPr>
        <w:rPr>
          <w:rFonts w:asciiTheme="majorHAnsi" w:eastAsiaTheme="majorEastAsia" w:hAnsiTheme="majorHAnsi" w:cstheme="majorBidi"/>
          <w:color w:val="1F3763" w:themeColor="accent1" w:themeShade="7F"/>
          <w:sz w:val="24"/>
          <w:szCs w:val="24"/>
        </w:rPr>
      </w:pPr>
      <w:r w:rsidRPr="31F26954">
        <w:rPr>
          <w:rFonts w:asciiTheme="majorHAnsi" w:eastAsiaTheme="majorEastAsia" w:hAnsiTheme="majorHAnsi" w:cstheme="majorBidi"/>
          <w:color w:val="1F3763"/>
          <w:sz w:val="24"/>
          <w:szCs w:val="24"/>
        </w:rPr>
        <w:t>Model validation</w:t>
      </w:r>
    </w:p>
    <w:p w14:paraId="1FEC1B67" w14:textId="77777777" w:rsidR="003E3B82" w:rsidRPr="003E3B82" w:rsidRDefault="003E3B82" w:rsidP="003E3B82">
      <w:r w:rsidRPr="003E3B82">
        <w:t>To assess model validity, we calculated the root mean square error (RMSE) and coefficient of determination (R</w:t>
      </w:r>
      <w:r w:rsidRPr="003E3B82">
        <w:rPr>
          <w:vertAlign w:val="superscript"/>
        </w:rPr>
        <w:t>2</w:t>
      </w:r>
      <w:r w:rsidRPr="003E3B82">
        <w:t>) for each pathogen distribution model in proportion space for both in-sample and out-of-sample predictions (table 6.5.1). Proportions were predicted for each observation using the specific denominator observed from that study. For example, if a given study reported on only E. coli and S. pneumoniae, the predictions for model validation for this study were calculated as proportions of the total for E. coli and S. pneumoniae. In order to calculate out-of-sample fit, we perform non-exhaustive cross-validation, with each round of the validation holding out 1 country of data at a time. This leave-one-country-out approach simulates the prediction task of estimating the pathogen distribution of a country for which we have no data.</w:t>
      </w:r>
    </w:p>
    <w:p w14:paraId="3FE40201" w14:textId="77777777" w:rsidR="003E3B82" w:rsidRPr="003E3B82" w:rsidRDefault="003E3B82" w:rsidP="003E3B82">
      <w:r w:rsidRPr="003E3B82">
        <w:t>R</w:t>
      </w:r>
      <w:r w:rsidRPr="003E3B82">
        <w:rPr>
          <w:vertAlign w:val="superscript"/>
        </w:rPr>
        <w:t>2</w:t>
      </w:r>
      <w:r w:rsidRPr="003E3B82">
        <w:t xml:space="preserve"> ranges from 0.743 to 0.927 in-sample and from 0.666 to 0.914 out of sample, indicating good model fit with only modest losses when data are moved out of sample. RMSE ranges from 0.078 to 0.148 in-sample and from 0.091 to 0.178 out of sample. Given that the data are expected to vary from the model predictions according to the observation-level variance, and the fact that the RMSEs are relatively consistent between in-sample and out-of-sample, these RMSEs are reasonable. Overall, these metrics show that these models have good fit and good out-of-sample predictive ability.</w:t>
      </w:r>
    </w:p>
    <w:p w14:paraId="292DB40F" w14:textId="77777777" w:rsidR="003E3B82" w:rsidRPr="003E3B82" w:rsidRDefault="003E3B82" w:rsidP="003E3B82">
      <w:r w:rsidRPr="003E3B82">
        <w:t>Table 6.5.1: In-sample and out-of-sample validation metrics for pathogen distribution models</w:t>
      </w:r>
    </w:p>
    <w:tbl>
      <w:tblPr>
        <w:tblStyle w:val="PlainTable1"/>
        <w:tblW w:w="0" w:type="auto"/>
        <w:tblLook w:val="04A0" w:firstRow="1" w:lastRow="0" w:firstColumn="1" w:lastColumn="0" w:noHBand="0" w:noVBand="1"/>
      </w:tblPr>
      <w:tblGrid>
        <w:gridCol w:w="2965"/>
        <w:gridCol w:w="1260"/>
        <w:gridCol w:w="1260"/>
        <w:gridCol w:w="1260"/>
        <w:gridCol w:w="1345"/>
      </w:tblGrid>
      <w:tr w:rsidR="003E3B82" w:rsidRPr="003E3B82" w14:paraId="458F42E5" w14:textId="77777777" w:rsidTr="000F32B0">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vMerge w:val="restart"/>
            <w:noWrap/>
            <w:hideMark/>
          </w:tcPr>
          <w:p w14:paraId="5961792A" w14:textId="77777777" w:rsidR="003E3B82" w:rsidRPr="003E3B82" w:rsidRDefault="003E3B82" w:rsidP="003E3B82">
            <w:pPr>
              <w:spacing w:after="160" w:line="259" w:lineRule="auto"/>
            </w:pPr>
            <w:r w:rsidRPr="003E3B82">
              <w:t>Infectious syndrome</w:t>
            </w:r>
          </w:p>
        </w:tc>
        <w:tc>
          <w:tcPr>
            <w:tcW w:w="2520" w:type="dxa"/>
            <w:gridSpan w:val="2"/>
            <w:noWrap/>
            <w:hideMark/>
          </w:tcPr>
          <w:p w14:paraId="0B7238AC" w14:textId="77777777" w:rsidR="003E3B82" w:rsidRPr="003E3B82" w:rsidRDefault="003E3B82" w:rsidP="003E3B82">
            <w:pPr>
              <w:spacing w:after="160" w:line="259" w:lineRule="auto"/>
              <w:cnfStyle w:val="100000000000" w:firstRow="1" w:lastRow="0" w:firstColumn="0" w:lastColumn="0" w:oddVBand="0" w:evenVBand="0" w:oddHBand="0" w:evenHBand="0" w:firstRowFirstColumn="0" w:firstRowLastColumn="0" w:lastRowFirstColumn="0" w:lastRowLastColumn="0"/>
            </w:pPr>
            <w:r w:rsidRPr="003E3B82">
              <w:t>R</w:t>
            </w:r>
            <w:r w:rsidRPr="003E3B82">
              <w:rPr>
                <w:vertAlign w:val="superscript"/>
              </w:rPr>
              <w:t>2</w:t>
            </w:r>
          </w:p>
        </w:tc>
        <w:tc>
          <w:tcPr>
            <w:tcW w:w="2605" w:type="dxa"/>
            <w:gridSpan w:val="2"/>
            <w:noWrap/>
            <w:hideMark/>
          </w:tcPr>
          <w:p w14:paraId="37F4CDFD" w14:textId="77777777" w:rsidR="003E3B82" w:rsidRPr="003E3B82" w:rsidRDefault="003E3B82" w:rsidP="003E3B82">
            <w:pPr>
              <w:spacing w:after="160" w:line="259" w:lineRule="auto"/>
              <w:cnfStyle w:val="100000000000" w:firstRow="1" w:lastRow="0" w:firstColumn="0" w:lastColumn="0" w:oddVBand="0" w:evenVBand="0" w:oddHBand="0" w:evenHBand="0" w:firstRowFirstColumn="0" w:firstRowLastColumn="0" w:lastRowFirstColumn="0" w:lastRowLastColumn="0"/>
            </w:pPr>
            <w:r w:rsidRPr="003E3B82">
              <w:t>RMSE</w:t>
            </w:r>
          </w:p>
        </w:tc>
      </w:tr>
      <w:tr w:rsidR="003E3B82" w:rsidRPr="003E3B82" w14:paraId="549183A9" w14:textId="77777777" w:rsidTr="000F32B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vMerge/>
            <w:noWrap/>
            <w:hideMark/>
          </w:tcPr>
          <w:p w14:paraId="240618D2" w14:textId="77777777" w:rsidR="003E3B82" w:rsidRPr="003E3B82" w:rsidRDefault="003E3B82" w:rsidP="003E3B82">
            <w:pPr>
              <w:spacing w:after="160" w:line="259" w:lineRule="auto"/>
            </w:pPr>
          </w:p>
        </w:tc>
        <w:tc>
          <w:tcPr>
            <w:tcW w:w="1260" w:type="dxa"/>
            <w:noWrap/>
            <w:hideMark/>
          </w:tcPr>
          <w:p w14:paraId="18F2EAA9"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In sample</w:t>
            </w:r>
          </w:p>
        </w:tc>
        <w:tc>
          <w:tcPr>
            <w:tcW w:w="1260" w:type="dxa"/>
            <w:noWrap/>
            <w:hideMark/>
          </w:tcPr>
          <w:p w14:paraId="3A211BFA"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Out of sample</w:t>
            </w:r>
          </w:p>
        </w:tc>
        <w:tc>
          <w:tcPr>
            <w:tcW w:w="1260" w:type="dxa"/>
            <w:noWrap/>
            <w:hideMark/>
          </w:tcPr>
          <w:p w14:paraId="233B23B5"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In sample</w:t>
            </w:r>
          </w:p>
        </w:tc>
        <w:tc>
          <w:tcPr>
            <w:tcW w:w="1345" w:type="dxa"/>
            <w:noWrap/>
            <w:hideMark/>
          </w:tcPr>
          <w:p w14:paraId="2ED5A116"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Out of sample</w:t>
            </w:r>
          </w:p>
        </w:tc>
      </w:tr>
      <w:tr w:rsidR="003E3B82" w:rsidRPr="003E3B82" w14:paraId="18960EFF" w14:textId="77777777" w:rsidTr="000F32B0">
        <w:trPr>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6D74CCD9" w14:textId="77777777" w:rsidR="003E3B82" w:rsidRPr="003E3B82" w:rsidRDefault="003E3B82" w:rsidP="003E3B82">
            <w:pPr>
              <w:spacing w:after="160" w:line="259" w:lineRule="auto"/>
            </w:pPr>
            <w:r w:rsidRPr="003E3B82">
              <w:t>Infections of the skin and subcutaneous systems</w:t>
            </w:r>
          </w:p>
        </w:tc>
        <w:tc>
          <w:tcPr>
            <w:tcW w:w="1260" w:type="dxa"/>
            <w:noWrap/>
            <w:hideMark/>
          </w:tcPr>
          <w:p w14:paraId="34E39499"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0.880</w:t>
            </w:r>
          </w:p>
        </w:tc>
        <w:tc>
          <w:tcPr>
            <w:tcW w:w="1260" w:type="dxa"/>
            <w:noWrap/>
            <w:hideMark/>
          </w:tcPr>
          <w:p w14:paraId="19C87D7D"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0.828</w:t>
            </w:r>
          </w:p>
        </w:tc>
        <w:tc>
          <w:tcPr>
            <w:tcW w:w="1260" w:type="dxa"/>
            <w:noWrap/>
            <w:hideMark/>
          </w:tcPr>
          <w:p w14:paraId="3B82D7F6"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0.139</w:t>
            </w:r>
          </w:p>
        </w:tc>
        <w:tc>
          <w:tcPr>
            <w:tcW w:w="1345" w:type="dxa"/>
            <w:noWrap/>
            <w:hideMark/>
          </w:tcPr>
          <w:p w14:paraId="25A3D102"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0.167</w:t>
            </w:r>
          </w:p>
        </w:tc>
      </w:tr>
      <w:tr w:rsidR="003E3B82" w:rsidRPr="003E3B82" w14:paraId="64C3F7FB" w14:textId="77777777" w:rsidTr="000F32B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4FCA1B3C" w14:textId="77777777" w:rsidR="003E3B82" w:rsidRPr="003E3B82" w:rsidRDefault="003E3B82" w:rsidP="003E3B82">
            <w:pPr>
              <w:spacing w:after="160" w:line="259" w:lineRule="auto"/>
            </w:pPr>
            <w:r w:rsidRPr="003E3B82">
              <w:t>Bloodstream infections</w:t>
            </w:r>
          </w:p>
        </w:tc>
        <w:tc>
          <w:tcPr>
            <w:tcW w:w="1260" w:type="dxa"/>
            <w:noWrap/>
            <w:hideMark/>
          </w:tcPr>
          <w:p w14:paraId="1783BB65"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0.743</w:t>
            </w:r>
          </w:p>
        </w:tc>
        <w:tc>
          <w:tcPr>
            <w:tcW w:w="1260" w:type="dxa"/>
            <w:noWrap/>
            <w:hideMark/>
          </w:tcPr>
          <w:p w14:paraId="33B8C911"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0.723</w:t>
            </w:r>
          </w:p>
        </w:tc>
        <w:tc>
          <w:tcPr>
            <w:tcW w:w="1260" w:type="dxa"/>
            <w:noWrap/>
            <w:hideMark/>
          </w:tcPr>
          <w:p w14:paraId="53064D91"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0.115</w:t>
            </w:r>
          </w:p>
        </w:tc>
        <w:tc>
          <w:tcPr>
            <w:tcW w:w="1345" w:type="dxa"/>
            <w:noWrap/>
            <w:hideMark/>
          </w:tcPr>
          <w:p w14:paraId="33DA9CF3"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0.119</w:t>
            </w:r>
          </w:p>
        </w:tc>
      </w:tr>
      <w:tr w:rsidR="003E3B82" w:rsidRPr="003E3B82" w14:paraId="5926AB64" w14:textId="77777777" w:rsidTr="000F32B0">
        <w:trPr>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4D0D52FE" w14:textId="77777777" w:rsidR="003E3B82" w:rsidRPr="003E3B82" w:rsidRDefault="003E3B82" w:rsidP="003E3B82">
            <w:pPr>
              <w:spacing w:after="160" w:line="259" w:lineRule="auto"/>
            </w:pPr>
            <w:r w:rsidRPr="003E3B82">
              <w:t>Infections of bones, joints, and related organs</w:t>
            </w:r>
          </w:p>
        </w:tc>
        <w:tc>
          <w:tcPr>
            <w:tcW w:w="1260" w:type="dxa"/>
            <w:noWrap/>
            <w:hideMark/>
          </w:tcPr>
          <w:p w14:paraId="1335A8F4"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0.919</w:t>
            </w:r>
          </w:p>
        </w:tc>
        <w:tc>
          <w:tcPr>
            <w:tcW w:w="1260" w:type="dxa"/>
            <w:noWrap/>
            <w:hideMark/>
          </w:tcPr>
          <w:p w14:paraId="0C9F417B"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0.914</w:t>
            </w:r>
          </w:p>
        </w:tc>
        <w:tc>
          <w:tcPr>
            <w:tcW w:w="1260" w:type="dxa"/>
            <w:noWrap/>
            <w:hideMark/>
          </w:tcPr>
          <w:p w14:paraId="549FBEEF"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0.117</w:t>
            </w:r>
          </w:p>
        </w:tc>
        <w:tc>
          <w:tcPr>
            <w:tcW w:w="1345" w:type="dxa"/>
            <w:noWrap/>
            <w:hideMark/>
          </w:tcPr>
          <w:p w14:paraId="0F6CB9F5"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0.121</w:t>
            </w:r>
          </w:p>
        </w:tc>
      </w:tr>
      <w:tr w:rsidR="003E3B82" w:rsidRPr="003E3B82" w14:paraId="12F6FAD2" w14:textId="77777777" w:rsidTr="000F32B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noWrap/>
          </w:tcPr>
          <w:p w14:paraId="3B8A0ECB" w14:textId="77777777" w:rsidR="003E3B82" w:rsidRPr="003E3B82" w:rsidRDefault="003E3B82" w:rsidP="003E3B82">
            <w:pPr>
              <w:spacing w:after="160" w:line="259" w:lineRule="auto"/>
            </w:pPr>
            <w:r w:rsidRPr="003E3B82">
              <w:t>Endocarditis</w:t>
            </w:r>
          </w:p>
        </w:tc>
        <w:tc>
          <w:tcPr>
            <w:tcW w:w="1260" w:type="dxa"/>
            <w:noWrap/>
          </w:tcPr>
          <w:p w14:paraId="3A665810"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0.927</w:t>
            </w:r>
          </w:p>
        </w:tc>
        <w:tc>
          <w:tcPr>
            <w:tcW w:w="1260" w:type="dxa"/>
            <w:noWrap/>
          </w:tcPr>
          <w:p w14:paraId="034D413F"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0.870</w:t>
            </w:r>
          </w:p>
        </w:tc>
        <w:tc>
          <w:tcPr>
            <w:tcW w:w="1260" w:type="dxa"/>
            <w:noWrap/>
          </w:tcPr>
          <w:p w14:paraId="45CCC2C9"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0.078</w:t>
            </w:r>
          </w:p>
        </w:tc>
        <w:tc>
          <w:tcPr>
            <w:tcW w:w="1345" w:type="dxa"/>
            <w:noWrap/>
          </w:tcPr>
          <w:p w14:paraId="5B597C00"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0.104</w:t>
            </w:r>
          </w:p>
        </w:tc>
      </w:tr>
      <w:tr w:rsidR="003E3B82" w:rsidRPr="003E3B82" w14:paraId="7C13557D" w14:textId="77777777" w:rsidTr="000F32B0">
        <w:trPr>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28011691" w14:textId="77777777" w:rsidR="003E3B82" w:rsidRPr="003E3B82" w:rsidRDefault="003E3B82" w:rsidP="003E3B82">
            <w:pPr>
              <w:spacing w:after="160" w:line="259" w:lineRule="auto"/>
            </w:pPr>
            <w:r w:rsidRPr="003E3B82">
              <w:t>Lower respiratory infections</w:t>
            </w:r>
          </w:p>
        </w:tc>
        <w:tc>
          <w:tcPr>
            <w:tcW w:w="1260" w:type="dxa"/>
            <w:noWrap/>
            <w:hideMark/>
          </w:tcPr>
          <w:p w14:paraId="4CCB8F11"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0.754</w:t>
            </w:r>
          </w:p>
        </w:tc>
        <w:tc>
          <w:tcPr>
            <w:tcW w:w="1260" w:type="dxa"/>
            <w:noWrap/>
            <w:hideMark/>
          </w:tcPr>
          <w:p w14:paraId="383C6993"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0.666</w:t>
            </w:r>
          </w:p>
        </w:tc>
        <w:tc>
          <w:tcPr>
            <w:tcW w:w="1260" w:type="dxa"/>
            <w:noWrap/>
            <w:hideMark/>
          </w:tcPr>
          <w:p w14:paraId="00AB038C"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0.130</w:t>
            </w:r>
          </w:p>
        </w:tc>
        <w:tc>
          <w:tcPr>
            <w:tcW w:w="1345" w:type="dxa"/>
            <w:noWrap/>
            <w:hideMark/>
          </w:tcPr>
          <w:p w14:paraId="3BB3CEDA"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0.152</w:t>
            </w:r>
          </w:p>
        </w:tc>
      </w:tr>
      <w:tr w:rsidR="003E3B82" w:rsidRPr="003E3B82" w14:paraId="331A84E6" w14:textId="77777777" w:rsidTr="000F32B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0CC38EFB" w14:textId="77777777" w:rsidR="003E3B82" w:rsidRPr="003E3B82" w:rsidRDefault="003E3B82" w:rsidP="003E3B82">
            <w:pPr>
              <w:spacing w:after="160" w:line="259" w:lineRule="auto"/>
            </w:pPr>
            <w:r w:rsidRPr="003E3B82">
              <w:t>Meningitis</w:t>
            </w:r>
          </w:p>
        </w:tc>
        <w:tc>
          <w:tcPr>
            <w:tcW w:w="1260" w:type="dxa"/>
            <w:noWrap/>
            <w:hideMark/>
          </w:tcPr>
          <w:p w14:paraId="4550DC52"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0.815</w:t>
            </w:r>
          </w:p>
        </w:tc>
        <w:tc>
          <w:tcPr>
            <w:tcW w:w="1260" w:type="dxa"/>
            <w:noWrap/>
            <w:hideMark/>
          </w:tcPr>
          <w:p w14:paraId="4A2104EA"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0.733</w:t>
            </w:r>
          </w:p>
        </w:tc>
        <w:tc>
          <w:tcPr>
            <w:tcW w:w="1260" w:type="dxa"/>
            <w:noWrap/>
            <w:hideMark/>
          </w:tcPr>
          <w:p w14:paraId="6FC657A7"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0.148</w:t>
            </w:r>
          </w:p>
        </w:tc>
        <w:tc>
          <w:tcPr>
            <w:tcW w:w="1345" w:type="dxa"/>
            <w:noWrap/>
            <w:hideMark/>
          </w:tcPr>
          <w:p w14:paraId="271D88EC"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0.178</w:t>
            </w:r>
          </w:p>
        </w:tc>
      </w:tr>
      <w:tr w:rsidR="003E3B82" w:rsidRPr="003E3B82" w14:paraId="2D9AB67D" w14:textId="77777777" w:rsidTr="000F32B0">
        <w:trPr>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1B694A1E" w14:textId="77777777" w:rsidR="003E3B82" w:rsidRPr="003E3B82" w:rsidRDefault="003E3B82" w:rsidP="003E3B82">
            <w:pPr>
              <w:spacing w:after="160" w:line="259" w:lineRule="auto"/>
            </w:pPr>
            <w:r w:rsidRPr="003E3B82">
              <w:t>Peritoneal and intra-abdominal infections</w:t>
            </w:r>
          </w:p>
        </w:tc>
        <w:tc>
          <w:tcPr>
            <w:tcW w:w="1260" w:type="dxa"/>
            <w:noWrap/>
            <w:hideMark/>
          </w:tcPr>
          <w:p w14:paraId="314D1D38"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0.906</w:t>
            </w:r>
          </w:p>
        </w:tc>
        <w:tc>
          <w:tcPr>
            <w:tcW w:w="1260" w:type="dxa"/>
            <w:noWrap/>
            <w:hideMark/>
          </w:tcPr>
          <w:p w14:paraId="7666A949"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0.899</w:t>
            </w:r>
          </w:p>
        </w:tc>
        <w:tc>
          <w:tcPr>
            <w:tcW w:w="1260" w:type="dxa"/>
            <w:noWrap/>
            <w:hideMark/>
          </w:tcPr>
          <w:p w14:paraId="5B793B59"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0.088</w:t>
            </w:r>
          </w:p>
        </w:tc>
        <w:tc>
          <w:tcPr>
            <w:tcW w:w="1345" w:type="dxa"/>
            <w:noWrap/>
            <w:hideMark/>
          </w:tcPr>
          <w:p w14:paraId="54E6997A" w14:textId="77777777" w:rsidR="003E3B82" w:rsidRPr="003E3B82" w:rsidRDefault="003E3B82" w:rsidP="003E3B82">
            <w:pPr>
              <w:spacing w:after="160" w:line="259" w:lineRule="auto"/>
              <w:cnfStyle w:val="000000000000" w:firstRow="0" w:lastRow="0" w:firstColumn="0" w:lastColumn="0" w:oddVBand="0" w:evenVBand="0" w:oddHBand="0" w:evenHBand="0" w:firstRowFirstColumn="0" w:firstRowLastColumn="0" w:lastRowFirstColumn="0" w:lastRowLastColumn="0"/>
            </w:pPr>
            <w:r w:rsidRPr="003E3B82">
              <w:t>0.091</w:t>
            </w:r>
          </w:p>
        </w:tc>
      </w:tr>
      <w:tr w:rsidR="003E3B82" w:rsidRPr="003E3B82" w14:paraId="4398E3C0" w14:textId="77777777" w:rsidTr="000F32B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965" w:type="dxa"/>
            <w:noWrap/>
            <w:hideMark/>
          </w:tcPr>
          <w:p w14:paraId="235792BB" w14:textId="77777777" w:rsidR="003E3B82" w:rsidRPr="003E3B82" w:rsidRDefault="003E3B82" w:rsidP="003E3B82">
            <w:pPr>
              <w:spacing w:after="160" w:line="259" w:lineRule="auto"/>
            </w:pPr>
            <w:r w:rsidRPr="003E3B82">
              <w:t>Urinary tract infections and pyelonephritis</w:t>
            </w:r>
          </w:p>
        </w:tc>
        <w:tc>
          <w:tcPr>
            <w:tcW w:w="1260" w:type="dxa"/>
            <w:noWrap/>
            <w:hideMark/>
          </w:tcPr>
          <w:p w14:paraId="71A4E80C"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0.800</w:t>
            </w:r>
          </w:p>
        </w:tc>
        <w:tc>
          <w:tcPr>
            <w:tcW w:w="1260" w:type="dxa"/>
            <w:noWrap/>
            <w:hideMark/>
          </w:tcPr>
          <w:p w14:paraId="5E670593"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0.794</w:t>
            </w:r>
          </w:p>
        </w:tc>
        <w:tc>
          <w:tcPr>
            <w:tcW w:w="1260" w:type="dxa"/>
            <w:noWrap/>
            <w:hideMark/>
          </w:tcPr>
          <w:p w14:paraId="314DC3ED"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0.115</w:t>
            </w:r>
          </w:p>
        </w:tc>
        <w:tc>
          <w:tcPr>
            <w:tcW w:w="1345" w:type="dxa"/>
            <w:noWrap/>
            <w:hideMark/>
          </w:tcPr>
          <w:p w14:paraId="0F6227AD" w14:textId="77777777" w:rsidR="003E3B82" w:rsidRPr="003E3B82" w:rsidRDefault="003E3B82" w:rsidP="003E3B82">
            <w:pPr>
              <w:spacing w:after="160" w:line="259" w:lineRule="auto"/>
              <w:cnfStyle w:val="000000100000" w:firstRow="0" w:lastRow="0" w:firstColumn="0" w:lastColumn="0" w:oddVBand="0" w:evenVBand="0" w:oddHBand="1" w:evenHBand="0" w:firstRowFirstColumn="0" w:firstRowLastColumn="0" w:lastRowFirstColumn="0" w:lastRowLastColumn="0"/>
            </w:pPr>
            <w:r w:rsidRPr="003E3B82">
              <w:t>0.117</w:t>
            </w:r>
          </w:p>
        </w:tc>
      </w:tr>
    </w:tbl>
    <w:p w14:paraId="5B6616AA" w14:textId="77777777" w:rsidR="003E3B82" w:rsidRPr="003E3B82" w:rsidRDefault="003E3B82" w:rsidP="003E3B82">
      <w:r w:rsidRPr="003E3B82">
        <w:t>Out of sample metrics calculated using leave-one-country-out cross validation</w:t>
      </w:r>
    </w:p>
    <w:p w14:paraId="733C2CFF" w14:textId="77777777" w:rsidR="008C609A" w:rsidRPr="00922A21" w:rsidRDefault="008C609A" w:rsidP="0BB36B9D"/>
    <w:p w14:paraId="4B32F97A" w14:textId="2C0502BA" w:rsidR="00A759B4" w:rsidRPr="00A759B4" w:rsidRDefault="00A759B4" w:rsidP="001C2E61">
      <w:pPr>
        <w:pStyle w:val="Heading1"/>
      </w:pPr>
      <w:bookmarkStart w:id="70" w:name="_Toc164260248"/>
      <w:bookmarkStart w:id="71" w:name="_Toc213357090"/>
      <w:r w:rsidRPr="00A759B4">
        <w:t>Risk Factor Estimation</w:t>
      </w:r>
      <w:bookmarkEnd w:id="70"/>
      <w:bookmarkEnd w:id="71"/>
    </w:p>
    <w:p w14:paraId="7D99A58B" w14:textId="77777777" w:rsidR="00A759B4" w:rsidRPr="00A759B4" w:rsidRDefault="00A759B4" w:rsidP="00A759B4">
      <w:bookmarkStart w:id="72" w:name="_Toc164260249"/>
      <w:r w:rsidRPr="00A759B4">
        <w:t>Criteria for inclusion of risk-outcome pairs</w:t>
      </w:r>
      <w:bookmarkEnd w:id="72"/>
    </w:p>
    <w:p w14:paraId="216BEC39" w14:textId="3E9D3753" w:rsidR="00A759B4" w:rsidRPr="00A759B4" w:rsidRDefault="00A759B4" w:rsidP="00A759B4">
      <w:r>
        <w:t>GBD requires each risk-outcome-pair to have convincing or probable evidence of a causal relationship between exposure and disease, established from multiple epidemiological studies in different populations.</w:t>
      </w:r>
      <w:r>
        <w:fldChar w:fldCharType="begin"/>
      </w:r>
      <w:r w:rsidR="00777247">
        <w:instrText xml:space="preserve"> ADDIN ZOTERO_ITEM CSL_CITATION {"citationID":"rIHcYDoR","properties":{"formattedCitation":"\\super 20\\nosupersub{}","plainCitation":"20","noteIndex":0},"citationItems":[{"id":731,"uris":["http://zotero.org/groups/5055689/items/54GFLYAQ"],"itemData":{"id":731,"type":"article-journal","container-title":"Lancet (in review)","title":"Global burden and strength of evidence for 88 risk factors in 204 countries, 1990–2021: a systematic analysis for the Global Burden of Disease Study 2021","author":[{"family":"GBD 2021 Risk Factors Collaborators","given":""}]}}],"schema":"https://github.com/citation-style-language/schema/raw/master/csl-citation.json"} </w:instrText>
      </w:r>
      <w:r>
        <w:fldChar w:fldCharType="separate"/>
      </w:r>
      <w:r w:rsidR="00777247" w:rsidRPr="00777247">
        <w:rPr>
          <w:rFonts w:ascii="Calibri" w:hAnsi="Calibri" w:cs="Calibri"/>
          <w:vertAlign w:val="superscript"/>
        </w:rPr>
        <w:t>20</w:t>
      </w:r>
      <w:r>
        <w:fldChar w:fldCharType="end"/>
      </w:r>
      <w:r>
        <w:t xml:space="preserve"> </w:t>
      </w:r>
    </w:p>
    <w:p w14:paraId="44521E13" w14:textId="77777777" w:rsidR="00A759B4" w:rsidRPr="00A759B4" w:rsidRDefault="00A759B4" w:rsidP="00A759B4"/>
    <w:p w14:paraId="1D5890CD" w14:textId="77777777" w:rsidR="00A759B4" w:rsidRPr="00A759B4" w:rsidRDefault="00A759B4" w:rsidP="00A759B4"/>
    <w:p w14:paraId="69B7D067" w14:textId="77777777" w:rsidR="00A759B4" w:rsidRDefault="00A759B4" w:rsidP="000F32B0">
      <w:pPr>
        <w:pStyle w:val="Heading2"/>
      </w:pPr>
      <w:bookmarkStart w:id="73" w:name="_Toc164260250"/>
      <w:bookmarkStart w:id="74" w:name="_Toc213357091"/>
      <w:r>
        <w:t>Ambient particulate matter pollution</w:t>
      </w:r>
      <w:bookmarkEnd w:id="73"/>
      <w:bookmarkEnd w:id="74"/>
    </w:p>
    <w:p w14:paraId="7034FD61" w14:textId="77777777" w:rsidR="00B123E5" w:rsidRPr="00D856EF" w:rsidRDefault="00B123E5" w:rsidP="00C31303">
      <w:pPr>
        <w:rPr>
          <w:b/>
          <w:bCs/>
        </w:rPr>
      </w:pPr>
      <w:r w:rsidRPr="00D856EF">
        <w:rPr>
          <w:b/>
          <w:bCs/>
        </w:rPr>
        <w:t>Flowchart</w:t>
      </w:r>
    </w:p>
    <w:p w14:paraId="3BE96541" w14:textId="22EE9138" w:rsidR="00B123E5" w:rsidRDefault="00B123E5" w:rsidP="00B123E5">
      <w:r>
        <w:rPr>
          <w:noProof/>
        </w:rPr>
        <w:drawing>
          <wp:inline distT="0" distB="0" distL="0" distR="0" wp14:anchorId="1878CEFD" wp14:editId="6E922E6F">
            <wp:extent cx="5724525" cy="2638425"/>
            <wp:effectExtent l="0" t="0" r="9525" b="9525"/>
            <wp:docPr id="1153476307" name="Picture 6" descr="A screenshot of a computer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476307" name="Picture 6" descr="A screenshot of a computer flowchar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4525" cy="2638425"/>
                    </a:xfrm>
                    <a:prstGeom prst="rect">
                      <a:avLst/>
                    </a:prstGeom>
                    <a:noFill/>
                    <a:ln>
                      <a:noFill/>
                    </a:ln>
                  </pic:spPr>
                </pic:pic>
              </a:graphicData>
            </a:graphic>
          </wp:inline>
        </w:drawing>
      </w:r>
    </w:p>
    <w:p w14:paraId="03DE4190" w14:textId="77777777" w:rsidR="00B123E5" w:rsidRDefault="00B123E5" w:rsidP="00B123E5">
      <w:pPr>
        <w:rPr>
          <w:sz w:val="10"/>
          <w:szCs w:val="10"/>
        </w:rPr>
      </w:pPr>
    </w:p>
    <w:p w14:paraId="0085E7B7" w14:textId="77777777" w:rsidR="00B123E5" w:rsidRPr="00D856EF" w:rsidRDefault="00B123E5" w:rsidP="31F26954">
      <w:pPr>
        <w:rPr>
          <w:b/>
          <w:bCs/>
        </w:rPr>
      </w:pPr>
      <w:r w:rsidRPr="00D856EF">
        <w:rPr>
          <w:b/>
          <w:bCs/>
        </w:rPr>
        <w:t>Input data and methodological summary</w:t>
      </w:r>
    </w:p>
    <w:p w14:paraId="2C170603" w14:textId="77777777" w:rsidR="00B123E5" w:rsidRPr="00D856EF" w:rsidRDefault="00B123E5" w:rsidP="31F26954">
      <w:pPr>
        <w:rPr>
          <w:rFonts w:ascii="Calibri Light" w:hAnsi="Calibri Light"/>
          <w:b/>
          <w:bCs/>
        </w:rPr>
      </w:pPr>
      <w:r w:rsidRPr="00D856EF">
        <w:rPr>
          <w:rFonts w:ascii="Calibri Light" w:eastAsia="Calibri Light" w:hAnsi="Calibri Light" w:cs="Calibri Light"/>
          <w:b/>
          <w:bCs/>
        </w:rPr>
        <w:t>Exposure</w:t>
      </w:r>
    </w:p>
    <w:p w14:paraId="0A4E7337" w14:textId="77777777" w:rsidR="00B123E5" w:rsidRPr="00D856EF" w:rsidRDefault="00B123E5" w:rsidP="31F26954">
      <w:pPr>
        <w:rPr>
          <w:b/>
          <w:bCs/>
        </w:rPr>
      </w:pPr>
      <w:r w:rsidRPr="00D856EF">
        <w:rPr>
          <w:b/>
          <w:bCs/>
        </w:rPr>
        <w:t>Definition</w:t>
      </w:r>
    </w:p>
    <w:p w14:paraId="7EA6C6F4" w14:textId="77777777" w:rsidR="00B123E5" w:rsidRDefault="00B123E5" w:rsidP="00B123E5">
      <w:r>
        <w:t>Exposure to ambient particulate matter pollution is defined as the population-weighted annual average mass concentration of particles with an aerodynamic diameter less than 2.5 micrometers (PM</w:t>
      </w:r>
      <w:r w:rsidRPr="31F26954">
        <w:rPr>
          <w:vertAlign w:val="subscript"/>
        </w:rPr>
        <w:t>2.5</w:t>
      </w:r>
      <w:r>
        <w:t>) in a cubic meter of air. This measurement is reported in µg/m</w:t>
      </w:r>
      <w:r w:rsidRPr="31F26954">
        <w:rPr>
          <w:vertAlign w:val="superscript"/>
        </w:rPr>
        <w:t>3</w:t>
      </w:r>
      <w:r>
        <w:t>.</w:t>
      </w:r>
    </w:p>
    <w:p w14:paraId="5F2B6926" w14:textId="77777777" w:rsidR="00B123E5" w:rsidRPr="00D856EF" w:rsidRDefault="00B123E5" w:rsidP="31F26954">
      <w:pPr>
        <w:rPr>
          <w:b/>
          <w:bCs/>
        </w:rPr>
      </w:pPr>
      <w:r w:rsidRPr="00D856EF">
        <w:rPr>
          <w:b/>
          <w:bCs/>
        </w:rPr>
        <w:t>Input data</w:t>
      </w:r>
    </w:p>
    <w:p w14:paraId="1F6DCB9F" w14:textId="77777777" w:rsidR="00B123E5" w:rsidRDefault="00B123E5" w:rsidP="00B123E5">
      <w:r>
        <w:t>Ambient air pollution exposure estimates use input data from multiple sources. These include satellite observations of aerosols in the atmosphere, ground monitor measurements, chemical transport model simulations, population estimates, and land-use data.</w:t>
      </w:r>
    </w:p>
    <w:p w14:paraId="52294D0E" w14:textId="77777777" w:rsidR="00B123E5" w:rsidRDefault="00B123E5" w:rsidP="00B123E5">
      <w:r>
        <w:t>Details for updates in exposure methodology and input data for the Global Burden of Disease (GBD) Study 2023 are as follows.</w:t>
      </w:r>
    </w:p>
    <w:p w14:paraId="157DF811" w14:textId="77777777" w:rsidR="00B123E5" w:rsidRDefault="00B123E5" w:rsidP="31F26954">
      <w:r>
        <w:t>Ground-calibrated satellite-based PM</w:t>
      </w:r>
      <w:r w:rsidRPr="31F26954">
        <w:rPr>
          <w:vertAlign w:val="subscript"/>
        </w:rPr>
        <w:t xml:space="preserve">2.5 </w:t>
      </w:r>
      <w:r>
        <w:t xml:space="preserve">measurements </w:t>
      </w:r>
    </w:p>
    <w:p w14:paraId="1CA25FD2" w14:textId="77777777" w:rsidR="00B123E5" w:rsidRDefault="00B123E5" w:rsidP="00B123E5">
      <w:pPr>
        <w:rPr>
          <w:lang w:val="en-CA"/>
        </w:rPr>
      </w:pPr>
      <w:r>
        <w:t xml:space="preserve">For GBD 2023, global satellite-derived estimates (V5.GL.04) were </w:t>
      </w:r>
      <w:proofErr w:type="spellStart"/>
      <w:r>
        <w:t>utilised</w:t>
      </w:r>
      <w:proofErr w:type="spellEnd"/>
      <w:r>
        <w:t xml:space="preserve"> as inputs for the period 2006–2022, at a resolution of 0.1° x 0.1° (~11 x 11 km at the equator). Aerosol optical depth (AOD) data from multiple satellites (MODIS, MISR, </w:t>
      </w:r>
      <w:proofErr w:type="spellStart"/>
      <w:r>
        <w:t>SeaWIFS</w:t>
      </w:r>
      <w:proofErr w:type="spellEnd"/>
      <w:r>
        <w:t>, VIIRS) were integrated with the GEOS-Chem chemical transport model to establish geophysical relationships between surface PM</w:t>
      </w:r>
      <w:r w:rsidRPr="31F26954">
        <w:rPr>
          <w:vertAlign w:val="subscript"/>
        </w:rPr>
        <w:t>2.5</w:t>
      </w:r>
      <w:r>
        <w:t xml:space="preserve"> and AOD. These satellite products were calibrated against global ground-based observations using a Geographically Weighted Regression methodology, as detailed in van </w:t>
      </w:r>
      <w:proofErr w:type="spellStart"/>
      <w:r>
        <w:t>Donkelaar</w:t>
      </w:r>
      <w:proofErr w:type="spellEnd"/>
      <w:r>
        <w:t xml:space="preserve"> et al.</w:t>
      </w:r>
      <w:r w:rsidRPr="31F26954">
        <w:rPr>
          <w:vertAlign w:val="superscript"/>
        </w:rPr>
        <w:t>1</w:t>
      </w:r>
      <w:r w:rsidRPr="31F26954">
        <w:rPr>
          <w:lang w:val="en-CA"/>
        </w:rPr>
        <w:t xml:space="preserve"> Data source: </w:t>
      </w:r>
      <w:hyperlink r:id="rId18">
        <w:r w:rsidRPr="31F26954">
          <w:rPr>
            <w:rStyle w:val="Hyperlink"/>
            <w:lang w:val="en-CA"/>
          </w:rPr>
          <w:t>https://sites.wustl.edu/acag/datasets/surface-pm2-5/#V5.GL.04</w:t>
        </w:r>
      </w:hyperlink>
      <w:r w:rsidRPr="31F26954">
        <w:rPr>
          <w:lang w:val="en-CA"/>
        </w:rPr>
        <w:t>. This was a change from GBD 2021 and prior cycles when the Data Integration Model for Air Quality (DIMAQ) model was used for exposure estimation.</w:t>
      </w:r>
    </w:p>
    <w:p w14:paraId="1C42C53F" w14:textId="77777777" w:rsidR="00B123E5" w:rsidRDefault="00B123E5" w:rsidP="00B123E5">
      <w:pPr>
        <w:rPr>
          <w:lang w:val="en-CA"/>
        </w:rPr>
      </w:pPr>
      <w:r w:rsidRPr="31F26954">
        <w:rPr>
          <w:lang w:val="en-CA"/>
        </w:rPr>
        <w:t>GBD 2021 exposures for years 1990, 1995, and 2000</w:t>
      </w:r>
      <w:r w:rsidRPr="31F26954">
        <w:rPr>
          <w:rFonts w:ascii="Calibri" w:hAnsi="Calibri" w:cs="Calibri"/>
          <w:lang w:val="en-CA"/>
        </w:rPr>
        <w:t>–</w:t>
      </w:r>
      <w:r w:rsidRPr="31F26954">
        <w:rPr>
          <w:lang w:val="en-CA"/>
        </w:rPr>
        <w:t>2005 were rescaled for GBD 2023 by location using overlapping years available between the new exposures generated with V5 product and the previous exposures. Then, a three-year rolling average is applied for years 2006</w:t>
      </w:r>
      <w:r w:rsidRPr="31F26954">
        <w:rPr>
          <w:rFonts w:ascii="Calibri" w:hAnsi="Calibri" w:cs="Calibri"/>
          <w:lang w:val="en-CA"/>
        </w:rPr>
        <w:t>–</w:t>
      </w:r>
      <w:r w:rsidRPr="31F26954">
        <w:rPr>
          <w:lang w:val="en-CA"/>
        </w:rPr>
        <w:t>2008 to smooth the transition between both outputs.</w:t>
      </w:r>
    </w:p>
    <w:p w14:paraId="4895C014" w14:textId="77777777" w:rsidR="00B123E5" w:rsidRPr="00D856EF" w:rsidRDefault="00B123E5" w:rsidP="31F26954">
      <w:pPr>
        <w:rPr>
          <w:b/>
          <w:bCs/>
        </w:rPr>
      </w:pPr>
      <w:r w:rsidRPr="00D856EF">
        <w:rPr>
          <w:b/>
          <w:bCs/>
        </w:rPr>
        <w:t>Theoretical minimum risk exposure level</w:t>
      </w:r>
    </w:p>
    <w:p w14:paraId="33F68FF7" w14:textId="77777777" w:rsidR="00B123E5" w:rsidRDefault="00B123E5" w:rsidP="00B123E5">
      <w:pPr>
        <w:rPr>
          <w:rFonts w:ascii="Calibri" w:eastAsia="Calibri" w:hAnsi="Calibri" w:cs="Calibri"/>
        </w:rPr>
      </w:pPr>
      <w:r w:rsidRPr="31F26954">
        <w:rPr>
          <w:rFonts w:ascii="Calibri" w:eastAsia="Calibri" w:hAnsi="Calibri" w:cs="Calibri"/>
        </w:rPr>
        <w:t>The theoretical minimum risk exposure level (TMREL) was assigned a uniform distribution with lower/upper bounds given by the average of the minimum and 5</w:t>
      </w:r>
      <w:r w:rsidRPr="31F26954">
        <w:rPr>
          <w:rFonts w:ascii="Calibri" w:eastAsia="Calibri" w:hAnsi="Calibri" w:cs="Calibri"/>
          <w:vertAlign w:val="superscript"/>
        </w:rPr>
        <w:t>th</w:t>
      </w:r>
      <w:r w:rsidRPr="31F26954">
        <w:rPr>
          <w:rFonts w:ascii="Calibri" w:eastAsia="Calibri" w:hAnsi="Calibri" w:cs="Calibri"/>
          <w:sz w:val="14"/>
          <w:szCs w:val="14"/>
        </w:rPr>
        <w:t xml:space="preserve"> </w:t>
      </w:r>
      <w:r w:rsidRPr="31F26954">
        <w:rPr>
          <w:rFonts w:ascii="Calibri" w:eastAsia="Calibri" w:hAnsi="Calibri" w:cs="Calibri"/>
        </w:rPr>
        <w:t xml:space="preserve">percentiles of outdoor air pollution cohort studies exposure distributions conducted in North America, with the assumption that current evidence was insufficient to precisely </w:t>
      </w:r>
      <w:proofErr w:type="spellStart"/>
      <w:r w:rsidRPr="31F26954">
        <w:rPr>
          <w:rFonts w:ascii="Calibri" w:eastAsia="Calibri" w:hAnsi="Calibri" w:cs="Calibri"/>
        </w:rPr>
        <w:t>characterise</w:t>
      </w:r>
      <w:proofErr w:type="spellEnd"/>
      <w:r w:rsidRPr="31F26954">
        <w:rPr>
          <w:rFonts w:ascii="Calibri" w:eastAsia="Calibri" w:hAnsi="Calibri" w:cs="Calibri"/>
        </w:rPr>
        <w:t xml:space="preserve"> the shape of the concentration</w:t>
      </w:r>
      <w:r w:rsidRPr="31F26954">
        <w:rPr>
          <w:rFonts w:ascii="Calibri" w:hAnsi="Calibri" w:cs="Calibri"/>
          <w:lang w:val="en-CA"/>
        </w:rPr>
        <w:t>–</w:t>
      </w:r>
      <w:r w:rsidRPr="31F26954">
        <w:rPr>
          <w:rFonts w:ascii="Calibri" w:eastAsia="Calibri" w:hAnsi="Calibri" w:cs="Calibri"/>
        </w:rPr>
        <w:t>response function below the 5</w:t>
      </w:r>
      <w:r w:rsidRPr="31F26954">
        <w:rPr>
          <w:rFonts w:ascii="Calibri" w:eastAsia="Calibri" w:hAnsi="Calibri" w:cs="Calibri"/>
          <w:vertAlign w:val="superscript"/>
        </w:rPr>
        <w:t>th</w:t>
      </w:r>
      <w:r w:rsidRPr="31F26954">
        <w:rPr>
          <w:rFonts w:ascii="Calibri" w:eastAsia="Calibri" w:hAnsi="Calibri" w:cs="Calibri"/>
          <w:sz w:val="14"/>
          <w:szCs w:val="14"/>
        </w:rPr>
        <w:t xml:space="preserve"> </w:t>
      </w:r>
      <w:r w:rsidRPr="31F26954">
        <w:rPr>
          <w:rFonts w:ascii="Calibri" w:eastAsia="Calibri" w:hAnsi="Calibri" w:cs="Calibri"/>
        </w:rPr>
        <w:t>percentile of the exposure distributions. The TMREL was defined as a uniform distribution rather than a fixed value in order to represent the uncertainty regarding the level at which the scientific evidence was consistent with adverse effects of exposure. The specific outdoor air pollution cohort studies selected for this averaging were based on the criteria that their 5</w:t>
      </w:r>
      <w:r w:rsidRPr="31F26954">
        <w:rPr>
          <w:rFonts w:ascii="Calibri" w:eastAsia="Calibri" w:hAnsi="Calibri" w:cs="Calibri"/>
          <w:vertAlign w:val="superscript"/>
        </w:rPr>
        <w:t>th</w:t>
      </w:r>
      <w:r w:rsidRPr="31F26954">
        <w:rPr>
          <w:rFonts w:ascii="Calibri" w:eastAsia="Calibri" w:hAnsi="Calibri" w:cs="Calibri"/>
        </w:rPr>
        <w:t xml:space="preserve"> percentiles were less than that of the American Cancer Society Cancer Prevention II (CPSII) cohort’s 5</w:t>
      </w:r>
      <w:r w:rsidRPr="31F26954">
        <w:rPr>
          <w:rFonts w:ascii="Calibri" w:eastAsia="Calibri" w:hAnsi="Calibri" w:cs="Calibri"/>
          <w:vertAlign w:val="superscript"/>
        </w:rPr>
        <w:t xml:space="preserve">th </w:t>
      </w:r>
      <w:r w:rsidRPr="31F26954">
        <w:rPr>
          <w:rFonts w:ascii="Calibri" w:eastAsia="Calibri" w:hAnsi="Calibri" w:cs="Calibri"/>
        </w:rPr>
        <w:t>percentile of 8.2 based on Turner et al. (2016).</w:t>
      </w:r>
      <w:r w:rsidRPr="31F26954">
        <w:rPr>
          <w:rFonts w:ascii="Calibri" w:eastAsia="Calibri" w:hAnsi="Calibri" w:cs="Calibri"/>
          <w:vertAlign w:val="superscript"/>
        </w:rPr>
        <w:t>2</w:t>
      </w:r>
      <w:r w:rsidRPr="31F26954">
        <w:rPr>
          <w:rFonts w:ascii="Calibri" w:eastAsia="Calibri" w:hAnsi="Calibri" w:cs="Calibri"/>
        </w:rPr>
        <w:t xml:space="preserve"> This criterion was selected because GBD 2010 used the minimum, 5.8, and 5th percentile solely from the CPS II cohort. The resulting lower/upper bounds of the distribution for GBD 2023 were 2.4 and 5.9. This has not changed since GBD 2015.</w:t>
      </w:r>
    </w:p>
    <w:p w14:paraId="14FDC243" w14:textId="77777777" w:rsidR="00B123E5" w:rsidRPr="00D856EF" w:rsidRDefault="00B123E5" w:rsidP="31F26954">
      <w:pPr>
        <w:rPr>
          <w:b/>
          <w:bCs/>
        </w:rPr>
      </w:pPr>
      <w:r w:rsidRPr="00D856EF">
        <w:rPr>
          <w:b/>
          <w:bCs/>
        </w:rPr>
        <w:t>Relative risks and population attributable fractions</w:t>
      </w:r>
    </w:p>
    <w:p w14:paraId="66123B69" w14:textId="77777777" w:rsidR="00B123E5" w:rsidRPr="00D856EF" w:rsidRDefault="00B123E5" w:rsidP="31F26954">
      <w:pPr>
        <w:rPr>
          <w:b/>
          <w:bCs/>
        </w:rPr>
      </w:pPr>
      <w:r w:rsidRPr="00D856EF">
        <w:rPr>
          <w:b/>
          <w:bCs/>
        </w:rPr>
        <w:t>Input data</w:t>
      </w:r>
    </w:p>
    <w:p w14:paraId="547A87B9" w14:textId="23D25406" w:rsidR="00B123E5" w:rsidRDefault="00B123E5" w:rsidP="00B123E5">
      <w:pPr>
        <w:rPr>
          <w:rFonts w:ascii="Calibri" w:eastAsia="Calibri" w:hAnsi="Calibri" w:cs="Calibri"/>
        </w:rPr>
      </w:pPr>
      <w:r>
        <w:t>For GBD 2023, as in previous GBD cycles, we created one set of cause-specific risk curves for both household air pollution and ambient particulate matter pollution as two different sources of PM</w:t>
      </w:r>
      <w:r w:rsidRPr="31F26954">
        <w:rPr>
          <w:vertAlign w:val="subscript"/>
        </w:rPr>
        <w:t>2.5</w:t>
      </w:r>
      <w:r>
        <w:t xml:space="preserve">. </w:t>
      </w:r>
      <w:r w:rsidR="000F32B0">
        <w:rPr>
          <w:rFonts w:ascii="Calibri" w:eastAsia="Calibri" w:hAnsi="Calibri" w:cs="Calibri"/>
        </w:rPr>
        <w:t>We</w:t>
      </w:r>
      <w:r w:rsidRPr="31F26954">
        <w:rPr>
          <w:rFonts w:ascii="Calibri" w:eastAsia="Calibri" w:hAnsi="Calibri" w:cs="Calibri"/>
        </w:rPr>
        <w:t xml:space="preserve"> used results from cohort and case-control studies of ambient </w:t>
      </w:r>
      <w:r>
        <w:t>PM</w:t>
      </w:r>
      <w:r w:rsidRPr="31F26954">
        <w:rPr>
          <w:vertAlign w:val="subscript"/>
        </w:rPr>
        <w:t>2.5</w:t>
      </w:r>
      <w:r w:rsidRPr="31F26954">
        <w:rPr>
          <w:rFonts w:ascii="Calibri" w:eastAsia="Calibri" w:hAnsi="Calibri" w:cs="Calibri"/>
        </w:rPr>
        <w:t xml:space="preserve"> pollution and cohort studies, case-control studies, and </w:t>
      </w:r>
      <w:proofErr w:type="spellStart"/>
      <w:r w:rsidRPr="31F26954">
        <w:rPr>
          <w:rFonts w:ascii="Calibri" w:eastAsia="Calibri" w:hAnsi="Calibri" w:cs="Calibri"/>
        </w:rPr>
        <w:t>randomised</w:t>
      </w:r>
      <w:proofErr w:type="spellEnd"/>
      <w:r w:rsidRPr="31F26954">
        <w:rPr>
          <w:rFonts w:ascii="Calibri" w:eastAsia="Calibri" w:hAnsi="Calibri" w:cs="Calibri"/>
        </w:rPr>
        <w:t xml:space="preserve">-controlled trials of household use of solid fuel for cooking. </w:t>
      </w:r>
    </w:p>
    <w:p w14:paraId="26BAB403" w14:textId="77777777" w:rsidR="00B123E5" w:rsidRDefault="00B123E5" w:rsidP="31F26954">
      <w:pPr>
        <w:spacing w:before="100" w:beforeAutospacing="1" w:after="100" w:afterAutospacing="1" w:line="240" w:lineRule="auto"/>
        <w:rPr>
          <w:rStyle w:val="normaltextrun"/>
          <w:color w:val="000000" w:themeColor="text1"/>
        </w:rPr>
      </w:pPr>
      <w:r w:rsidRPr="31F26954">
        <w:rPr>
          <w:rFonts w:ascii="Calibri" w:eastAsia="Calibri" w:hAnsi="Calibri" w:cs="Calibri"/>
        </w:rPr>
        <w:t xml:space="preserve">For all </w:t>
      </w:r>
      <w:r>
        <w:t>PM</w:t>
      </w:r>
      <w:r w:rsidRPr="31F26954">
        <w:rPr>
          <w:vertAlign w:val="subscript"/>
        </w:rPr>
        <w:t>2.5</w:t>
      </w:r>
      <w:r w:rsidRPr="31F26954">
        <w:rPr>
          <w:rFonts w:ascii="Calibri" w:eastAsia="Calibri" w:hAnsi="Calibri" w:cs="Calibri"/>
        </w:rPr>
        <w:t xml:space="preserve"> outcomes</w:t>
      </w:r>
      <w:r w:rsidRPr="31F26954">
        <w:rPr>
          <w:rStyle w:val="normaltextrun"/>
          <w:rFonts w:ascii="Calibri" w:eastAsia="Calibri" w:hAnsi="Calibri" w:cs="Calibri"/>
          <w:color w:val="000000" w:themeColor="text1"/>
        </w:rPr>
        <w:t>, the standard error of observations from studies with multiple observations for a single cohort that reported an unstratified sample size were multiplied by the square root of </w:t>
      </w:r>
      <w:r w:rsidRPr="31F26954">
        <w:rPr>
          <w:rStyle w:val="normaltextrun"/>
          <w:rFonts w:ascii="Calibri" w:eastAsia="Calibri" w:hAnsi="Calibri" w:cs="Calibri"/>
          <w:i/>
          <w:iCs/>
          <w:color w:val="000000" w:themeColor="text1"/>
        </w:rPr>
        <w:t>n</w:t>
      </w:r>
      <w:r w:rsidRPr="31F26954">
        <w:rPr>
          <w:rStyle w:val="normaltextrun"/>
          <w:rFonts w:ascii="Calibri" w:eastAsia="Calibri" w:hAnsi="Calibri" w:cs="Calibri"/>
          <w:color w:val="000000" w:themeColor="text1"/>
        </w:rPr>
        <w:t>, where </w:t>
      </w:r>
      <w:r w:rsidRPr="31F26954">
        <w:rPr>
          <w:rStyle w:val="normaltextrun"/>
          <w:rFonts w:ascii="Calibri" w:eastAsia="Calibri" w:hAnsi="Calibri" w:cs="Calibri"/>
          <w:i/>
          <w:iCs/>
          <w:color w:val="000000" w:themeColor="text1"/>
        </w:rPr>
        <w:t>n</w:t>
      </w:r>
      <w:r w:rsidRPr="31F26954">
        <w:rPr>
          <w:rStyle w:val="normaltextrun"/>
          <w:rFonts w:ascii="Calibri" w:eastAsia="Calibri" w:hAnsi="Calibri" w:cs="Calibri"/>
          <w:color w:val="000000" w:themeColor="text1"/>
        </w:rPr>
        <w:t> is the total number of observations for a given cohort. This adjustment was made to prevent a single cohort or study from unduly weighting the final risk curve.</w:t>
      </w:r>
    </w:p>
    <w:p w14:paraId="63989D39" w14:textId="3A382D52" w:rsidR="00B123E5" w:rsidRDefault="00B123E5" w:rsidP="00B123E5">
      <w:r w:rsidRPr="31F26954">
        <w:rPr>
          <w:rFonts w:ascii="Calibri" w:eastAsia="Calibri" w:hAnsi="Calibri" w:cs="Calibri"/>
        </w:rPr>
        <w:t xml:space="preserve">As in previous GBD cycles, we considered the published relative risk over a range of exposure data when fitting the risk curves. For </w:t>
      </w:r>
      <w:r w:rsidR="00B64D8F">
        <w:rPr>
          <w:rFonts w:ascii="Calibri" w:eastAsia="Calibri" w:hAnsi="Calibri" w:cs="Calibri"/>
        </w:rPr>
        <w:t>outdoor air pollution (</w:t>
      </w:r>
      <w:r w:rsidRPr="31F26954">
        <w:rPr>
          <w:rFonts w:ascii="Calibri" w:eastAsia="Calibri" w:hAnsi="Calibri" w:cs="Calibri"/>
        </w:rPr>
        <w:t>OAP</w:t>
      </w:r>
      <w:r w:rsidR="00B64D8F">
        <w:rPr>
          <w:rFonts w:ascii="Calibri" w:eastAsia="Calibri" w:hAnsi="Calibri" w:cs="Calibri"/>
        </w:rPr>
        <w:t>)</w:t>
      </w:r>
      <w:r w:rsidRPr="31F26954">
        <w:rPr>
          <w:rFonts w:ascii="Calibri" w:eastAsia="Calibri" w:hAnsi="Calibri" w:cs="Calibri"/>
        </w:rPr>
        <w:t xml:space="preserve"> studies, the relative risk informs the curve from the 5</w:t>
      </w:r>
      <w:r w:rsidRPr="31F26954">
        <w:rPr>
          <w:rFonts w:ascii="Calibri" w:eastAsia="Calibri" w:hAnsi="Calibri" w:cs="Calibri"/>
          <w:vertAlign w:val="superscript"/>
        </w:rPr>
        <w:t>th</w:t>
      </w:r>
      <w:r w:rsidRPr="31F26954">
        <w:rPr>
          <w:rFonts w:ascii="Calibri" w:eastAsia="Calibri" w:hAnsi="Calibri" w:cs="Calibri"/>
        </w:rPr>
        <w:t xml:space="preserve"> to the 95</w:t>
      </w:r>
      <w:r w:rsidRPr="31F26954">
        <w:rPr>
          <w:rFonts w:ascii="Calibri" w:eastAsia="Calibri" w:hAnsi="Calibri" w:cs="Calibri"/>
          <w:vertAlign w:val="superscript"/>
        </w:rPr>
        <w:t>th</w:t>
      </w:r>
      <w:r w:rsidRPr="31F26954">
        <w:rPr>
          <w:rFonts w:ascii="Calibri" w:eastAsia="Calibri" w:hAnsi="Calibri" w:cs="Calibri"/>
        </w:rPr>
        <w:t xml:space="preserve"> percentile of observed exposure. When this is not available in the published study, we estimate the distribution from the provided information (mean and standard deviation, mean and IQR, etc.). We scale the RR to this range. For </w:t>
      </w:r>
      <w:r w:rsidR="00B64D8F">
        <w:rPr>
          <w:rFonts w:ascii="Calibri" w:eastAsia="Calibri" w:hAnsi="Calibri" w:cs="Calibri"/>
        </w:rPr>
        <w:t>household air pollution (</w:t>
      </w:r>
      <w:r w:rsidRPr="31F26954">
        <w:rPr>
          <w:rFonts w:ascii="Calibri" w:eastAsia="Calibri" w:hAnsi="Calibri" w:cs="Calibri"/>
        </w:rPr>
        <w:t>HAP</w:t>
      </w:r>
      <w:r w:rsidR="00B64D8F">
        <w:rPr>
          <w:rFonts w:ascii="Calibri" w:eastAsia="Calibri" w:hAnsi="Calibri" w:cs="Calibri"/>
        </w:rPr>
        <w:t>)</w:t>
      </w:r>
      <w:r w:rsidRPr="31F26954">
        <w:rPr>
          <w:rFonts w:ascii="Calibri" w:eastAsia="Calibri" w:hAnsi="Calibri" w:cs="Calibri"/>
        </w:rPr>
        <w:t xml:space="preserve"> studies, we allow each study to inform the curve from the </w:t>
      </w:r>
      <w:proofErr w:type="spellStart"/>
      <w:r w:rsidRPr="31F26954">
        <w:rPr>
          <w:rFonts w:ascii="Calibri" w:eastAsia="Calibri" w:hAnsi="Calibri" w:cs="Calibri"/>
        </w:rPr>
        <w:t>Exp</w:t>
      </w:r>
      <w:r w:rsidRPr="31F26954">
        <w:rPr>
          <w:rFonts w:ascii="Calibri" w:eastAsia="Calibri" w:hAnsi="Calibri" w:cs="Calibri"/>
          <w:vertAlign w:val="subscript"/>
        </w:rPr>
        <w:t>OAP</w:t>
      </w:r>
      <w:proofErr w:type="spellEnd"/>
      <w:r w:rsidRPr="31F26954">
        <w:rPr>
          <w:rFonts w:ascii="Calibri" w:eastAsia="Calibri" w:hAnsi="Calibri" w:cs="Calibri"/>
        </w:rPr>
        <w:t xml:space="preserve"> to the </w:t>
      </w:r>
      <w:proofErr w:type="spellStart"/>
      <w:r w:rsidRPr="31F26954">
        <w:rPr>
          <w:rFonts w:ascii="Calibri" w:eastAsia="Calibri" w:hAnsi="Calibri" w:cs="Calibri"/>
        </w:rPr>
        <w:t>Exp</w:t>
      </w:r>
      <w:r w:rsidRPr="31F26954">
        <w:rPr>
          <w:rFonts w:ascii="Calibri" w:eastAsia="Calibri" w:hAnsi="Calibri" w:cs="Calibri"/>
          <w:vertAlign w:val="subscript"/>
        </w:rPr>
        <w:t>OAP</w:t>
      </w:r>
      <w:r w:rsidRPr="31F26954">
        <w:rPr>
          <w:rFonts w:ascii="Calibri" w:eastAsia="Calibri" w:hAnsi="Calibri" w:cs="Calibri"/>
        </w:rPr>
        <w:t>+Exp</w:t>
      </w:r>
      <w:r w:rsidRPr="31F26954">
        <w:rPr>
          <w:rFonts w:ascii="Calibri" w:eastAsia="Calibri" w:hAnsi="Calibri" w:cs="Calibri"/>
          <w:vertAlign w:val="subscript"/>
        </w:rPr>
        <w:t>HAP</w:t>
      </w:r>
      <w:proofErr w:type="spellEnd"/>
      <w:r w:rsidRPr="31F26954">
        <w:rPr>
          <w:rFonts w:ascii="Calibri" w:eastAsia="Calibri" w:hAnsi="Calibri" w:cs="Calibri"/>
        </w:rPr>
        <w:t xml:space="preserve">, where </w:t>
      </w:r>
      <w:proofErr w:type="spellStart"/>
      <w:r w:rsidRPr="31F26954">
        <w:rPr>
          <w:rFonts w:ascii="Calibri" w:eastAsia="Calibri" w:hAnsi="Calibri" w:cs="Calibri"/>
        </w:rPr>
        <w:t>Exp</w:t>
      </w:r>
      <w:r w:rsidRPr="31F26954">
        <w:rPr>
          <w:rFonts w:ascii="Calibri" w:eastAsia="Calibri" w:hAnsi="Calibri" w:cs="Calibri"/>
          <w:vertAlign w:val="subscript"/>
        </w:rPr>
        <w:t>OAP</w:t>
      </w:r>
      <w:proofErr w:type="spellEnd"/>
      <w:r w:rsidRPr="31F26954">
        <w:rPr>
          <w:rFonts w:ascii="Calibri" w:eastAsia="Calibri" w:hAnsi="Calibri" w:cs="Calibri"/>
          <w:vertAlign w:val="subscript"/>
        </w:rPr>
        <w:t xml:space="preserve"> </w:t>
      </w:r>
      <w:r w:rsidRPr="31F26954">
        <w:rPr>
          <w:rFonts w:ascii="Calibri" w:eastAsia="Calibri" w:hAnsi="Calibri" w:cs="Calibri"/>
        </w:rPr>
        <w:t xml:space="preserve">is the GBD 2023 estimate of the ambient exposure level in the study location and year, and </w:t>
      </w:r>
      <w:proofErr w:type="spellStart"/>
      <w:r w:rsidRPr="31F26954">
        <w:rPr>
          <w:rFonts w:ascii="Calibri" w:eastAsia="Calibri" w:hAnsi="Calibri" w:cs="Calibri"/>
        </w:rPr>
        <w:t>Exp</w:t>
      </w:r>
      <w:r w:rsidRPr="31F26954">
        <w:rPr>
          <w:rFonts w:ascii="Calibri" w:eastAsia="Calibri" w:hAnsi="Calibri" w:cs="Calibri"/>
          <w:vertAlign w:val="subscript"/>
        </w:rPr>
        <w:t>HAP</w:t>
      </w:r>
      <w:proofErr w:type="spellEnd"/>
      <w:r w:rsidRPr="31F26954">
        <w:rPr>
          <w:rFonts w:ascii="Calibri" w:eastAsia="Calibri" w:hAnsi="Calibri" w:cs="Calibri"/>
          <w:vertAlign w:val="subscript"/>
        </w:rPr>
        <w:t xml:space="preserve"> </w:t>
      </w:r>
      <w:r w:rsidRPr="31F26954">
        <w:rPr>
          <w:rFonts w:ascii="Calibri" w:eastAsia="Calibri" w:hAnsi="Calibri" w:cs="Calibri"/>
        </w:rPr>
        <w:t>is the GBD 2023 estimate of the excess exposure for those who use solid fuel for cooking in the study location and year.</w:t>
      </w:r>
    </w:p>
    <w:p w14:paraId="70D46E25" w14:textId="6C3E82B5" w:rsidR="00B123E5" w:rsidRPr="00D856EF" w:rsidRDefault="00B123E5" w:rsidP="31F26954">
      <w:pPr>
        <w:rPr>
          <w:rFonts w:ascii="Calibri Light" w:hAnsi="Calibri Light"/>
          <w:b/>
          <w:bCs/>
        </w:rPr>
      </w:pPr>
      <w:r w:rsidRPr="00D856EF">
        <w:rPr>
          <w:b/>
          <w:bCs/>
        </w:rPr>
        <w:t>MR-BRT risk splines</w:t>
      </w:r>
    </w:p>
    <w:p w14:paraId="20926480" w14:textId="77777777" w:rsidR="00B123E5" w:rsidRDefault="00B123E5" w:rsidP="00B123E5">
      <w:pPr>
        <w:rPr>
          <w:rFonts w:ascii="Calibri" w:eastAsia="Calibri" w:hAnsi="Calibri" w:cs="Calibri"/>
        </w:rPr>
      </w:pPr>
      <w:r w:rsidRPr="31F26954">
        <w:rPr>
          <w:rFonts w:ascii="Calibri" w:eastAsia="Calibri" w:hAnsi="Calibri" w:cs="Calibri"/>
        </w:rPr>
        <w:t xml:space="preserve">To estimate relative risk curves for each of the </w:t>
      </w:r>
      <w:r>
        <w:t>PM</w:t>
      </w:r>
      <w:r w:rsidRPr="31F26954">
        <w:rPr>
          <w:vertAlign w:val="subscript"/>
        </w:rPr>
        <w:t>2.5</w:t>
      </w:r>
      <w:r w:rsidRPr="31F26954">
        <w:rPr>
          <w:rFonts w:ascii="Calibri" w:eastAsia="Calibri" w:hAnsi="Calibri" w:cs="Calibri"/>
        </w:rPr>
        <w:t xml:space="preserve"> outcomes, we used the MR-BRT meta-regression tool to fit splines on the input datasets of OAP and HAP studies. We used the following functional form, where </w:t>
      </w:r>
      <w:r w:rsidRPr="31F26954">
        <w:rPr>
          <w:rFonts w:ascii="Calibri" w:eastAsia="Calibri" w:hAnsi="Calibri" w:cs="Calibri"/>
          <w:i/>
          <w:iCs/>
        </w:rPr>
        <w:t>X</w:t>
      </w:r>
      <w:r w:rsidRPr="31F26954">
        <w:rPr>
          <w:rFonts w:ascii="Calibri" w:eastAsia="Calibri" w:hAnsi="Calibri" w:cs="Calibri"/>
        </w:rPr>
        <w:t xml:space="preserve"> and </w:t>
      </w:r>
      <w:r w:rsidRPr="31F26954">
        <w:rPr>
          <w:rFonts w:ascii="Calibri" w:eastAsia="Calibri" w:hAnsi="Calibri" w:cs="Calibri"/>
          <w:i/>
          <w:iCs/>
        </w:rPr>
        <w:t>X</w:t>
      </w:r>
      <w:r w:rsidRPr="31F26954">
        <w:rPr>
          <w:rFonts w:ascii="Calibri" w:eastAsia="Calibri" w:hAnsi="Calibri" w:cs="Calibri"/>
          <w:i/>
          <w:iCs/>
          <w:vertAlign w:val="subscript"/>
        </w:rPr>
        <w:t>CF</w:t>
      </w:r>
      <w:r w:rsidRPr="31F26954">
        <w:rPr>
          <w:rFonts w:ascii="Calibri" w:eastAsia="Calibri" w:hAnsi="Calibri" w:cs="Calibri"/>
          <w:i/>
          <w:iCs/>
        </w:rPr>
        <w:t xml:space="preserve"> </w:t>
      </w:r>
      <w:r w:rsidRPr="31F26954">
        <w:rPr>
          <w:rFonts w:ascii="Calibri" w:eastAsia="Calibri" w:hAnsi="Calibri" w:cs="Calibri"/>
        </w:rPr>
        <w:t xml:space="preserve">represent the range of exposure </w:t>
      </w:r>
      <w:proofErr w:type="spellStart"/>
      <w:r w:rsidRPr="31F26954">
        <w:rPr>
          <w:rFonts w:ascii="Calibri" w:eastAsia="Calibri" w:hAnsi="Calibri" w:cs="Calibri"/>
        </w:rPr>
        <w:t>characterised</w:t>
      </w:r>
      <w:proofErr w:type="spellEnd"/>
      <w:r w:rsidRPr="31F26954">
        <w:rPr>
          <w:rFonts w:ascii="Calibri" w:eastAsia="Calibri" w:hAnsi="Calibri" w:cs="Calibri"/>
        </w:rPr>
        <w:t xml:space="preserve"> by the effect size:</w:t>
      </w:r>
    </w:p>
    <w:p w14:paraId="2B263B13" w14:textId="77777777" w:rsidR="00B123E5" w:rsidRDefault="00B123E5" w:rsidP="00B123E5">
      <w:pPr>
        <w:jc w:val="center"/>
      </w:pPr>
      <m:oMathPara>
        <m:oMath>
          <m:r>
            <w:rPr>
              <w:rFonts w:ascii="Cambria Math" w:hAnsi="Cambria Math"/>
            </w:rPr>
            <m:t>log</m:t>
          </m:r>
          <m:d>
            <m:dPr>
              <m:ctrlPr>
                <w:rPr>
                  <w:rFonts w:ascii="Cambria Math" w:hAnsi="Cambria Math"/>
                  <w:i/>
                </w:rPr>
              </m:ctrlPr>
            </m:dPr>
            <m:e>
              <m:f>
                <m:fPr>
                  <m:ctrlPr>
                    <w:rPr>
                      <w:rFonts w:ascii="Cambria Math" w:hAnsi="Cambria Math"/>
                      <w:i/>
                    </w:rPr>
                  </m:ctrlPr>
                </m:fPr>
                <m:num>
                  <m:r>
                    <w:rPr>
                      <w:rFonts w:ascii="Cambria Math" w:hAnsi="Cambria Math"/>
                    </w:rPr>
                    <m:t>MRBRT(X)</m:t>
                  </m:r>
                </m:num>
                <m:den>
                  <m:r>
                    <w:rPr>
                      <w:rFonts w:ascii="Cambria Math" w:hAnsi="Cambria Math"/>
                    </w:rPr>
                    <m:t>MRBRT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CF</m:t>
                          </m:r>
                        </m:sub>
                      </m:sSub>
                    </m:e>
                  </m:d>
                </m:den>
              </m:f>
            </m:e>
          </m:d>
          <m:r>
            <w:rPr>
              <w:rFonts w:ascii="Cambria Math" w:hAnsi="Cambria Math"/>
            </w:rPr>
            <m:t>~</m:t>
          </m:r>
          <m:r>
            <m:rPr>
              <m:sty m:val="p"/>
            </m:rPr>
            <w:rPr>
              <w:rFonts w:ascii="Cambria Math" w:hAnsi="Cambria Math"/>
            </w:rPr>
            <m:t>log⁡</m:t>
          </m:r>
          <m:r>
            <w:rPr>
              <w:rFonts w:ascii="Cambria Math" w:hAnsi="Cambria Math"/>
            </w:rPr>
            <m:t>(Published Effect Size)</m:t>
          </m:r>
        </m:oMath>
      </m:oMathPara>
    </w:p>
    <w:p w14:paraId="74B500B2" w14:textId="77777777" w:rsidR="00B123E5" w:rsidRDefault="00B123E5" w:rsidP="00B123E5">
      <w:pPr>
        <w:rPr>
          <w:rFonts w:ascii="Calibri" w:eastAsia="Calibri" w:hAnsi="Calibri" w:cs="Calibri"/>
        </w:rPr>
      </w:pPr>
      <w:r w:rsidRPr="31F26954">
        <w:rPr>
          <w:rFonts w:ascii="Calibri" w:eastAsia="Calibri" w:hAnsi="Calibri" w:cs="Calibri"/>
        </w:rPr>
        <w:t>Several key updates were made to the model fitting methods. For each risk–outcome pair, model settings and priors were tested when fitting the MR-BRT splines. The final models used third-order splines with three interior knots and a constraint on the right-most segment forcing the fit to be linear rather than cubic. Splines were also constrained to be concave and monotonically increasing, the most biologically plausible shape for the</w:t>
      </w:r>
      <w:r>
        <w:t xml:space="preserve"> PM</w:t>
      </w:r>
      <w:r w:rsidRPr="31F26954">
        <w:rPr>
          <w:vertAlign w:val="subscript"/>
        </w:rPr>
        <w:t>2.5</w:t>
      </w:r>
      <w:r w:rsidRPr="31F26954">
        <w:rPr>
          <w:rFonts w:ascii="Calibri" w:eastAsia="Calibri" w:hAnsi="Calibri" w:cs="Calibri"/>
        </w:rPr>
        <w:t xml:space="preserve"> risk curve. We used an ensemble approach to generate final spline predictions, in which 50 different models were run with randomly placed knots, then weighted and combined based on a measure of fit that </w:t>
      </w:r>
      <w:proofErr w:type="spellStart"/>
      <w:r w:rsidRPr="31F26954">
        <w:rPr>
          <w:rFonts w:ascii="Calibri" w:eastAsia="Calibri" w:hAnsi="Calibri" w:cs="Calibri"/>
        </w:rPr>
        <w:t>penalises</w:t>
      </w:r>
      <w:proofErr w:type="spellEnd"/>
      <w:r w:rsidRPr="31F26954">
        <w:rPr>
          <w:rFonts w:ascii="Calibri" w:eastAsia="Calibri" w:hAnsi="Calibri" w:cs="Calibri"/>
        </w:rPr>
        <w:t xml:space="preserve"> excessive changes in the maximum derivative of the curve. Knots were free to be placed across the entire domain of the input exposure data. To prevent over-fitting, on the non-linear segments, we implemented a Gaussian prior on the third derivative of mean 0 and variance 1e-4. On the linear segment, a stronger prior of mean 0 and variance 1e-6 was used to ensure that the risk curves do not continue to increase beyond the range of the data. </w:t>
      </w:r>
      <w:r w:rsidRPr="31F26954">
        <w:rPr>
          <w:rStyle w:val="normaltextrun"/>
          <w:rFonts w:ascii="Calibri" w:eastAsia="Calibri" w:hAnsi="Calibri" w:cs="Calibri"/>
          <w:color w:val="000000" w:themeColor="text1"/>
        </w:rPr>
        <w:t>10% of all observations were trimmed during model fitting, in accordance with GBD protocol across risk factor teams.</w:t>
      </w:r>
    </w:p>
    <w:p w14:paraId="5EE8A0BA" w14:textId="77777777" w:rsidR="00B123E5" w:rsidRDefault="00B123E5" w:rsidP="31F26954">
      <w:pPr>
        <w:spacing w:before="100" w:beforeAutospacing="1" w:after="100" w:afterAutospacing="1" w:line="240" w:lineRule="auto"/>
        <w:rPr>
          <w:rStyle w:val="normaltextrun"/>
          <w:color w:val="000000" w:themeColor="text1"/>
        </w:rPr>
      </w:pPr>
      <w:r w:rsidRPr="31F26954">
        <w:rPr>
          <w:rStyle w:val="normaltextrun"/>
          <w:rFonts w:ascii="Calibri" w:eastAsia="Calibri" w:hAnsi="Calibri" w:cs="Calibri"/>
          <w:color w:val="000000" w:themeColor="text1"/>
        </w:rPr>
        <w:t xml:space="preserve">To select significant covariates from those extracted (see table below) to quantify between-study heterogeneity, we performed covariate selection. The MR-BRT automated covariate selection tool implements a two-step process. First, a series of loosening Lasso penalty parameters are applied to a log-linear meta-regression on all input effect size observations. Then, covariates with a non-zero coefficient are tested for significance using a Gaussian prior (significance threshold = 0.05). A Gaussian prior was used on each covariate’s beta during spline fitting with a mean 0 and variance of 0.1 multiplied by the standard deviation of the beta from the log-linear meta-regression. Type 2 diabetes was the only outcome for which a significant covariate was identified. Its selected covariate was </w:t>
      </w:r>
      <w:proofErr w:type="spellStart"/>
      <w:r w:rsidRPr="31F26954">
        <w:rPr>
          <w:rStyle w:val="normaltextrun"/>
          <w:rFonts w:ascii="Calibri" w:eastAsia="Calibri" w:hAnsi="Calibri" w:cs="Calibri"/>
          <w:color w:val="000000" w:themeColor="text1"/>
        </w:rPr>
        <w:t>cv_hap</w:t>
      </w:r>
      <w:proofErr w:type="spellEnd"/>
      <w:r w:rsidRPr="31F26954">
        <w:rPr>
          <w:rStyle w:val="normaltextrun"/>
          <w:rFonts w:ascii="Calibri" w:eastAsia="Calibri" w:hAnsi="Calibri" w:cs="Calibri"/>
          <w:color w:val="000000" w:themeColor="text1"/>
        </w:rPr>
        <w:t>, a binary indicator for whether or not an observation was from a household air pollution study.</w:t>
      </w:r>
    </w:p>
    <w:tbl>
      <w:tblPr>
        <w:tblStyle w:val="TableGrid"/>
        <w:tblW w:w="9010" w:type="dxa"/>
        <w:tblLook w:val="04A0" w:firstRow="1" w:lastRow="0" w:firstColumn="1" w:lastColumn="0" w:noHBand="0" w:noVBand="1"/>
      </w:tblPr>
      <w:tblGrid>
        <w:gridCol w:w="2985"/>
        <w:gridCol w:w="6025"/>
      </w:tblGrid>
      <w:tr w:rsidR="00B123E5" w14:paraId="32BBB4FB"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1D6AE759" w14:textId="77777777" w:rsidR="00B123E5" w:rsidRDefault="00B123E5" w:rsidP="31F26954">
            <w:pPr>
              <w:spacing w:before="100" w:beforeAutospacing="1" w:after="100" w:afterAutospacing="1"/>
              <w:rPr>
                <w:rStyle w:val="normaltextrun"/>
                <w:rFonts w:ascii="Calibri" w:eastAsia="Calibri" w:hAnsi="Calibri" w:cs="Calibri"/>
                <w:b/>
                <w:bCs/>
                <w:color w:val="000000" w:themeColor="text1"/>
                <w:sz w:val="20"/>
                <w:szCs w:val="20"/>
              </w:rPr>
            </w:pPr>
            <w:r w:rsidRPr="31F26954">
              <w:rPr>
                <w:rStyle w:val="normaltextrun"/>
                <w:rFonts w:ascii="Calibri" w:eastAsia="Calibri" w:hAnsi="Calibri" w:cs="Calibri"/>
                <w:b/>
                <w:bCs/>
                <w:color w:val="000000" w:themeColor="text1"/>
                <w:sz w:val="20"/>
                <w:szCs w:val="20"/>
              </w:rPr>
              <w:t>Covariate name</w:t>
            </w:r>
          </w:p>
        </w:tc>
        <w:tc>
          <w:tcPr>
            <w:tcW w:w="6025" w:type="dxa"/>
            <w:tcBorders>
              <w:top w:val="single" w:sz="4" w:space="0" w:color="auto"/>
              <w:left w:val="single" w:sz="4" w:space="0" w:color="auto"/>
              <w:bottom w:val="single" w:sz="4" w:space="0" w:color="auto"/>
              <w:right w:val="single" w:sz="4" w:space="0" w:color="auto"/>
            </w:tcBorders>
            <w:hideMark/>
          </w:tcPr>
          <w:p w14:paraId="293A0AC3" w14:textId="77777777" w:rsidR="00B123E5" w:rsidRDefault="00B123E5" w:rsidP="31F26954">
            <w:pPr>
              <w:spacing w:before="100" w:beforeAutospacing="1" w:after="100" w:afterAutospacing="1"/>
              <w:rPr>
                <w:rStyle w:val="normaltextrun"/>
                <w:rFonts w:ascii="Calibri" w:eastAsia="Calibri" w:hAnsi="Calibri" w:cs="Calibri"/>
                <w:b/>
                <w:bCs/>
                <w:color w:val="000000" w:themeColor="text1"/>
                <w:sz w:val="20"/>
                <w:szCs w:val="20"/>
              </w:rPr>
            </w:pPr>
            <w:r w:rsidRPr="31F26954">
              <w:rPr>
                <w:rStyle w:val="normaltextrun"/>
                <w:rFonts w:ascii="Calibri" w:eastAsia="Calibri" w:hAnsi="Calibri" w:cs="Calibri"/>
                <w:b/>
                <w:bCs/>
                <w:color w:val="000000" w:themeColor="text1"/>
                <w:sz w:val="20"/>
                <w:szCs w:val="20"/>
              </w:rPr>
              <w:t>Covariate description</w:t>
            </w:r>
          </w:p>
        </w:tc>
      </w:tr>
      <w:tr w:rsidR="00B123E5" w14:paraId="199AF3D0"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661AC85D"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cv_subpopulation</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2C85870E"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Study represents the general population; study represents a subgroup (</w:t>
            </w:r>
            <w:proofErr w:type="spellStart"/>
            <w:r w:rsidRPr="31F26954">
              <w:rPr>
                <w:rStyle w:val="normaltextrun"/>
                <w:rFonts w:ascii="Calibri" w:eastAsia="Calibri" w:hAnsi="Calibri" w:cs="Calibri"/>
                <w:color w:val="000000" w:themeColor="text1"/>
                <w:sz w:val="20"/>
                <w:szCs w:val="20"/>
              </w:rPr>
              <w:t>eg</w:t>
            </w:r>
            <w:proofErr w:type="spellEnd"/>
            <w:r w:rsidRPr="31F26954">
              <w:rPr>
                <w:rStyle w:val="normaltextrun"/>
                <w:rFonts w:ascii="Calibri" w:eastAsia="Calibri" w:hAnsi="Calibri" w:cs="Calibri"/>
                <w:color w:val="000000" w:themeColor="text1"/>
                <w:sz w:val="20"/>
                <w:szCs w:val="20"/>
              </w:rPr>
              <w:t>, high-risk group)</w:t>
            </w:r>
          </w:p>
        </w:tc>
      </w:tr>
      <w:tr w:rsidR="00B123E5" w14:paraId="15AE0DDC"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6888303A"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cv_exposure_population</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4BAF0DB7"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Study measures individual-level exposure (≤1 km radius); study measures population-level exposure</w:t>
            </w:r>
          </w:p>
        </w:tc>
      </w:tr>
      <w:tr w:rsidR="00B123E5" w14:paraId="7A760F89"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5156655F"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cv_exposure_self_report</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7A7BCD0B"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Exposure is self-reported; exposure is measured externally</w:t>
            </w:r>
          </w:p>
        </w:tc>
      </w:tr>
      <w:tr w:rsidR="00B123E5" w14:paraId="4926E8DF"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1E3EF461"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cv_exposure_study</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7031FF95"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Exposure is measured multiple times; exposure is measured only at baseline</w:t>
            </w:r>
          </w:p>
        </w:tc>
      </w:tr>
      <w:tr w:rsidR="00B123E5" w14:paraId="6C3DD50E"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74C082A8"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cv_outcome_self_report</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18616A75"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Outcome is self-reported; outcomes is based on death certificate or medical record</w:t>
            </w:r>
          </w:p>
        </w:tc>
      </w:tr>
      <w:tr w:rsidR="00B123E5" w14:paraId="018547B3"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1B237007"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cv_outcome_unblinded</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398D6C6C"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Study implements unblinded assessment; assessment of outcome is blind to exposure (and vice versa)</w:t>
            </w:r>
          </w:p>
        </w:tc>
      </w:tr>
      <w:tr w:rsidR="00B123E5" w14:paraId="41D66F9B"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711C570C"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cv_reverse_causation</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674449F7" w14:textId="77777777" w:rsidR="00B123E5" w:rsidRDefault="00B123E5" w:rsidP="31F26954">
            <w:pPr>
              <w:spacing w:before="100" w:beforeAutospacing="1" w:after="100" w:afterAutospacing="1"/>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Study presents no risk of reverse causation; risk of reverse causation</w:t>
            </w:r>
          </w:p>
        </w:tc>
      </w:tr>
      <w:tr w:rsidR="00B123E5" w14:paraId="7093BBBB"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5A847635" w14:textId="77777777" w:rsidR="00B123E5" w:rsidRDefault="00B123E5">
            <w:pPr>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cv_confounding_nonrandom</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26B7B47C" w14:textId="77777777" w:rsidR="00B123E5" w:rsidRDefault="00B123E5">
            <w:pPr>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Non-</w:t>
            </w:r>
            <w:proofErr w:type="spellStart"/>
            <w:r w:rsidRPr="31F26954">
              <w:rPr>
                <w:rStyle w:val="normaltextrun"/>
                <w:rFonts w:ascii="Calibri" w:eastAsia="Calibri" w:hAnsi="Calibri" w:cs="Calibri"/>
                <w:color w:val="000000" w:themeColor="text1"/>
                <w:sz w:val="20"/>
                <w:szCs w:val="20"/>
              </w:rPr>
              <w:t>randomised</w:t>
            </w:r>
            <w:proofErr w:type="spellEnd"/>
            <w:r w:rsidRPr="31F26954">
              <w:rPr>
                <w:rStyle w:val="normaltextrun"/>
                <w:rFonts w:ascii="Calibri" w:eastAsia="Calibri" w:hAnsi="Calibri" w:cs="Calibri"/>
                <w:color w:val="000000" w:themeColor="text1"/>
                <w:sz w:val="20"/>
                <w:szCs w:val="20"/>
              </w:rPr>
              <w:t xml:space="preserve"> study; </w:t>
            </w:r>
            <w:proofErr w:type="spellStart"/>
            <w:r w:rsidRPr="31F26954">
              <w:rPr>
                <w:rStyle w:val="normaltextrun"/>
                <w:rFonts w:ascii="Calibri" w:eastAsia="Calibri" w:hAnsi="Calibri" w:cs="Calibri"/>
                <w:color w:val="000000" w:themeColor="text1"/>
                <w:sz w:val="20"/>
                <w:szCs w:val="20"/>
              </w:rPr>
              <w:t>randomised</w:t>
            </w:r>
            <w:proofErr w:type="spellEnd"/>
            <w:r w:rsidRPr="31F26954">
              <w:rPr>
                <w:rStyle w:val="normaltextrun"/>
                <w:rFonts w:ascii="Calibri" w:eastAsia="Calibri" w:hAnsi="Calibri" w:cs="Calibri"/>
                <w:color w:val="000000" w:themeColor="text1"/>
                <w:sz w:val="20"/>
                <w:szCs w:val="20"/>
              </w:rPr>
              <w:t xml:space="preserve"> study</w:t>
            </w:r>
          </w:p>
        </w:tc>
      </w:tr>
      <w:tr w:rsidR="00B123E5" w14:paraId="7FD0C352"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6E95E819" w14:textId="77777777" w:rsidR="00B123E5" w:rsidRDefault="00B123E5">
            <w:pPr>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cv_confounding_uncontrolled</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07F5E7F8" w14:textId="77777777" w:rsidR="00B123E5" w:rsidRDefault="00B123E5">
            <w:pPr>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 xml:space="preserve">Study is </w:t>
            </w:r>
            <w:proofErr w:type="spellStart"/>
            <w:r w:rsidRPr="31F26954">
              <w:rPr>
                <w:rStyle w:val="normaltextrun"/>
                <w:rFonts w:ascii="Calibri" w:eastAsia="Calibri" w:hAnsi="Calibri" w:cs="Calibri"/>
                <w:color w:val="000000" w:themeColor="text1"/>
                <w:sz w:val="20"/>
                <w:szCs w:val="20"/>
              </w:rPr>
              <w:t>randomised</w:t>
            </w:r>
            <w:proofErr w:type="spellEnd"/>
            <w:r w:rsidRPr="31F26954">
              <w:rPr>
                <w:rStyle w:val="normaltextrun"/>
                <w:rFonts w:ascii="Calibri" w:eastAsia="Calibri" w:hAnsi="Calibri" w:cs="Calibri"/>
                <w:color w:val="000000" w:themeColor="text1"/>
                <w:sz w:val="20"/>
                <w:szCs w:val="20"/>
              </w:rPr>
              <w:t>/outcome controlled for age, sex, education, income, and all critical determinants of outcome; study is controlled for age, sex, and other critical determinants of outcome; study is controlled for only age and sex</w:t>
            </w:r>
          </w:p>
        </w:tc>
      </w:tr>
      <w:tr w:rsidR="00B123E5" w14:paraId="336B4842"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06E223C4" w14:textId="77777777" w:rsidR="00B123E5" w:rsidRDefault="00B123E5">
            <w:pPr>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cv_selection_bias</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2C82DD29" w14:textId="77777777" w:rsidR="00B123E5" w:rsidRDefault="00B123E5">
            <w:pPr>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Study reports &gt;95% follow-up; study reports 85–95% follow-up; study reports &lt;85% follow-up</w:t>
            </w:r>
          </w:p>
        </w:tc>
      </w:tr>
      <w:tr w:rsidR="00B123E5" w14:paraId="2E5AB3B1" w14:textId="77777777" w:rsidTr="31F26954">
        <w:trPr>
          <w:trHeight w:val="300"/>
        </w:trPr>
        <w:tc>
          <w:tcPr>
            <w:tcW w:w="2985" w:type="dxa"/>
            <w:tcBorders>
              <w:top w:val="single" w:sz="4" w:space="0" w:color="auto"/>
              <w:left w:val="single" w:sz="4" w:space="0" w:color="auto"/>
              <w:bottom w:val="single" w:sz="4" w:space="0" w:color="auto"/>
              <w:right w:val="single" w:sz="4" w:space="0" w:color="auto"/>
            </w:tcBorders>
            <w:hideMark/>
          </w:tcPr>
          <w:p w14:paraId="35BFE810" w14:textId="77777777" w:rsidR="00B123E5" w:rsidRDefault="00B123E5">
            <w:pPr>
              <w:rPr>
                <w:rStyle w:val="normaltextrun"/>
                <w:rFonts w:ascii="Calibri" w:eastAsia="Calibri" w:hAnsi="Calibri" w:cs="Calibri"/>
                <w:color w:val="000000" w:themeColor="text1"/>
                <w:sz w:val="20"/>
                <w:szCs w:val="20"/>
              </w:rPr>
            </w:pPr>
            <w:proofErr w:type="spellStart"/>
            <w:r w:rsidRPr="31F26954">
              <w:rPr>
                <w:rStyle w:val="normaltextrun"/>
                <w:rFonts w:ascii="Calibri" w:eastAsia="Calibri" w:hAnsi="Calibri" w:cs="Calibri"/>
                <w:color w:val="000000" w:themeColor="text1"/>
                <w:sz w:val="20"/>
                <w:szCs w:val="20"/>
              </w:rPr>
              <w:t>cv_hap</w:t>
            </w:r>
            <w:proofErr w:type="spellEnd"/>
          </w:p>
        </w:tc>
        <w:tc>
          <w:tcPr>
            <w:tcW w:w="6025" w:type="dxa"/>
            <w:tcBorders>
              <w:top w:val="single" w:sz="4" w:space="0" w:color="auto"/>
              <w:left w:val="single" w:sz="4" w:space="0" w:color="auto"/>
              <w:bottom w:val="single" w:sz="4" w:space="0" w:color="auto"/>
              <w:right w:val="single" w:sz="4" w:space="0" w:color="auto"/>
            </w:tcBorders>
            <w:hideMark/>
          </w:tcPr>
          <w:p w14:paraId="1E3690B8" w14:textId="77777777" w:rsidR="00B123E5" w:rsidRDefault="00B123E5">
            <w:pPr>
              <w:rPr>
                <w:rStyle w:val="normaltextrun"/>
                <w:rFonts w:ascii="Calibri" w:eastAsia="Calibri" w:hAnsi="Calibri" w:cs="Calibri"/>
                <w:color w:val="000000" w:themeColor="text1"/>
                <w:sz w:val="20"/>
                <w:szCs w:val="20"/>
              </w:rPr>
            </w:pPr>
            <w:r w:rsidRPr="31F26954">
              <w:rPr>
                <w:rStyle w:val="normaltextrun"/>
                <w:rFonts w:ascii="Calibri" w:eastAsia="Calibri" w:hAnsi="Calibri" w:cs="Calibri"/>
                <w:color w:val="000000" w:themeColor="text1"/>
                <w:sz w:val="20"/>
                <w:szCs w:val="20"/>
              </w:rPr>
              <w:t>Studies household air pollution; studies ambient air pollution</w:t>
            </w:r>
          </w:p>
        </w:tc>
      </w:tr>
    </w:tbl>
    <w:p w14:paraId="38EF4266" w14:textId="77777777" w:rsidR="00B123E5" w:rsidRDefault="00B123E5" w:rsidP="31F26954">
      <w:pPr>
        <w:spacing w:before="100" w:beforeAutospacing="1" w:after="100" w:afterAutospacing="1" w:line="240" w:lineRule="auto"/>
        <w:rPr>
          <w:rStyle w:val="normaltextrun"/>
          <w:rFonts w:ascii="Calibri" w:eastAsia="Calibri" w:hAnsi="Calibri" w:cs="Calibri"/>
          <w:color w:val="000000" w:themeColor="text1"/>
        </w:rPr>
      </w:pPr>
      <w:r w:rsidRPr="31F26954">
        <w:rPr>
          <w:rStyle w:val="normaltextrun"/>
          <w:rFonts w:ascii="Calibri" w:eastAsia="Calibri" w:hAnsi="Calibri" w:cs="Calibri"/>
          <w:color w:val="000000" w:themeColor="text1"/>
        </w:rPr>
        <w:t xml:space="preserve">1000 predictions of the effect size were generated across the exposure distribution for use in calculating burden estimates. These predictions were created by incorporating predictions of between-study heterogeneity to </w:t>
      </w:r>
      <w:proofErr w:type="spellStart"/>
      <w:r w:rsidRPr="31F26954">
        <w:rPr>
          <w:rStyle w:val="normaltextrun"/>
          <w:rFonts w:ascii="Calibri" w:eastAsia="Calibri" w:hAnsi="Calibri" w:cs="Calibri"/>
          <w:color w:val="000000" w:themeColor="text1"/>
        </w:rPr>
        <w:t>characterise</w:t>
      </w:r>
      <w:proofErr w:type="spellEnd"/>
      <w:r w:rsidRPr="31F26954">
        <w:rPr>
          <w:rStyle w:val="normaltextrun"/>
          <w:rFonts w:ascii="Calibri" w:eastAsia="Calibri" w:hAnsi="Calibri" w:cs="Calibri"/>
          <w:color w:val="000000" w:themeColor="text1"/>
        </w:rPr>
        <w:t xml:space="preserve"> the model’s uncertainty. </w:t>
      </w:r>
      <w:r w:rsidRPr="31F26954">
        <w:rPr>
          <w:rFonts w:ascii="Calibri" w:eastAsia="Calibri" w:hAnsi="Calibri" w:cs="Calibri"/>
          <w:color w:val="1D1C1D"/>
        </w:rPr>
        <w:t>We implemented the Fisher scoring correction to the heterogeneity parameter, which corrects for data-sparse situations. In such cases, the between-study heterogeneity parameter estimate may be 0, simply from lack of data. The Fisher scoring correction uses a quantile of gamma, which is sensitive to the number of studies, study design, and reported uncertainty.</w:t>
      </w:r>
    </w:p>
    <w:p w14:paraId="2C329337" w14:textId="77777777" w:rsidR="00B123E5" w:rsidRDefault="00B123E5" w:rsidP="00B123E5">
      <w:pPr>
        <w:rPr>
          <w:rFonts w:ascii="Calibri" w:eastAsia="Calibri" w:hAnsi="Calibri" w:cs="Calibri"/>
        </w:rPr>
      </w:pPr>
      <w:r w:rsidRPr="31F26954">
        <w:rPr>
          <w:rFonts w:ascii="Calibri" w:eastAsia="Calibri" w:hAnsi="Calibri" w:cs="Calibri"/>
        </w:rPr>
        <w:t>The following table includes all ambient and household sources used to generate GBD 2023 risk curves. New studies added for GBD 2023 are indicated in</w:t>
      </w:r>
      <w:r w:rsidRPr="31F26954">
        <w:rPr>
          <w:rFonts w:ascii="Calibri" w:eastAsia="Calibri" w:hAnsi="Calibri" w:cs="Calibri"/>
          <w:b/>
          <w:bCs/>
        </w:rPr>
        <w:t xml:space="preserve"> bold</w:t>
      </w:r>
      <w:r w:rsidRPr="31F26954">
        <w:rPr>
          <w:rFonts w:ascii="Calibri" w:eastAsia="Calibri" w:hAnsi="Calibri" w:cs="Calibri"/>
        </w:rPr>
        <w:t xml:space="preserve"> text.</w:t>
      </w:r>
    </w:p>
    <w:tbl>
      <w:tblPr>
        <w:tblStyle w:val="TableGrid"/>
        <w:tblW w:w="0" w:type="auto"/>
        <w:tblLayout w:type="fixed"/>
        <w:tblLook w:val="06A0" w:firstRow="1" w:lastRow="0" w:firstColumn="1" w:lastColumn="0" w:noHBand="1" w:noVBand="1"/>
      </w:tblPr>
      <w:tblGrid>
        <w:gridCol w:w="945"/>
        <w:gridCol w:w="1024"/>
        <w:gridCol w:w="7046"/>
      </w:tblGrid>
      <w:tr w:rsidR="00B123E5" w14:paraId="16D2D51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B467E99" w14:textId="77777777" w:rsidR="00B123E5" w:rsidRDefault="00B123E5" w:rsidP="31F26954">
            <w:pPr>
              <w:rPr>
                <w:rFonts w:eastAsia="Aptos Narrow"/>
                <w:b/>
                <w:bCs/>
                <w:color w:val="000000" w:themeColor="text1"/>
                <w:sz w:val="20"/>
                <w:szCs w:val="20"/>
              </w:rPr>
            </w:pPr>
            <w:r w:rsidRPr="31F26954">
              <w:rPr>
                <w:rFonts w:eastAsia="Aptos Narrow"/>
                <w:b/>
                <w:bCs/>
                <w:color w:val="000000" w:themeColor="text1"/>
                <w:sz w:val="20"/>
                <w:szCs w:val="20"/>
              </w:rPr>
              <w:t>Source</w:t>
            </w:r>
          </w:p>
        </w:tc>
        <w:tc>
          <w:tcPr>
            <w:tcW w:w="1024" w:type="dxa"/>
            <w:tcBorders>
              <w:top w:val="single" w:sz="4" w:space="0" w:color="auto"/>
              <w:left w:val="single" w:sz="4" w:space="0" w:color="auto"/>
              <w:bottom w:val="single" w:sz="4" w:space="0" w:color="auto"/>
              <w:right w:val="single" w:sz="4" w:space="0" w:color="auto"/>
            </w:tcBorders>
            <w:hideMark/>
          </w:tcPr>
          <w:p w14:paraId="4A737059" w14:textId="77777777" w:rsidR="00B123E5" w:rsidRDefault="00B123E5" w:rsidP="31F26954">
            <w:pPr>
              <w:rPr>
                <w:rFonts w:eastAsia="Aptos Narrow"/>
                <w:b/>
                <w:bCs/>
                <w:color w:val="000000" w:themeColor="text1"/>
                <w:sz w:val="20"/>
                <w:szCs w:val="20"/>
              </w:rPr>
            </w:pPr>
            <w:proofErr w:type="spellStart"/>
            <w:r w:rsidRPr="31F26954">
              <w:rPr>
                <w:rFonts w:eastAsia="Aptos Narrow"/>
                <w:b/>
                <w:bCs/>
                <w:color w:val="000000" w:themeColor="text1"/>
                <w:sz w:val="20"/>
                <w:szCs w:val="20"/>
              </w:rPr>
              <w:t>nid</w:t>
            </w:r>
            <w:proofErr w:type="spellEnd"/>
          </w:p>
        </w:tc>
        <w:tc>
          <w:tcPr>
            <w:tcW w:w="7046" w:type="dxa"/>
            <w:tcBorders>
              <w:top w:val="single" w:sz="4" w:space="0" w:color="auto"/>
              <w:left w:val="single" w:sz="4" w:space="0" w:color="auto"/>
              <w:bottom w:val="single" w:sz="4" w:space="0" w:color="auto"/>
              <w:right w:val="single" w:sz="4" w:space="0" w:color="auto"/>
            </w:tcBorders>
            <w:hideMark/>
          </w:tcPr>
          <w:p w14:paraId="49A9EC16" w14:textId="77777777" w:rsidR="00B123E5" w:rsidRDefault="00B123E5" w:rsidP="31F26954">
            <w:pPr>
              <w:rPr>
                <w:rFonts w:eastAsia="Aptos Narrow"/>
                <w:b/>
                <w:bCs/>
                <w:color w:val="000000" w:themeColor="text1"/>
                <w:sz w:val="20"/>
                <w:szCs w:val="20"/>
              </w:rPr>
            </w:pPr>
            <w:r w:rsidRPr="31F26954">
              <w:rPr>
                <w:rFonts w:eastAsia="Aptos Narrow"/>
                <w:b/>
                <w:bCs/>
                <w:color w:val="000000" w:themeColor="text1"/>
                <w:sz w:val="20"/>
                <w:szCs w:val="20"/>
              </w:rPr>
              <w:t>Reference</w:t>
            </w:r>
          </w:p>
        </w:tc>
      </w:tr>
      <w:tr w:rsidR="00B123E5" w14:paraId="51AC5BD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145D00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w:t>
            </w:r>
          </w:p>
        </w:tc>
        <w:tc>
          <w:tcPr>
            <w:tcW w:w="1024" w:type="dxa"/>
            <w:tcBorders>
              <w:top w:val="single" w:sz="4" w:space="0" w:color="auto"/>
              <w:left w:val="single" w:sz="4" w:space="0" w:color="auto"/>
              <w:bottom w:val="single" w:sz="4" w:space="0" w:color="auto"/>
              <w:right w:val="single" w:sz="4" w:space="0" w:color="auto"/>
            </w:tcBorders>
            <w:hideMark/>
          </w:tcPr>
          <w:p w14:paraId="5E4ACCB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389741</w:t>
            </w:r>
          </w:p>
        </w:tc>
        <w:tc>
          <w:tcPr>
            <w:tcW w:w="7046" w:type="dxa"/>
            <w:tcBorders>
              <w:top w:val="single" w:sz="4" w:space="0" w:color="auto"/>
              <w:left w:val="single" w:sz="4" w:space="0" w:color="auto"/>
              <w:bottom w:val="single" w:sz="4" w:space="0" w:color="auto"/>
              <w:right w:val="single" w:sz="4" w:space="0" w:color="auto"/>
            </w:tcBorders>
            <w:hideMark/>
          </w:tcPr>
          <w:p w14:paraId="769BCA49"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Tielsch</w:t>
            </w:r>
            <w:proofErr w:type="spellEnd"/>
            <w:r w:rsidRPr="31F26954">
              <w:rPr>
                <w:rFonts w:eastAsia="Aptos Narrow"/>
                <w:color w:val="000000" w:themeColor="text1"/>
                <w:sz w:val="20"/>
                <w:szCs w:val="20"/>
              </w:rPr>
              <w:t xml:space="preserve"> JM, Katz J, </w:t>
            </w:r>
            <w:proofErr w:type="spellStart"/>
            <w:r w:rsidRPr="31F26954">
              <w:rPr>
                <w:rFonts w:eastAsia="Aptos Narrow"/>
                <w:color w:val="000000" w:themeColor="text1"/>
                <w:sz w:val="20"/>
                <w:szCs w:val="20"/>
              </w:rPr>
              <w:t>Thulasiraj</w:t>
            </w:r>
            <w:proofErr w:type="spellEnd"/>
            <w:r w:rsidRPr="31F26954">
              <w:rPr>
                <w:rFonts w:eastAsia="Aptos Narrow"/>
                <w:color w:val="000000" w:themeColor="text1"/>
                <w:sz w:val="20"/>
                <w:szCs w:val="20"/>
              </w:rPr>
              <w:t xml:space="preserve"> RD, Coles CL, Sheeladevi S, Yanik EL, </w:t>
            </w:r>
            <w:proofErr w:type="spellStart"/>
            <w:r w:rsidRPr="31F26954">
              <w:rPr>
                <w:rFonts w:eastAsia="Aptos Narrow"/>
                <w:color w:val="000000" w:themeColor="text1"/>
                <w:sz w:val="20"/>
                <w:szCs w:val="20"/>
              </w:rPr>
              <w:t>Rahmathullah</w:t>
            </w:r>
            <w:proofErr w:type="spellEnd"/>
            <w:r w:rsidRPr="31F26954">
              <w:rPr>
                <w:rFonts w:eastAsia="Aptos Narrow"/>
                <w:color w:val="000000" w:themeColor="text1"/>
                <w:sz w:val="20"/>
                <w:szCs w:val="20"/>
              </w:rPr>
              <w:t xml:space="preserve"> L. Exposure to indoor biomass fuel and tobacco smoke and risk of adverse reproductive outcomes, mortality, respiratory morbidity and growth among newborn infants in south India. Int J Epidemiol. 2009; 38(5): 1351-63.</w:t>
            </w:r>
          </w:p>
        </w:tc>
      </w:tr>
      <w:tr w:rsidR="00B123E5" w14:paraId="5ADF39F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C4D052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w:t>
            </w:r>
          </w:p>
        </w:tc>
        <w:tc>
          <w:tcPr>
            <w:tcW w:w="1024" w:type="dxa"/>
            <w:tcBorders>
              <w:top w:val="single" w:sz="4" w:space="0" w:color="auto"/>
              <w:left w:val="single" w:sz="4" w:space="0" w:color="auto"/>
              <w:bottom w:val="single" w:sz="4" w:space="0" w:color="auto"/>
              <w:right w:val="single" w:sz="4" w:space="0" w:color="auto"/>
            </w:tcBorders>
            <w:hideMark/>
          </w:tcPr>
          <w:p w14:paraId="11CC6BA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193971</w:t>
            </w:r>
          </w:p>
        </w:tc>
        <w:tc>
          <w:tcPr>
            <w:tcW w:w="7046" w:type="dxa"/>
            <w:tcBorders>
              <w:top w:val="single" w:sz="4" w:space="0" w:color="auto"/>
              <w:left w:val="single" w:sz="4" w:space="0" w:color="auto"/>
              <w:bottom w:val="single" w:sz="4" w:space="0" w:color="auto"/>
              <w:right w:val="single" w:sz="4" w:space="0" w:color="auto"/>
            </w:tcBorders>
            <w:hideMark/>
          </w:tcPr>
          <w:p w14:paraId="6A4B03D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Victora CG, Fuchs SC, Flores JA, Fonseca W, Kirkwood B. Risk factors for pneumonia among children in a Brazilian metropolitan area. Pediatrics. 1994; 977-85.</w:t>
            </w:r>
          </w:p>
        </w:tc>
      </w:tr>
      <w:tr w:rsidR="00B123E5" w14:paraId="41DD131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0BF203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w:t>
            </w:r>
          </w:p>
        </w:tc>
        <w:tc>
          <w:tcPr>
            <w:tcW w:w="1024" w:type="dxa"/>
            <w:tcBorders>
              <w:top w:val="single" w:sz="4" w:space="0" w:color="auto"/>
              <w:left w:val="single" w:sz="4" w:space="0" w:color="auto"/>
              <w:bottom w:val="single" w:sz="4" w:space="0" w:color="auto"/>
              <w:right w:val="single" w:sz="4" w:space="0" w:color="auto"/>
            </w:tcBorders>
            <w:hideMark/>
          </w:tcPr>
          <w:p w14:paraId="7F44420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332647</w:t>
            </w:r>
          </w:p>
        </w:tc>
        <w:tc>
          <w:tcPr>
            <w:tcW w:w="7046" w:type="dxa"/>
            <w:tcBorders>
              <w:top w:val="single" w:sz="4" w:space="0" w:color="auto"/>
              <w:left w:val="single" w:sz="4" w:space="0" w:color="auto"/>
              <w:bottom w:val="single" w:sz="4" w:space="0" w:color="auto"/>
              <w:right w:val="single" w:sz="4" w:space="0" w:color="auto"/>
            </w:tcBorders>
            <w:hideMark/>
          </w:tcPr>
          <w:p w14:paraId="78A7365A"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Azizi BH, Zulkifli HI, Kasim MS. Protective and risk factors for acute respiratory infections in hospitalized urban Malaysian children: a case control study. Southeast Asian J Trop Med Public Health. 1995; 26(2): 280-5.</w:t>
            </w:r>
          </w:p>
        </w:tc>
      </w:tr>
      <w:tr w:rsidR="00B123E5" w14:paraId="0D5EA04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932C8C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w:t>
            </w:r>
          </w:p>
        </w:tc>
        <w:tc>
          <w:tcPr>
            <w:tcW w:w="1024" w:type="dxa"/>
            <w:tcBorders>
              <w:top w:val="single" w:sz="4" w:space="0" w:color="auto"/>
              <w:left w:val="single" w:sz="4" w:space="0" w:color="auto"/>
              <w:bottom w:val="single" w:sz="4" w:space="0" w:color="auto"/>
              <w:right w:val="single" w:sz="4" w:space="0" w:color="auto"/>
            </w:tcBorders>
            <w:hideMark/>
          </w:tcPr>
          <w:p w14:paraId="0C4C54B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333170</w:t>
            </w:r>
          </w:p>
        </w:tc>
        <w:tc>
          <w:tcPr>
            <w:tcW w:w="7046" w:type="dxa"/>
            <w:tcBorders>
              <w:top w:val="single" w:sz="4" w:space="0" w:color="auto"/>
              <w:left w:val="single" w:sz="4" w:space="0" w:color="auto"/>
              <w:bottom w:val="single" w:sz="4" w:space="0" w:color="auto"/>
              <w:right w:val="single" w:sz="4" w:space="0" w:color="auto"/>
            </w:tcBorders>
            <w:hideMark/>
          </w:tcPr>
          <w:p w14:paraId="675A46E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Fonseca W, Kirkwood BR, Victora CG, Fuchs SR, Flores JA, </w:t>
            </w:r>
            <w:proofErr w:type="spellStart"/>
            <w:r w:rsidRPr="31F26954">
              <w:rPr>
                <w:rFonts w:eastAsia="Aptos Narrow"/>
                <w:color w:val="000000" w:themeColor="text1"/>
                <w:sz w:val="20"/>
                <w:szCs w:val="20"/>
              </w:rPr>
              <w:t>Misago</w:t>
            </w:r>
            <w:proofErr w:type="spellEnd"/>
            <w:r w:rsidRPr="31F26954">
              <w:rPr>
                <w:rFonts w:eastAsia="Aptos Narrow"/>
                <w:color w:val="000000" w:themeColor="text1"/>
                <w:sz w:val="20"/>
                <w:szCs w:val="20"/>
              </w:rPr>
              <w:t xml:space="preserve"> C. Risk factors for childhood pneumonia among the urban poor in Fortaleza, Brazil: a case-control study. Bull World Health Organ. 1996; 74(2): 199-208.</w:t>
            </w:r>
          </w:p>
        </w:tc>
      </w:tr>
      <w:tr w:rsidR="00B123E5" w14:paraId="0213280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2386D0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w:t>
            </w:r>
          </w:p>
        </w:tc>
        <w:tc>
          <w:tcPr>
            <w:tcW w:w="1024" w:type="dxa"/>
            <w:tcBorders>
              <w:top w:val="single" w:sz="4" w:space="0" w:color="auto"/>
              <w:left w:val="single" w:sz="4" w:space="0" w:color="auto"/>
              <w:bottom w:val="single" w:sz="4" w:space="0" w:color="auto"/>
              <w:right w:val="single" w:sz="4" w:space="0" w:color="auto"/>
            </w:tcBorders>
            <w:hideMark/>
          </w:tcPr>
          <w:p w14:paraId="49BBBB8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193985</w:t>
            </w:r>
          </w:p>
        </w:tc>
        <w:tc>
          <w:tcPr>
            <w:tcW w:w="7046" w:type="dxa"/>
            <w:tcBorders>
              <w:top w:val="single" w:sz="4" w:space="0" w:color="auto"/>
              <w:left w:val="single" w:sz="4" w:space="0" w:color="auto"/>
              <w:bottom w:val="single" w:sz="4" w:space="0" w:color="auto"/>
              <w:right w:val="single" w:sz="4" w:space="0" w:color="auto"/>
            </w:tcBorders>
            <w:hideMark/>
          </w:tcPr>
          <w:p w14:paraId="4216DC6D"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Broor</w:t>
            </w:r>
            <w:proofErr w:type="spellEnd"/>
            <w:r w:rsidRPr="31F26954">
              <w:rPr>
                <w:rFonts w:eastAsia="Aptos Narrow"/>
                <w:color w:val="000000" w:themeColor="text1"/>
                <w:sz w:val="20"/>
                <w:szCs w:val="20"/>
              </w:rPr>
              <w:t xml:space="preserve"> S, Pandey RM, Ghosh M, Maitreyi RS, Lodha R, Singhal T, Kabra SK. Risk factors for severe acute lower respiratory tract infection in under-five children. Indian </w:t>
            </w:r>
            <w:proofErr w:type="spellStart"/>
            <w:r w:rsidRPr="31F26954">
              <w:rPr>
                <w:rFonts w:eastAsia="Aptos Narrow"/>
                <w:color w:val="000000" w:themeColor="text1"/>
                <w:sz w:val="20"/>
                <w:szCs w:val="20"/>
              </w:rPr>
              <w:t>Pediatr</w:t>
            </w:r>
            <w:proofErr w:type="spellEnd"/>
            <w:r w:rsidRPr="31F26954">
              <w:rPr>
                <w:rFonts w:eastAsia="Aptos Narrow"/>
                <w:color w:val="000000" w:themeColor="text1"/>
                <w:sz w:val="20"/>
                <w:szCs w:val="20"/>
              </w:rPr>
              <w:t>. 2001; 1361-9.</w:t>
            </w:r>
          </w:p>
        </w:tc>
      </w:tr>
      <w:tr w:rsidR="00B123E5" w14:paraId="04F7936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3F353A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w:t>
            </w:r>
          </w:p>
        </w:tc>
        <w:tc>
          <w:tcPr>
            <w:tcW w:w="1024" w:type="dxa"/>
            <w:tcBorders>
              <w:top w:val="single" w:sz="4" w:space="0" w:color="auto"/>
              <w:left w:val="single" w:sz="4" w:space="0" w:color="auto"/>
              <w:bottom w:val="single" w:sz="4" w:space="0" w:color="auto"/>
              <w:right w:val="single" w:sz="4" w:space="0" w:color="auto"/>
            </w:tcBorders>
            <w:hideMark/>
          </w:tcPr>
          <w:p w14:paraId="18DC457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333174</w:t>
            </w:r>
          </w:p>
        </w:tc>
        <w:tc>
          <w:tcPr>
            <w:tcW w:w="7046" w:type="dxa"/>
            <w:tcBorders>
              <w:top w:val="single" w:sz="4" w:space="0" w:color="auto"/>
              <w:left w:val="single" w:sz="4" w:space="0" w:color="auto"/>
              <w:bottom w:val="single" w:sz="4" w:space="0" w:color="auto"/>
              <w:right w:val="single" w:sz="4" w:space="0" w:color="auto"/>
            </w:tcBorders>
            <w:hideMark/>
          </w:tcPr>
          <w:p w14:paraId="5560FDDB"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Mahalanabis</w:t>
            </w:r>
            <w:proofErr w:type="spellEnd"/>
            <w:r w:rsidRPr="31F26954">
              <w:rPr>
                <w:rFonts w:eastAsia="Aptos Narrow"/>
                <w:color w:val="000000" w:themeColor="text1"/>
                <w:sz w:val="20"/>
                <w:szCs w:val="20"/>
              </w:rPr>
              <w:t xml:space="preserve"> D, Gupta S, Paul D, Gupta A, Lahiri M, Khaled MA. Risk factors for pneumonia in infants and young children and the role of solid fuel for cooking: a case-control study. Epidemiol Infect. 2002; 129(1): 65-71.</w:t>
            </w:r>
          </w:p>
        </w:tc>
      </w:tr>
      <w:tr w:rsidR="00B123E5" w14:paraId="44BE902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8DF806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w:t>
            </w:r>
          </w:p>
        </w:tc>
        <w:tc>
          <w:tcPr>
            <w:tcW w:w="1024" w:type="dxa"/>
            <w:tcBorders>
              <w:top w:val="single" w:sz="4" w:space="0" w:color="auto"/>
              <w:left w:val="single" w:sz="4" w:space="0" w:color="auto"/>
              <w:bottom w:val="single" w:sz="4" w:space="0" w:color="auto"/>
              <w:right w:val="single" w:sz="4" w:space="0" w:color="auto"/>
            </w:tcBorders>
            <w:hideMark/>
          </w:tcPr>
          <w:p w14:paraId="214DFE6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333176</w:t>
            </w:r>
          </w:p>
        </w:tc>
        <w:tc>
          <w:tcPr>
            <w:tcW w:w="7046" w:type="dxa"/>
            <w:tcBorders>
              <w:top w:val="single" w:sz="4" w:space="0" w:color="auto"/>
              <w:left w:val="single" w:sz="4" w:space="0" w:color="auto"/>
              <w:bottom w:val="single" w:sz="4" w:space="0" w:color="auto"/>
              <w:right w:val="single" w:sz="4" w:space="0" w:color="auto"/>
            </w:tcBorders>
            <w:hideMark/>
          </w:tcPr>
          <w:p w14:paraId="4824BEF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Kumar S, Awasthi S, Jain A, Srivastava RC. Blood zinc levels in children hospitalized with severe pneumonia: a case control study. Indian </w:t>
            </w:r>
            <w:proofErr w:type="spellStart"/>
            <w:r w:rsidRPr="31F26954">
              <w:rPr>
                <w:rFonts w:eastAsia="Aptos Narrow"/>
                <w:color w:val="000000" w:themeColor="text1"/>
                <w:sz w:val="20"/>
                <w:szCs w:val="20"/>
              </w:rPr>
              <w:t>Pediatr</w:t>
            </w:r>
            <w:proofErr w:type="spellEnd"/>
            <w:r w:rsidRPr="31F26954">
              <w:rPr>
                <w:rFonts w:eastAsia="Aptos Narrow"/>
                <w:color w:val="000000" w:themeColor="text1"/>
                <w:sz w:val="20"/>
                <w:szCs w:val="20"/>
              </w:rPr>
              <w:t>. 2004; 41(5): 486-91.</w:t>
            </w:r>
          </w:p>
        </w:tc>
      </w:tr>
      <w:tr w:rsidR="00B123E5" w14:paraId="27B37D4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DADD9A6"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w:t>
            </w:r>
          </w:p>
        </w:tc>
        <w:tc>
          <w:tcPr>
            <w:tcW w:w="1024" w:type="dxa"/>
            <w:tcBorders>
              <w:top w:val="single" w:sz="4" w:space="0" w:color="auto"/>
              <w:left w:val="single" w:sz="4" w:space="0" w:color="auto"/>
              <w:bottom w:val="single" w:sz="4" w:space="0" w:color="auto"/>
              <w:right w:val="single" w:sz="4" w:space="0" w:color="auto"/>
            </w:tcBorders>
            <w:hideMark/>
          </w:tcPr>
          <w:p w14:paraId="7183A43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333178</w:t>
            </w:r>
          </w:p>
        </w:tc>
        <w:tc>
          <w:tcPr>
            <w:tcW w:w="7046" w:type="dxa"/>
            <w:tcBorders>
              <w:top w:val="single" w:sz="4" w:space="0" w:color="auto"/>
              <w:left w:val="single" w:sz="4" w:space="0" w:color="auto"/>
              <w:bottom w:val="single" w:sz="4" w:space="0" w:color="auto"/>
              <w:right w:val="single" w:sz="4" w:space="0" w:color="auto"/>
            </w:tcBorders>
            <w:hideMark/>
          </w:tcPr>
          <w:p w14:paraId="623F0BC5"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Wayse</w:t>
            </w:r>
            <w:proofErr w:type="spellEnd"/>
            <w:r w:rsidRPr="31F26954">
              <w:rPr>
                <w:rFonts w:eastAsia="Aptos Narrow"/>
                <w:color w:val="000000" w:themeColor="text1"/>
                <w:sz w:val="20"/>
                <w:szCs w:val="20"/>
              </w:rPr>
              <w:t xml:space="preserve"> V, Yousafzai A, Mogale K, Filteau S. Association of subclinical vitamin D deficiency with severe acute lower respiratory infection in Indian children under 5 y. </w:t>
            </w:r>
            <w:proofErr w:type="spellStart"/>
            <w:r w:rsidRPr="31F26954">
              <w:rPr>
                <w:rFonts w:eastAsia="Aptos Narrow"/>
                <w:color w:val="000000" w:themeColor="text1"/>
                <w:sz w:val="20"/>
                <w:szCs w:val="20"/>
              </w:rPr>
              <w:t>Eur</w:t>
            </w:r>
            <w:proofErr w:type="spellEnd"/>
            <w:r w:rsidRPr="31F26954">
              <w:rPr>
                <w:rFonts w:eastAsia="Aptos Narrow"/>
                <w:color w:val="000000" w:themeColor="text1"/>
                <w:sz w:val="20"/>
                <w:szCs w:val="20"/>
              </w:rPr>
              <w:t xml:space="preserve"> J Clin Nutr. 2004; 58(4): 563-7.</w:t>
            </w:r>
          </w:p>
        </w:tc>
      </w:tr>
      <w:tr w:rsidR="00B123E5" w14:paraId="209AD5A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BD9D82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w:t>
            </w:r>
          </w:p>
        </w:tc>
        <w:tc>
          <w:tcPr>
            <w:tcW w:w="1024" w:type="dxa"/>
            <w:tcBorders>
              <w:top w:val="single" w:sz="4" w:space="0" w:color="auto"/>
              <w:left w:val="single" w:sz="4" w:space="0" w:color="auto"/>
              <w:bottom w:val="single" w:sz="4" w:space="0" w:color="auto"/>
              <w:right w:val="single" w:sz="4" w:space="0" w:color="auto"/>
            </w:tcBorders>
            <w:hideMark/>
          </w:tcPr>
          <w:p w14:paraId="5F46DF7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333182</w:t>
            </w:r>
          </w:p>
        </w:tc>
        <w:tc>
          <w:tcPr>
            <w:tcW w:w="7046" w:type="dxa"/>
            <w:tcBorders>
              <w:top w:val="single" w:sz="4" w:space="0" w:color="auto"/>
              <w:left w:val="single" w:sz="4" w:space="0" w:color="auto"/>
              <w:bottom w:val="single" w:sz="4" w:space="0" w:color="auto"/>
              <w:right w:val="single" w:sz="4" w:space="0" w:color="auto"/>
            </w:tcBorders>
            <w:hideMark/>
          </w:tcPr>
          <w:p w14:paraId="3CF8672C"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Robin LF, Less PS, Winget M, Steinhoff M, Moulton LH, </w:t>
            </w:r>
            <w:proofErr w:type="spellStart"/>
            <w:r w:rsidRPr="31F26954">
              <w:rPr>
                <w:rFonts w:eastAsia="Aptos Narrow"/>
                <w:color w:val="000000" w:themeColor="text1"/>
                <w:sz w:val="20"/>
                <w:szCs w:val="20"/>
              </w:rPr>
              <w:t>Santosham</w:t>
            </w:r>
            <w:proofErr w:type="spellEnd"/>
            <w:r w:rsidRPr="31F26954">
              <w:rPr>
                <w:rFonts w:eastAsia="Aptos Narrow"/>
                <w:color w:val="000000" w:themeColor="text1"/>
                <w:sz w:val="20"/>
                <w:szCs w:val="20"/>
              </w:rPr>
              <w:t xml:space="preserve"> M, Correa A. Wood-burning stoves and lower respiratory illnesses in Navajo children. </w:t>
            </w:r>
            <w:proofErr w:type="spellStart"/>
            <w:r w:rsidRPr="31F26954">
              <w:rPr>
                <w:rFonts w:eastAsia="Aptos Narrow"/>
                <w:color w:val="000000" w:themeColor="text1"/>
                <w:sz w:val="20"/>
                <w:szCs w:val="20"/>
              </w:rPr>
              <w:t>Pediatr</w:t>
            </w:r>
            <w:proofErr w:type="spellEnd"/>
            <w:r w:rsidRPr="31F26954">
              <w:rPr>
                <w:rFonts w:eastAsia="Aptos Narrow"/>
                <w:color w:val="000000" w:themeColor="text1"/>
                <w:sz w:val="20"/>
                <w:szCs w:val="20"/>
              </w:rPr>
              <w:t xml:space="preserve"> Infect Dis J. 1996; 15(10): 859-65.</w:t>
            </w:r>
          </w:p>
        </w:tc>
      </w:tr>
      <w:tr w:rsidR="00B123E5" w14:paraId="5D2D986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F0268B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w:t>
            </w:r>
          </w:p>
        </w:tc>
        <w:tc>
          <w:tcPr>
            <w:tcW w:w="1024" w:type="dxa"/>
            <w:tcBorders>
              <w:top w:val="single" w:sz="4" w:space="0" w:color="auto"/>
              <w:left w:val="single" w:sz="4" w:space="0" w:color="auto"/>
              <w:bottom w:val="single" w:sz="4" w:space="0" w:color="auto"/>
              <w:right w:val="single" w:sz="4" w:space="0" w:color="auto"/>
            </w:tcBorders>
            <w:hideMark/>
          </w:tcPr>
          <w:p w14:paraId="4A79000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173862</w:t>
            </w:r>
          </w:p>
        </w:tc>
        <w:tc>
          <w:tcPr>
            <w:tcW w:w="7046" w:type="dxa"/>
            <w:tcBorders>
              <w:top w:val="single" w:sz="4" w:space="0" w:color="auto"/>
              <w:left w:val="single" w:sz="4" w:space="0" w:color="auto"/>
              <w:bottom w:val="single" w:sz="4" w:space="0" w:color="auto"/>
              <w:right w:val="single" w:sz="4" w:space="0" w:color="auto"/>
            </w:tcBorders>
            <w:hideMark/>
          </w:tcPr>
          <w:p w14:paraId="1F03505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Smith KR, McCracken JP, Weber MW, Hubbard A, Jenny A, Thompson LM, Balmes J, Diaz A, Arana B, Bruce N. Effect of reduction in household air pollution on childhood pneumonia in Guatemala (RESPIRE): a </w:t>
            </w:r>
            <w:proofErr w:type="spellStart"/>
            <w:r w:rsidRPr="31F26954">
              <w:rPr>
                <w:rFonts w:eastAsia="Aptos Narrow"/>
                <w:color w:val="000000" w:themeColor="text1"/>
                <w:sz w:val="20"/>
                <w:szCs w:val="20"/>
              </w:rPr>
              <w:t>randomised</w:t>
            </w:r>
            <w:proofErr w:type="spellEnd"/>
            <w:r w:rsidRPr="31F26954">
              <w:rPr>
                <w:rFonts w:eastAsia="Aptos Narrow"/>
                <w:color w:val="000000" w:themeColor="text1"/>
                <w:sz w:val="20"/>
                <w:szCs w:val="20"/>
              </w:rPr>
              <w:t xml:space="preserve"> controlled trial. Lancet. 2011; 378(9804): 1717-26.</w:t>
            </w:r>
          </w:p>
        </w:tc>
      </w:tr>
      <w:tr w:rsidR="00B123E5" w14:paraId="11ACC37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93CAB3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11</w:t>
            </w:r>
          </w:p>
        </w:tc>
        <w:tc>
          <w:tcPr>
            <w:tcW w:w="1024" w:type="dxa"/>
            <w:tcBorders>
              <w:top w:val="single" w:sz="4" w:space="0" w:color="auto"/>
              <w:left w:val="single" w:sz="4" w:space="0" w:color="auto"/>
              <w:bottom w:val="single" w:sz="4" w:space="0" w:color="auto"/>
              <w:right w:val="single" w:sz="4" w:space="0" w:color="auto"/>
            </w:tcBorders>
            <w:hideMark/>
          </w:tcPr>
          <w:p w14:paraId="67814A3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335978</w:t>
            </w:r>
          </w:p>
        </w:tc>
        <w:tc>
          <w:tcPr>
            <w:tcW w:w="7046" w:type="dxa"/>
            <w:tcBorders>
              <w:top w:val="single" w:sz="4" w:space="0" w:color="auto"/>
              <w:left w:val="single" w:sz="4" w:space="0" w:color="auto"/>
              <w:bottom w:val="single" w:sz="4" w:space="0" w:color="auto"/>
              <w:right w:val="single" w:sz="4" w:space="0" w:color="auto"/>
            </w:tcBorders>
            <w:hideMark/>
          </w:tcPr>
          <w:p w14:paraId="66096677" w14:textId="77777777" w:rsidR="00B123E5" w:rsidRDefault="00B123E5" w:rsidP="31F26954">
            <w:pPr>
              <w:rPr>
                <w:rFonts w:eastAsia="Arial"/>
                <w:color w:val="142027"/>
                <w:sz w:val="20"/>
                <w:szCs w:val="20"/>
              </w:rPr>
            </w:pPr>
            <w:r w:rsidRPr="31F26954">
              <w:rPr>
                <w:rFonts w:eastAsia="Arial"/>
                <w:color w:val="142027"/>
                <w:sz w:val="20"/>
                <w:szCs w:val="20"/>
              </w:rPr>
              <w:t xml:space="preserve">Wesley AG, </w:t>
            </w:r>
            <w:proofErr w:type="spellStart"/>
            <w:r w:rsidRPr="31F26954">
              <w:rPr>
                <w:rFonts w:eastAsia="Arial"/>
                <w:color w:val="142027"/>
                <w:sz w:val="20"/>
                <w:szCs w:val="20"/>
              </w:rPr>
              <w:t>Loening</w:t>
            </w:r>
            <w:proofErr w:type="spellEnd"/>
            <w:r w:rsidRPr="31F26954">
              <w:rPr>
                <w:rFonts w:eastAsia="Arial"/>
                <w:color w:val="142027"/>
                <w:sz w:val="20"/>
                <w:szCs w:val="20"/>
              </w:rPr>
              <w:t xml:space="preserve"> WE. Assessment and 2-year follow-up of some factors associated with severity of respiratory infections in early childhood. </w:t>
            </w:r>
            <w:r w:rsidRPr="31F26954">
              <w:rPr>
                <w:rFonts w:eastAsia="Arial"/>
                <w:i/>
                <w:iCs/>
                <w:color w:val="142027"/>
                <w:sz w:val="20"/>
                <w:szCs w:val="20"/>
              </w:rPr>
              <w:t xml:space="preserve">S </w:t>
            </w:r>
            <w:proofErr w:type="spellStart"/>
            <w:r w:rsidRPr="31F26954">
              <w:rPr>
                <w:rFonts w:eastAsia="Arial"/>
                <w:i/>
                <w:iCs/>
                <w:color w:val="142027"/>
                <w:sz w:val="20"/>
                <w:szCs w:val="20"/>
              </w:rPr>
              <w:t>Afr</w:t>
            </w:r>
            <w:proofErr w:type="spellEnd"/>
            <w:r w:rsidRPr="31F26954">
              <w:rPr>
                <w:rFonts w:eastAsia="Arial"/>
                <w:i/>
                <w:iCs/>
                <w:color w:val="142027"/>
                <w:sz w:val="20"/>
                <w:szCs w:val="20"/>
              </w:rPr>
              <w:t xml:space="preserve"> Med J</w:t>
            </w:r>
            <w:r w:rsidRPr="31F26954">
              <w:rPr>
                <w:rFonts w:eastAsia="Arial"/>
                <w:color w:val="142027"/>
                <w:sz w:val="20"/>
                <w:szCs w:val="20"/>
              </w:rPr>
              <w:t>. 1996; 86(4): 365–8.</w:t>
            </w:r>
          </w:p>
        </w:tc>
      </w:tr>
      <w:tr w:rsidR="00B123E5" w14:paraId="1D146AC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BD2823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12</w:t>
            </w:r>
          </w:p>
        </w:tc>
        <w:tc>
          <w:tcPr>
            <w:tcW w:w="1024" w:type="dxa"/>
            <w:tcBorders>
              <w:top w:val="single" w:sz="4" w:space="0" w:color="auto"/>
              <w:left w:val="single" w:sz="4" w:space="0" w:color="auto"/>
              <w:bottom w:val="single" w:sz="4" w:space="0" w:color="auto"/>
              <w:right w:val="single" w:sz="4" w:space="0" w:color="auto"/>
            </w:tcBorders>
            <w:hideMark/>
          </w:tcPr>
          <w:p w14:paraId="45DA72B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333188</w:t>
            </w:r>
          </w:p>
        </w:tc>
        <w:tc>
          <w:tcPr>
            <w:tcW w:w="7046" w:type="dxa"/>
            <w:tcBorders>
              <w:top w:val="single" w:sz="4" w:space="0" w:color="auto"/>
              <w:left w:val="single" w:sz="4" w:space="0" w:color="auto"/>
              <w:bottom w:val="single" w:sz="4" w:space="0" w:color="auto"/>
              <w:right w:val="single" w:sz="4" w:space="0" w:color="auto"/>
            </w:tcBorders>
            <w:hideMark/>
          </w:tcPr>
          <w:p w14:paraId="686F9E2F"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Jin C, Rossignol AM. Effects of passive smoking on respiratory illness from birth to age eighteen months, in Shanghai, People’s Republic of China. J Pediatr. 1993; 123(4): 553-8.</w:t>
            </w:r>
          </w:p>
        </w:tc>
      </w:tr>
      <w:tr w:rsidR="00B123E5" w14:paraId="4B4F298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3506DB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13</w:t>
            </w:r>
          </w:p>
        </w:tc>
        <w:tc>
          <w:tcPr>
            <w:tcW w:w="1024" w:type="dxa"/>
            <w:tcBorders>
              <w:top w:val="single" w:sz="4" w:space="0" w:color="auto"/>
              <w:left w:val="single" w:sz="4" w:space="0" w:color="auto"/>
              <w:bottom w:val="single" w:sz="4" w:space="0" w:color="auto"/>
              <w:right w:val="single" w:sz="4" w:space="0" w:color="auto"/>
            </w:tcBorders>
            <w:hideMark/>
          </w:tcPr>
          <w:p w14:paraId="2F8DEC2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357895</w:t>
            </w:r>
          </w:p>
        </w:tc>
        <w:tc>
          <w:tcPr>
            <w:tcW w:w="7046" w:type="dxa"/>
            <w:tcBorders>
              <w:top w:val="single" w:sz="4" w:space="0" w:color="auto"/>
              <w:left w:val="single" w:sz="4" w:space="0" w:color="auto"/>
              <w:bottom w:val="single" w:sz="4" w:space="0" w:color="auto"/>
              <w:right w:val="single" w:sz="4" w:space="0" w:color="auto"/>
            </w:tcBorders>
            <w:hideMark/>
          </w:tcPr>
          <w:p w14:paraId="72A8A85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Jeena PM, </w:t>
            </w:r>
            <w:proofErr w:type="spellStart"/>
            <w:r w:rsidRPr="31F26954">
              <w:rPr>
                <w:rFonts w:eastAsia="Aptos Narrow"/>
                <w:color w:val="000000" w:themeColor="text1"/>
                <w:sz w:val="20"/>
                <w:szCs w:val="20"/>
              </w:rPr>
              <w:t>Ayannusi</w:t>
            </w:r>
            <w:proofErr w:type="spellEnd"/>
            <w:r w:rsidRPr="31F26954">
              <w:rPr>
                <w:rFonts w:eastAsia="Aptos Narrow"/>
                <w:color w:val="000000" w:themeColor="text1"/>
                <w:sz w:val="20"/>
                <w:szCs w:val="20"/>
              </w:rPr>
              <w:t xml:space="preserve"> OE, Annamalai K, Naidoo P, </w:t>
            </w:r>
            <w:proofErr w:type="spellStart"/>
            <w:r w:rsidRPr="31F26954">
              <w:rPr>
                <w:rFonts w:eastAsia="Aptos Narrow"/>
                <w:color w:val="000000" w:themeColor="text1"/>
                <w:sz w:val="20"/>
                <w:szCs w:val="20"/>
              </w:rPr>
              <w:t>Coovadia</w:t>
            </w:r>
            <w:proofErr w:type="spellEnd"/>
            <w:r w:rsidRPr="31F26954">
              <w:rPr>
                <w:rFonts w:eastAsia="Aptos Narrow"/>
                <w:color w:val="000000" w:themeColor="text1"/>
                <w:sz w:val="20"/>
                <w:szCs w:val="20"/>
              </w:rPr>
              <w:t xml:space="preserve"> HM, Guldner P. Risk factors for admission and the role of respiratory syncytial virus-specific cytotoxic T-lymphocyte responses in children with acute bronchiolitis. S </w:t>
            </w:r>
            <w:proofErr w:type="spellStart"/>
            <w:r w:rsidRPr="31F26954">
              <w:rPr>
                <w:rFonts w:eastAsia="Aptos Narrow"/>
                <w:color w:val="000000" w:themeColor="text1"/>
                <w:sz w:val="20"/>
                <w:szCs w:val="20"/>
              </w:rPr>
              <w:t>Afr</w:t>
            </w:r>
            <w:proofErr w:type="spellEnd"/>
            <w:r w:rsidRPr="31F26954">
              <w:rPr>
                <w:rFonts w:eastAsia="Aptos Narrow"/>
                <w:color w:val="000000" w:themeColor="text1"/>
                <w:sz w:val="20"/>
                <w:szCs w:val="20"/>
              </w:rPr>
              <w:t xml:space="preserve"> Med J. 2003; 93(4): 291-4.</w:t>
            </w:r>
          </w:p>
        </w:tc>
      </w:tr>
      <w:tr w:rsidR="00B123E5" w14:paraId="2A96D1A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6FA3AE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14</w:t>
            </w:r>
          </w:p>
        </w:tc>
        <w:tc>
          <w:tcPr>
            <w:tcW w:w="1024" w:type="dxa"/>
            <w:tcBorders>
              <w:top w:val="single" w:sz="4" w:space="0" w:color="auto"/>
              <w:left w:val="single" w:sz="4" w:space="0" w:color="auto"/>
              <w:bottom w:val="single" w:sz="4" w:space="0" w:color="auto"/>
              <w:right w:val="single" w:sz="4" w:space="0" w:color="auto"/>
            </w:tcBorders>
            <w:hideMark/>
          </w:tcPr>
          <w:p w14:paraId="38B17AB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335980</w:t>
            </w:r>
          </w:p>
        </w:tc>
        <w:tc>
          <w:tcPr>
            <w:tcW w:w="7046" w:type="dxa"/>
            <w:tcBorders>
              <w:top w:val="single" w:sz="4" w:space="0" w:color="auto"/>
              <w:left w:val="single" w:sz="4" w:space="0" w:color="auto"/>
              <w:bottom w:val="single" w:sz="4" w:space="0" w:color="auto"/>
              <w:right w:val="single" w:sz="4" w:space="0" w:color="auto"/>
            </w:tcBorders>
            <w:hideMark/>
          </w:tcPr>
          <w:p w14:paraId="0BBE9CEC" w14:textId="77777777" w:rsidR="00B123E5" w:rsidRDefault="00B123E5" w:rsidP="31F26954">
            <w:pPr>
              <w:rPr>
                <w:rFonts w:eastAsia="Arial"/>
                <w:color w:val="142027"/>
                <w:sz w:val="20"/>
                <w:szCs w:val="20"/>
              </w:rPr>
            </w:pPr>
            <w:r w:rsidRPr="31F26954">
              <w:rPr>
                <w:rFonts w:eastAsia="Arial"/>
                <w:color w:val="142027"/>
                <w:sz w:val="20"/>
                <w:szCs w:val="20"/>
              </w:rPr>
              <w:t>Al-</w:t>
            </w:r>
            <w:proofErr w:type="spellStart"/>
            <w:r w:rsidRPr="31F26954">
              <w:rPr>
                <w:rFonts w:eastAsia="Arial"/>
                <w:color w:val="142027"/>
                <w:sz w:val="20"/>
                <w:szCs w:val="20"/>
              </w:rPr>
              <w:t>Sonboli</w:t>
            </w:r>
            <w:proofErr w:type="spellEnd"/>
            <w:r w:rsidRPr="31F26954">
              <w:rPr>
                <w:rFonts w:eastAsia="Arial"/>
                <w:color w:val="142027"/>
                <w:sz w:val="20"/>
                <w:szCs w:val="20"/>
              </w:rPr>
              <w:t xml:space="preserve"> N, Hart CA, Al-Aghbari N, Al-Ansi A, Ashoor O, Cuevas LE. Human metapneumovirus and respiratory syncytial virus disease in children, Yemen. </w:t>
            </w:r>
            <w:r w:rsidRPr="31F26954">
              <w:rPr>
                <w:rFonts w:eastAsia="Arial"/>
                <w:i/>
                <w:iCs/>
                <w:color w:val="142027"/>
                <w:sz w:val="20"/>
                <w:szCs w:val="20"/>
              </w:rPr>
              <w:t>Emerg Infect Dis</w:t>
            </w:r>
            <w:r w:rsidRPr="31F26954">
              <w:rPr>
                <w:rFonts w:eastAsia="Arial"/>
                <w:color w:val="142027"/>
                <w:sz w:val="20"/>
                <w:szCs w:val="20"/>
              </w:rPr>
              <w:t>. 2006; 12(9): 1437–9.</w:t>
            </w:r>
          </w:p>
        </w:tc>
      </w:tr>
      <w:tr w:rsidR="00B123E5" w14:paraId="6ED0ED4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6F64EF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15</w:t>
            </w:r>
          </w:p>
        </w:tc>
        <w:tc>
          <w:tcPr>
            <w:tcW w:w="1024" w:type="dxa"/>
            <w:tcBorders>
              <w:top w:val="single" w:sz="4" w:space="0" w:color="auto"/>
              <w:left w:val="single" w:sz="4" w:space="0" w:color="auto"/>
              <w:bottom w:val="single" w:sz="4" w:space="0" w:color="auto"/>
              <w:right w:val="single" w:sz="4" w:space="0" w:color="auto"/>
            </w:tcBorders>
            <w:hideMark/>
          </w:tcPr>
          <w:p w14:paraId="6240E66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333200</w:t>
            </w:r>
          </w:p>
        </w:tc>
        <w:tc>
          <w:tcPr>
            <w:tcW w:w="7046" w:type="dxa"/>
            <w:tcBorders>
              <w:top w:val="single" w:sz="4" w:space="0" w:color="auto"/>
              <w:left w:val="single" w:sz="4" w:space="0" w:color="auto"/>
              <w:bottom w:val="single" w:sz="4" w:space="0" w:color="auto"/>
              <w:right w:val="single" w:sz="4" w:space="0" w:color="auto"/>
            </w:tcBorders>
            <w:hideMark/>
          </w:tcPr>
          <w:p w14:paraId="6ED4A52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Shen M, Chapman RS, Vermeulen R, Tian L, Zheng T, Chen BE, Engels EA, He X, Blair A, Lan Q. Coal use, stove improvement, and adult pneumonia mortality in </w:t>
            </w:r>
            <w:proofErr w:type="spellStart"/>
            <w:r w:rsidRPr="31F26954">
              <w:rPr>
                <w:rFonts w:eastAsia="Aptos Narrow"/>
                <w:color w:val="000000" w:themeColor="text1"/>
                <w:sz w:val="20"/>
                <w:szCs w:val="20"/>
              </w:rPr>
              <w:t>Xuanwei</w:t>
            </w:r>
            <w:proofErr w:type="spellEnd"/>
            <w:r w:rsidRPr="31F26954">
              <w:rPr>
                <w:rFonts w:eastAsia="Aptos Narrow"/>
                <w:color w:val="000000" w:themeColor="text1"/>
                <w:sz w:val="20"/>
                <w:szCs w:val="20"/>
              </w:rPr>
              <w:t xml:space="preserve">, China: a retrospective cohort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2009; 117(2): 261-6.</w:t>
            </w:r>
          </w:p>
        </w:tc>
      </w:tr>
      <w:tr w:rsidR="00B123E5" w14:paraId="38FFF27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02AF56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16</w:t>
            </w:r>
          </w:p>
        </w:tc>
        <w:tc>
          <w:tcPr>
            <w:tcW w:w="1024" w:type="dxa"/>
            <w:tcBorders>
              <w:top w:val="single" w:sz="4" w:space="0" w:color="auto"/>
              <w:left w:val="single" w:sz="4" w:space="0" w:color="auto"/>
              <w:bottom w:val="single" w:sz="4" w:space="0" w:color="auto"/>
              <w:right w:val="single" w:sz="4" w:space="0" w:color="auto"/>
            </w:tcBorders>
            <w:hideMark/>
          </w:tcPr>
          <w:p w14:paraId="6B14ACE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335982</w:t>
            </w:r>
          </w:p>
        </w:tc>
        <w:tc>
          <w:tcPr>
            <w:tcW w:w="7046" w:type="dxa"/>
            <w:tcBorders>
              <w:top w:val="single" w:sz="4" w:space="0" w:color="auto"/>
              <w:left w:val="single" w:sz="4" w:space="0" w:color="auto"/>
              <w:bottom w:val="single" w:sz="4" w:space="0" w:color="auto"/>
              <w:right w:val="single" w:sz="4" w:space="0" w:color="auto"/>
            </w:tcBorders>
            <w:hideMark/>
          </w:tcPr>
          <w:p w14:paraId="133A273C" w14:textId="77777777" w:rsidR="00B123E5" w:rsidRDefault="00B123E5" w:rsidP="31F26954">
            <w:pPr>
              <w:rPr>
                <w:rFonts w:eastAsia="Arial"/>
                <w:color w:val="142027"/>
                <w:sz w:val="20"/>
                <w:szCs w:val="20"/>
              </w:rPr>
            </w:pPr>
            <w:proofErr w:type="spellStart"/>
            <w:r w:rsidRPr="31F26954">
              <w:rPr>
                <w:rFonts w:eastAsia="Arial"/>
                <w:color w:val="142027"/>
                <w:sz w:val="20"/>
                <w:szCs w:val="20"/>
              </w:rPr>
              <w:t>Sasco</w:t>
            </w:r>
            <w:proofErr w:type="spellEnd"/>
            <w:r w:rsidRPr="31F26954">
              <w:rPr>
                <w:rFonts w:eastAsia="Arial"/>
                <w:color w:val="142027"/>
                <w:sz w:val="20"/>
                <w:szCs w:val="20"/>
              </w:rPr>
              <w:t xml:space="preserve"> AJ, Merrill RM, Dari I, </w:t>
            </w:r>
            <w:proofErr w:type="spellStart"/>
            <w:r w:rsidRPr="31F26954">
              <w:rPr>
                <w:rFonts w:eastAsia="Arial"/>
                <w:color w:val="142027"/>
                <w:sz w:val="20"/>
                <w:szCs w:val="20"/>
              </w:rPr>
              <w:t>Benhaïm</w:t>
            </w:r>
            <w:proofErr w:type="spellEnd"/>
            <w:r w:rsidRPr="31F26954">
              <w:rPr>
                <w:rFonts w:eastAsia="Arial"/>
                <w:color w:val="142027"/>
                <w:sz w:val="20"/>
                <w:szCs w:val="20"/>
              </w:rPr>
              <w:t xml:space="preserve">-Luzon V, </w:t>
            </w:r>
            <w:proofErr w:type="spellStart"/>
            <w:r w:rsidRPr="31F26954">
              <w:rPr>
                <w:rFonts w:eastAsia="Arial"/>
                <w:color w:val="142027"/>
                <w:sz w:val="20"/>
                <w:szCs w:val="20"/>
              </w:rPr>
              <w:t>Carriot</w:t>
            </w:r>
            <w:proofErr w:type="spellEnd"/>
            <w:r w:rsidRPr="31F26954">
              <w:rPr>
                <w:rFonts w:eastAsia="Arial"/>
                <w:color w:val="142027"/>
                <w:sz w:val="20"/>
                <w:szCs w:val="20"/>
              </w:rPr>
              <w:t xml:space="preserve"> F, </w:t>
            </w:r>
            <w:proofErr w:type="spellStart"/>
            <w:r w:rsidRPr="31F26954">
              <w:rPr>
                <w:rFonts w:eastAsia="Arial"/>
                <w:color w:val="142027"/>
                <w:sz w:val="20"/>
                <w:szCs w:val="20"/>
              </w:rPr>
              <w:t>Cann</w:t>
            </w:r>
            <w:proofErr w:type="spellEnd"/>
            <w:r w:rsidRPr="31F26954">
              <w:rPr>
                <w:rFonts w:eastAsia="Arial"/>
                <w:color w:val="142027"/>
                <w:sz w:val="20"/>
                <w:szCs w:val="20"/>
              </w:rPr>
              <w:t xml:space="preserve"> CI, Bartal M. A case-control study of lung cancer in Casablanca, Morocco. </w:t>
            </w:r>
            <w:r w:rsidRPr="31F26954">
              <w:rPr>
                <w:rFonts w:eastAsia="Arial"/>
                <w:i/>
                <w:iCs/>
                <w:color w:val="142027"/>
                <w:sz w:val="20"/>
                <w:szCs w:val="20"/>
              </w:rPr>
              <w:t>Cancer Causes Control</w:t>
            </w:r>
            <w:r w:rsidRPr="31F26954">
              <w:rPr>
                <w:rFonts w:eastAsia="Arial"/>
                <w:color w:val="142027"/>
                <w:sz w:val="20"/>
                <w:szCs w:val="20"/>
              </w:rPr>
              <w:t>. 2002; 13(7): 609–16</w:t>
            </w:r>
          </w:p>
        </w:tc>
      </w:tr>
      <w:tr w:rsidR="00B123E5" w14:paraId="0090531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E0514D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w:t>
            </w:r>
          </w:p>
        </w:tc>
        <w:tc>
          <w:tcPr>
            <w:tcW w:w="1024" w:type="dxa"/>
            <w:tcBorders>
              <w:top w:val="single" w:sz="4" w:space="0" w:color="auto"/>
              <w:left w:val="single" w:sz="4" w:space="0" w:color="auto"/>
              <w:bottom w:val="single" w:sz="4" w:space="0" w:color="auto"/>
              <w:right w:val="single" w:sz="4" w:space="0" w:color="auto"/>
            </w:tcBorders>
            <w:hideMark/>
          </w:tcPr>
          <w:p w14:paraId="33FC9D7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335984</w:t>
            </w:r>
          </w:p>
        </w:tc>
        <w:tc>
          <w:tcPr>
            <w:tcW w:w="7046" w:type="dxa"/>
            <w:tcBorders>
              <w:top w:val="single" w:sz="4" w:space="0" w:color="auto"/>
              <w:left w:val="single" w:sz="4" w:space="0" w:color="auto"/>
              <w:bottom w:val="single" w:sz="4" w:space="0" w:color="auto"/>
              <w:right w:val="single" w:sz="4" w:space="0" w:color="auto"/>
            </w:tcBorders>
            <w:hideMark/>
          </w:tcPr>
          <w:p w14:paraId="7D31F4FC" w14:textId="77777777" w:rsidR="00B123E5" w:rsidRDefault="00B123E5" w:rsidP="31F26954">
            <w:pPr>
              <w:rPr>
                <w:rFonts w:eastAsia="Arial"/>
                <w:color w:val="142027"/>
                <w:sz w:val="20"/>
                <w:szCs w:val="20"/>
              </w:rPr>
            </w:pPr>
            <w:r w:rsidRPr="31F26954">
              <w:rPr>
                <w:rFonts w:eastAsia="Arial"/>
                <w:color w:val="142027"/>
                <w:sz w:val="20"/>
                <w:szCs w:val="20"/>
              </w:rPr>
              <w:t xml:space="preserve">Sapkota A, Gajalakshmi V, </w:t>
            </w:r>
            <w:proofErr w:type="spellStart"/>
            <w:r w:rsidRPr="31F26954">
              <w:rPr>
                <w:rFonts w:eastAsia="Arial"/>
                <w:color w:val="142027"/>
                <w:sz w:val="20"/>
                <w:szCs w:val="20"/>
              </w:rPr>
              <w:t>Jetly</w:t>
            </w:r>
            <w:proofErr w:type="spellEnd"/>
            <w:r w:rsidRPr="31F26954">
              <w:rPr>
                <w:rFonts w:eastAsia="Arial"/>
                <w:color w:val="142027"/>
                <w:sz w:val="20"/>
                <w:szCs w:val="20"/>
              </w:rPr>
              <w:t xml:space="preserve"> DH, Roychowdhury S, Dikshit RP, Brennan P, </w:t>
            </w:r>
            <w:proofErr w:type="spellStart"/>
            <w:r w:rsidRPr="31F26954">
              <w:rPr>
                <w:rFonts w:eastAsia="Arial"/>
                <w:color w:val="142027"/>
                <w:sz w:val="20"/>
                <w:szCs w:val="20"/>
              </w:rPr>
              <w:t>Hashibe</w:t>
            </w:r>
            <w:proofErr w:type="spellEnd"/>
            <w:r w:rsidRPr="31F26954">
              <w:rPr>
                <w:rFonts w:eastAsia="Arial"/>
                <w:color w:val="142027"/>
                <w:sz w:val="20"/>
                <w:szCs w:val="20"/>
              </w:rPr>
              <w:t xml:space="preserve"> M, </w:t>
            </w:r>
            <w:proofErr w:type="spellStart"/>
            <w:r w:rsidRPr="31F26954">
              <w:rPr>
                <w:rFonts w:eastAsia="Arial"/>
                <w:color w:val="142027"/>
                <w:sz w:val="20"/>
                <w:szCs w:val="20"/>
              </w:rPr>
              <w:t>Boffetta</w:t>
            </w:r>
            <w:proofErr w:type="spellEnd"/>
            <w:r w:rsidRPr="31F26954">
              <w:rPr>
                <w:rFonts w:eastAsia="Arial"/>
                <w:color w:val="142027"/>
                <w:sz w:val="20"/>
                <w:szCs w:val="20"/>
              </w:rPr>
              <w:t xml:space="preserve"> P. Indoor air pollution from solid fuels and risk of hypopharyngeal/laryngeal and lung cancers: a multicentric case-control study from India. </w:t>
            </w:r>
            <w:r w:rsidRPr="31F26954">
              <w:rPr>
                <w:rFonts w:eastAsia="Arial"/>
                <w:i/>
                <w:iCs/>
                <w:color w:val="142027"/>
                <w:sz w:val="20"/>
                <w:szCs w:val="20"/>
              </w:rPr>
              <w:t>Int J Epidemiol</w:t>
            </w:r>
            <w:r w:rsidRPr="31F26954">
              <w:rPr>
                <w:rFonts w:eastAsia="Arial"/>
                <w:color w:val="142027"/>
                <w:sz w:val="20"/>
                <w:szCs w:val="20"/>
              </w:rPr>
              <w:t>. 2008; 37(2): 321–8.</w:t>
            </w:r>
          </w:p>
        </w:tc>
      </w:tr>
      <w:tr w:rsidR="00B123E5" w14:paraId="67932D0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BCFA63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18</w:t>
            </w:r>
          </w:p>
        </w:tc>
        <w:tc>
          <w:tcPr>
            <w:tcW w:w="1024" w:type="dxa"/>
            <w:tcBorders>
              <w:top w:val="single" w:sz="4" w:space="0" w:color="auto"/>
              <w:left w:val="single" w:sz="4" w:space="0" w:color="auto"/>
              <w:bottom w:val="single" w:sz="4" w:space="0" w:color="auto"/>
              <w:right w:val="single" w:sz="4" w:space="0" w:color="auto"/>
            </w:tcBorders>
            <w:hideMark/>
          </w:tcPr>
          <w:p w14:paraId="282778A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335986</w:t>
            </w:r>
          </w:p>
        </w:tc>
        <w:tc>
          <w:tcPr>
            <w:tcW w:w="7046" w:type="dxa"/>
            <w:tcBorders>
              <w:top w:val="single" w:sz="4" w:space="0" w:color="auto"/>
              <w:left w:val="single" w:sz="4" w:space="0" w:color="auto"/>
              <w:bottom w:val="single" w:sz="4" w:space="0" w:color="auto"/>
              <w:right w:val="single" w:sz="4" w:space="0" w:color="auto"/>
            </w:tcBorders>
            <w:hideMark/>
          </w:tcPr>
          <w:p w14:paraId="0D4D3FBF" w14:textId="77777777" w:rsidR="00B123E5" w:rsidRDefault="00B123E5" w:rsidP="31F26954">
            <w:pPr>
              <w:rPr>
                <w:rFonts w:eastAsia="Arial"/>
                <w:color w:val="142027"/>
                <w:sz w:val="20"/>
                <w:szCs w:val="20"/>
              </w:rPr>
            </w:pPr>
            <w:r w:rsidRPr="31F26954">
              <w:rPr>
                <w:rFonts w:eastAsia="Arial"/>
                <w:color w:val="142027"/>
                <w:sz w:val="20"/>
                <w:szCs w:val="20"/>
              </w:rPr>
              <w:t xml:space="preserve">Johnson AW, </w:t>
            </w:r>
            <w:proofErr w:type="spellStart"/>
            <w:r w:rsidRPr="31F26954">
              <w:rPr>
                <w:rFonts w:eastAsia="Arial"/>
                <w:color w:val="142027"/>
                <w:sz w:val="20"/>
                <w:szCs w:val="20"/>
              </w:rPr>
              <w:t>Aderele</w:t>
            </w:r>
            <w:proofErr w:type="spellEnd"/>
            <w:r w:rsidRPr="31F26954">
              <w:rPr>
                <w:rFonts w:eastAsia="Arial"/>
                <w:color w:val="142027"/>
                <w:sz w:val="20"/>
                <w:szCs w:val="20"/>
              </w:rPr>
              <w:t xml:space="preserve"> WI. The association of household pollutants and socio-economic risk factors with the short-term outcome of acute lower respiratory infections in hospitalized pre-school Nigerian children. </w:t>
            </w:r>
            <w:r w:rsidRPr="31F26954">
              <w:rPr>
                <w:rFonts w:eastAsia="Arial"/>
                <w:i/>
                <w:iCs/>
                <w:color w:val="142027"/>
                <w:sz w:val="20"/>
                <w:szCs w:val="20"/>
              </w:rPr>
              <w:t>Ann Trop Paediatr</w:t>
            </w:r>
            <w:r w:rsidRPr="31F26954">
              <w:rPr>
                <w:rFonts w:eastAsia="Arial"/>
                <w:color w:val="142027"/>
                <w:sz w:val="20"/>
                <w:szCs w:val="20"/>
              </w:rPr>
              <w:t>. 1992; 12(4): 421–32.</w:t>
            </w:r>
          </w:p>
        </w:tc>
      </w:tr>
      <w:tr w:rsidR="00B123E5" w14:paraId="3E2BED9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433003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19</w:t>
            </w:r>
          </w:p>
        </w:tc>
        <w:tc>
          <w:tcPr>
            <w:tcW w:w="1024" w:type="dxa"/>
            <w:tcBorders>
              <w:top w:val="single" w:sz="4" w:space="0" w:color="auto"/>
              <w:left w:val="single" w:sz="4" w:space="0" w:color="auto"/>
              <w:bottom w:val="single" w:sz="4" w:space="0" w:color="auto"/>
              <w:right w:val="single" w:sz="4" w:space="0" w:color="auto"/>
            </w:tcBorders>
            <w:hideMark/>
          </w:tcPr>
          <w:p w14:paraId="039C314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335988</w:t>
            </w:r>
          </w:p>
        </w:tc>
        <w:tc>
          <w:tcPr>
            <w:tcW w:w="7046" w:type="dxa"/>
            <w:tcBorders>
              <w:top w:val="single" w:sz="4" w:space="0" w:color="auto"/>
              <w:left w:val="single" w:sz="4" w:space="0" w:color="auto"/>
              <w:bottom w:val="single" w:sz="4" w:space="0" w:color="auto"/>
              <w:right w:val="single" w:sz="4" w:space="0" w:color="auto"/>
            </w:tcBorders>
            <w:hideMark/>
          </w:tcPr>
          <w:p w14:paraId="1A1BF8FE" w14:textId="77777777" w:rsidR="00B123E5" w:rsidRDefault="00B123E5" w:rsidP="31F26954">
            <w:pPr>
              <w:rPr>
                <w:rFonts w:eastAsia="Arial"/>
                <w:color w:val="142027"/>
                <w:sz w:val="20"/>
                <w:szCs w:val="20"/>
              </w:rPr>
            </w:pPr>
            <w:r w:rsidRPr="31F26954">
              <w:rPr>
                <w:rFonts w:eastAsia="Arial"/>
                <w:color w:val="142027"/>
                <w:sz w:val="20"/>
                <w:szCs w:val="20"/>
              </w:rPr>
              <w:t xml:space="preserve">Shah N, </w:t>
            </w:r>
            <w:proofErr w:type="spellStart"/>
            <w:r w:rsidRPr="31F26954">
              <w:rPr>
                <w:rFonts w:eastAsia="Arial"/>
                <w:color w:val="142027"/>
                <w:sz w:val="20"/>
                <w:szCs w:val="20"/>
              </w:rPr>
              <w:t>Ramankutty</w:t>
            </w:r>
            <w:proofErr w:type="spellEnd"/>
            <w:r w:rsidRPr="31F26954">
              <w:rPr>
                <w:rFonts w:eastAsia="Arial"/>
                <w:color w:val="142027"/>
                <w:sz w:val="20"/>
                <w:szCs w:val="20"/>
              </w:rPr>
              <w:t xml:space="preserve"> V, Premila PG, Sathy N. Risk factors for severe pneumonia in children in south Kerala: a hospital-based case-control study. </w:t>
            </w:r>
            <w:r w:rsidRPr="31F26954">
              <w:rPr>
                <w:rFonts w:eastAsia="Arial"/>
                <w:i/>
                <w:iCs/>
                <w:color w:val="142027"/>
                <w:sz w:val="20"/>
                <w:szCs w:val="20"/>
              </w:rPr>
              <w:t>J Trop Pediatr</w:t>
            </w:r>
            <w:r w:rsidRPr="31F26954">
              <w:rPr>
                <w:rFonts w:eastAsia="Arial"/>
                <w:color w:val="142027"/>
                <w:sz w:val="20"/>
                <w:szCs w:val="20"/>
              </w:rPr>
              <w:t>. 1994; 40(4): 201–6</w:t>
            </w:r>
          </w:p>
        </w:tc>
      </w:tr>
      <w:tr w:rsidR="00B123E5" w14:paraId="0915304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64647A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20</w:t>
            </w:r>
          </w:p>
        </w:tc>
        <w:tc>
          <w:tcPr>
            <w:tcW w:w="1024" w:type="dxa"/>
            <w:tcBorders>
              <w:top w:val="single" w:sz="4" w:space="0" w:color="auto"/>
              <w:left w:val="single" w:sz="4" w:space="0" w:color="auto"/>
              <w:bottom w:val="single" w:sz="4" w:space="0" w:color="auto"/>
              <w:right w:val="single" w:sz="4" w:space="0" w:color="auto"/>
            </w:tcBorders>
            <w:hideMark/>
          </w:tcPr>
          <w:p w14:paraId="4137489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336027</w:t>
            </w:r>
          </w:p>
        </w:tc>
        <w:tc>
          <w:tcPr>
            <w:tcW w:w="7046" w:type="dxa"/>
            <w:tcBorders>
              <w:top w:val="single" w:sz="4" w:space="0" w:color="auto"/>
              <w:left w:val="single" w:sz="4" w:space="0" w:color="auto"/>
              <w:bottom w:val="single" w:sz="4" w:space="0" w:color="auto"/>
              <w:right w:val="single" w:sz="4" w:space="0" w:color="auto"/>
            </w:tcBorders>
            <w:hideMark/>
          </w:tcPr>
          <w:p w14:paraId="00E9169D" w14:textId="77777777" w:rsidR="00B123E5" w:rsidRDefault="00B123E5" w:rsidP="31F26954">
            <w:pPr>
              <w:rPr>
                <w:rFonts w:eastAsia="Arial"/>
                <w:color w:val="142027"/>
                <w:sz w:val="20"/>
                <w:szCs w:val="20"/>
              </w:rPr>
            </w:pPr>
            <w:proofErr w:type="spellStart"/>
            <w:r w:rsidRPr="31F26954">
              <w:rPr>
                <w:rFonts w:eastAsia="Arial"/>
                <w:color w:val="142027"/>
                <w:sz w:val="20"/>
                <w:szCs w:val="20"/>
              </w:rPr>
              <w:t>Lissowska</w:t>
            </w:r>
            <w:proofErr w:type="spellEnd"/>
            <w:r w:rsidRPr="31F26954">
              <w:rPr>
                <w:rFonts w:eastAsia="Arial"/>
                <w:color w:val="142027"/>
                <w:sz w:val="20"/>
                <w:szCs w:val="20"/>
              </w:rPr>
              <w:t xml:space="preserve"> J, Bardin-Mikolajczak A, Fletcher T, Zaridze D, </w:t>
            </w:r>
            <w:proofErr w:type="spellStart"/>
            <w:r w:rsidRPr="31F26954">
              <w:rPr>
                <w:rFonts w:eastAsia="Arial"/>
                <w:color w:val="142027"/>
                <w:sz w:val="20"/>
                <w:szCs w:val="20"/>
              </w:rPr>
              <w:t>Szeszenia</w:t>
            </w:r>
            <w:proofErr w:type="spellEnd"/>
            <w:r w:rsidRPr="31F26954">
              <w:rPr>
                <w:rFonts w:eastAsia="Arial"/>
                <w:color w:val="142027"/>
                <w:sz w:val="20"/>
                <w:szCs w:val="20"/>
              </w:rPr>
              <w:t xml:space="preserve">-Dabrowska N, </w:t>
            </w:r>
            <w:proofErr w:type="spellStart"/>
            <w:r w:rsidRPr="31F26954">
              <w:rPr>
                <w:rFonts w:eastAsia="Arial"/>
                <w:color w:val="142027"/>
                <w:sz w:val="20"/>
                <w:szCs w:val="20"/>
              </w:rPr>
              <w:t>Rudnai</w:t>
            </w:r>
            <w:proofErr w:type="spellEnd"/>
            <w:r w:rsidRPr="31F26954">
              <w:rPr>
                <w:rFonts w:eastAsia="Arial"/>
                <w:color w:val="142027"/>
                <w:sz w:val="20"/>
                <w:szCs w:val="20"/>
              </w:rPr>
              <w:t xml:space="preserve"> P, </w:t>
            </w:r>
            <w:proofErr w:type="spellStart"/>
            <w:r w:rsidRPr="31F26954">
              <w:rPr>
                <w:rFonts w:eastAsia="Arial"/>
                <w:color w:val="142027"/>
                <w:sz w:val="20"/>
                <w:szCs w:val="20"/>
              </w:rPr>
              <w:t>Fabianova</w:t>
            </w:r>
            <w:proofErr w:type="spellEnd"/>
            <w:r w:rsidRPr="31F26954">
              <w:rPr>
                <w:rFonts w:eastAsia="Arial"/>
                <w:color w:val="142027"/>
                <w:sz w:val="20"/>
                <w:szCs w:val="20"/>
              </w:rPr>
              <w:t xml:space="preserve"> E, Cassidy A, Mates D, </w:t>
            </w:r>
            <w:proofErr w:type="spellStart"/>
            <w:r w:rsidRPr="31F26954">
              <w:rPr>
                <w:rFonts w:eastAsia="Arial"/>
                <w:color w:val="142027"/>
                <w:sz w:val="20"/>
                <w:szCs w:val="20"/>
              </w:rPr>
              <w:t>Holcatova</w:t>
            </w:r>
            <w:proofErr w:type="spellEnd"/>
            <w:r w:rsidRPr="31F26954">
              <w:rPr>
                <w:rFonts w:eastAsia="Arial"/>
                <w:color w:val="142027"/>
                <w:sz w:val="20"/>
                <w:szCs w:val="20"/>
              </w:rPr>
              <w:t xml:space="preserve"> I, </w:t>
            </w:r>
            <w:proofErr w:type="spellStart"/>
            <w:r w:rsidRPr="31F26954">
              <w:rPr>
                <w:rFonts w:eastAsia="Arial"/>
                <w:color w:val="142027"/>
                <w:sz w:val="20"/>
                <w:szCs w:val="20"/>
              </w:rPr>
              <w:t>Vitova</w:t>
            </w:r>
            <w:proofErr w:type="spellEnd"/>
            <w:r w:rsidRPr="31F26954">
              <w:rPr>
                <w:rFonts w:eastAsia="Arial"/>
                <w:color w:val="142027"/>
                <w:sz w:val="20"/>
                <w:szCs w:val="20"/>
              </w:rPr>
              <w:t xml:space="preserve"> V, </w:t>
            </w:r>
            <w:proofErr w:type="spellStart"/>
            <w:r w:rsidRPr="31F26954">
              <w:rPr>
                <w:rFonts w:eastAsia="Arial"/>
                <w:color w:val="142027"/>
                <w:sz w:val="20"/>
                <w:szCs w:val="20"/>
              </w:rPr>
              <w:t>Janout</w:t>
            </w:r>
            <w:proofErr w:type="spellEnd"/>
            <w:r w:rsidRPr="31F26954">
              <w:rPr>
                <w:rFonts w:eastAsia="Arial"/>
                <w:color w:val="142027"/>
                <w:sz w:val="20"/>
                <w:szCs w:val="20"/>
              </w:rPr>
              <w:t xml:space="preserve"> V, </w:t>
            </w:r>
            <w:proofErr w:type="spellStart"/>
            <w:r w:rsidRPr="31F26954">
              <w:rPr>
                <w:rFonts w:eastAsia="Arial"/>
                <w:color w:val="142027"/>
                <w:sz w:val="20"/>
                <w:szCs w:val="20"/>
              </w:rPr>
              <w:t>Mannetje</w:t>
            </w:r>
            <w:proofErr w:type="spellEnd"/>
            <w:r w:rsidRPr="31F26954">
              <w:rPr>
                <w:rFonts w:eastAsia="Arial"/>
                <w:color w:val="142027"/>
                <w:sz w:val="20"/>
                <w:szCs w:val="20"/>
              </w:rPr>
              <w:t xml:space="preserve"> A, Brennan P, </w:t>
            </w:r>
            <w:proofErr w:type="spellStart"/>
            <w:r w:rsidRPr="31F26954">
              <w:rPr>
                <w:rFonts w:eastAsia="Arial"/>
                <w:color w:val="142027"/>
                <w:sz w:val="20"/>
                <w:szCs w:val="20"/>
              </w:rPr>
              <w:t>Boffetta</w:t>
            </w:r>
            <w:proofErr w:type="spellEnd"/>
            <w:r w:rsidRPr="31F26954">
              <w:rPr>
                <w:rFonts w:eastAsia="Arial"/>
                <w:color w:val="142027"/>
                <w:sz w:val="20"/>
                <w:szCs w:val="20"/>
              </w:rPr>
              <w:t xml:space="preserve"> P. Lung cancer and indoor pollution from heating and cooking with solid fuels: the IARC international </w:t>
            </w:r>
            <w:proofErr w:type="spellStart"/>
            <w:r w:rsidRPr="31F26954">
              <w:rPr>
                <w:rFonts w:eastAsia="Arial"/>
                <w:color w:val="142027"/>
                <w:sz w:val="20"/>
                <w:szCs w:val="20"/>
              </w:rPr>
              <w:t>multicentre</w:t>
            </w:r>
            <w:proofErr w:type="spellEnd"/>
            <w:r w:rsidRPr="31F26954">
              <w:rPr>
                <w:rFonts w:eastAsia="Arial"/>
                <w:color w:val="142027"/>
                <w:sz w:val="20"/>
                <w:szCs w:val="20"/>
              </w:rPr>
              <w:t xml:space="preserve"> case-control study in Eastern/Central Europe and the United Kingdom. </w:t>
            </w:r>
            <w:r w:rsidRPr="31F26954">
              <w:rPr>
                <w:rFonts w:eastAsia="Arial"/>
                <w:i/>
                <w:iCs/>
                <w:color w:val="142027"/>
                <w:sz w:val="20"/>
                <w:szCs w:val="20"/>
              </w:rPr>
              <w:t>Am J Epidemiol</w:t>
            </w:r>
            <w:r w:rsidRPr="31F26954">
              <w:rPr>
                <w:rFonts w:eastAsia="Arial"/>
                <w:color w:val="142027"/>
                <w:sz w:val="20"/>
                <w:szCs w:val="20"/>
              </w:rPr>
              <w:t>. 2005; 162(4): 326–33.</w:t>
            </w:r>
          </w:p>
        </w:tc>
      </w:tr>
      <w:tr w:rsidR="00B123E5" w14:paraId="74601A4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CE9997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21</w:t>
            </w:r>
          </w:p>
        </w:tc>
        <w:tc>
          <w:tcPr>
            <w:tcW w:w="1024" w:type="dxa"/>
            <w:tcBorders>
              <w:top w:val="single" w:sz="4" w:space="0" w:color="auto"/>
              <w:left w:val="single" w:sz="4" w:space="0" w:color="auto"/>
              <w:bottom w:val="single" w:sz="4" w:space="0" w:color="auto"/>
              <w:right w:val="single" w:sz="4" w:space="0" w:color="auto"/>
            </w:tcBorders>
            <w:hideMark/>
          </w:tcPr>
          <w:p w14:paraId="78B22E4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335990</w:t>
            </w:r>
          </w:p>
        </w:tc>
        <w:tc>
          <w:tcPr>
            <w:tcW w:w="7046" w:type="dxa"/>
            <w:tcBorders>
              <w:top w:val="single" w:sz="4" w:space="0" w:color="auto"/>
              <w:left w:val="single" w:sz="4" w:space="0" w:color="auto"/>
              <w:bottom w:val="single" w:sz="4" w:space="0" w:color="auto"/>
              <w:right w:val="single" w:sz="4" w:space="0" w:color="auto"/>
            </w:tcBorders>
            <w:hideMark/>
          </w:tcPr>
          <w:p w14:paraId="66A57400" w14:textId="77777777" w:rsidR="00B123E5" w:rsidRDefault="00B123E5" w:rsidP="31F26954">
            <w:pPr>
              <w:rPr>
                <w:rFonts w:eastAsia="Arial"/>
                <w:color w:val="142027"/>
                <w:sz w:val="20"/>
                <w:szCs w:val="20"/>
              </w:rPr>
            </w:pPr>
            <w:r w:rsidRPr="31F26954">
              <w:rPr>
                <w:rFonts w:eastAsia="Arial"/>
                <w:color w:val="142027"/>
                <w:sz w:val="20"/>
                <w:szCs w:val="20"/>
              </w:rPr>
              <w:t xml:space="preserve">Gupta D, </w:t>
            </w:r>
            <w:proofErr w:type="spellStart"/>
            <w:r w:rsidRPr="31F26954">
              <w:rPr>
                <w:rFonts w:eastAsia="Arial"/>
                <w:color w:val="142027"/>
                <w:sz w:val="20"/>
                <w:szCs w:val="20"/>
              </w:rPr>
              <w:t>Boffetta</w:t>
            </w:r>
            <w:proofErr w:type="spellEnd"/>
            <w:r w:rsidRPr="31F26954">
              <w:rPr>
                <w:rFonts w:eastAsia="Arial"/>
                <w:color w:val="142027"/>
                <w:sz w:val="20"/>
                <w:szCs w:val="20"/>
              </w:rPr>
              <w:t xml:space="preserve"> P, </w:t>
            </w:r>
            <w:proofErr w:type="spellStart"/>
            <w:r w:rsidRPr="31F26954">
              <w:rPr>
                <w:rFonts w:eastAsia="Arial"/>
                <w:color w:val="142027"/>
                <w:sz w:val="20"/>
                <w:szCs w:val="20"/>
              </w:rPr>
              <w:t>Gaborieau</w:t>
            </w:r>
            <w:proofErr w:type="spellEnd"/>
            <w:r w:rsidRPr="31F26954">
              <w:rPr>
                <w:rFonts w:eastAsia="Arial"/>
                <w:color w:val="142027"/>
                <w:sz w:val="20"/>
                <w:szCs w:val="20"/>
              </w:rPr>
              <w:t xml:space="preserve"> V, Jindal SK. Risk factors of lung cancer in Chandigarh, India. </w:t>
            </w:r>
            <w:r w:rsidRPr="31F26954">
              <w:rPr>
                <w:rFonts w:eastAsia="Arial"/>
                <w:i/>
                <w:iCs/>
                <w:color w:val="142027"/>
                <w:sz w:val="20"/>
                <w:szCs w:val="20"/>
              </w:rPr>
              <w:t>Indian J Med Res</w:t>
            </w:r>
            <w:r w:rsidRPr="31F26954">
              <w:rPr>
                <w:rFonts w:eastAsia="Arial"/>
                <w:color w:val="142027"/>
                <w:sz w:val="20"/>
                <w:szCs w:val="20"/>
              </w:rPr>
              <w:t>. 2001; 113: 142–50</w:t>
            </w:r>
          </w:p>
        </w:tc>
      </w:tr>
      <w:tr w:rsidR="00B123E5" w14:paraId="4380903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5DE41A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22</w:t>
            </w:r>
          </w:p>
        </w:tc>
        <w:tc>
          <w:tcPr>
            <w:tcW w:w="1024" w:type="dxa"/>
            <w:tcBorders>
              <w:top w:val="single" w:sz="4" w:space="0" w:color="auto"/>
              <w:left w:val="single" w:sz="4" w:space="0" w:color="auto"/>
              <w:bottom w:val="single" w:sz="4" w:space="0" w:color="auto"/>
              <w:right w:val="single" w:sz="4" w:space="0" w:color="auto"/>
            </w:tcBorders>
            <w:hideMark/>
          </w:tcPr>
          <w:p w14:paraId="5A88C44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193976</w:t>
            </w:r>
          </w:p>
        </w:tc>
        <w:tc>
          <w:tcPr>
            <w:tcW w:w="7046" w:type="dxa"/>
            <w:tcBorders>
              <w:top w:val="single" w:sz="4" w:space="0" w:color="auto"/>
              <w:left w:val="single" w:sz="4" w:space="0" w:color="auto"/>
              <w:bottom w:val="single" w:sz="4" w:space="0" w:color="auto"/>
              <w:right w:val="single" w:sz="4" w:space="0" w:color="auto"/>
            </w:tcBorders>
            <w:hideMark/>
          </w:tcPr>
          <w:p w14:paraId="4BDEF59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Wu AH, Henderson BE, Pike MC, Yu MC. Smoking and other risk factors for lung cancer in women. J Natl Cancer Inst. 1985; 74(4): 747-51.</w:t>
            </w:r>
          </w:p>
        </w:tc>
      </w:tr>
      <w:tr w:rsidR="00B123E5" w14:paraId="05646C4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629C9E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w:t>
            </w:r>
          </w:p>
        </w:tc>
        <w:tc>
          <w:tcPr>
            <w:tcW w:w="1024" w:type="dxa"/>
            <w:tcBorders>
              <w:top w:val="single" w:sz="4" w:space="0" w:color="auto"/>
              <w:left w:val="single" w:sz="4" w:space="0" w:color="auto"/>
              <w:bottom w:val="single" w:sz="4" w:space="0" w:color="auto"/>
              <w:right w:val="single" w:sz="4" w:space="0" w:color="auto"/>
            </w:tcBorders>
            <w:hideMark/>
          </w:tcPr>
          <w:p w14:paraId="7C336BA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335992</w:t>
            </w:r>
          </w:p>
        </w:tc>
        <w:tc>
          <w:tcPr>
            <w:tcW w:w="7046" w:type="dxa"/>
            <w:tcBorders>
              <w:top w:val="single" w:sz="4" w:space="0" w:color="auto"/>
              <w:left w:val="single" w:sz="4" w:space="0" w:color="auto"/>
              <w:bottom w:val="single" w:sz="4" w:space="0" w:color="auto"/>
              <w:right w:val="single" w:sz="4" w:space="0" w:color="auto"/>
            </w:tcBorders>
            <w:hideMark/>
          </w:tcPr>
          <w:p w14:paraId="5BB68DA2" w14:textId="77777777" w:rsidR="00B123E5" w:rsidRDefault="00B123E5" w:rsidP="31F26954">
            <w:pPr>
              <w:rPr>
                <w:rFonts w:eastAsia="Arial"/>
                <w:color w:val="142027"/>
                <w:sz w:val="20"/>
                <w:szCs w:val="20"/>
              </w:rPr>
            </w:pPr>
            <w:r w:rsidRPr="31F26954">
              <w:rPr>
                <w:rFonts w:eastAsia="Arial"/>
                <w:color w:val="142027"/>
                <w:sz w:val="20"/>
                <w:szCs w:val="20"/>
              </w:rPr>
              <w:t xml:space="preserve">Luo RX, Wu B, Yi YN, Huang ZW, Lin RT. Indoor burning coal air pollution and lung cancer--a case-control study in Fuzhou, China. </w:t>
            </w:r>
            <w:r w:rsidRPr="31F26954">
              <w:rPr>
                <w:rFonts w:eastAsia="Arial"/>
                <w:i/>
                <w:iCs/>
                <w:color w:val="142027"/>
                <w:sz w:val="20"/>
                <w:szCs w:val="20"/>
              </w:rPr>
              <w:t>Lung Cancer</w:t>
            </w:r>
            <w:r w:rsidRPr="31F26954">
              <w:rPr>
                <w:rFonts w:eastAsia="Arial"/>
                <w:color w:val="142027"/>
                <w:sz w:val="20"/>
                <w:szCs w:val="20"/>
              </w:rPr>
              <w:t>. 1996; 14 Suppl 1: S113-119.</w:t>
            </w:r>
          </w:p>
        </w:tc>
      </w:tr>
      <w:tr w:rsidR="00B123E5" w14:paraId="79CB429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89A8CE6"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24</w:t>
            </w:r>
          </w:p>
        </w:tc>
        <w:tc>
          <w:tcPr>
            <w:tcW w:w="1024" w:type="dxa"/>
            <w:tcBorders>
              <w:top w:val="single" w:sz="4" w:space="0" w:color="auto"/>
              <w:left w:val="single" w:sz="4" w:space="0" w:color="auto"/>
              <w:bottom w:val="single" w:sz="4" w:space="0" w:color="auto"/>
              <w:right w:val="single" w:sz="4" w:space="0" w:color="auto"/>
            </w:tcBorders>
            <w:hideMark/>
          </w:tcPr>
          <w:p w14:paraId="5C1C3AB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193940</w:t>
            </w:r>
          </w:p>
        </w:tc>
        <w:tc>
          <w:tcPr>
            <w:tcW w:w="7046" w:type="dxa"/>
            <w:tcBorders>
              <w:top w:val="single" w:sz="4" w:space="0" w:color="auto"/>
              <w:left w:val="single" w:sz="4" w:space="0" w:color="auto"/>
              <w:bottom w:val="single" w:sz="4" w:space="0" w:color="auto"/>
              <w:right w:val="single" w:sz="4" w:space="0" w:color="auto"/>
            </w:tcBorders>
            <w:hideMark/>
          </w:tcPr>
          <w:p w14:paraId="4205F66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Ko YC, Lee CH, Chen MJ, Huang CC, Chang WY, Lin HJ, Wang HZ, Chang PY. Risk factors for primary lung cancer among non-smoking women in Taiwan. Int J Epidemiol. 1997; 26(1): 24-31.</w:t>
            </w:r>
          </w:p>
        </w:tc>
      </w:tr>
      <w:tr w:rsidR="00B123E5" w14:paraId="6C08CF6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5C6348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w:t>
            </w:r>
          </w:p>
        </w:tc>
        <w:tc>
          <w:tcPr>
            <w:tcW w:w="1024" w:type="dxa"/>
            <w:tcBorders>
              <w:top w:val="single" w:sz="4" w:space="0" w:color="auto"/>
              <w:left w:val="single" w:sz="4" w:space="0" w:color="auto"/>
              <w:bottom w:val="single" w:sz="4" w:space="0" w:color="auto"/>
              <w:right w:val="single" w:sz="4" w:space="0" w:color="auto"/>
            </w:tcBorders>
            <w:hideMark/>
          </w:tcPr>
          <w:p w14:paraId="1FDB111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335997</w:t>
            </w:r>
          </w:p>
        </w:tc>
        <w:tc>
          <w:tcPr>
            <w:tcW w:w="7046" w:type="dxa"/>
            <w:tcBorders>
              <w:top w:val="single" w:sz="4" w:space="0" w:color="auto"/>
              <w:left w:val="single" w:sz="4" w:space="0" w:color="auto"/>
              <w:bottom w:val="single" w:sz="4" w:space="0" w:color="auto"/>
              <w:right w:val="single" w:sz="4" w:space="0" w:color="auto"/>
            </w:tcBorders>
            <w:hideMark/>
          </w:tcPr>
          <w:p w14:paraId="322C6419" w14:textId="77777777" w:rsidR="00B123E5" w:rsidRDefault="00B123E5" w:rsidP="31F26954">
            <w:pPr>
              <w:rPr>
                <w:rFonts w:eastAsia="Arial"/>
                <w:color w:val="142027"/>
                <w:sz w:val="20"/>
                <w:szCs w:val="20"/>
              </w:rPr>
            </w:pPr>
            <w:r w:rsidRPr="31F26954">
              <w:rPr>
                <w:rFonts w:eastAsia="Arial"/>
                <w:color w:val="142027"/>
                <w:sz w:val="20"/>
                <w:szCs w:val="20"/>
              </w:rPr>
              <w:t xml:space="preserve">Le CH, Ko YC, Cheng LS, Lin YC, Lin HJ, Huang MS, Huang JJ, Kao EL, Wang HZ. The heterogeneity in risk factors of lung cancer and the difference of histologic distribution between genders in Taiwan. </w:t>
            </w:r>
            <w:r w:rsidRPr="31F26954">
              <w:rPr>
                <w:rFonts w:eastAsia="Arial"/>
                <w:i/>
                <w:iCs/>
                <w:color w:val="142027"/>
                <w:sz w:val="20"/>
                <w:szCs w:val="20"/>
              </w:rPr>
              <w:t>Cancer Causes Control</w:t>
            </w:r>
            <w:r w:rsidRPr="31F26954">
              <w:rPr>
                <w:rFonts w:eastAsia="Arial"/>
                <w:color w:val="142027"/>
                <w:sz w:val="20"/>
                <w:szCs w:val="20"/>
              </w:rPr>
              <w:t>. 2001; 12(4): 289–300.</w:t>
            </w:r>
          </w:p>
        </w:tc>
      </w:tr>
      <w:tr w:rsidR="00B123E5" w14:paraId="6AE537F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9095E5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26</w:t>
            </w:r>
          </w:p>
        </w:tc>
        <w:tc>
          <w:tcPr>
            <w:tcW w:w="1024" w:type="dxa"/>
            <w:tcBorders>
              <w:top w:val="single" w:sz="4" w:space="0" w:color="auto"/>
              <w:left w:val="single" w:sz="4" w:space="0" w:color="auto"/>
              <w:bottom w:val="single" w:sz="4" w:space="0" w:color="auto"/>
              <w:right w:val="single" w:sz="4" w:space="0" w:color="auto"/>
            </w:tcBorders>
            <w:hideMark/>
          </w:tcPr>
          <w:p w14:paraId="6775D53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335999</w:t>
            </w:r>
          </w:p>
        </w:tc>
        <w:tc>
          <w:tcPr>
            <w:tcW w:w="7046" w:type="dxa"/>
            <w:tcBorders>
              <w:top w:val="single" w:sz="4" w:space="0" w:color="auto"/>
              <w:left w:val="single" w:sz="4" w:space="0" w:color="auto"/>
              <w:bottom w:val="single" w:sz="4" w:space="0" w:color="auto"/>
              <w:right w:val="single" w:sz="4" w:space="0" w:color="auto"/>
            </w:tcBorders>
            <w:hideMark/>
          </w:tcPr>
          <w:p w14:paraId="2E82CC52" w14:textId="77777777" w:rsidR="00B123E5" w:rsidRDefault="00B123E5" w:rsidP="31F26954">
            <w:pPr>
              <w:rPr>
                <w:rFonts w:eastAsia="Arial"/>
                <w:color w:val="142027"/>
                <w:sz w:val="20"/>
                <w:szCs w:val="20"/>
              </w:rPr>
            </w:pPr>
            <w:r w:rsidRPr="31F26954">
              <w:rPr>
                <w:rFonts w:eastAsia="Arial"/>
                <w:color w:val="142027"/>
                <w:sz w:val="20"/>
                <w:szCs w:val="20"/>
              </w:rPr>
              <w:t xml:space="preserve">Kleinerman RA, Wang Z, Wang L, Metayer C, Zhang S, Brenner AV, Zhang S, Xia Y, Shang B, Lubin JH. Lung cancer and indoor exposure to coal and biomass in rural China. </w:t>
            </w:r>
            <w:r w:rsidRPr="31F26954">
              <w:rPr>
                <w:rFonts w:eastAsia="Arial"/>
                <w:i/>
                <w:iCs/>
                <w:color w:val="142027"/>
                <w:sz w:val="20"/>
                <w:szCs w:val="20"/>
              </w:rPr>
              <w:t xml:space="preserve">J </w:t>
            </w:r>
            <w:proofErr w:type="spellStart"/>
            <w:r w:rsidRPr="31F26954">
              <w:rPr>
                <w:rFonts w:eastAsia="Arial"/>
                <w:i/>
                <w:iCs/>
                <w:color w:val="142027"/>
                <w:sz w:val="20"/>
                <w:szCs w:val="20"/>
              </w:rPr>
              <w:t>Occup</w:t>
            </w:r>
            <w:proofErr w:type="spellEnd"/>
            <w:r w:rsidRPr="31F26954">
              <w:rPr>
                <w:rFonts w:eastAsia="Arial"/>
                <w:i/>
                <w:iCs/>
                <w:color w:val="142027"/>
                <w:sz w:val="20"/>
                <w:szCs w:val="20"/>
              </w:rPr>
              <w:t xml:space="preserve"> Environ Med</w:t>
            </w:r>
            <w:r w:rsidRPr="31F26954">
              <w:rPr>
                <w:rFonts w:eastAsia="Arial"/>
                <w:color w:val="142027"/>
                <w:sz w:val="20"/>
                <w:szCs w:val="20"/>
              </w:rPr>
              <w:t>. 2002; 44(4): 338–44.</w:t>
            </w:r>
          </w:p>
        </w:tc>
      </w:tr>
      <w:tr w:rsidR="00B123E5" w14:paraId="5AA4185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6A1A25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27</w:t>
            </w:r>
          </w:p>
        </w:tc>
        <w:tc>
          <w:tcPr>
            <w:tcW w:w="1024" w:type="dxa"/>
            <w:tcBorders>
              <w:top w:val="single" w:sz="4" w:space="0" w:color="auto"/>
              <w:left w:val="single" w:sz="4" w:space="0" w:color="auto"/>
              <w:bottom w:val="single" w:sz="4" w:space="0" w:color="auto"/>
              <w:right w:val="single" w:sz="4" w:space="0" w:color="auto"/>
            </w:tcBorders>
            <w:hideMark/>
          </w:tcPr>
          <w:p w14:paraId="31DE2E7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336001</w:t>
            </w:r>
          </w:p>
        </w:tc>
        <w:tc>
          <w:tcPr>
            <w:tcW w:w="7046" w:type="dxa"/>
            <w:tcBorders>
              <w:top w:val="single" w:sz="4" w:space="0" w:color="auto"/>
              <w:left w:val="single" w:sz="4" w:space="0" w:color="auto"/>
              <w:bottom w:val="single" w:sz="4" w:space="0" w:color="auto"/>
              <w:right w:val="single" w:sz="4" w:space="0" w:color="auto"/>
            </w:tcBorders>
            <w:hideMark/>
          </w:tcPr>
          <w:p w14:paraId="33A84D23" w14:textId="77777777" w:rsidR="00B123E5" w:rsidRDefault="00B123E5" w:rsidP="31F26954">
            <w:pPr>
              <w:rPr>
                <w:rFonts w:eastAsia="Arial"/>
                <w:color w:val="142027"/>
                <w:sz w:val="20"/>
                <w:szCs w:val="20"/>
              </w:rPr>
            </w:pPr>
            <w:r w:rsidRPr="31F26954">
              <w:rPr>
                <w:rFonts w:eastAsia="Arial"/>
                <w:color w:val="142027"/>
                <w:sz w:val="20"/>
                <w:szCs w:val="20"/>
              </w:rPr>
              <w:t xml:space="preserve">Collings DA, Sithole SD, Martin KS. Indoor woodsmoke pollution causing lower respiratory disease in children. </w:t>
            </w:r>
            <w:r w:rsidRPr="31F26954">
              <w:rPr>
                <w:rFonts w:eastAsia="Arial"/>
                <w:i/>
                <w:iCs/>
                <w:color w:val="142027"/>
                <w:sz w:val="20"/>
                <w:szCs w:val="20"/>
              </w:rPr>
              <w:t xml:space="preserve">Trop </w:t>
            </w:r>
            <w:proofErr w:type="spellStart"/>
            <w:r w:rsidRPr="31F26954">
              <w:rPr>
                <w:rFonts w:eastAsia="Arial"/>
                <w:i/>
                <w:iCs/>
                <w:color w:val="142027"/>
                <w:sz w:val="20"/>
                <w:szCs w:val="20"/>
              </w:rPr>
              <w:t>Doct</w:t>
            </w:r>
            <w:proofErr w:type="spellEnd"/>
            <w:r w:rsidRPr="31F26954">
              <w:rPr>
                <w:rFonts w:eastAsia="Arial"/>
                <w:color w:val="142027"/>
                <w:sz w:val="20"/>
                <w:szCs w:val="20"/>
              </w:rPr>
              <w:t>. 1990; 20(4): 151–5.</w:t>
            </w:r>
          </w:p>
        </w:tc>
      </w:tr>
      <w:tr w:rsidR="00B123E5" w14:paraId="4743543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447DA7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28</w:t>
            </w:r>
          </w:p>
        </w:tc>
        <w:tc>
          <w:tcPr>
            <w:tcW w:w="1024" w:type="dxa"/>
            <w:tcBorders>
              <w:top w:val="single" w:sz="4" w:space="0" w:color="auto"/>
              <w:left w:val="single" w:sz="4" w:space="0" w:color="auto"/>
              <w:bottom w:val="single" w:sz="4" w:space="0" w:color="auto"/>
              <w:right w:val="single" w:sz="4" w:space="0" w:color="auto"/>
            </w:tcBorders>
            <w:hideMark/>
          </w:tcPr>
          <w:p w14:paraId="3395CF6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336003</w:t>
            </w:r>
          </w:p>
        </w:tc>
        <w:tc>
          <w:tcPr>
            <w:tcW w:w="7046" w:type="dxa"/>
            <w:tcBorders>
              <w:top w:val="single" w:sz="4" w:space="0" w:color="auto"/>
              <w:left w:val="single" w:sz="4" w:space="0" w:color="auto"/>
              <w:bottom w:val="single" w:sz="4" w:space="0" w:color="auto"/>
              <w:right w:val="single" w:sz="4" w:space="0" w:color="auto"/>
            </w:tcBorders>
            <w:hideMark/>
          </w:tcPr>
          <w:p w14:paraId="154305D4" w14:textId="77777777" w:rsidR="00B123E5" w:rsidRDefault="00B123E5" w:rsidP="31F26954">
            <w:pPr>
              <w:rPr>
                <w:rFonts w:eastAsia="Arial"/>
                <w:color w:val="142027"/>
                <w:sz w:val="20"/>
                <w:szCs w:val="20"/>
              </w:rPr>
            </w:pPr>
            <w:r w:rsidRPr="31F26954">
              <w:rPr>
                <w:rFonts w:eastAsia="Arial"/>
                <w:color w:val="142027"/>
                <w:sz w:val="20"/>
                <w:szCs w:val="20"/>
              </w:rPr>
              <w:t xml:space="preserve">Galeone C, </w:t>
            </w:r>
            <w:proofErr w:type="spellStart"/>
            <w:r w:rsidRPr="31F26954">
              <w:rPr>
                <w:rFonts w:eastAsia="Arial"/>
                <w:color w:val="142027"/>
                <w:sz w:val="20"/>
                <w:szCs w:val="20"/>
              </w:rPr>
              <w:t>Pelucchi</w:t>
            </w:r>
            <w:proofErr w:type="spellEnd"/>
            <w:r w:rsidRPr="31F26954">
              <w:rPr>
                <w:rFonts w:eastAsia="Arial"/>
                <w:color w:val="142027"/>
                <w:sz w:val="20"/>
                <w:szCs w:val="20"/>
              </w:rPr>
              <w:t xml:space="preserve"> C, La Vecchia C, Negri E, Bosetti C, Hu J. Indoor air pollution from solid fuel use, chronic lung diseases and lung cancer in Harbin, Northeast China. </w:t>
            </w:r>
            <w:proofErr w:type="spellStart"/>
            <w:r w:rsidRPr="31F26954">
              <w:rPr>
                <w:rFonts w:eastAsia="Arial"/>
                <w:i/>
                <w:iCs/>
                <w:color w:val="142027"/>
                <w:sz w:val="20"/>
                <w:szCs w:val="20"/>
              </w:rPr>
              <w:t>Eur</w:t>
            </w:r>
            <w:proofErr w:type="spellEnd"/>
            <w:r w:rsidRPr="31F26954">
              <w:rPr>
                <w:rFonts w:eastAsia="Arial"/>
                <w:i/>
                <w:iCs/>
                <w:color w:val="142027"/>
                <w:sz w:val="20"/>
                <w:szCs w:val="20"/>
              </w:rPr>
              <w:t xml:space="preserve"> J Cancer Prev</w:t>
            </w:r>
            <w:r w:rsidRPr="31F26954">
              <w:rPr>
                <w:rFonts w:eastAsia="Arial"/>
                <w:color w:val="142027"/>
                <w:sz w:val="20"/>
                <w:szCs w:val="20"/>
              </w:rPr>
              <w:t>. 2008; 17(5): 473–8</w:t>
            </w:r>
          </w:p>
        </w:tc>
      </w:tr>
      <w:tr w:rsidR="00B123E5" w14:paraId="536D4E5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D0245F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29</w:t>
            </w:r>
          </w:p>
        </w:tc>
        <w:tc>
          <w:tcPr>
            <w:tcW w:w="1024" w:type="dxa"/>
            <w:tcBorders>
              <w:top w:val="single" w:sz="4" w:space="0" w:color="auto"/>
              <w:left w:val="single" w:sz="4" w:space="0" w:color="auto"/>
              <w:bottom w:val="single" w:sz="4" w:space="0" w:color="auto"/>
              <w:right w:val="single" w:sz="4" w:space="0" w:color="auto"/>
            </w:tcBorders>
            <w:hideMark/>
          </w:tcPr>
          <w:p w14:paraId="5B426D2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336221</w:t>
            </w:r>
          </w:p>
        </w:tc>
        <w:tc>
          <w:tcPr>
            <w:tcW w:w="7046" w:type="dxa"/>
            <w:tcBorders>
              <w:top w:val="single" w:sz="4" w:space="0" w:color="auto"/>
              <w:left w:val="single" w:sz="4" w:space="0" w:color="auto"/>
              <w:bottom w:val="single" w:sz="4" w:space="0" w:color="auto"/>
              <w:right w:val="single" w:sz="4" w:space="0" w:color="auto"/>
            </w:tcBorders>
            <w:hideMark/>
          </w:tcPr>
          <w:p w14:paraId="1E62E80F" w14:textId="77777777" w:rsidR="00B123E5" w:rsidRDefault="00B123E5" w:rsidP="31F26954">
            <w:pPr>
              <w:rPr>
                <w:rFonts w:eastAsia="Arial"/>
                <w:color w:val="142027"/>
                <w:sz w:val="20"/>
                <w:szCs w:val="20"/>
              </w:rPr>
            </w:pPr>
            <w:r w:rsidRPr="31F26954">
              <w:rPr>
                <w:rFonts w:eastAsia="Arial"/>
                <w:color w:val="142027"/>
                <w:sz w:val="20"/>
                <w:szCs w:val="20"/>
              </w:rPr>
              <w:t xml:space="preserve">Lan Q, He X, Shen M, Tian L, Liu LZ, Lai H, Chen W, Berndt SI, Hosgood HD, Lee K-M, Zheng T, Blair A, Chapman RS. Variation in lung cancer risk by smoky coal subtype in </w:t>
            </w:r>
            <w:proofErr w:type="spellStart"/>
            <w:r w:rsidRPr="31F26954">
              <w:rPr>
                <w:rFonts w:eastAsia="Arial"/>
                <w:color w:val="142027"/>
                <w:sz w:val="20"/>
                <w:szCs w:val="20"/>
              </w:rPr>
              <w:t>Xuanwei</w:t>
            </w:r>
            <w:proofErr w:type="spellEnd"/>
            <w:r w:rsidRPr="31F26954">
              <w:rPr>
                <w:rFonts w:eastAsia="Arial"/>
                <w:color w:val="142027"/>
                <w:sz w:val="20"/>
                <w:szCs w:val="20"/>
              </w:rPr>
              <w:t xml:space="preserve">, China. </w:t>
            </w:r>
            <w:r w:rsidRPr="31F26954">
              <w:rPr>
                <w:rFonts w:eastAsia="Arial"/>
                <w:i/>
                <w:iCs/>
                <w:color w:val="142027"/>
                <w:sz w:val="20"/>
                <w:szCs w:val="20"/>
              </w:rPr>
              <w:t>Int J Cancer</w:t>
            </w:r>
            <w:r w:rsidRPr="31F26954">
              <w:rPr>
                <w:rFonts w:eastAsia="Arial"/>
                <w:color w:val="142027"/>
                <w:sz w:val="20"/>
                <w:szCs w:val="20"/>
              </w:rPr>
              <w:t>. 2008; 123(9): 2164–9.</w:t>
            </w:r>
          </w:p>
        </w:tc>
      </w:tr>
      <w:tr w:rsidR="00B123E5" w14:paraId="7010A9C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362E64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30</w:t>
            </w:r>
          </w:p>
        </w:tc>
        <w:tc>
          <w:tcPr>
            <w:tcW w:w="1024" w:type="dxa"/>
            <w:tcBorders>
              <w:top w:val="single" w:sz="4" w:space="0" w:color="auto"/>
              <w:left w:val="single" w:sz="4" w:space="0" w:color="auto"/>
              <w:bottom w:val="single" w:sz="4" w:space="0" w:color="auto"/>
              <w:right w:val="single" w:sz="4" w:space="0" w:color="auto"/>
            </w:tcBorders>
            <w:hideMark/>
          </w:tcPr>
          <w:p w14:paraId="2428EBA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336005</w:t>
            </w:r>
          </w:p>
        </w:tc>
        <w:tc>
          <w:tcPr>
            <w:tcW w:w="7046" w:type="dxa"/>
            <w:tcBorders>
              <w:top w:val="single" w:sz="4" w:space="0" w:color="auto"/>
              <w:left w:val="single" w:sz="4" w:space="0" w:color="auto"/>
              <w:bottom w:val="single" w:sz="4" w:space="0" w:color="auto"/>
              <w:right w:val="single" w:sz="4" w:space="0" w:color="auto"/>
            </w:tcBorders>
            <w:hideMark/>
          </w:tcPr>
          <w:p w14:paraId="50E4AEBF" w14:textId="77777777" w:rsidR="00B123E5" w:rsidRDefault="00B123E5" w:rsidP="31F26954">
            <w:pPr>
              <w:rPr>
                <w:rFonts w:eastAsia="Arial"/>
                <w:color w:val="142027"/>
                <w:sz w:val="20"/>
                <w:szCs w:val="20"/>
              </w:rPr>
            </w:pPr>
            <w:r w:rsidRPr="31F26954">
              <w:rPr>
                <w:rFonts w:eastAsia="Arial"/>
                <w:color w:val="142027"/>
                <w:sz w:val="20"/>
                <w:szCs w:val="20"/>
              </w:rPr>
              <w:t xml:space="preserve">Akhtar T, Ullah Z, Khan MH, Nazli R. Chronic bronchitis in women using solid biomass fuel in rural Peshawar, Pakistan. </w:t>
            </w:r>
            <w:r w:rsidRPr="31F26954">
              <w:rPr>
                <w:rFonts w:eastAsia="Arial"/>
                <w:i/>
                <w:iCs/>
                <w:color w:val="142027"/>
                <w:sz w:val="20"/>
                <w:szCs w:val="20"/>
              </w:rPr>
              <w:t>Chest</w:t>
            </w:r>
            <w:r w:rsidRPr="31F26954">
              <w:rPr>
                <w:rFonts w:eastAsia="Arial"/>
                <w:color w:val="142027"/>
                <w:sz w:val="20"/>
                <w:szCs w:val="20"/>
              </w:rPr>
              <w:t>. 2007; 132(5): 1472–5.</w:t>
            </w:r>
          </w:p>
        </w:tc>
      </w:tr>
      <w:tr w:rsidR="00B123E5" w14:paraId="531CB30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A4D3F2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31</w:t>
            </w:r>
          </w:p>
        </w:tc>
        <w:tc>
          <w:tcPr>
            <w:tcW w:w="1024" w:type="dxa"/>
            <w:tcBorders>
              <w:top w:val="single" w:sz="4" w:space="0" w:color="auto"/>
              <w:left w:val="single" w:sz="4" w:space="0" w:color="auto"/>
              <w:bottom w:val="single" w:sz="4" w:space="0" w:color="auto"/>
              <w:right w:val="single" w:sz="4" w:space="0" w:color="auto"/>
            </w:tcBorders>
            <w:hideMark/>
          </w:tcPr>
          <w:p w14:paraId="107DC17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336007</w:t>
            </w:r>
          </w:p>
        </w:tc>
        <w:tc>
          <w:tcPr>
            <w:tcW w:w="7046" w:type="dxa"/>
            <w:tcBorders>
              <w:top w:val="single" w:sz="4" w:space="0" w:color="auto"/>
              <w:left w:val="single" w:sz="4" w:space="0" w:color="auto"/>
              <w:bottom w:val="single" w:sz="4" w:space="0" w:color="auto"/>
              <w:right w:val="single" w:sz="4" w:space="0" w:color="auto"/>
            </w:tcBorders>
            <w:hideMark/>
          </w:tcPr>
          <w:p w14:paraId="4373F8CD" w14:textId="77777777" w:rsidR="00B123E5" w:rsidRDefault="00B123E5" w:rsidP="31F26954">
            <w:pPr>
              <w:rPr>
                <w:rFonts w:eastAsia="Arial"/>
                <w:color w:val="142027"/>
                <w:sz w:val="20"/>
                <w:szCs w:val="20"/>
              </w:rPr>
            </w:pPr>
            <w:r w:rsidRPr="31F26954">
              <w:rPr>
                <w:rFonts w:eastAsia="Arial"/>
                <w:color w:val="142027"/>
                <w:sz w:val="20"/>
                <w:szCs w:val="20"/>
              </w:rPr>
              <w:t xml:space="preserve">Dennis RJ, Maldonado D, Norman S, Baena E, Martinez G. Woodsmoke exposure and risk for obstructive airways disease among women. </w:t>
            </w:r>
            <w:r w:rsidRPr="31F26954">
              <w:rPr>
                <w:rFonts w:eastAsia="Arial"/>
                <w:i/>
                <w:iCs/>
                <w:color w:val="142027"/>
                <w:sz w:val="20"/>
                <w:szCs w:val="20"/>
              </w:rPr>
              <w:t>Chest</w:t>
            </w:r>
            <w:r w:rsidRPr="31F26954">
              <w:rPr>
                <w:rFonts w:eastAsia="Arial"/>
                <w:color w:val="142027"/>
                <w:sz w:val="20"/>
                <w:szCs w:val="20"/>
              </w:rPr>
              <w:t>. 1996; 109(1): 115–9.</w:t>
            </w:r>
          </w:p>
        </w:tc>
      </w:tr>
      <w:tr w:rsidR="00B123E5" w14:paraId="762320D0"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F0C01B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32</w:t>
            </w:r>
          </w:p>
        </w:tc>
        <w:tc>
          <w:tcPr>
            <w:tcW w:w="1024" w:type="dxa"/>
            <w:tcBorders>
              <w:top w:val="single" w:sz="4" w:space="0" w:color="auto"/>
              <w:left w:val="single" w:sz="4" w:space="0" w:color="auto"/>
              <w:bottom w:val="single" w:sz="4" w:space="0" w:color="auto"/>
              <w:right w:val="single" w:sz="4" w:space="0" w:color="auto"/>
            </w:tcBorders>
            <w:hideMark/>
          </w:tcPr>
          <w:p w14:paraId="5AAB510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336009</w:t>
            </w:r>
          </w:p>
        </w:tc>
        <w:tc>
          <w:tcPr>
            <w:tcW w:w="7046" w:type="dxa"/>
            <w:tcBorders>
              <w:top w:val="single" w:sz="4" w:space="0" w:color="auto"/>
              <w:left w:val="single" w:sz="4" w:space="0" w:color="auto"/>
              <w:bottom w:val="single" w:sz="4" w:space="0" w:color="auto"/>
              <w:right w:val="single" w:sz="4" w:space="0" w:color="auto"/>
            </w:tcBorders>
            <w:hideMark/>
          </w:tcPr>
          <w:p w14:paraId="794F66AE" w14:textId="77777777" w:rsidR="00B123E5" w:rsidRDefault="00B123E5" w:rsidP="31F26954">
            <w:pPr>
              <w:rPr>
                <w:rFonts w:eastAsia="Arial"/>
                <w:color w:val="142027"/>
                <w:sz w:val="20"/>
                <w:szCs w:val="20"/>
              </w:rPr>
            </w:pPr>
            <w:r w:rsidRPr="31F26954">
              <w:rPr>
                <w:rFonts w:eastAsia="Arial"/>
                <w:color w:val="142027"/>
                <w:sz w:val="20"/>
                <w:szCs w:val="20"/>
              </w:rPr>
              <w:t xml:space="preserve">Savitha MR, </w:t>
            </w:r>
            <w:proofErr w:type="spellStart"/>
            <w:r w:rsidRPr="31F26954">
              <w:rPr>
                <w:rFonts w:eastAsia="Arial"/>
                <w:color w:val="142027"/>
                <w:sz w:val="20"/>
                <w:szCs w:val="20"/>
              </w:rPr>
              <w:t>Nandeeshwara</w:t>
            </w:r>
            <w:proofErr w:type="spellEnd"/>
            <w:r w:rsidRPr="31F26954">
              <w:rPr>
                <w:rFonts w:eastAsia="Arial"/>
                <w:color w:val="142027"/>
                <w:sz w:val="20"/>
                <w:szCs w:val="20"/>
              </w:rPr>
              <w:t xml:space="preserve"> SB, Pradeep Kumar MJ, ul-Haque F, Raju CK. Modifiable risk factors for acute lower respiratory tract infections. </w:t>
            </w:r>
            <w:r w:rsidRPr="31F26954">
              <w:rPr>
                <w:rFonts w:eastAsia="Arial"/>
                <w:i/>
                <w:iCs/>
                <w:color w:val="142027"/>
                <w:sz w:val="20"/>
                <w:szCs w:val="20"/>
              </w:rPr>
              <w:t>Indian J Pediatr</w:t>
            </w:r>
            <w:r w:rsidRPr="31F26954">
              <w:rPr>
                <w:rFonts w:eastAsia="Arial"/>
                <w:color w:val="142027"/>
                <w:sz w:val="20"/>
                <w:szCs w:val="20"/>
              </w:rPr>
              <w:t>. 2007; 74(5): 477–82.</w:t>
            </w:r>
          </w:p>
        </w:tc>
      </w:tr>
      <w:tr w:rsidR="00B123E5" w14:paraId="44403B6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CAEB24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w:t>
            </w:r>
          </w:p>
        </w:tc>
        <w:tc>
          <w:tcPr>
            <w:tcW w:w="1024" w:type="dxa"/>
            <w:tcBorders>
              <w:top w:val="single" w:sz="4" w:space="0" w:color="auto"/>
              <w:left w:val="single" w:sz="4" w:space="0" w:color="auto"/>
              <w:bottom w:val="single" w:sz="4" w:space="0" w:color="auto"/>
              <w:right w:val="single" w:sz="4" w:space="0" w:color="auto"/>
            </w:tcBorders>
            <w:hideMark/>
          </w:tcPr>
          <w:p w14:paraId="14FA9BE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336011</w:t>
            </w:r>
          </w:p>
        </w:tc>
        <w:tc>
          <w:tcPr>
            <w:tcW w:w="7046" w:type="dxa"/>
            <w:tcBorders>
              <w:top w:val="single" w:sz="4" w:space="0" w:color="auto"/>
              <w:left w:val="single" w:sz="4" w:space="0" w:color="auto"/>
              <w:bottom w:val="single" w:sz="4" w:space="0" w:color="auto"/>
              <w:right w:val="single" w:sz="4" w:space="0" w:color="auto"/>
            </w:tcBorders>
            <w:hideMark/>
          </w:tcPr>
          <w:p w14:paraId="6D3C7ACF" w14:textId="77777777" w:rsidR="00B123E5" w:rsidRDefault="00B123E5" w:rsidP="31F26954">
            <w:pPr>
              <w:rPr>
                <w:rFonts w:eastAsia="Arial"/>
                <w:color w:val="142027"/>
                <w:sz w:val="20"/>
                <w:szCs w:val="20"/>
              </w:rPr>
            </w:pPr>
            <w:r w:rsidRPr="31F26954">
              <w:rPr>
                <w:rFonts w:eastAsia="Arial"/>
                <w:color w:val="142027"/>
                <w:sz w:val="20"/>
                <w:szCs w:val="20"/>
              </w:rPr>
              <w:t xml:space="preserve">Sezer H, Akkurt I, Guler N, </w:t>
            </w:r>
            <w:proofErr w:type="spellStart"/>
            <w:r w:rsidRPr="31F26954">
              <w:rPr>
                <w:rFonts w:eastAsia="Arial"/>
                <w:color w:val="142027"/>
                <w:sz w:val="20"/>
                <w:szCs w:val="20"/>
              </w:rPr>
              <w:t>Marakoğlu</w:t>
            </w:r>
            <w:proofErr w:type="spellEnd"/>
            <w:r w:rsidRPr="31F26954">
              <w:rPr>
                <w:rFonts w:eastAsia="Arial"/>
                <w:color w:val="142027"/>
                <w:sz w:val="20"/>
                <w:szCs w:val="20"/>
              </w:rPr>
              <w:t xml:space="preserve"> K, Berk S. A case-control study on the effect of exposure to different substances on the development of COPD. </w:t>
            </w:r>
            <w:r w:rsidRPr="31F26954">
              <w:rPr>
                <w:rFonts w:eastAsia="Arial"/>
                <w:i/>
                <w:iCs/>
                <w:color w:val="142027"/>
                <w:sz w:val="20"/>
                <w:szCs w:val="20"/>
              </w:rPr>
              <w:t>Ann Epidemiol</w:t>
            </w:r>
            <w:r w:rsidRPr="31F26954">
              <w:rPr>
                <w:rFonts w:eastAsia="Arial"/>
                <w:color w:val="142027"/>
                <w:sz w:val="20"/>
                <w:szCs w:val="20"/>
              </w:rPr>
              <w:t>. 2006; 16(1): 59–62.</w:t>
            </w:r>
          </w:p>
        </w:tc>
      </w:tr>
      <w:tr w:rsidR="00B123E5" w14:paraId="58B7C6F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F32CC8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34</w:t>
            </w:r>
          </w:p>
        </w:tc>
        <w:tc>
          <w:tcPr>
            <w:tcW w:w="1024" w:type="dxa"/>
            <w:tcBorders>
              <w:top w:val="single" w:sz="4" w:space="0" w:color="auto"/>
              <w:left w:val="single" w:sz="4" w:space="0" w:color="auto"/>
              <w:bottom w:val="single" w:sz="4" w:space="0" w:color="auto"/>
              <w:right w:val="single" w:sz="4" w:space="0" w:color="auto"/>
            </w:tcBorders>
            <w:hideMark/>
          </w:tcPr>
          <w:p w14:paraId="0ADD648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336022</w:t>
            </w:r>
          </w:p>
        </w:tc>
        <w:tc>
          <w:tcPr>
            <w:tcW w:w="7046" w:type="dxa"/>
            <w:tcBorders>
              <w:top w:val="single" w:sz="4" w:space="0" w:color="auto"/>
              <w:left w:val="single" w:sz="4" w:space="0" w:color="auto"/>
              <w:bottom w:val="single" w:sz="4" w:space="0" w:color="auto"/>
              <w:right w:val="single" w:sz="4" w:space="0" w:color="auto"/>
            </w:tcBorders>
            <w:hideMark/>
          </w:tcPr>
          <w:p w14:paraId="6A65A6AA" w14:textId="77777777" w:rsidR="00B123E5" w:rsidRDefault="00B123E5" w:rsidP="31F26954">
            <w:pPr>
              <w:rPr>
                <w:rFonts w:eastAsia="Arial"/>
                <w:color w:val="142027"/>
                <w:sz w:val="20"/>
                <w:szCs w:val="20"/>
              </w:rPr>
            </w:pPr>
            <w:r w:rsidRPr="31F26954">
              <w:rPr>
                <w:rFonts w:eastAsia="Arial"/>
                <w:color w:val="142027"/>
                <w:sz w:val="20"/>
                <w:szCs w:val="20"/>
              </w:rPr>
              <w:t xml:space="preserve">Huang C, Zhang X, Qiao Z, Guan L, Peng S, Liu J, Xie R, Zheng L. A case-control study of dietary factors in patients with lung cancer. </w:t>
            </w:r>
            <w:r w:rsidRPr="31F26954">
              <w:rPr>
                <w:rFonts w:eastAsia="Arial"/>
                <w:i/>
                <w:iCs/>
                <w:color w:val="142027"/>
                <w:sz w:val="20"/>
                <w:szCs w:val="20"/>
              </w:rPr>
              <w:t>Biomed Environ Sci</w:t>
            </w:r>
            <w:r w:rsidRPr="31F26954">
              <w:rPr>
                <w:rFonts w:eastAsia="Arial"/>
                <w:color w:val="142027"/>
                <w:sz w:val="20"/>
                <w:szCs w:val="20"/>
              </w:rPr>
              <w:t>. 1992; 5(3): 257–65.</w:t>
            </w:r>
          </w:p>
        </w:tc>
      </w:tr>
      <w:tr w:rsidR="00B123E5" w14:paraId="336798B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D599BB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w:t>
            </w:r>
          </w:p>
        </w:tc>
        <w:tc>
          <w:tcPr>
            <w:tcW w:w="1024" w:type="dxa"/>
            <w:tcBorders>
              <w:top w:val="single" w:sz="4" w:space="0" w:color="auto"/>
              <w:left w:val="single" w:sz="4" w:space="0" w:color="auto"/>
              <w:bottom w:val="single" w:sz="4" w:space="0" w:color="auto"/>
              <w:right w:val="single" w:sz="4" w:space="0" w:color="auto"/>
            </w:tcBorders>
            <w:hideMark/>
          </w:tcPr>
          <w:p w14:paraId="11B7CA7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336024</w:t>
            </w:r>
          </w:p>
        </w:tc>
        <w:tc>
          <w:tcPr>
            <w:tcW w:w="7046" w:type="dxa"/>
            <w:tcBorders>
              <w:top w:val="single" w:sz="4" w:space="0" w:color="auto"/>
              <w:left w:val="single" w:sz="4" w:space="0" w:color="auto"/>
              <w:bottom w:val="single" w:sz="4" w:space="0" w:color="auto"/>
              <w:right w:val="single" w:sz="4" w:space="0" w:color="auto"/>
            </w:tcBorders>
            <w:hideMark/>
          </w:tcPr>
          <w:p w14:paraId="52DE40C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Ger LP, Hsu WL, Chen KT, Chen CJ. Risk Factors of Lung Cancer by Histological Category in Taiwan. Anticancer Res. 1993; 13(5A): 1491–500.</w:t>
            </w:r>
          </w:p>
        </w:tc>
      </w:tr>
      <w:tr w:rsidR="00B123E5" w14:paraId="5C256AC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85B55F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36</w:t>
            </w:r>
          </w:p>
        </w:tc>
        <w:tc>
          <w:tcPr>
            <w:tcW w:w="1024" w:type="dxa"/>
            <w:tcBorders>
              <w:top w:val="single" w:sz="4" w:space="0" w:color="auto"/>
              <w:left w:val="single" w:sz="4" w:space="0" w:color="auto"/>
              <w:bottom w:val="single" w:sz="4" w:space="0" w:color="auto"/>
              <w:right w:val="single" w:sz="4" w:space="0" w:color="auto"/>
            </w:tcBorders>
            <w:hideMark/>
          </w:tcPr>
          <w:p w14:paraId="52FDAD4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352222</w:t>
            </w:r>
          </w:p>
        </w:tc>
        <w:tc>
          <w:tcPr>
            <w:tcW w:w="7046" w:type="dxa"/>
            <w:tcBorders>
              <w:top w:val="single" w:sz="4" w:space="0" w:color="auto"/>
              <w:left w:val="single" w:sz="4" w:space="0" w:color="auto"/>
              <w:bottom w:val="single" w:sz="4" w:space="0" w:color="auto"/>
              <w:right w:val="single" w:sz="4" w:space="0" w:color="auto"/>
            </w:tcBorders>
            <w:hideMark/>
          </w:tcPr>
          <w:p w14:paraId="68ECB69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Kim C, Seow WJ, Shu X-O, Bassig BA, Rothman N, Chen BE, Xiang Y-B, Hosgood HD, Ji B-T, Hu W, Wen C, Chow W-H, Cai Q, Yang G, Gao Y-T, Zheng W, Lan Q. Cooking Coal Use and All-Cause and Cause-Specific Mortality in a Prospective Cohort Study of Women in Shanghai, China.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2016; 124(9): 1384-9.</w:t>
            </w:r>
          </w:p>
        </w:tc>
      </w:tr>
      <w:tr w:rsidR="00B123E5" w14:paraId="3B91E0D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27DA59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37</w:t>
            </w:r>
          </w:p>
        </w:tc>
        <w:tc>
          <w:tcPr>
            <w:tcW w:w="1024" w:type="dxa"/>
            <w:tcBorders>
              <w:top w:val="single" w:sz="4" w:space="0" w:color="auto"/>
              <w:left w:val="single" w:sz="4" w:space="0" w:color="auto"/>
              <w:bottom w:val="single" w:sz="4" w:space="0" w:color="auto"/>
              <w:right w:val="single" w:sz="4" w:space="0" w:color="auto"/>
            </w:tcBorders>
            <w:hideMark/>
          </w:tcPr>
          <w:p w14:paraId="49474BA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352226</w:t>
            </w:r>
          </w:p>
        </w:tc>
        <w:tc>
          <w:tcPr>
            <w:tcW w:w="7046" w:type="dxa"/>
            <w:tcBorders>
              <w:top w:val="single" w:sz="4" w:space="0" w:color="auto"/>
              <w:left w:val="single" w:sz="4" w:space="0" w:color="auto"/>
              <w:bottom w:val="single" w:sz="4" w:space="0" w:color="auto"/>
              <w:right w:val="single" w:sz="4" w:space="0" w:color="auto"/>
            </w:tcBorders>
            <w:hideMark/>
          </w:tcPr>
          <w:p w14:paraId="4F2E3AC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Alam DS, Chowdhury MAH, </w:t>
            </w:r>
            <w:proofErr w:type="spellStart"/>
            <w:r w:rsidRPr="31F26954">
              <w:rPr>
                <w:rFonts w:eastAsia="Aptos Narrow"/>
                <w:color w:val="000000" w:themeColor="text1"/>
                <w:sz w:val="20"/>
                <w:szCs w:val="20"/>
              </w:rPr>
              <w:t>Siddiquee</w:t>
            </w:r>
            <w:proofErr w:type="spellEnd"/>
            <w:r w:rsidRPr="31F26954">
              <w:rPr>
                <w:rFonts w:eastAsia="Aptos Narrow"/>
                <w:color w:val="000000" w:themeColor="text1"/>
                <w:sz w:val="20"/>
                <w:szCs w:val="20"/>
              </w:rPr>
              <w:t xml:space="preserve"> AT, Ahmed S, Hossain MD, Pervin S, Streatfield K, </w:t>
            </w:r>
            <w:proofErr w:type="spellStart"/>
            <w:r w:rsidRPr="31F26954">
              <w:rPr>
                <w:rFonts w:eastAsia="Aptos Narrow"/>
                <w:color w:val="000000" w:themeColor="text1"/>
                <w:sz w:val="20"/>
                <w:szCs w:val="20"/>
              </w:rPr>
              <w:t>Cravioto</w:t>
            </w:r>
            <w:proofErr w:type="spellEnd"/>
            <w:r w:rsidRPr="31F26954">
              <w:rPr>
                <w:rFonts w:eastAsia="Aptos Narrow"/>
                <w:color w:val="000000" w:themeColor="text1"/>
                <w:sz w:val="20"/>
                <w:szCs w:val="20"/>
              </w:rPr>
              <w:t xml:space="preserve"> A, Niessen LW. Adult Cardiopulmonary Mortality and Indoor Air Pollution: A 10-Year Retrospective Cohort Study in a Low-Income Rural Setting. Glob Heart. 2012; 7(3): 215-21.</w:t>
            </w:r>
          </w:p>
        </w:tc>
      </w:tr>
      <w:tr w:rsidR="00B123E5" w14:paraId="67F5BA4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66AD42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38</w:t>
            </w:r>
          </w:p>
        </w:tc>
        <w:tc>
          <w:tcPr>
            <w:tcW w:w="1024" w:type="dxa"/>
            <w:tcBorders>
              <w:top w:val="single" w:sz="4" w:space="0" w:color="auto"/>
              <w:left w:val="single" w:sz="4" w:space="0" w:color="auto"/>
              <w:bottom w:val="single" w:sz="4" w:space="0" w:color="auto"/>
              <w:right w:val="single" w:sz="4" w:space="0" w:color="auto"/>
            </w:tcBorders>
            <w:hideMark/>
          </w:tcPr>
          <w:p w14:paraId="2B5972F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352228</w:t>
            </w:r>
          </w:p>
        </w:tc>
        <w:tc>
          <w:tcPr>
            <w:tcW w:w="7046" w:type="dxa"/>
            <w:tcBorders>
              <w:top w:val="single" w:sz="4" w:space="0" w:color="auto"/>
              <w:left w:val="single" w:sz="4" w:space="0" w:color="auto"/>
              <w:bottom w:val="single" w:sz="4" w:space="0" w:color="auto"/>
              <w:right w:val="single" w:sz="4" w:space="0" w:color="auto"/>
            </w:tcBorders>
            <w:hideMark/>
          </w:tcPr>
          <w:p w14:paraId="219B9026"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Yu K, Qiu G, Chan K-H, Lam K-BH, Kurmi OP, Bennett DA, Yu C, Pan A, </w:t>
            </w:r>
            <w:proofErr w:type="spellStart"/>
            <w:r w:rsidRPr="31F26954">
              <w:rPr>
                <w:rFonts w:eastAsia="Aptos Narrow"/>
                <w:color w:val="000000" w:themeColor="text1"/>
                <w:sz w:val="20"/>
                <w:szCs w:val="20"/>
              </w:rPr>
              <w:t>Lv</w:t>
            </w:r>
            <w:proofErr w:type="spellEnd"/>
            <w:r w:rsidRPr="31F26954">
              <w:rPr>
                <w:rFonts w:eastAsia="Aptos Narrow"/>
                <w:color w:val="000000" w:themeColor="text1"/>
                <w:sz w:val="20"/>
                <w:szCs w:val="20"/>
              </w:rPr>
              <w:t xml:space="preserve"> J, Guo Y, Bian Z, Yang L, Chen Y, Hu FB, Chen Z, Li L, Wu T. Association of Solid Fuel Use With Risk of Cardiovascular and All-Cause Mortality in Rural China. JAMA. 2018; 319(13): 1351-61.</w:t>
            </w:r>
          </w:p>
        </w:tc>
      </w:tr>
      <w:tr w:rsidR="00B123E5" w14:paraId="24F5A43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8F8F42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39</w:t>
            </w:r>
          </w:p>
        </w:tc>
        <w:tc>
          <w:tcPr>
            <w:tcW w:w="1024" w:type="dxa"/>
            <w:tcBorders>
              <w:top w:val="single" w:sz="4" w:space="0" w:color="auto"/>
              <w:left w:val="single" w:sz="4" w:space="0" w:color="auto"/>
              <w:bottom w:val="single" w:sz="4" w:space="0" w:color="auto"/>
              <w:right w:val="single" w:sz="4" w:space="0" w:color="auto"/>
            </w:tcBorders>
            <w:hideMark/>
          </w:tcPr>
          <w:p w14:paraId="61BBC11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418511</w:t>
            </w:r>
          </w:p>
        </w:tc>
        <w:tc>
          <w:tcPr>
            <w:tcW w:w="7046" w:type="dxa"/>
            <w:tcBorders>
              <w:top w:val="single" w:sz="4" w:space="0" w:color="auto"/>
              <w:left w:val="single" w:sz="4" w:space="0" w:color="auto"/>
              <w:bottom w:val="single" w:sz="4" w:space="0" w:color="auto"/>
              <w:right w:val="single" w:sz="4" w:space="0" w:color="auto"/>
            </w:tcBorders>
            <w:hideMark/>
          </w:tcPr>
          <w:p w14:paraId="7AEB039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Hystad P, Duong M, Brauer M, Larkin A, </w:t>
            </w:r>
            <w:proofErr w:type="spellStart"/>
            <w:r w:rsidRPr="31F26954">
              <w:rPr>
                <w:rFonts w:eastAsia="Aptos Narrow"/>
                <w:color w:val="000000" w:themeColor="text1"/>
                <w:sz w:val="20"/>
                <w:szCs w:val="20"/>
              </w:rPr>
              <w:t>Arku</w:t>
            </w:r>
            <w:proofErr w:type="spellEnd"/>
            <w:r w:rsidRPr="31F26954">
              <w:rPr>
                <w:rFonts w:eastAsia="Aptos Narrow"/>
                <w:color w:val="000000" w:themeColor="text1"/>
                <w:sz w:val="20"/>
                <w:szCs w:val="20"/>
              </w:rPr>
              <w:t xml:space="preserve"> R, Kurmi OP, Fan WQ, </w:t>
            </w:r>
            <w:proofErr w:type="spellStart"/>
            <w:r w:rsidRPr="31F26954">
              <w:rPr>
                <w:rFonts w:eastAsia="Aptos Narrow"/>
                <w:color w:val="000000" w:themeColor="text1"/>
                <w:sz w:val="20"/>
                <w:szCs w:val="20"/>
              </w:rPr>
              <w:t>Avezum</w:t>
            </w:r>
            <w:proofErr w:type="spellEnd"/>
            <w:r w:rsidRPr="31F26954">
              <w:rPr>
                <w:rFonts w:eastAsia="Aptos Narrow"/>
                <w:color w:val="000000" w:themeColor="text1"/>
                <w:sz w:val="20"/>
                <w:szCs w:val="20"/>
              </w:rPr>
              <w:t xml:space="preserve"> A, Azam I, Chifamba J, Dans A, du Plessis JL, Gupta R, Kumar R, Lanas F, Liu Z, Lu Y, Lopez-Jaramillo P, Mony P, Mohan V, Mohan D, Nair S, </w:t>
            </w:r>
            <w:proofErr w:type="spellStart"/>
            <w:r w:rsidRPr="31F26954">
              <w:rPr>
                <w:rFonts w:eastAsia="Aptos Narrow"/>
                <w:color w:val="000000" w:themeColor="text1"/>
                <w:sz w:val="20"/>
                <w:szCs w:val="20"/>
              </w:rPr>
              <w:t>Puoane</w:t>
            </w:r>
            <w:proofErr w:type="spellEnd"/>
            <w:r w:rsidRPr="31F26954">
              <w:rPr>
                <w:rFonts w:eastAsia="Aptos Narrow"/>
                <w:color w:val="000000" w:themeColor="text1"/>
                <w:sz w:val="20"/>
                <w:szCs w:val="20"/>
              </w:rPr>
              <w:t xml:space="preserve"> T, Rahman O, Lap AT, Wang Y, Wei L, Yeates K, Rangarajan S, Teo K, Yusuf S, on behalf of Prospective Urban and Rural Epidemiological (PURE) Study investigators. Health Effects of Household Solid Fuel Use: Findings from 11 Countries within the Prospective Urban and Rural Epidemiology Study [Unpublished].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2019; 127(5): 57003.</w:t>
            </w:r>
          </w:p>
        </w:tc>
      </w:tr>
      <w:tr w:rsidR="00B123E5" w14:paraId="457D0B4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EA92B8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40</w:t>
            </w:r>
          </w:p>
        </w:tc>
        <w:tc>
          <w:tcPr>
            <w:tcW w:w="1024" w:type="dxa"/>
            <w:tcBorders>
              <w:top w:val="single" w:sz="4" w:space="0" w:color="auto"/>
              <w:left w:val="single" w:sz="4" w:space="0" w:color="auto"/>
              <w:bottom w:val="single" w:sz="4" w:space="0" w:color="auto"/>
              <w:right w:val="single" w:sz="4" w:space="0" w:color="auto"/>
            </w:tcBorders>
            <w:hideMark/>
          </w:tcPr>
          <w:p w14:paraId="3AF8465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415878</w:t>
            </w:r>
          </w:p>
        </w:tc>
        <w:tc>
          <w:tcPr>
            <w:tcW w:w="7046" w:type="dxa"/>
            <w:tcBorders>
              <w:top w:val="single" w:sz="4" w:space="0" w:color="auto"/>
              <w:left w:val="single" w:sz="4" w:space="0" w:color="auto"/>
              <w:bottom w:val="single" w:sz="4" w:space="0" w:color="auto"/>
              <w:right w:val="single" w:sz="4" w:space="0" w:color="auto"/>
            </w:tcBorders>
            <w:hideMark/>
          </w:tcPr>
          <w:p w14:paraId="61B05A1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Hystad P, Duong M, Brauer M, Larkin A, </w:t>
            </w:r>
            <w:proofErr w:type="spellStart"/>
            <w:r w:rsidRPr="31F26954">
              <w:rPr>
                <w:rFonts w:eastAsia="Aptos Narrow"/>
                <w:color w:val="000000" w:themeColor="text1"/>
                <w:sz w:val="20"/>
                <w:szCs w:val="20"/>
              </w:rPr>
              <w:t>Arku</w:t>
            </w:r>
            <w:proofErr w:type="spellEnd"/>
            <w:r w:rsidRPr="31F26954">
              <w:rPr>
                <w:rFonts w:eastAsia="Aptos Narrow"/>
                <w:color w:val="000000" w:themeColor="text1"/>
                <w:sz w:val="20"/>
                <w:szCs w:val="20"/>
              </w:rPr>
              <w:t xml:space="preserve"> R, Kurmi OP, Fan WQ, </w:t>
            </w:r>
            <w:proofErr w:type="spellStart"/>
            <w:r w:rsidRPr="31F26954">
              <w:rPr>
                <w:rFonts w:eastAsia="Aptos Narrow"/>
                <w:color w:val="000000" w:themeColor="text1"/>
                <w:sz w:val="20"/>
                <w:szCs w:val="20"/>
              </w:rPr>
              <w:t>Avezum</w:t>
            </w:r>
            <w:proofErr w:type="spellEnd"/>
            <w:r w:rsidRPr="31F26954">
              <w:rPr>
                <w:rFonts w:eastAsia="Aptos Narrow"/>
                <w:color w:val="000000" w:themeColor="text1"/>
                <w:sz w:val="20"/>
                <w:szCs w:val="20"/>
              </w:rPr>
              <w:t xml:space="preserve"> A, Azam I, Chifamba J, Dans A, du Plessis JL, Gupta R, Kumar R, Lanas F, Liu Z, Lu Y, Lopez-Jaramillo P, Mony P, Mohan V, Mohan D, Nair S, </w:t>
            </w:r>
            <w:proofErr w:type="spellStart"/>
            <w:r w:rsidRPr="31F26954">
              <w:rPr>
                <w:rFonts w:eastAsia="Aptos Narrow"/>
                <w:color w:val="000000" w:themeColor="text1"/>
                <w:sz w:val="20"/>
                <w:szCs w:val="20"/>
              </w:rPr>
              <w:t>Puoane</w:t>
            </w:r>
            <w:proofErr w:type="spellEnd"/>
            <w:r w:rsidRPr="31F26954">
              <w:rPr>
                <w:rFonts w:eastAsia="Aptos Narrow"/>
                <w:color w:val="000000" w:themeColor="text1"/>
                <w:sz w:val="20"/>
                <w:szCs w:val="20"/>
              </w:rPr>
              <w:t xml:space="preserve"> T, Rahman O, Lap AT, Wang Y, Wei L, Yeates K, Rangarajan S, Teo K, Yusuf S, on behalf of Prospective Urban and Rural Epidemiological (PURE) Study investigators. Health Effects of Household Solid Fuel Use: Findings from 11 Countries within the Prospective Urban and Rural Epidemiology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2019; 127(5): 57003.</w:t>
            </w:r>
          </w:p>
        </w:tc>
      </w:tr>
      <w:tr w:rsidR="00B123E5" w14:paraId="3CD92D1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9279F34" w14:textId="77777777" w:rsidR="00B123E5" w:rsidRPr="000048AD" w:rsidRDefault="00B123E5" w:rsidP="31F26954">
            <w:pPr>
              <w:jc w:val="right"/>
              <w:rPr>
                <w:rFonts w:eastAsia="Aptos Narrow"/>
                <w:color w:val="000000" w:themeColor="text1"/>
                <w:sz w:val="20"/>
                <w:szCs w:val="20"/>
              </w:rPr>
            </w:pPr>
            <w:r w:rsidRPr="000048AD">
              <w:rPr>
                <w:rFonts w:eastAsia="Aptos Narrow"/>
                <w:color w:val="000000" w:themeColor="text1"/>
                <w:sz w:val="20"/>
                <w:szCs w:val="20"/>
              </w:rPr>
              <w:t>41</w:t>
            </w:r>
          </w:p>
        </w:tc>
        <w:tc>
          <w:tcPr>
            <w:tcW w:w="1024" w:type="dxa"/>
            <w:tcBorders>
              <w:top w:val="single" w:sz="4" w:space="0" w:color="auto"/>
              <w:left w:val="single" w:sz="4" w:space="0" w:color="auto"/>
              <w:bottom w:val="single" w:sz="4" w:space="0" w:color="auto"/>
              <w:right w:val="single" w:sz="4" w:space="0" w:color="auto"/>
            </w:tcBorders>
            <w:hideMark/>
          </w:tcPr>
          <w:p w14:paraId="30136F00" w14:textId="77777777" w:rsidR="00B123E5" w:rsidRPr="000048AD" w:rsidRDefault="00B123E5" w:rsidP="31F26954">
            <w:pPr>
              <w:jc w:val="right"/>
              <w:rPr>
                <w:rFonts w:eastAsia="Aptos Narrow"/>
                <w:color w:val="000000" w:themeColor="text1"/>
                <w:sz w:val="20"/>
                <w:szCs w:val="20"/>
              </w:rPr>
            </w:pPr>
            <w:r w:rsidRPr="000048AD">
              <w:rPr>
                <w:rFonts w:eastAsia="Aptos Narrow"/>
                <w:color w:val="000000" w:themeColor="text1"/>
                <w:sz w:val="20"/>
                <w:szCs w:val="20"/>
              </w:rPr>
              <w:t>561027</w:t>
            </w:r>
          </w:p>
        </w:tc>
        <w:tc>
          <w:tcPr>
            <w:tcW w:w="7046" w:type="dxa"/>
            <w:tcBorders>
              <w:top w:val="single" w:sz="4" w:space="0" w:color="auto"/>
              <w:left w:val="single" w:sz="4" w:space="0" w:color="auto"/>
              <w:bottom w:val="single" w:sz="4" w:space="0" w:color="auto"/>
              <w:right w:val="single" w:sz="4" w:space="0" w:color="auto"/>
            </w:tcBorders>
            <w:hideMark/>
          </w:tcPr>
          <w:p w14:paraId="7496160F" w14:textId="77777777" w:rsidR="00B123E5" w:rsidRPr="000048AD" w:rsidRDefault="00B123E5" w:rsidP="31F26954">
            <w:pPr>
              <w:rPr>
                <w:rFonts w:eastAsia="Aptos Narrow"/>
                <w:color w:val="000000" w:themeColor="text1"/>
                <w:sz w:val="20"/>
                <w:szCs w:val="20"/>
              </w:rPr>
            </w:pPr>
            <w:r w:rsidRPr="000048AD">
              <w:rPr>
                <w:rFonts w:eastAsia="Aptos Narrow"/>
                <w:color w:val="000000" w:themeColor="text1"/>
                <w:sz w:val="20"/>
                <w:szCs w:val="20"/>
              </w:rPr>
              <w:t xml:space="preserve">McCollum ED, McCracken JP, Kirby MA, Grajeda LM, Hossen S, Moulton LH, Simkovich SM, Goodman-Palmer D, Rosa G, Mukeshimana A, Balakrishnan K, Thangavel G, Garg SS, Castanaza A, Thompson LM, Diaz-Artiga A, </w:t>
            </w:r>
            <w:proofErr w:type="spellStart"/>
            <w:r w:rsidRPr="000048AD">
              <w:rPr>
                <w:rFonts w:eastAsia="Aptos Narrow"/>
                <w:color w:val="000000" w:themeColor="text1"/>
                <w:sz w:val="20"/>
                <w:szCs w:val="20"/>
              </w:rPr>
              <w:t>Papageorghiou</w:t>
            </w:r>
            <w:proofErr w:type="spellEnd"/>
            <w:r w:rsidRPr="000048AD">
              <w:rPr>
                <w:rFonts w:eastAsia="Aptos Narrow"/>
                <w:color w:val="000000" w:themeColor="text1"/>
                <w:sz w:val="20"/>
                <w:szCs w:val="20"/>
              </w:rPr>
              <w:t xml:space="preserve"> AT, Davila-Roman VG, Underhill LJ, Hartinger SM, Williams KN, Nicolaou L, Chang HH, Lovvorn AE, Rosenthal JP, </w:t>
            </w:r>
            <w:proofErr w:type="spellStart"/>
            <w:r w:rsidRPr="000048AD">
              <w:rPr>
                <w:rFonts w:eastAsia="Aptos Narrow"/>
                <w:color w:val="000000" w:themeColor="text1"/>
                <w:sz w:val="20"/>
                <w:szCs w:val="20"/>
              </w:rPr>
              <w:t>Pillarisetti</w:t>
            </w:r>
            <w:proofErr w:type="spellEnd"/>
            <w:r w:rsidRPr="000048AD">
              <w:rPr>
                <w:rFonts w:eastAsia="Aptos Narrow"/>
                <w:color w:val="000000" w:themeColor="text1"/>
                <w:sz w:val="20"/>
                <w:szCs w:val="20"/>
              </w:rPr>
              <w:t xml:space="preserve"> A, Ye W, Naeher LP, Johnson MA, Waller LA, </w:t>
            </w:r>
            <w:proofErr w:type="spellStart"/>
            <w:r w:rsidRPr="000048AD">
              <w:rPr>
                <w:rFonts w:eastAsia="Aptos Narrow"/>
                <w:color w:val="000000" w:themeColor="text1"/>
                <w:sz w:val="20"/>
                <w:szCs w:val="20"/>
              </w:rPr>
              <w:t>Jabbarzadeh</w:t>
            </w:r>
            <w:proofErr w:type="spellEnd"/>
            <w:r w:rsidRPr="000048AD">
              <w:rPr>
                <w:rFonts w:eastAsia="Aptos Narrow"/>
                <w:color w:val="000000" w:themeColor="text1"/>
                <w:sz w:val="20"/>
                <w:szCs w:val="20"/>
              </w:rPr>
              <w:t xml:space="preserve"> S, Wang J, Chen Y, Steenland K, Clasen TF, Peel JL, Checkley W, HAPIN Investigators. Liquefied Petroleum Gas or Biomass Cooking and Severe Infant Pneumonia. N Engl J Med. 2024; 390(1): 32-43.</w:t>
            </w:r>
          </w:p>
        </w:tc>
      </w:tr>
      <w:tr w:rsidR="00B123E5" w14:paraId="33A248A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2A3BE11" w14:textId="77777777" w:rsidR="00B123E5" w:rsidRPr="000048AD" w:rsidRDefault="00B123E5" w:rsidP="31F26954">
            <w:pPr>
              <w:jc w:val="right"/>
              <w:rPr>
                <w:rFonts w:eastAsia="Aptos Narrow"/>
                <w:color w:val="000000" w:themeColor="text1"/>
                <w:sz w:val="20"/>
                <w:szCs w:val="20"/>
              </w:rPr>
            </w:pPr>
            <w:r w:rsidRPr="000048AD">
              <w:rPr>
                <w:rFonts w:eastAsia="Aptos Narrow"/>
                <w:color w:val="000000" w:themeColor="text1"/>
                <w:sz w:val="20"/>
                <w:szCs w:val="20"/>
              </w:rPr>
              <w:t>42</w:t>
            </w:r>
          </w:p>
        </w:tc>
        <w:tc>
          <w:tcPr>
            <w:tcW w:w="1024" w:type="dxa"/>
            <w:tcBorders>
              <w:top w:val="single" w:sz="4" w:space="0" w:color="auto"/>
              <w:left w:val="single" w:sz="4" w:space="0" w:color="auto"/>
              <w:bottom w:val="single" w:sz="4" w:space="0" w:color="auto"/>
              <w:right w:val="single" w:sz="4" w:space="0" w:color="auto"/>
            </w:tcBorders>
            <w:hideMark/>
          </w:tcPr>
          <w:p w14:paraId="0EBF95E7" w14:textId="77777777" w:rsidR="00B123E5" w:rsidRPr="000048AD" w:rsidRDefault="00B123E5" w:rsidP="31F26954">
            <w:pPr>
              <w:jc w:val="right"/>
              <w:rPr>
                <w:rFonts w:eastAsia="Aptos Narrow"/>
                <w:color w:val="000000" w:themeColor="text1"/>
                <w:sz w:val="20"/>
                <w:szCs w:val="20"/>
              </w:rPr>
            </w:pPr>
            <w:r w:rsidRPr="000048AD">
              <w:rPr>
                <w:rFonts w:eastAsia="Aptos Narrow"/>
                <w:color w:val="000000" w:themeColor="text1"/>
                <w:sz w:val="20"/>
                <w:szCs w:val="20"/>
              </w:rPr>
              <w:t>561033</w:t>
            </w:r>
          </w:p>
        </w:tc>
        <w:tc>
          <w:tcPr>
            <w:tcW w:w="7046" w:type="dxa"/>
            <w:tcBorders>
              <w:top w:val="single" w:sz="4" w:space="0" w:color="auto"/>
              <w:left w:val="single" w:sz="4" w:space="0" w:color="auto"/>
              <w:bottom w:val="single" w:sz="4" w:space="0" w:color="auto"/>
              <w:right w:val="single" w:sz="4" w:space="0" w:color="auto"/>
            </w:tcBorders>
            <w:hideMark/>
          </w:tcPr>
          <w:p w14:paraId="66E67EFB" w14:textId="77777777" w:rsidR="00B123E5" w:rsidRPr="000048AD" w:rsidRDefault="00B123E5" w:rsidP="31F26954">
            <w:pPr>
              <w:rPr>
                <w:rFonts w:eastAsia="Aptos Narrow"/>
                <w:color w:val="000000" w:themeColor="text1"/>
                <w:sz w:val="20"/>
                <w:szCs w:val="20"/>
              </w:rPr>
            </w:pPr>
            <w:r w:rsidRPr="000048AD">
              <w:rPr>
                <w:rFonts w:eastAsia="Aptos Narrow"/>
                <w:color w:val="000000" w:themeColor="text1"/>
                <w:sz w:val="20"/>
                <w:szCs w:val="20"/>
              </w:rPr>
              <w:t xml:space="preserve">Liang R, Chen R, Yin P, van </w:t>
            </w:r>
            <w:proofErr w:type="spellStart"/>
            <w:r w:rsidRPr="000048AD">
              <w:rPr>
                <w:rFonts w:eastAsia="Aptos Narrow"/>
                <w:color w:val="000000" w:themeColor="text1"/>
                <w:sz w:val="20"/>
                <w:szCs w:val="20"/>
              </w:rPr>
              <w:t>Donkelaar</w:t>
            </w:r>
            <w:proofErr w:type="spellEnd"/>
            <w:r w:rsidRPr="000048AD">
              <w:rPr>
                <w:rFonts w:eastAsia="Aptos Narrow"/>
                <w:color w:val="000000" w:themeColor="text1"/>
                <w:sz w:val="20"/>
                <w:szCs w:val="20"/>
              </w:rPr>
              <w:t xml:space="preserve"> A, Martin RV, Burnett R, Cohen AJ, Brauer M, Liu C, Wang W, Lei J, Wang L, Wang L, Zhang M, Kan H, Zhou M. Associations of long-term exposure to fine particulate matter and its constituents with cardiovascular mortality: A prospective cohort study in China. Environ Int. 2022; 162(107156): 1-9.</w:t>
            </w:r>
          </w:p>
        </w:tc>
      </w:tr>
      <w:tr w:rsidR="00B123E5" w14:paraId="4577F0C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3C96CC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43</w:t>
            </w:r>
          </w:p>
        </w:tc>
        <w:tc>
          <w:tcPr>
            <w:tcW w:w="1024" w:type="dxa"/>
            <w:tcBorders>
              <w:top w:val="single" w:sz="4" w:space="0" w:color="auto"/>
              <w:left w:val="single" w:sz="4" w:space="0" w:color="auto"/>
              <w:bottom w:val="single" w:sz="4" w:space="0" w:color="auto"/>
              <w:right w:val="single" w:sz="4" w:space="0" w:color="auto"/>
            </w:tcBorders>
            <w:hideMark/>
          </w:tcPr>
          <w:p w14:paraId="116001A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174243</w:t>
            </w:r>
          </w:p>
        </w:tc>
        <w:tc>
          <w:tcPr>
            <w:tcW w:w="7046" w:type="dxa"/>
            <w:tcBorders>
              <w:top w:val="single" w:sz="4" w:space="0" w:color="auto"/>
              <w:left w:val="single" w:sz="4" w:space="0" w:color="auto"/>
              <w:bottom w:val="single" w:sz="4" w:space="0" w:color="auto"/>
              <w:right w:val="single" w:sz="4" w:space="0" w:color="auto"/>
            </w:tcBorders>
            <w:hideMark/>
          </w:tcPr>
          <w:p w14:paraId="2B2BAC26"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Miller KA, </w:t>
            </w:r>
            <w:proofErr w:type="spellStart"/>
            <w:r w:rsidRPr="31F26954">
              <w:rPr>
                <w:rFonts w:eastAsia="Aptos Narrow"/>
                <w:color w:val="000000" w:themeColor="text1"/>
                <w:sz w:val="20"/>
                <w:szCs w:val="20"/>
              </w:rPr>
              <w:t>Siscovick</w:t>
            </w:r>
            <w:proofErr w:type="spellEnd"/>
            <w:r w:rsidRPr="31F26954">
              <w:rPr>
                <w:rFonts w:eastAsia="Aptos Narrow"/>
                <w:color w:val="000000" w:themeColor="text1"/>
                <w:sz w:val="20"/>
                <w:szCs w:val="20"/>
              </w:rPr>
              <w:t xml:space="preserve"> DS, Sheppard L, Shepherd K, Sullivan JH, Anderson GL, Kaufman JD. Long-term exposure to air pollution and incidence of cardiovascular events in women. N Engl J Med. 2007; 356(5): 447-58.</w:t>
            </w:r>
          </w:p>
        </w:tc>
      </w:tr>
      <w:tr w:rsidR="00B123E5" w14:paraId="7BE557D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55D5E0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44</w:t>
            </w:r>
          </w:p>
        </w:tc>
        <w:tc>
          <w:tcPr>
            <w:tcW w:w="1024" w:type="dxa"/>
            <w:tcBorders>
              <w:top w:val="single" w:sz="4" w:space="0" w:color="auto"/>
              <w:left w:val="single" w:sz="4" w:space="0" w:color="auto"/>
              <w:bottom w:val="single" w:sz="4" w:space="0" w:color="auto"/>
              <w:right w:val="single" w:sz="4" w:space="0" w:color="auto"/>
            </w:tcBorders>
            <w:hideMark/>
          </w:tcPr>
          <w:p w14:paraId="09EE35C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356387</w:t>
            </w:r>
          </w:p>
        </w:tc>
        <w:tc>
          <w:tcPr>
            <w:tcW w:w="7046" w:type="dxa"/>
            <w:tcBorders>
              <w:top w:val="single" w:sz="4" w:space="0" w:color="auto"/>
              <w:left w:val="single" w:sz="4" w:space="0" w:color="auto"/>
              <w:bottom w:val="single" w:sz="4" w:space="0" w:color="auto"/>
              <w:right w:val="single" w:sz="4" w:space="0" w:color="auto"/>
            </w:tcBorders>
            <w:hideMark/>
          </w:tcPr>
          <w:p w14:paraId="1291BBF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Bowe B, Xie Y, Li T, Yan Y, Xian H, Al-Aly Z. The 2016 global and national burden of diabetes mellitus attributable to PM2¬∑5 air pollution. The Lancet Planetary Health. 2018; 2(7): e301-12.</w:t>
            </w:r>
          </w:p>
        </w:tc>
      </w:tr>
      <w:tr w:rsidR="00B123E5" w14:paraId="6FF06CB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8687E4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w:t>
            </w:r>
          </w:p>
        </w:tc>
        <w:tc>
          <w:tcPr>
            <w:tcW w:w="1024" w:type="dxa"/>
            <w:tcBorders>
              <w:top w:val="single" w:sz="4" w:space="0" w:color="auto"/>
              <w:left w:val="single" w:sz="4" w:space="0" w:color="auto"/>
              <w:bottom w:val="single" w:sz="4" w:space="0" w:color="auto"/>
              <w:right w:val="single" w:sz="4" w:space="0" w:color="auto"/>
            </w:tcBorders>
            <w:hideMark/>
          </w:tcPr>
          <w:p w14:paraId="4BC1E85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329943</w:t>
            </w:r>
          </w:p>
        </w:tc>
        <w:tc>
          <w:tcPr>
            <w:tcW w:w="7046" w:type="dxa"/>
            <w:tcBorders>
              <w:top w:val="single" w:sz="4" w:space="0" w:color="auto"/>
              <w:left w:val="single" w:sz="4" w:space="0" w:color="auto"/>
              <w:bottom w:val="single" w:sz="4" w:space="0" w:color="auto"/>
              <w:right w:val="single" w:sz="4" w:space="0" w:color="auto"/>
            </w:tcBorders>
            <w:hideMark/>
          </w:tcPr>
          <w:p w14:paraId="68FA9343"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Hart J, </w:t>
            </w:r>
            <w:proofErr w:type="spellStart"/>
            <w:r w:rsidRPr="31F26954">
              <w:rPr>
                <w:rFonts w:eastAsia="Aptos Narrow"/>
                <w:color w:val="000000" w:themeColor="text1"/>
                <w:sz w:val="20"/>
                <w:szCs w:val="20"/>
              </w:rPr>
              <w:t>Garshick</w:t>
            </w:r>
            <w:proofErr w:type="spellEnd"/>
            <w:r w:rsidRPr="31F26954">
              <w:rPr>
                <w:rFonts w:eastAsia="Aptos Narrow"/>
                <w:color w:val="000000" w:themeColor="text1"/>
                <w:sz w:val="20"/>
                <w:szCs w:val="20"/>
              </w:rPr>
              <w:t xml:space="preserve"> E, Dockery D, Smith T, Ryan L, Laden F. Long-Term Ambient Multipollutant Exposures and Mortality. Am J Respir Crit Care Med. 2011; 183: 75-8.</w:t>
            </w:r>
          </w:p>
        </w:tc>
      </w:tr>
      <w:tr w:rsidR="00B123E5" w14:paraId="7489CA3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588BB7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46</w:t>
            </w:r>
          </w:p>
        </w:tc>
        <w:tc>
          <w:tcPr>
            <w:tcW w:w="1024" w:type="dxa"/>
            <w:tcBorders>
              <w:top w:val="single" w:sz="4" w:space="0" w:color="auto"/>
              <w:left w:val="single" w:sz="4" w:space="0" w:color="auto"/>
              <w:bottom w:val="single" w:sz="4" w:space="0" w:color="auto"/>
              <w:right w:val="single" w:sz="4" w:space="0" w:color="auto"/>
            </w:tcBorders>
            <w:hideMark/>
          </w:tcPr>
          <w:p w14:paraId="198BD92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418513</w:t>
            </w:r>
          </w:p>
        </w:tc>
        <w:tc>
          <w:tcPr>
            <w:tcW w:w="7046" w:type="dxa"/>
            <w:tcBorders>
              <w:top w:val="single" w:sz="4" w:space="0" w:color="auto"/>
              <w:left w:val="single" w:sz="4" w:space="0" w:color="auto"/>
              <w:bottom w:val="single" w:sz="4" w:space="0" w:color="auto"/>
              <w:right w:val="single" w:sz="4" w:space="0" w:color="auto"/>
            </w:tcBorders>
            <w:hideMark/>
          </w:tcPr>
          <w:p w14:paraId="2516BE2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Puett RC, Hart JE, Yanosky JD, Paciorek C, Schwartz J, Suh H, Speizer FE, Laden F. Chronic fine and coarse particulate exposure, mortality, and coronary heart disease in the Nurses' Health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2009; 117(11): 1697-701.</w:t>
            </w:r>
          </w:p>
        </w:tc>
      </w:tr>
      <w:tr w:rsidR="00B123E5" w14:paraId="17FF2EE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51F76F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47</w:t>
            </w:r>
          </w:p>
        </w:tc>
        <w:tc>
          <w:tcPr>
            <w:tcW w:w="1024" w:type="dxa"/>
            <w:tcBorders>
              <w:top w:val="single" w:sz="4" w:space="0" w:color="auto"/>
              <w:left w:val="single" w:sz="4" w:space="0" w:color="auto"/>
              <w:bottom w:val="single" w:sz="4" w:space="0" w:color="auto"/>
              <w:right w:val="single" w:sz="4" w:space="0" w:color="auto"/>
            </w:tcBorders>
            <w:hideMark/>
          </w:tcPr>
          <w:p w14:paraId="032403F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236193</w:t>
            </w:r>
          </w:p>
        </w:tc>
        <w:tc>
          <w:tcPr>
            <w:tcW w:w="7046" w:type="dxa"/>
            <w:tcBorders>
              <w:top w:val="single" w:sz="4" w:space="0" w:color="auto"/>
              <w:left w:val="single" w:sz="4" w:space="0" w:color="auto"/>
              <w:bottom w:val="single" w:sz="4" w:space="0" w:color="auto"/>
              <w:right w:val="single" w:sz="4" w:space="0" w:color="auto"/>
            </w:tcBorders>
            <w:hideMark/>
          </w:tcPr>
          <w:p w14:paraId="17B864C9"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Hart JE, Puett RC, Rexrode KM, Albert CM, Laden F. Effect Modification of Long-Term Air Pollution Exposures and the Risk of Incident Cardiovascular Disease in US Women. J Am Heart Assoc. 2015; 4(12).</w:t>
            </w:r>
          </w:p>
        </w:tc>
      </w:tr>
      <w:tr w:rsidR="00B123E5" w14:paraId="32623CF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3B6B05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48</w:t>
            </w:r>
          </w:p>
        </w:tc>
        <w:tc>
          <w:tcPr>
            <w:tcW w:w="1024" w:type="dxa"/>
            <w:tcBorders>
              <w:top w:val="single" w:sz="4" w:space="0" w:color="auto"/>
              <w:left w:val="single" w:sz="4" w:space="0" w:color="auto"/>
              <w:bottom w:val="single" w:sz="4" w:space="0" w:color="auto"/>
              <w:right w:val="single" w:sz="4" w:space="0" w:color="auto"/>
            </w:tcBorders>
            <w:hideMark/>
          </w:tcPr>
          <w:p w14:paraId="029755A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356402</w:t>
            </w:r>
          </w:p>
        </w:tc>
        <w:tc>
          <w:tcPr>
            <w:tcW w:w="7046" w:type="dxa"/>
            <w:tcBorders>
              <w:top w:val="single" w:sz="4" w:space="0" w:color="auto"/>
              <w:left w:val="single" w:sz="4" w:space="0" w:color="auto"/>
              <w:bottom w:val="single" w:sz="4" w:space="0" w:color="auto"/>
              <w:right w:val="single" w:sz="4" w:space="0" w:color="auto"/>
            </w:tcBorders>
            <w:hideMark/>
          </w:tcPr>
          <w:p w14:paraId="02BD473A"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Honda T, Pun VC, </w:t>
            </w:r>
            <w:proofErr w:type="spellStart"/>
            <w:r w:rsidRPr="31F26954">
              <w:rPr>
                <w:rFonts w:eastAsia="Aptos Narrow"/>
                <w:color w:val="000000" w:themeColor="text1"/>
                <w:sz w:val="20"/>
                <w:szCs w:val="20"/>
              </w:rPr>
              <w:t>Manjourides</w:t>
            </w:r>
            <w:proofErr w:type="spellEnd"/>
            <w:r w:rsidRPr="31F26954">
              <w:rPr>
                <w:rFonts w:eastAsia="Aptos Narrow"/>
                <w:color w:val="000000" w:themeColor="text1"/>
                <w:sz w:val="20"/>
                <w:szCs w:val="20"/>
              </w:rPr>
              <w:t xml:space="preserve"> J, et al. Associations between long-term exposure to air pollution, glycosylated hemoglobin and diabetes. Int J </w:t>
            </w:r>
            <w:proofErr w:type="spellStart"/>
            <w:r w:rsidRPr="31F26954">
              <w:rPr>
                <w:rFonts w:eastAsia="Aptos Narrow"/>
                <w:color w:val="000000" w:themeColor="text1"/>
                <w:sz w:val="20"/>
                <w:szCs w:val="20"/>
              </w:rPr>
              <w:t>Hyg</w:t>
            </w:r>
            <w:proofErr w:type="spellEnd"/>
            <w:r w:rsidRPr="31F26954">
              <w:rPr>
                <w:rFonts w:eastAsia="Aptos Narrow"/>
                <w:color w:val="000000" w:themeColor="text1"/>
                <w:sz w:val="20"/>
                <w:szCs w:val="20"/>
              </w:rPr>
              <w:t xml:space="preserve"> Environ Health. 2017, 220 (7): 1124-1132. </w:t>
            </w:r>
          </w:p>
        </w:tc>
      </w:tr>
      <w:tr w:rsidR="00B123E5" w14:paraId="353A204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DC97F6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49</w:t>
            </w:r>
          </w:p>
        </w:tc>
        <w:tc>
          <w:tcPr>
            <w:tcW w:w="1024" w:type="dxa"/>
            <w:tcBorders>
              <w:top w:val="single" w:sz="4" w:space="0" w:color="auto"/>
              <w:left w:val="single" w:sz="4" w:space="0" w:color="auto"/>
              <w:bottom w:val="single" w:sz="4" w:space="0" w:color="auto"/>
              <w:right w:val="single" w:sz="4" w:space="0" w:color="auto"/>
            </w:tcBorders>
            <w:hideMark/>
          </w:tcPr>
          <w:p w14:paraId="3628928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454724</w:t>
            </w:r>
          </w:p>
        </w:tc>
        <w:tc>
          <w:tcPr>
            <w:tcW w:w="7046" w:type="dxa"/>
            <w:tcBorders>
              <w:top w:val="single" w:sz="4" w:space="0" w:color="auto"/>
              <w:left w:val="single" w:sz="4" w:space="0" w:color="auto"/>
              <w:bottom w:val="single" w:sz="4" w:space="0" w:color="auto"/>
              <w:right w:val="single" w:sz="4" w:space="0" w:color="auto"/>
            </w:tcBorders>
            <w:hideMark/>
          </w:tcPr>
          <w:p w14:paraId="4D89A98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Puett RC, Hart JE, Schwartz J, et al. Are particulate matter exposures associated with risk of type 2 diabetes?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2011,119 (3): 384-9.</w:t>
            </w:r>
          </w:p>
        </w:tc>
      </w:tr>
      <w:tr w:rsidR="00B123E5" w14:paraId="12F73CC0"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1F5E58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50</w:t>
            </w:r>
          </w:p>
        </w:tc>
        <w:tc>
          <w:tcPr>
            <w:tcW w:w="1024" w:type="dxa"/>
            <w:tcBorders>
              <w:top w:val="single" w:sz="4" w:space="0" w:color="auto"/>
              <w:left w:val="single" w:sz="4" w:space="0" w:color="auto"/>
              <w:bottom w:val="single" w:sz="4" w:space="0" w:color="auto"/>
              <w:right w:val="single" w:sz="4" w:space="0" w:color="auto"/>
            </w:tcBorders>
            <w:hideMark/>
          </w:tcPr>
          <w:p w14:paraId="2173C87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418510</w:t>
            </w:r>
          </w:p>
        </w:tc>
        <w:tc>
          <w:tcPr>
            <w:tcW w:w="7046" w:type="dxa"/>
            <w:tcBorders>
              <w:top w:val="single" w:sz="4" w:space="0" w:color="auto"/>
              <w:left w:val="single" w:sz="4" w:space="0" w:color="auto"/>
              <w:bottom w:val="single" w:sz="4" w:space="0" w:color="auto"/>
              <w:right w:val="single" w:sz="4" w:space="0" w:color="auto"/>
            </w:tcBorders>
            <w:hideMark/>
          </w:tcPr>
          <w:p w14:paraId="71DEFF5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Beelen R, Hoek G, van den Brandt PA, </w:t>
            </w:r>
            <w:proofErr w:type="spellStart"/>
            <w:r w:rsidRPr="31F26954">
              <w:rPr>
                <w:rFonts w:eastAsia="Aptos Narrow"/>
                <w:color w:val="000000" w:themeColor="text1"/>
                <w:sz w:val="20"/>
                <w:szCs w:val="20"/>
              </w:rPr>
              <w:t>Goldbohm</w:t>
            </w:r>
            <w:proofErr w:type="spellEnd"/>
            <w:r w:rsidRPr="31F26954">
              <w:rPr>
                <w:rFonts w:eastAsia="Aptos Narrow"/>
                <w:color w:val="000000" w:themeColor="text1"/>
                <w:sz w:val="20"/>
                <w:szCs w:val="20"/>
              </w:rPr>
              <w:t xml:space="preserve"> RA, Fischer P, Schouten LJ, Jerrett M, Hughes E, Armstrong B, </w:t>
            </w:r>
            <w:proofErr w:type="spellStart"/>
            <w:r w:rsidRPr="31F26954">
              <w:rPr>
                <w:rFonts w:eastAsia="Aptos Narrow"/>
                <w:color w:val="000000" w:themeColor="text1"/>
                <w:sz w:val="20"/>
                <w:szCs w:val="20"/>
              </w:rPr>
              <w:t>Brunekreef</w:t>
            </w:r>
            <w:proofErr w:type="spellEnd"/>
            <w:r w:rsidRPr="31F26954">
              <w:rPr>
                <w:rFonts w:eastAsia="Aptos Narrow"/>
                <w:color w:val="000000" w:themeColor="text1"/>
                <w:sz w:val="20"/>
                <w:szCs w:val="20"/>
              </w:rPr>
              <w:t xml:space="preserve"> B. Long-Term Effects of Traffic-Related Air Pollution on Mortality in a Dutch Cohort (NLCS-AIR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2008; 116(2): 196-202.</w:t>
            </w:r>
          </w:p>
        </w:tc>
      </w:tr>
      <w:tr w:rsidR="00B123E5" w14:paraId="018EC88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1E23A7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51</w:t>
            </w:r>
          </w:p>
        </w:tc>
        <w:tc>
          <w:tcPr>
            <w:tcW w:w="1024" w:type="dxa"/>
            <w:tcBorders>
              <w:top w:val="single" w:sz="4" w:space="0" w:color="auto"/>
              <w:left w:val="single" w:sz="4" w:space="0" w:color="auto"/>
              <w:bottom w:val="single" w:sz="4" w:space="0" w:color="auto"/>
              <w:right w:val="single" w:sz="4" w:space="0" w:color="auto"/>
            </w:tcBorders>
            <w:hideMark/>
          </w:tcPr>
          <w:p w14:paraId="4EE8A65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259386</w:t>
            </w:r>
          </w:p>
        </w:tc>
        <w:tc>
          <w:tcPr>
            <w:tcW w:w="7046" w:type="dxa"/>
            <w:tcBorders>
              <w:top w:val="single" w:sz="4" w:space="0" w:color="auto"/>
              <w:left w:val="single" w:sz="4" w:space="0" w:color="auto"/>
              <w:bottom w:val="single" w:sz="4" w:space="0" w:color="auto"/>
              <w:right w:val="single" w:sz="4" w:space="0" w:color="auto"/>
            </w:tcBorders>
            <w:hideMark/>
          </w:tcPr>
          <w:p w14:paraId="4E43292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Beelen R, Hoek G, van den Brandt PA, </w:t>
            </w:r>
            <w:proofErr w:type="spellStart"/>
            <w:r w:rsidRPr="31F26954">
              <w:rPr>
                <w:rFonts w:eastAsia="Aptos Narrow"/>
                <w:color w:val="000000" w:themeColor="text1"/>
                <w:sz w:val="20"/>
                <w:szCs w:val="20"/>
              </w:rPr>
              <w:t>Goldbohm</w:t>
            </w:r>
            <w:proofErr w:type="spellEnd"/>
            <w:r w:rsidRPr="31F26954">
              <w:rPr>
                <w:rFonts w:eastAsia="Aptos Narrow"/>
                <w:color w:val="000000" w:themeColor="text1"/>
                <w:sz w:val="20"/>
                <w:szCs w:val="20"/>
              </w:rPr>
              <w:t xml:space="preserve"> RA, Fischer P, Schouten LJ, Jerrett M, Hughes E, Armstrong B, </w:t>
            </w:r>
            <w:proofErr w:type="spellStart"/>
            <w:r w:rsidRPr="31F26954">
              <w:rPr>
                <w:rFonts w:eastAsia="Aptos Narrow"/>
                <w:color w:val="000000" w:themeColor="text1"/>
                <w:sz w:val="20"/>
                <w:szCs w:val="20"/>
              </w:rPr>
              <w:t>Brunekreef</w:t>
            </w:r>
            <w:proofErr w:type="spellEnd"/>
            <w:r w:rsidRPr="31F26954">
              <w:rPr>
                <w:rFonts w:eastAsia="Aptos Narrow"/>
                <w:color w:val="000000" w:themeColor="text1"/>
                <w:sz w:val="20"/>
                <w:szCs w:val="20"/>
              </w:rPr>
              <w:t xml:space="preserve"> B. Long-Term Effects of Traffic-Related Air Pollution on Mortality in a Dutch Cohort (NLCS-AIR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2008; 116(2): 196-202.</w:t>
            </w:r>
          </w:p>
        </w:tc>
      </w:tr>
      <w:tr w:rsidR="00B123E5" w14:paraId="74C3487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DB003E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52</w:t>
            </w:r>
          </w:p>
        </w:tc>
        <w:tc>
          <w:tcPr>
            <w:tcW w:w="1024" w:type="dxa"/>
            <w:tcBorders>
              <w:top w:val="single" w:sz="4" w:space="0" w:color="auto"/>
              <w:left w:val="single" w:sz="4" w:space="0" w:color="auto"/>
              <w:bottom w:val="single" w:sz="4" w:space="0" w:color="auto"/>
              <w:right w:val="single" w:sz="4" w:space="0" w:color="auto"/>
            </w:tcBorders>
            <w:hideMark/>
          </w:tcPr>
          <w:p w14:paraId="4493012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174242</w:t>
            </w:r>
          </w:p>
        </w:tc>
        <w:tc>
          <w:tcPr>
            <w:tcW w:w="7046" w:type="dxa"/>
            <w:tcBorders>
              <w:top w:val="single" w:sz="4" w:space="0" w:color="auto"/>
              <w:left w:val="single" w:sz="4" w:space="0" w:color="auto"/>
              <w:bottom w:val="single" w:sz="4" w:space="0" w:color="auto"/>
              <w:right w:val="single" w:sz="4" w:space="0" w:color="auto"/>
            </w:tcBorders>
            <w:hideMark/>
          </w:tcPr>
          <w:p w14:paraId="56A0E021"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Hertz-Picciotto I, Baker RJ, Yap P-S, Dostál M, Joad JP, Lipsett M, Greenfield T, Herr CEW, Benes I, Shumway RH, Pinkerton KE, </w:t>
            </w:r>
            <w:proofErr w:type="spellStart"/>
            <w:r w:rsidRPr="31F26954">
              <w:rPr>
                <w:rFonts w:eastAsia="Aptos Narrow"/>
                <w:color w:val="000000" w:themeColor="text1"/>
                <w:sz w:val="20"/>
                <w:szCs w:val="20"/>
              </w:rPr>
              <w:t>Srám</w:t>
            </w:r>
            <w:proofErr w:type="spellEnd"/>
            <w:r w:rsidRPr="31F26954">
              <w:rPr>
                <w:rFonts w:eastAsia="Aptos Narrow"/>
                <w:color w:val="000000" w:themeColor="text1"/>
                <w:sz w:val="20"/>
                <w:szCs w:val="20"/>
              </w:rPr>
              <w:t xml:space="preserve"> R. Early childhood lower respiratory illness and air pollution.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2007; 115(10): 1510-8.</w:t>
            </w:r>
          </w:p>
        </w:tc>
      </w:tr>
      <w:tr w:rsidR="00B123E5" w14:paraId="22CED8D0"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2BF444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53</w:t>
            </w:r>
          </w:p>
        </w:tc>
        <w:tc>
          <w:tcPr>
            <w:tcW w:w="1024" w:type="dxa"/>
            <w:tcBorders>
              <w:top w:val="single" w:sz="4" w:space="0" w:color="auto"/>
              <w:left w:val="single" w:sz="4" w:space="0" w:color="auto"/>
              <w:bottom w:val="single" w:sz="4" w:space="0" w:color="auto"/>
              <w:right w:val="single" w:sz="4" w:space="0" w:color="auto"/>
            </w:tcBorders>
            <w:hideMark/>
          </w:tcPr>
          <w:p w14:paraId="7EAB7C8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454729</w:t>
            </w:r>
          </w:p>
        </w:tc>
        <w:tc>
          <w:tcPr>
            <w:tcW w:w="7046" w:type="dxa"/>
            <w:tcBorders>
              <w:top w:val="single" w:sz="4" w:space="0" w:color="auto"/>
              <w:left w:val="single" w:sz="4" w:space="0" w:color="auto"/>
              <w:bottom w:val="single" w:sz="4" w:space="0" w:color="auto"/>
              <w:right w:val="single" w:sz="4" w:space="0" w:color="auto"/>
            </w:tcBorders>
            <w:hideMark/>
          </w:tcPr>
          <w:p w14:paraId="13D66434"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Pope CA, Lefler JS, Ezzati M, et al. 2019. Mortality Risk and Fine Particulate Air Pollution in a Large, Representative Cohort of US Adults. Environmental Health Perspectives, 127(7), 077007.</w:t>
            </w:r>
          </w:p>
        </w:tc>
      </w:tr>
      <w:tr w:rsidR="00B123E5" w14:paraId="469D190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46066B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54</w:t>
            </w:r>
          </w:p>
        </w:tc>
        <w:tc>
          <w:tcPr>
            <w:tcW w:w="1024" w:type="dxa"/>
            <w:tcBorders>
              <w:top w:val="single" w:sz="4" w:space="0" w:color="auto"/>
              <w:left w:val="single" w:sz="4" w:space="0" w:color="auto"/>
              <w:bottom w:val="single" w:sz="4" w:space="0" w:color="auto"/>
              <w:right w:val="single" w:sz="4" w:space="0" w:color="auto"/>
            </w:tcBorders>
            <w:hideMark/>
          </w:tcPr>
          <w:p w14:paraId="3150B14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454735</w:t>
            </w:r>
          </w:p>
        </w:tc>
        <w:tc>
          <w:tcPr>
            <w:tcW w:w="7046" w:type="dxa"/>
            <w:tcBorders>
              <w:top w:val="single" w:sz="4" w:space="0" w:color="auto"/>
              <w:left w:val="single" w:sz="4" w:space="0" w:color="auto"/>
              <w:bottom w:val="single" w:sz="4" w:space="0" w:color="auto"/>
              <w:right w:val="single" w:sz="4" w:space="0" w:color="auto"/>
            </w:tcBorders>
            <w:hideMark/>
          </w:tcPr>
          <w:p w14:paraId="7FADB8F2"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Parker JD, Kravets N, Vaidyanathan A. 2018. Particulate matter air pollution exposure and heart disease mortality risks by race and ethnicity in the United States: 1997 to 2009 National Health Interview Survey with mortality follow-up through 2011. Circulation, 137(16), 1688-1697.</w:t>
            </w:r>
          </w:p>
        </w:tc>
      </w:tr>
      <w:tr w:rsidR="00B123E5" w14:paraId="567E777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3D6A20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55</w:t>
            </w:r>
          </w:p>
        </w:tc>
        <w:tc>
          <w:tcPr>
            <w:tcW w:w="1024" w:type="dxa"/>
            <w:tcBorders>
              <w:top w:val="single" w:sz="4" w:space="0" w:color="auto"/>
              <w:left w:val="single" w:sz="4" w:space="0" w:color="auto"/>
              <w:bottom w:val="single" w:sz="4" w:space="0" w:color="auto"/>
              <w:right w:val="single" w:sz="4" w:space="0" w:color="auto"/>
            </w:tcBorders>
            <w:hideMark/>
          </w:tcPr>
          <w:p w14:paraId="2C1290A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174250</w:t>
            </w:r>
          </w:p>
        </w:tc>
        <w:tc>
          <w:tcPr>
            <w:tcW w:w="7046" w:type="dxa"/>
            <w:tcBorders>
              <w:top w:val="single" w:sz="4" w:space="0" w:color="auto"/>
              <w:left w:val="single" w:sz="4" w:space="0" w:color="auto"/>
              <w:bottom w:val="single" w:sz="4" w:space="0" w:color="auto"/>
              <w:right w:val="single" w:sz="4" w:space="0" w:color="auto"/>
            </w:tcBorders>
            <w:hideMark/>
          </w:tcPr>
          <w:p w14:paraId="5F4433A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Carey IM, Atkinson RW, Kent AJ, van Staa T, Cook DG, Anderson HR. Mortality associations with long-term exposure to outdoor air pollution in a national English cohort. Am J Respir Crit Care Med. 2013; 187(11): 1226-33.</w:t>
            </w:r>
          </w:p>
        </w:tc>
      </w:tr>
      <w:tr w:rsidR="00B123E5" w14:paraId="7E3F4F6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CB9FC5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56</w:t>
            </w:r>
          </w:p>
        </w:tc>
        <w:tc>
          <w:tcPr>
            <w:tcW w:w="1024" w:type="dxa"/>
            <w:tcBorders>
              <w:top w:val="single" w:sz="4" w:space="0" w:color="auto"/>
              <w:left w:val="single" w:sz="4" w:space="0" w:color="auto"/>
              <w:bottom w:val="single" w:sz="4" w:space="0" w:color="auto"/>
              <w:right w:val="single" w:sz="4" w:space="0" w:color="auto"/>
            </w:tcBorders>
            <w:hideMark/>
          </w:tcPr>
          <w:p w14:paraId="1612E6A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174256</w:t>
            </w:r>
          </w:p>
        </w:tc>
        <w:tc>
          <w:tcPr>
            <w:tcW w:w="7046" w:type="dxa"/>
            <w:tcBorders>
              <w:top w:val="single" w:sz="4" w:space="0" w:color="auto"/>
              <w:left w:val="single" w:sz="4" w:space="0" w:color="auto"/>
              <w:bottom w:val="single" w:sz="4" w:space="0" w:color="auto"/>
              <w:right w:val="single" w:sz="4" w:space="0" w:color="auto"/>
            </w:tcBorders>
            <w:hideMark/>
          </w:tcPr>
          <w:p w14:paraId="6E278C53"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Hystad P, Demers PA, Johnson KC, </w:t>
            </w:r>
            <w:proofErr w:type="spellStart"/>
            <w:r w:rsidRPr="31F26954">
              <w:rPr>
                <w:rFonts w:eastAsia="Aptos Narrow"/>
                <w:color w:val="000000" w:themeColor="text1"/>
                <w:sz w:val="20"/>
                <w:szCs w:val="20"/>
              </w:rPr>
              <w:t>Carpiano</w:t>
            </w:r>
            <w:proofErr w:type="spellEnd"/>
            <w:r w:rsidRPr="31F26954">
              <w:rPr>
                <w:rFonts w:eastAsia="Aptos Narrow"/>
                <w:color w:val="000000" w:themeColor="text1"/>
                <w:sz w:val="20"/>
                <w:szCs w:val="20"/>
              </w:rPr>
              <w:t xml:space="preserve"> RM, Brauer M. Long-term residential exposure to air pollution and lung cancer risk. Epidemiology. 2013; 24(5): 762-72.</w:t>
            </w:r>
          </w:p>
        </w:tc>
      </w:tr>
      <w:tr w:rsidR="00B123E5" w14:paraId="68A32A0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DD6EB6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57</w:t>
            </w:r>
          </w:p>
        </w:tc>
        <w:tc>
          <w:tcPr>
            <w:tcW w:w="1024" w:type="dxa"/>
            <w:tcBorders>
              <w:top w:val="single" w:sz="4" w:space="0" w:color="auto"/>
              <w:left w:val="single" w:sz="4" w:space="0" w:color="auto"/>
              <w:bottom w:val="single" w:sz="4" w:space="0" w:color="auto"/>
              <w:right w:val="single" w:sz="4" w:space="0" w:color="auto"/>
            </w:tcBorders>
            <w:hideMark/>
          </w:tcPr>
          <w:p w14:paraId="1912A4E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174257</w:t>
            </w:r>
          </w:p>
        </w:tc>
        <w:tc>
          <w:tcPr>
            <w:tcW w:w="7046" w:type="dxa"/>
            <w:tcBorders>
              <w:top w:val="single" w:sz="4" w:space="0" w:color="auto"/>
              <w:left w:val="single" w:sz="4" w:space="0" w:color="auto"/>
              <w:bottom w:val="single" w:sz="4" w:space="0" w:color="auto"/>
              <w:right w:val="single" w:sz="4" w:space="0" w:color="auto"/>
            </w:tcBorders>
            <w:hideMark/>
          </w:tcPr>
          <w:p w14:paraId="7B4D898F"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Katanoda</w:t>
            </w:r>
            <w:proofErr w:type="spellEnd"/>
            <w:r w:rsidRPr="31F26954">
              <w:rPr>
                <w:rFonts w:eastAsia="Aptos Narrow"/>
                <w:color w:val="000000" w:themeColor="text1"/>
                <w:sz w:val="20"/>
                <w:szCs w:val="20"/>
              </w:rPr>
              <w:t xml:space="preserve"> K, </w:t>
            </w:r>
            <w:proofErr w:type="spellStart"/>
            <w:r w:rsidRPr="31F26954">
              <w:rPr>
                <w:rFonts w:eastAsia="Aptos Narrow"/>
                <w:color w:val="000000" w:themeColor="text1"/>
                <w:sz w:val="20"/>
                <w:szCs w:val="20"/>
              </w:rPr>
              <w:t>Sobue</w:t>
            </w:r>
            <w:proofErr w:type="spellEnd"/>
            <w:r w:rsidRPr="31F26954">
              <w:rPr>
                <w:rFonts w:eastAsia="Aptos Narrow"/>
                <w:color w:val="000000" w:themeColor="text1"/>
                <w:sz w:val="20"/>
                <w:szCs w:val="20"/>
              </w:rPr>
              <w:t xml:space="preserve"> T, Satoh H, Tajima K, Suzuki T, Nakatsuka H, </w:t>
            </w:r>
            <w:proofErr w:type="spellStart"/>
            <w:r w:rsidRPr="31F26954">
              <w:rPr>
                <w:rFonts w:eastAsia="Aptos Narrow"/>
                <w:color w:val="000000" w:themeColor="text1"/>
                <w:sz w:val="20"/>
                <w:szCs w:val="20"/>
              </w:rPr>
              <w:t>Takezaki</w:t>
            </w:r>
            <w:proofErr w:type="spellEnd"/>
            <w:r w:rsidRPr="31F26954">
              <w:rPr>
                <w:rFonts w:eastAsia="Aptos Narrow"/>
                <w:color w:val="000000" w:themeColor="text1"/>
                <w:sz w:val="20"/>
                <w:szCs w:val="20"/>
              </w:rPr>
              <w:t xml:space="preserve"> T, Nakayama T, Nitta H, Tanabe K, Tominaga S. An association between long-term exposure to ambient air pollution and mortality from lung cancer and respiratory diseases in Japan. J Epidemiol. 2011; 21(2): 132-43.</w:t>
            </w:r>
          </w:p>
        </w:tc>
      </w:tr>
      <w:tr w:rsidR="00B123E5" w14:paraId="322B6FB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68F80B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58</w:t>
            </w:r>
          </w:p>
        </w:tc>
        <w:tc>
          <w:tcPr>
            <w:tcW w:w="1024" w:type="dxa"/>
            <w:tcBorders>
              <w:top w:val="single" w:sz="4" w:space="0" w:color="auto"/>
              <w:left w:val="single" w:sz="4" w:space="0" w:color="auto"/>
              <w:bottom w:val="single" w:sz="4" w:space="0" w:color="auto"/>
              <w:right w:val="single" w:sz="4" w:space="0" w:color="auto"/>
            </w:tcBorders>
            <w:hideMark/>
          </w:tcPr>
          <w:p w14:paraId="5A48EAB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236192</w:t>
            </w:r>
          </w:p>
        </w:tc>
        <w:tc>
          <w:tcPr>
            <w:tcW w:w="7046" w:type="dxa"/>
            <w:tcBorders>
              <w:top w:val="single" w:sz="4" w:space="0" w:color="auto"/>
              <w:left w:val="single" w:sz="4" w:space="0" w:color="auto"/>
              <w:bottom w:val="single" w:sz="4" w:space="0" w:color="auto"/>
              <w:right w:val="single" w:sz="4" w:space="0" w:color="auto"/>
            </w:tcBorders>
            <w:hideMark/>
          </w:tcPr>
          <w:p w14:paraId="3A60E484"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Gan WQ, FitzGerald JM, Carlsten C, </w:t>
            </w:r>
            <w:proofErr w:type="spellStart"/>
            <w:r w:rsidRPr="31F26954">
              <w:rPr>
                <w:rFonts w:eastAsia="Aptos Narrow"/>
                <w:color w:val="000000" w:themeColor="text1"/>
                <w:sz w:val="20"/>
                <w:szCs w:val="20"/>
              </w:rPr>
              <w:t>Sadatsafavi</w:t>
            </w:r>
            <w:proofErr w:type="spellEnd"/>
            <w:r w:rsidRPr="31F26954">
              <w:rPr>
                <w:rFonts w:eastAsia="Aptos Narrow"/>
                <w:color w:val="000000" w:themeColor="text1"/>
                <w:sz w:val="20"/>
                <w:szCs w:val="20"/>
              </w:rPr>
              <w:t xml:space="preserve"> M, Brauer M. Associations of ambient air pollution with chronic obstructive pulmonary disease hospitalization and mortality. Am J Respir Crit Care Med. 2013; 187(7): 721-7.</w:t>
            </w:r>
          </w:p>
        </w:tc>
      </w:tr>
      <w:tr w:rsidR="00B123E5" w14:paraId="2030018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769E8E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59</w:t>
            </w:r>
          </w:p>
        </w:tc>
        <w:tc>
          <w:tcPr>
            <w:tcW w:w="1024" w:type="dxa"/>
            <w:tcBorders>
              <w:top w:val="single" w:sz="4" w:space="0" w:color="auto"/>
              <w:left w:val="single" w:sz="4" w:space="0" w:color="auto"/>
              <w:bottom w:val="single" w:sz="4" w:space="0" w:color="auto"/>
              <w:right w:val="single" w:sz="4" w:space="0" w:color="auto"/>
            </w:tcBorders>
            <w:hideMark/>
          </w:tcPr>
          <w:p w14:paraId="4518671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236200</w:t>
            </w:r>
          </w:p>
        </w:tc>
        <w:tc>
          <w:tcPr>
            <w:tcW w:w="7046" w:type="dxa"/>
            <w:tcBorders>
              <w:top w:val="single" w:sz="4" w:space="0" w:color="auto"/>
              <w:left w:val="single" w:sz="4" w:space="0" w:color="auto"/>
              <w:bottom w:val="single" w:sz="4" w:space="0" w:color="auto"/>
              <w:right w:val="single" w:sz="4" w:space="0" w:color="auto"/>
            </w:tcBorders>
            <w:hideMark/>
          </w:tcPr>
          <w:p w14:paraId="5438C024"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Cesaroni</w:t>
            </w:r>
            <w:proofErr w:type="spellEnd"/>
            <w:r w:rsidRPr="31F26954">
              <w:rPr>
                <w:rFonts w:eastAsia="Aptos Narrow"/>
                <w:color w:val="000000" w:themeColor="text1"/>
                <w:sz w:val="20"/>
                <w:szCs w:val="20"/>
              </w:rPr>
              <w:t xml:space="preserve"> G, </w:t>
            </w:r>
            <w:proofErr w:type="spellStart"/>
            <w:r w:rsidRPr="31F26954">
              <w:rPr>
                <w:rFonts w:eastAsia="Aptos Narrow"/>
                <w:color w:val="000000" w:themeColor="text1"/>
                <w:sz w:val="20"/>
                <w:szCs w:val="20"/>
              </w:rPr>
              <w:t>Badaloni</w:t>
            </w:r>
            <w:proofErr w:type="spellEnd"/>
            <w:r w:rsidRPr="31F26954">
              <w:rPr>
                <w:rFonts w:eastAsia="Aptos Narrow"/>
                <w:color w:val="000000" w:themeColor="text1"/>
                <w:sz w:val="20"/>
                <w:szCs w:val="20"/>
              </w:rPr>
              <w:t xml:space="preserve"> C, </w:t>
            </w:r>
            <w:proofErr w:type="spellStart"/>
            <w:r w:rsidRPr="31F26954">
              <w:rPr>
                <w:rFonts w:eastAsia="Aptos Narrow"/>
                <w:color w:val="000000" w:themeColor="text1"/>
                <w:sz w:val="20"/>
                <w:szCs w:val="20"/>
              </w:rPr>
              <w:t>Gariazzo</w:t>
            </w:r>
            <w:proofErr w:type="spellEnd"/>
            <w:r w:rsidRPr="31F26954">
              <w:rPr>
                <w:rFonts w:eastAsia="Aptos Narrow"/>
                <w:color w:val="000000" w:themeColor="text1"/>
                <w:sz w:val="20"/>
                <w:szCs w:val="20"/>
              </w:rPr>
              <w:t xml:space="preserve"> C, </w:t>
            </w:r>
            <w:proofErr w:type="spellStart"/>
            <w:r w:rsidRPr="31F26954">
              <w:rPr>
                <w:rFonts w:eastAsia="Aptos Narrow"/>
                <w:color w:val="000000" w:themeColor="text1"/>
                <w:sz w:val="20"/>
                <w:szCs w:val="20"/>
              </w:rPr>
              <w:t>Stafoggia</w:t>
            </w:r>
            <w:proofErr w:type="spellEnd"/>
            <w:r w:rsidRPr="31F26954">
              <w:rPr>
                <w:rFonts w:eastAsia="Aptos Narrow"/>
                <w:color w:val="000000" w:themeColor="text1"/>
                <w:sz w:val="20"/>
                <w:szCs w:val="20"/>
              </w:rPr>
              <w:t xml:space="preserve"> M, Sozzi R, Davoli M, </w:t>
            </w:r>
            <w:proofErr w:type="spellStart"/>
            <w:r w:rsidRPr="31F26954">
              <w:rPr>
                <w:rFonts w:eastAsia="Aptos Narrow"/>
                <w:color w:val="000000" w:themeColor="text1"/>
                <w:sz w:val="20"/>
                <w:szCs w:val="20"/>
              </w:rPr>
              <w:t>Forastiere</w:t>
            </w:r>
            <w:proofErr w:type="spellEnd"/>
            <w:r w:rsidRPr="31F26954">
              <w:rPr>
                <w:rFonts w:eastAsia="Aptos Narrow"/>
                <w:color w:val="000000" w:themeColor="text1"/>
                <w:sz w:val="20"/>
                <w:szCs w:val="20"/>
              </w:rPr>
              <w:t xml:space="preserve"> F. Long-term exposure to urban air pollution and mortality in a cohort of more than a million adults in Rome.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2013; 121(3): 324-31.</w:t>
            </w:r>
          </w:p>
        </w:tc>
      </w:tr>
      <w:tr w:rsidR="00B123E5" w14:paraId="79F16B7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CB7EA8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60</w:t>
            </w:r>
          </w:p>
        </w:tc>
        <w:tc>
          <w:tcPr>
            <w:tcW w:w="1024" w:type="dxa"/>
            <w:tcBorders>
              <w:top w:val="single" w:sz="4" w:space="0" w:color="auto"/>
              <w:left w:val="single" w:sz="4" w:space="0" w:color="auto"/>
              <w:bottom w:val="single" w:sz="4" w:space="0" w:color="auto"/>
              <w:right w:val="single" w:sz="4" w:space="0" w:color="auto"/>
            </w:tcBorders>
            <w:hideMark/>
          </w:tcPr>
          <w:p w14:paraId="66ACAC8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251023</w:t>
            </w:r>
          </w:p>
        </w:tc>
        <w:tc>
          <w:tcPr>
            <w:tcW w:w="7046" w:type="dxa"/>
            <w:tcBorders>
              <w:top w:val="single" w:sz="4" w:space="0" w:color="auto"/>
              <w:left w:val="single" w:sz="4" w:space="0" w:color="auto"/>
              <w:bottom w:val="single" w:sz="4" w:space="0" w:color="auto"/>
              <w:right w:val="single" w:sz="4" w:space="0" w:color="auto"/>
            </w:tcBorders>
            <w:hideMark/>
          </w:tcPr>
          <w:p w14:paraId="0964C54A"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Pinault L, Tjepkema M, Crouse DL, </w:t>
            </w:r>
            <w:proofErr w:type="spellStart"/>
            <w:r w:rsidRPr="31F26954">
              <w:rPr>
                <w:rFonts w:eastAsia="Aptos Narrow"/>
                <w:color w:val="000000" w:themeColor="text1"/>
                <w:sz w:val="20"/>
                <w:szCs w:val="20"/>
              </w:rPr>
              <w:t>Weichenthal</w:t>
            </w:r>
            <w:proofErr w:type="spellEnd"/>
            <w:r w:rsidRPr="31F26954">
              <w:rPr>
                <w:rFonts w:eastAsia="Aptos Narrow"/>
                <w:color w:val="000000" w:themeColor="text1"/>
                <w:sz w:val="20"/>
                <w:szCs w:val="20"/>
              </w:rPr>
              <w:t xml:space="preserve"> S, van </w:t>
            </w:r>
            <w:proofErr w:type="spellStart"/>
            <w:r w:rsidRPr="31F26954">
              <w:rPr>
                <w:rFonts w:eastAsia="Aptos Narrow"/>
                <w:color w:val="000000" w:themeColor="text1"/>
                <w:sz w:val="20"/>
                <w:szCs w:val="20"/>
              </w:rPr>
              <w:t>Donkelaar</w:t>
            </w:r>
            <w:proofErr w:type="spellEnd"/>
            <w:r w:rsidRPr="31F26954">
              <w:rPr>
                <w:rFonts w:eastAsia="Aptos Narrow"/>
                <w:color w:val="000000" w:themeColor="text1"/>
                <w:sz w:val="20"/>
                <w:szCs w:val="20"/>
              </w:rPr>
              <w:t xml:space="preserve"> A, Martin RV, Brauer M, Chen H, Burnett RT. Risk estimates of mortality attributed to low concentrations of ambient fine particulate matter in the Canadian community health survey cohort. Environ Health. 2016; 15(1): 18.</w:t>
            </w:r>
          </w:p>
        </w:tc>
      </w:tr>
      <w:tr w:rsidR="00B123E5" w14:paraId="02FD330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DB4AE4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61</w:t>
            </w:r>
          </w:p>
        </w:tc>
        <w:tc>
          <w:tcPr>
            <w:tcW w:w="1024" w:type="dxa"/>
            <w:tcBorders>
              <w:top w:val="single" w:sz="4" w:space="0" w:color="auto"/>
              <w:left w:val="single" w:sz="4" w:space="0" w:color="auto"/>
              <w:bottom w:val="single" w:sz="4" w:space="0" w:color="auto"/>
              <w:right w:val="single" w:sz="4" w:space="0" w:color="auto"/>
            </w:tcBorders>
            <w:hideMark/>
          </w:tcPr>
          <w:p w14:paraId="578F22A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418468</w:t>
            </w:r>
          </w:p>
        </w:tc>
        <w:tc>
          <w:tcPr>
            <w:tcW w:w="7046" w:type="dxa"/>
            <w:tcBorders>
              <w:top w:val="single" w:sz="4" w:space="0" w:color="auto"/>
              <w:left w:val="single" w:sz="4" w:space="0" w:color="auto"/>
              <w:bottom w:val="single" w:sz="4" w:space="0" w:color="auto"/>
              <w:right w:val="single" w:sz="4" w:space="0" w:color="auto"/>
            </w:tcBorders>
            <w:hideMark/>
          </w:tcPr>
          <w:p w14:paraId="29321FDD"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Pinault L, Tjepkema M, Crouse DL, </w:t>
            </w:r>
            <w:proofErr w:type="spellStart"/>
            <w:r w:rsidRPr="31F26954">
              <w:rPr>
                <w:rFonts w:eastAsia="Aptos Narrow"/>
                <w:color w:val="000000" w:themeColor="text1"/>
                <w:sz w:val="20"/>
                <w:szCs w:val="20"/>
              </w:rPr>
              <w:t>Weichenthal</w:t>
            </w:r>
            <w:proofErr w:type="spellEnd"/>
            <w:r w:rsidRPr="31F26954">
              <w:rPr>
                <w:rFonts w:eastAsia="Aptos Narrow"/>
                <w:color w:val="000000" w:themeColor="text1"/>
                <w:sz w:val="20"/>
                <w:szCs w:val="20"/>
              </w:rPr>
              <w:t xml:space="preserve"> S, van </w:t>
            </w:r>
            <w:proofErr w:type="spellStart"/>
            <w:r w:rsidRPr="31F26954">
              <w:rPr>
                <w:rFonts w:eastAsia="Aptos Narrow"/>
                <w:color w:val="000000" w:themeColor="text1"/>
                <w:sz w:val="20"/>
                <w:szCs w:val="20"/>
              </w:rPr>
              <w:t>Donkelaar</w:t>
            </w:r>
            <w:proofErr w:type="spellEnd"/>
            <w:r w:rsidRPr="31F26954">
              <w:rPr>
                <w:rFonts w:eastAsia="Aptos Narrow"/>
                <w:color w:val="000000" w:themeColor="text1"/>
                <w:sz w:val="20"/>
                <w:szCs w:val="20"/>
              </w:rPr>
              <w:t xml:space="preserve"> A, Martin RV, Brauer M, Chen H, Burnett RT. Risk estimates of mortality attributed to low concentrations of ambient fine particulate matter in the Canadian community health survey cohort. Environ Health. 2016; 15(1): 18.</w:t>
            </w:r>
          </w:p>
        </w:tc>
      </w:tr>
      <w:tr w:rsidR="00B123E5" w14:paraId="1F731045"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69B9A4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62</w:t>
            </w:r>
          </w:p>
        </w:tc>
        <w:tc>
          <w:tcPr>
            <w:tcW w:w="1024" w:type="dxa"/>
            <w:tcBorders>
              <w:top w:val="single" w:sz="4" w:space="0" w:color="auto"/>
              <w:left w:val="single" w:sz="4" w:space="0" w:color="auto"/>
              <w:bottom w:val="single" w:sz="4" w:space="0" w:color="auto"/>
              <w:right w:val="single" w:sz="4" w:space="0" w:color="auto"/>
            </w:tcBorders>
            <w:hideMark/>
          </w:tcPr>
          <w:p w14:paraId="5A79ECC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251335</w:t>
            </w:r>
          </w:p>
        </w:tc>
        <w:tc>
          <w:tcPr>
            <w:tcW w:w="7046" w:type="dxa"/>
            <w:tcBorders>
              <w:top w:val="single" w:sz="4" w:space="0" w:color="auto"/>
              <w:left w:val="single" w:sz="4" w:space="0" w:color="auto"/>
              <w:bottom w:val="single" w:sz="4" w:space="0" w:color="auto"/>
              <w:right w:val="single" w:sz="4" w:space="0" w:color="auto"/>
            </w:tcBorders>
            <w:hideMark/>
          </w:tcPr>
          <w:p w14:paraId="127EA45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Naess Ø, </w:t>
            </w:r>
            <w:proofErr w:type="spellStart"/>
            <w:r w:rsidRPr="31F26954">
              <w:rPr>
                <w:rFonts w:eastAsia="Aptos Narrow"/>
                <w:color w:val="000000" w:themeColor="text1"/>
                <w:sz w:val="20"/>
                <w:szCs w:val="20"/>
              </w:rPr>
              <w:t>Nafstad</w:t>
            </w:r>
            <w:proofErr w:type="spellEnd"/>
            <w:r w:rsidRPr="31F26954">
              <w:rPr>
                <w:rFonts w:eastAsia="Aptos Narrow"/>
                <w:color w:val="000000" w:themeColor="text1"/>
                <w:sz w:val="20"/>
                <w:szCs w:val="20"/>
              </w:rPr>
              <w:t xml:space="preserve"> P, Aamodt G, Claussen B, Rosland P. Relation between concentration of air pollution and cause-specific mortality: four-year exposures to nitrogen dioxide and particulate matter pollutants in 470 neighborhoods in Oslo, Norway. Am J Epidemiol. 2007; 165(4): 435-43.</w:t>
            </w:r>
          </w:p>
        </w:tc>
      </w:tr>
      <w:tr w:rsidR="00B123E5" w14:paraId="72C13DB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C43F42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63</w:t>
            </w:r>
          </w:p>
        </w:tc>
        <w:tc>
          <w:tcPr>
            <w:tcW w:w="1024" w:type="dxa"/>
            <w:tcBorders>
              <w:top w:val="single" w:sz="4" w:space="0" w:color="auto"/>
              <w:left w:val="single" w:sz="4" w:space="0" w:color="auto"/>
              <w:bottom w:val="single" w:sz="4" w:space="0" w:color="auto"/>
              <w:right w:val="single" w:sz="4" w:space="0" w:color="auto"/>
            </w:tcBorders>
            <w:hideMark/>
          </w:tcPr>
          <w:p w14:paraId="75FAEBE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259376</w:t>
            </w:r>
          </w:p>
        </w:tc>
        <w:tc>
          <w:tcPr>
            <w:tcW w:w="7046" w:type="dxa"/>
            <w:tcBorders>
              <w:top w:val="single" w:sz="4" w:space="0" w:color="auto"/>
              <w:left w:val="single" w:sz="4" w:space="0" w:color="auto"/>
              <w:bottom w:val="single" w:sz="4" w:space="0" w:color="auto"/>
              <w:right w:val="single" w:sz="4" w:space="0" w:color="auto"/>
            </w:tcBorders>
            <w:hideMark/>
          </w:tcPr>
          <w:p w14:paraId="363A399E"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Villeneuve PJ, </w:t>
            </w:r>
            <w:proofErr w:type="spellStart"/>
            <w:r w:rsidRPr="31F26954">
              <w:rPr>
                <w:rFonts w:eastAsia="Aptos Narrow"/>
                <w:color w:val="000000" w:themeColor="text1"/>
                <w:sz w:val="20"/>
                <w:szCs w:val="20"/>
              </w:rPr>
              <w:t>Weichenthal</w:t>
            </w:r>
            <w:proofErr w:type="spellEnd"/>
            <w:r w:rsidRPr="31F26954">
              <w:rPr>
                <w:rFonts w:eastAsia="Aptos Narrow"/>
                <w:color w:val="000000" w:themeColor="text1"/>
                <w:sz w:val="20"/>
                <w:szCs w:val="20"/>
              </w:rPr>
              <w:t xml:space="preserve"> SA, Crouse D, Miller AB, To T, Martin RV, van </w:t>
            </w:r>
            <w:proofErr w:type="spellStart"/>
            <w:r w:rsidRPr="31F26954">
              <w:rPr>
                <w:rFonts w:eastAsia="Aptos Narrow"/>
                <w:color w:val="000000" w:themeColor="text1"/>
                <w:sz w:val="20"/>
                <w:szCs w:val="20"/>
              </w:rPr>
              <w:t>Donkelaar</w:t>
            </w:r>
            <w:proofErr w:type="spellEnd"/>
            <w:r w:rsidRPr="31F26954">
              <w:rPr>
                <w:rFonts w:eastAsia="Aptos Narrow"/>
                <w:color w:val="000000" w:themeColor="text1"/>
                <w:sz w:val="20"/>
                <w:szCs w:val="20"/>
              </w:rPr>
              <w:t xml:space="preserve"> A, Wall C, Burnett RT. Long-term exposure to fine particulate matter air pollution and mortality among Canadian women. Epidemiology. 2015; 26(4): 536-45.</w:t>
            </w:r>
          </w:p>
        </w:tc>
      </w:tr>
      <w:tr w:rsidR="00B123E5" w14:paraId="4E938E8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A6A3F3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64</w:t>
            </w:r>
          </w:p>
        </w:tc>
        <w:tc>
          <w:tcPr>
            <w:tcW w:w="1024" w:type="dxa"/>
            <w:tcBorders>
              <w:top w:val="single" w:sz="4" w:space="0" w:color="auto"/>
              <w:left w:val="single" w:sz="4" w:space="0" w:color="auto"/>
              <w:bottom w:val="single" w:sz="4" w:space="0" w:color="auto"/>
              <w:right w:val="single" w:sz="4" w:space="0" w:color="auto"/>
            </w:tcBorders>
            <w:hideMark/>
          </w:tcPr>
          <w:p w14:paraId="590927B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234298</w:t>
            </w:r>
          </w:p>
        </w:tc>
        <w:tc>
          <w:tcPr>
            <w:tcW w:w="7046" w:type="dxa"/>
            <w:tcBorders>
              <w:top w:val="single" w:sz="4" w:space="0" w:color="auto"/>
              <w:left w:val="single" w:sz="4" w:space="0" w:color="auto"/>
              <w:bottom w:val="single" w:sz="4" w:space="0" w:color="auto"/>
              <w:right w:val="single" w:sz="4" w:space="0" w:color="auto"/>
            </w:tcBorders>
            <w:hideMark/>
          </w:tcPr>
          <w:p w14:paraId="4F4614AA"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Atkinson RW, Carey IM, Kent AJ, van Staa TP, Anderson HR, Cook DG. Long-term exposure to outdoor air pollution and the incidence of chronic obstructive pulmonary disease in a national English cohort. </w:t>
            </w:r>
            <w:proofErr w:type="spellStart"/>
            <w:r w:rsidRPr="31F26954">
              <w:rPr>
                <w:rFonts w:eastAsia="Aptos Narrow"/>
                <w:color w:val="000000" w:themeColor="text1"/>
                <w:sz w:val="20"/>
                <w:szCs w:val="20"/>
              </w:rPr>
              <w:t>Occup</w:t>
            </w:r>
            <w:proofErr w:type="spellEnd"/>
            <w:r w:rsidRPr="31F26954">
              <w:rPr>
                <w:rFonts w:eastAsia="Aptos Narrow"/>
                <w:color w:val="000000" w:themeColor="text1"/>
                <w:sz w:val="20"/>
                <w:szCs w:val="20"/>
              </w:rPr>
              <w:t xml:space="preserve"> Environ Med. 2015; 72(1): 42-8.</w:t>
            </w:r>
          </w:p>
        </w:tc>
      </w:tr>
      <w:tr w:rsidR="00B123E5" w14:paraId="1E6BD60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DCFC9E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65</w:t>
            </w:r>
          </w:p>
        </w:tc>
        <w:tc>
          <w:tcPr>
            <w:tcW w:w="1024" w:type="dxa"/>
            <w:tcBorders>
              <w:top w:val="single" w:sz="4" w:space="0" w:color="auto"/>
              <w:left w:val="single" w:sz="4" w:space="0" w:color="auto"/>
              <w:bottom w:val="single" w:sz="4" w:space="0" w:color="auto"/>
              <w:right w:val="single" w:sz="4" w:space="0" w:color="auto"/>
            </w:tcBorders>
            <w:hideMark/>
          </w:tcPr>
          <w:p w14:paraId="77817C3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367916</w:t>
            </w:r>
          </w:p>
        </w:tc>
        <w:tc>
          <w:tcPr>
            <w:tcW w:w="7046" w:type="dxa"/>
            <w:tcBorders>
              <w:top w:val="single" w:sz="4" w:space="0" w:color="auto"/>
              <w:left w:val="single" w:sz="4" w:space="0" w:color="auto"/>
              <w:bottom w:val="single" w:sz="4" w:space="0" w:color="auto"/>
              <w:right w:val="single" w:sz="4" w:space="0" w:color="auto"/>
            </w:tcBorders>
            <w:hideMark/>
          </w:tcPr>
          <w:p w14:paraId="3D87D10E"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Beelen R, </w:t>
            </w:r>
            <w:proofErr w:type="spellStart"/>
            <w:r w:rsidRPr="31F26954">
              <w:rPr>
                <w:rFonts w:eastAsia="Aptos Narrow"/>
                <w:color w:val="000000" w:themeColor="text1"/>
                <w:sz w:val="20"/>
                <w:szCs w:val="20"/>
              </w:rPr>
              <w:t>Stafoggia</w:t>
            </w:r>
            <w:proofErr w:type="spellEnd"/>
            <w:r w:rsidRPr="31F26954">
              <w:rPr>
                <w:rFonts w:eastAsia="Aptos Narrow"/>
                <w:color w:val="000000" w:themeColor="text1"/>
                <w:sz w:val="20"/>
                <w:szCs w:val="20"/>
              </w:rPr>
              <w:t xml:space="preserve"> M, Raaschou-Nielsen O, Andersen ZJ, et al. Long-term exposure to air pollution and cardiovascular mortality: an analysis of 22 European cohorts. Epidemiology. 2014; 25(3): 368-378.</w:t>
            </w:r>
          </w:p>
        </w:tc>
      </w:tr>
      <w:tr w:rsidR="00B123E5" w14:paraId="1EAF6D7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9FEE9D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66</w:t>
            </w:r>
          </w:p>
        </w:tc>
        <w:tc>
          <w:tcPr>
            <w:tcW w:w="1024" w:type="dxa"/>
            <w:tcBorders>
              <w:top w:val="single" w:sz="4" w:space="0" w:color="auto"/>
              <w:left w:val="single" w:sz="4" w:space="0" w:color="auto"/>
              <w:bottom w:val="single" w:sz="4" w:space="0" w:color="auto"/>
              <w:right w:val="single" w:sz="4" w:space="0" w:color="auto"/>
            </w:tcBorders>
            <w:hideMark/>
          </w:tcPr>
          <w:p w14:paraId="335DBD6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236188</w:t>
            </w:r>
          </w:p>
        </w:tc>
        <w:tc>
          <w:tcPr>
            <w:tcW w:w="7046" w:type="dxa"/>
            <w:tcBorders>
              <w:top w:val="single" w:sz="4" w:space="0" w:color="auto"/>
              <w:left w:val="single" w:sz="4" w:space="0" w:color="auto"/>
              <w:bottom w:val="single" w:sz="4" w:space="0" w:color="auto"/>
              <w:right w:val="single" w:sz="4" w:space="0" w:color="auto"/>
            </w:tcBorders>
            <w:hideMark/>
          </w:tcPr>
          <w:p w14:paraId="2E376877"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Stafoggia</w:t>
            </w:r>
            <w:proofErr w:type="spellEnd"/>
            <w:r w:rsidRPr="31F26954">
              <w:rPr>
                <w:rFonts w:eastAsia="Aptos Narrow"/>
                <w:color w:val="000000" w:themeColor="text1"/>
                <w:sz w:val="20"/>
                <w:szCs w:val="20"/>
              </w:rPr>
              <w:t xml:space="preserve"> M, </w:t>
            </w:r>
            <w:proofErr w:type="spellStart"/>
            <w:r w:rsidRPr="31F26954">
              <w:rPr>
                <w:rFonts w:eastAsia="Aptos Narrow"/>
                <w:color w:val="000000" w:themeColor="text1"/>
                <w:sz w:val="20"/>
                <w:szCs w:val="20"/>
              </w:rPr>
              <w:t>Cesaroni</w:t>
            </w:r>
            <w:proofErr w:type="spellEnd"/>
            <w:r w:rsidRPr="31F26954">
              <w:rPr>
                <w:rFonts w:eastAsia="Aptos Narrow"/>
                <w:color w:val="000000" w:themeColor="text1"/>
                <w:sz w:val="20"/>
                <w:szCs w:val="20"/>
              </w:rPr>
              <w:t xml:space="preserve"> G, Peters A, Andersen ZJ, </w:t>
            </w:r>
            <w:proofErr w:type="spellStart"/>
            <w:r w:rsidRPr="31F26954">
              <w:rPr>
                <w:rFonts w:eastAsia="Aptos Narrow"/>
                <w:color w:val="000000" w:themeColor="text1"/>
                <w:sz w:val="20"/>
                <w:szCs w:val="20"/>
              </w:rPr>
              <w:t>Badaloni</w:t>
            </w:r>
            <w:proofErr w:type="spellEnd"/>
            <w:r w:rsidRPr="31F26954">
              <w:rPr>
                <w:rFonts w:eastAsia="Aptos Narrow"/>
                <w:color w:val="000000" w:themeColor="text1"/>
                <w:sz w:val="20"/>
                <w:szCs w:val="20"/>
              </w:rPr>
              <w:t xml:space="preserve"> C, Beelen R, Caracciolo B, </w:t>
            </w:r>
            <w:proofErr w:type="spellStart"/>
            <w:r w:rsidRPr="31F26954">
              <w:rPr>
                <w:rFonts w:eastAsia="Aptos Narrow"/>
                <w:color w:val="000000" w:themeColor="text1"/>
                <w:sz w:val="20"/>
                <w:szCs w:val="20"/>
              </w:rPr>
              <w:t>Cyrys</w:t>
            </w:r>
            <w:proofErr w:type="spellEnd"/>
            <w:r w:rsidRPr="31F26954">
              <w:rPr>
                <w:rFonts w:eastAsia="Aptos Narrow"/>
                <w:color w:val="000000" w:themeColor="text1"/>
                <w:sz w:val="20"/>
                <w:szCs w:val="20"/>
              </w:rPr>
              <w:t xml:space="preserve"> J, de Faire U, de </w:t>
            </w:r>
            <w:proofErr w:type="spellStart"/>
            <w:r w:rsidRPr="31F26954">
              <w:rPr>
                <w:rFonts w:eastAsia="Aptos Narrow"/>
                <w:color w:val="000000" w:themeColor="text1"/>
                <w:sz w:val="20"/>
                <w:szCs w:val="20"/>
              </w:rPr>
              <w:t>Hoogh</w:t>
            </w:r>
            <w:proofErr w:type="spellEnd"/>
            <w:r w:rsidRPr="31F26954">
              <w:rPr>
                <w:rFonts w:eastAsia="Aptos Narrow"/>
                <w:color w:val="000000" w:themeColor="text1"/>
                <w:sz w:val="20"/>
                <w:szCs w:val="20"/>
              </w:rPr>
              <w:t xml:space="preserve"> K, Eriksen KT, </w:t>
            </w:r>
            <w:proofErr w:type="spellStart"/>
            <w:r w:rsidRPr="31F26954">
              <w:rPr>
                <w:rFonts w:eastAsia="Aptos Narrow"/>
                <w:color w:val="000000" w:themeColor="text1"/>
                <w:sz w:val="20"/>
                <w:szCs w:val="20"/>
              </w:rPr>
              <w:t>Fratiglioni</w:t>
            </w:r>
            <w:proofErr w:type="spellEnd"/>
            <w:r w:rsidRPr="31F26954">
              <w:rPr>
                <w:rFonts w:eastAsia="Aptos Narrow"/>
                <w:color w:val="000000" w:themeColor="text1"/>
                <w:sz w:val="20"/>
                <w:szCs w:val="20"/>
              </w:rPr>
              <w:t xml:space="preserve"> L, Galassi C, Gigante B, </w:t>
            </w:r>
            <w:proofErr w:type="spellStart"/>
            <w:r w:rsidRPr="31F26954">
              <w:rPr>
                <w:rFonts w:eastAsia="Aptos Narrow"/>
                <w:color w:val="000000" w:themeColor="text1"/>
                <w:sz w:val="20"/>
                <w:szCs w:val="20"/>
              </w:rPr>
              <w:t>Havulinna</w:t>
            </w:r>
            <w:proofErr w:type="spellEnd"/>
            <w:r w:rsidRPr="31F26954">
              <w:rPr>
                <w:rFonts w:eastAsia="Aptos Narrow"/>
                <w:color w:val="000000" w:themeColor="text1"/>
                <w:sz w:val="20"/>
                <w:szCs w:val="20"/>
              </w:rPr>
              <w:t xml:space="preserve"> AS, Hennig F, Hilding A, Hoek G, Hoffmann B, </w:t>
            </w:r>
            <w:proofErr w:type="spellStart"/>
            <w:r w:rsidRPr="31F26954">
              <w:rPr>
                <w:rFonts w:eastAsia="Aptos Narrow"/>
                <w:color w:val="000000" w:themeColor="text1"/>
                <w:sz w:val="20"/>
                <w:szCs w:val="20"/>
              </w:rPr>
              <w:t>Houthuijs</w:t>
            </w:r>
            <w:proofErr w:type="spellEnd"/>
            <w:r w:rsidRPr="31F26954">
              <w:rPr>
                <w:rFonts w:eastAsia="Aptos Narrow"/>
                <w:color w:val="000000" w:themeColor="text1"/>
                <w:sz w:val="20"/>
                <w:szCs w:val="20"/>
              </w:rPr>
              <w:t xml:space="preserve"> D, Korek M, </w:t>
            </w:r>
            <w:proofErr w:type="spellStart"/>
            <w:r w:rsidRPr="31F26954">
              <w:rPr>
                <w:rFonts w:eastAsia="Aptos Narrow"/>
                <w:color w:val="000000" w:themeColor="text1"/>
                <w:sz w:val="20"/>
                <w:szCs w:val="20"/>
              </w:rPr>
              <w:t>Lanki</w:t>
            </w:r>
            <w:proofErr w:type="spellEnd"/>
            <w:r w:rsidRPr="31F26954">
              <w:rPr>
                <w:rFonts w:eastAsia="Aptos Narrow"/>
                <w:color w:val="000000" w:themeColor="text1"/>
                <w:sz w:val="20"/>
                <w:szCs w:val="20"/>
              </w:rPr>
              <w:t xml:space="preserve"> T, Leander K, Magnusson PK, Meisinger C, Migliore E, Overvad K, Ostenson C-G, Pedersen NL, Pekkanen J, </w:t>
            </w:r>
            <w:proofErr w:type="spellStart"/>
            <w:r w:rsidRPr="31F26954">
              <w:rPr>
                <w:rFonts w:eastAsia="Aptos Narrow"/>
                <w:color w:val="000000" w:themeColor="text1"/>
                <w:sz w:val="20"/>
                <w:szCs w:val="20"/>
              </w:rPr>
              <w:t>Penell</w:t>
            </w:r>
            <w:proofErr w:type="spellEnd"/>
            <w:r w:rsidRPr="31F26954">
              <w:rPr>
                <w:rFonts w:eastAsia="Aptos Narrow"/>
                <w:color w:val="000000" w:themeColor="text1"/>
                <w:sz w:val="20"/>
                <w:szCs w:val="20"/>
              </w:rPr>
              <w:t xml:space="preserve"> J, </w:t>
            </w:r>
            <w:proofErr w:type="spellStart"/>
            <w:r w:rsidRPr="31F26954">
              <w:rPr>
                <w:rFonts w:eastAsia="Aptos Narrow"/>
                <w:color w:val="000000" w:themeColor="text1"/>
                <w:sz w:val="20"/>
                <w:szCs w:val="20"/>
              </w:rPr>
              <w:t>Pershagen</w:t>
            </w:r>
            <w:proofErr w:type="spellEnd"/>
            <w:r w:rsidRPr="31F26954">
              <w:rPr>
                <w:rFonts w:eastAsia="Aptos Narrow"/>
                <w:color w:val="000000" w:themeColor="text1"/>
                <w:sz w:val="20"/>
                <w:szCs w:val="20"/>
              </w:rPr>
              <w:t xml:space="preserve"> G, Pundt N, </w:t>
            </w:r>
            <w:proofErr w:type="spellStart"/>
            <w:r w:rsidRPr="31F26954">
              <w:rPr>
                <w:rFonts w:eastAsia="Aptos Narrow"/>
                <w:color w:val="000000" w:themeColor="text1"/>
                <w:sz w:val="20"/>
                <w:szCs w:val="20"/>
              </w:rPr>
              <w:t>Pyko</w:t>
            </w:r>
            <w:proofErr w:type="spellEnd"/>
            <w:r w:rsidRPr="31F26954">
              <w:rPr>
                <w:rFonts w:eastAsia="Aptos Narrow"/>
                <w:color w:val="000000" w:themeColor="text1"/>
                <w:sz w:val="20"/>
                <w:szCs w:val="20"/>
              </w:rPr>
              <w:t xml:space="preserve"> A, Raaschou-Nielsen O, </w:t>
            </w:r>
            <w:proofErr w:type="spellStart"/>
            <w:r w:rsidRPr="31F26954">
              <w:rPr>
                <w:rFonts w:eastAsia="Aptos Narrow"/>
                <w:color w:val="000000" w:themeColor="text1"/>
                <w:sz w:val="20"/>
                <w:szCs w:val="20"/>
              </w:rPr>
              <w:t>Ranzi</w:t>
            </w:r>
            <w:proofErr w:type="spellEnd"/>
            <w:r w:rsidRPr="31F26954">
              <w:rPr>
                <w:rFonts w:eastAsia="Aptos Narrow"/>
                <w:color w:val="000000" w:themeColor="text1"/>
                <w:sz w:val="20"/>
                <w:szCs w:val="20"/>
              </w:rPr>
              <w:t xml:space="preserve"> A, </w:t>
            </w:r>
            <w:proofErr w:type="spellStart"/>
            <w:r w:rsidRPr="31F26954">
              <w:rPr>
                <w:rFonts w:eastAsia="Aptos Narrow"/>
                <w:color w:val="000000" w:themeColor="text1"/>
                <w:sz w:val="20"/>
                <w:szCs w:val="20"/>
              </w:rPr>
              <w:t>Ricceri</w:t>
            </w:r>
            <w:proofErr w:type="spellEnd"/>
            <w:r w:rsidRPr="31F26954">
              <w:rPr>
                <w:rFonts w:eastAsia="Aptos Narrow"/>
                <w:color w:val="000000" w:themeColor="text1"/>
                <w:sz w:val="20"/>
                <w:szCs w:val="20"/>
              </w:rPr>
              <w:t xml:space="preserve"> F, Sacerdote C, Swart WJR, Turunen AW, </w:t>
            </w:r>
            <w:proofErr w:type="spellStart"/>
            <w:r w:rsidRPr="31F26954">
              <w:rPr>
                <w:rFonts w:eastAsia="Aptos Narrow"/>
                <w:color w:val="000000" w:themeColor="text1"/>
                <w:sz w:val="20"/>
                <w:szCs w:val="20"/>
              </w:rPr>
              <w:t>Vineis</w:t>
            </w:r>
            <w:proofErr w:type="spellEnd"/>
            <w:r w:rsidRPr="31F26954">
              <w:rPr>
                <w:rFonts w:eastAsia="Aptos Narrow"/>
                <w:color w:val="000000" w:themeColor="text1"/>
                <w:sz w:val="20"/>
                <w:szCs w:val="20"/>
              </w:rPr>
              <w:t xml:space="preserve"> P, Weimar C, </w:t>
            </w:r>
            <w:proofErr w:type="spellStart"/>
            <w:r w:rsidRPr="31F26954">
              <w:rPr>
                <w:rFonts w:eastAsia="Aptos Narrow"/>
                <w:color w:val="000000" w:themeColor="text1"/>
                <w:sz w:val="20"/>
                <w:szCs w:val="20"/>
              </w:rPr>
              <w:t>Weinmayr</w:t>
            </w:r>
            <w:proofErr w:type="spellEnd"/>
            <w:r w:rsidRPr="31F26954">
              <w:rPr>
                <w:rFonts w:eastAsia="Aptos Narrow"/>
                <w:color w:val="000000" w:themeColor="text1"/>
                <w:sz w:val="20"/>
                <w:szCs w:val="20"/>
              </w:rPr>
              <w:t xml:space="preserve"> G, Wolf K, </w:t>
            </w:r>
            <w:proofErr w:type="spellStart"/>
            <w:r w:rsidRPr="31F26954">
              <w:rPr>
                <w:rFonts w:eastAsia="Aptos Narrow"/>
                <w:color w:val="000000" w:themeColor="text1"/>
                <w:sz w:val="20"/>
                <w:szCs w:val="20"/>
              </w:rPr>
              <w:t>Brunekreef</w:t>
            </w:r>
            <w:proofErr w:type="spellEnd"/>
            <w:r w:rsidRPr="31F26954">
              <w:rPr>
                <w:rFonts w:eastAsia="Aptos Narrow"/>
                <w:color w:val="000000" w:themeColor="text1"/>
                <w:sz w:val="20"/>
                <w:szCs w:val="20"/>
              </w:rPr>
              <w:t xml:space="preserve"> B, </w:t>
            </w:r>
            <w:proofErr w:type="spellStart"/>
            <w:r w:rsidRPr="31F26954">
              <w:rPr>
                <w:rFonts w:eastAsia="Aptos Narrow"/>
                <w:color w:val="000000" w:themeColor="text1"/>
                <w:sz w:val="20"/>
                <w:szCs w:val="20"/>
              </w:rPr>
              <w:t>Forastiere</w:t>
            </w:r>
            <w:proofErr w:type="spellEnd"/>
            <w:r w:rsidRPr="31F26954">
              <w:rPr>
                <w:rFonts w:eastAsia="Aptos Narrow"/>
                <w:color w:val="000000" w:themeColor="text1"/>
                <w:sz w:val="20"/>
                <w:szCs w:val="20"/>
              </w:rPr>
              <w:t xml:space="preserve"> F. Long-term exposure to ambient air pollution and incidence of cerebrovascular events: results from 11 European cohorts within the ESCAPE project.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2014; 122(9): 919-25.</w:t>
            </w:r>
          </w:p>
        </w:tc>
      </w:tr>
      <w:tr w:rsidR="00B123E5" w14:paraId="1151132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B07CFC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67</w:t>
            </w:r>
          </w:p>
        </w:tc>
        <w:tc>
          <w:tcPr>
            <w:tcW w:w="1024" w:type="dxa"/>
            <w:tcBorders>
              <w:top w:val="single" w:sz="4" w:space="0" w:color="auto"/>
              <w:left w:val="single" w:sz="4" w:space="0" w:color="auto"/>
              <w:bottom w:val="single" w:sz="4" w:space="0" w:color="auto"/>
              <w:right w:val="single" w:sz="4" w:space="0" w:color="auto"/>
            </w:tcBorders>
            <w:hideMark/>
          </w:tcPr>
          <w:p w14:paraId="05BA620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367753</w:t>
            </w:r>
          </w:p>
        </w:tc>
        <w:tc>
          <w:tcPr>
            <w:tcW w:w="7046" w:type="dxa"/>
            <w:tcBorders>
              <w:top w:val="single" w:sz="4" w:space="0" w:color="auto"/>
              <w:left w:val="single" w:sz="4" w:space="0" w:color="auto"/>
              <w:bottom w:val="single" w:sz="4" w:space="0" w:color="auto"/>
              <w:right w:val="single" w:sz="4" w:space="0" w:color="auto"/>
            </w:tcBorders>
            <w:hideMark/>
          </w:tcPr>
          <w:p w14:paraId="5A4E84FF"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MacIntyre EA, Gehring U, </w:t>
            </w:r>
            <w:proofErr w:type="spellStart"/>
            <w:r w:rsidRPr="31F26954">
              <w:rPr>
                <w:rFonts w:eastAsia="Aptos Narrow"/>
                <w:color w:val="000000" w:themeColor="text1"/>
                <w:sz w:val="20"/>
                <w:szCs w:val="20"/>
              </w:rPr>
              <w:t>Mölter</w:t>
            </w:r>
            <w:proofErr w:type="spellEnd"/>
            <w:r w:rsidRPr="31F26954">
              <w:rPr>
                <w:rFonts w:eastAsia="Aptos Narrow"/>
                <w:color w:val="000000" w:themeColor="text1"/>
                <w:sz w:val="20"/>
                <w:szCs w:val="20"/>
              </w:rPr>
              <w:t xml:space="preserve"> A, et al. Air Pollution and Respiratory Infections during Early Childhood: An Analysis of 10 European Birth Cohorts within the ESCAPE Project.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2014; 122(1): 107-13.</w:t>
            </w:r>
          </w:p>
        </w:tc>
      </w:tr>
      <w:tr w:rsidR="00B123E5" w14:paraId="2BADD07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E58F4A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68</w:t>
            </w:r>
          </w:p>
        </w:tc>
        <w:tc>
          <w:tcPr>
            <w:tcW w:w="1024" w:type="dxa"/>
            <w:tcBorders>
              <w:top w:val="single" w:sz="4" w:space="0" w:color="auto"/>
              <w:left w:val="single" w:sz="4" w:space="0" w:color="auto"/>
              <w:bottom w:val="single" w:sz="4" w:space="0" w:color="auto"/>
              <w:right w:val="single" w:sz="4" w:space="0" w:color="auto"/>
            </w:tcBorders>
            <w:hideMark/>
          </w:tcPr>
          <w:p w14:paraId="65AE353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235380</w:t>
            </w:r>
          </w:p>
        </w:tc>
        <w:tc>
          <w:tcPr>
            <w:tcW w:w="7046" w:type="dxa"/>
            <w:tcBorders>
              <w:top w:val="single" w:sz="4" w:space="0" w:color="auto"/>
              <w:left w:val="single" w:sz="4" w:space="0" w:color="auto"/>
              <w:bottom w:val="single" w:sz="4" w:space="0" w:color="auto"/>
              <w:right w:val="single" w:sz="4" w:space="0" w:color="auto"/>
            </w:tcBorders>
            <w:hideMark/>
          </w:tcPr>
          <w:p w14:paraId="673D09CC"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Raaschou-Nielsen O, Andersen ZJ, Beelen R, et al. Air pollution and lung cancer incidence in 17 European cohorts: prospective analyses from the European Study of Cohorts for Air Pollution Effects (ESCAPE). Lancet Oncol. 2013; 14(9): 813-22.</w:t>
            </w:r>
          </w:p>
        </w:tc>
      </w:tr>
      <w:tr w:rsidR="00B123E5" w14:paraId="71B5B88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624558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69</w:t>
            </w:r>
          </w:p>
        </w:tc>
        <w:tc>
          <w:tcPr>
            <w:tcW w:w="1024" w:type="dxa"/>
            <w:tcBorders>
              <w:top w:val="single" w:sz="4" w:space="0" w:color="auto"/>
              <w:left w:val="single" w:sz="4" w:space="0" w:color="auto"/>
              <w:bottom w:val="single" w:sz="4" w:space="0" w:color="auto"/>
              <w:right w:val="single" w:sz="4" w:space="0" w:color="auto"/>
            </w:tcBorders>
            <w:hideMark/>
          </w:tcPr>
          <w:p w14:paraId="7AF106A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329945</w:t>
            </w:r>
          </w:p>
        </w:tc>
        <w:tc>
          <w:tcPr>
            <w:tcW w:w="7046" w:type="dxa"/>
            <w:tcBorders>
              <w:top w:val="single" w:sz="4" w:space="0" w:color="auto"/>
              <w:left w:val="single" w:sz="4" w:space="0" w:color="auto"/>
              <w:bottom w:val="single" w:sz="4" w:space="0" w:color="auto"/>
              <w:right w:val="single" w:sz="4" w:space="0" w:color="auto"/>
            </w:tcBorders>
            <w:hideMark/>
          </w:tcPr>
          <w:p w14:paraId="0B986DB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Gan WQ, </w:t>
            </w:r>
            <w:proofErr w:type="spellStart"/>
            <w:r w:rsidRPr="31F26954">
              <w:rPr>
                <w:rFonts w:eastAsia="Aptos Narrow"/>
                <w:color w:val="000000" w:themeColor="text1"/>
                <w:sz w:val="20"/>
                <w:szCs w:val="20"/>
              </w:rPr>
              <w:t>Koehoorn</w:t>
            </w:r>
            <w:proofErr w:type="spellEnd"/>
            <w:r w:rsidRPr="31F26954">
              <w:rPr>
                <w:rFonts w:eastAsia="Aptos Narrow"/>
                <w:color w:val="000000" w:themeColor="text1"/>
                <w:sz w:val="20"/>
                <w:szCs w:val="20"/>
              </w:rPr>
              <w:t xml:space="preserve"> M, Davies H, Demers P, </w:t>
            </w:r>
            <w:proofErr w:type="spellStart"/>
            <w:r w:rsidRPr="31F26954">
              <w:rPr>
                <w:rFonts w:eastAsia="Aptos Narrow"/>
                <w:color w:val="000000" w:themeColor="text1"/>
                <w:sz w:val="20"/>
                <w:szCs w:val="20"/>
              </w:rPr>
              <w:t>Tamburic</w:t>
            </w:r>
            <w:proofErr w:type="spellEnd"/>
            <w:r w:rsidRPr="31F26954">
              <w:rPr>
                <w:rFonts w:eastAsia="Aptos Narrow"/>
                <w:color w:val="000000" w:themeColor="text1"/>
                <w:sz w:val="20"/>
                <w:szCs w:val="20"/>
              </w:rPr>
              <w:t xml:space="preserve"> L, Brauer M. Long-Term Exposure to Traffic-Related Air Pollution and the Risk of Coronary Heart Disease Hospitalization and Mortality.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2011; 119(4): 501-7.</w:t>
            </w:r>
          </w:p>
        </w:tc>
      </w:tr>
      <w:tr w:rsidR="00B123E5" w14:paraId="7C75D5A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374217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70</w:t>
            </w:r>
          </w:p>
        </w:tc>
        <w:tc>
          <w:tcPr>
            <w:tcW w:w="1024" w:type="dxa"/>
            <w:tcBorders>
              <w:top w:val="single" w:sz="4" w:space="0" w:color="auto"/>
              <w:left w:val="single" w:sz="4" w:space="0" w:color="auto"/>
              <w:bottom w:val="single" w:sz="4" w:space="0" w:color="auto"/>
              <w:right w:val="single" w:sz="4" w:space="0" w:color="auto"/>
            </w:tcBorders>
            <w:hideMark/>
          </w:tcPr>
          <w:p w14:paraId="79342AE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335965</w:t>
            </w:r>
          </w:p>
        </w:tc>
        <w:tc>
          <w:tcPr>
            <w:tcW w:w="7046" w:type="dxa"/>
            <w:tcBorders>
              <w:top w:val="single" w:sz="4" w:space="0" w:color="auto"/>
              <w:left w:val="single" w:sz="4" w:space="0" w:color="auto"/>
              <w:bottom w:val="single" w:sz="4" w:space="0" w:color="auto"/>
              <w:right w:val="single" w:sz="4" w:space="0" w:color="auto"/>
            </w:tcBorders>
            <w:hideMark/>
          </w:tcPr>
          <w:p w14:paraId="615E5F2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Park, Sung Kyun, Sara D. Adar, Marie S. O’Neill, Amy H. Auchincloss, Adam Szpiro, Alain G. Bertoni, Ana Navas-</w:t>
            </w:r>
            <w:proofErr w:type="spellStart"/>
            <w:r w:rsidRPr="31F26954">
              <w:rPr>
                <w:rFonts w:eastAsia="Aptos Narrow"/>
                <w:color w:val="000000" w:themeColor="text1"/>
                <w:sz w:val="20"/>
                <w:szCs w:val="20"/>
              </w:rPr>
              <w:t>Acien</w:t>
            </w:r>
            <w:proofErr w:type="spellEnd"/>
            <w:r w:rsidRPr="31F26954">
              <w:rPr>
                <w:rFonts w:eastAsia="Aptos Narrow"/>
                <w:color w:val="000000" w:themeColor="text1"/>
                <w:sz w:val="20"/>
                <w:szCs w:val="20"/>
              </w:rPr>
              <w:t xml:space="preserve">, Joel D. Kaufman, and Ana V. Diez-Roux. Long-Term Exposure to Air Pollution and Type 2 Diabetes Mellitus in a Multiethnic Cohort. American Journal of Epidemiology 181, no. 5 (March 1, 2015): 327-36. </w:t>
            </w:r>
            <w:hyperlink r:id="rId19">
              <w:r w:rsidRPr="31F26954">
                <w:rPr>
                  <w:rStyle w:val="Hyperlink"/>
                  <w:rFonts w:eastAsia="Aptos Narrow"/>
                  <w:sz w:val="20"/>
                  <w:szCs w:val="20"/>
                </w:rPr>
                <w:t>https://doi.org/10.1093/aje/kwu280</w:t>
              </w:r>
            </w:hyperlink>
            <w:r w:rsidRPr="31F26954">
              <w:rPr>
                <w:rFonts w:eastAsia="Aptos Narrow"/>
                <w:color w:val="000000" w:themeColor="text1"/>
                <w:sz w:val="20"/>
                <w:szCs w:val="20"/>
              </w:rPr>
              <w:t>.</w:t>
            </w:r>
          </w:p>
        </w:tc>
      </w:tr>
      <w:tr w:rsidR="00B123E5" w14:paraId="1530EE3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F924A2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71</w:t>
            </w:r>
          </w:p>
        </w:tc>
        <w:tc>
          <w:tcPr>
            <w:tcW w:w="1024" w:type="dxa"/>
            <w:tcBorders>
              <w:top w:val="single" w:sz="4" w:space="0" w:color="auto"/>
              <w:left w:val="single" w:sz="4" w:space="0" w:color="auto"/>
              <w:bottom w:val="single" w:sz="4" w:space="0" w:color="auto"/>
              <w:right w:val="single" w:sz="4" w:space="0" w:color="auto"/>
            </w:tcBorders>
            <w:hideMark/>
          </w:tcPr>
          <w:p w14:paraId="3A327B2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174240</w:t>
            </w:r>
          </w:p>
        </w:tc>
        <w:tc>
          <w:tcPr>
            <w:tcW w:w="7046" w:type="dxa"/>
            <w:tcBorders>
              <w:top w:val="single" w:sz="4" w:space="0" w:color="auto"/>
              <w:left w:val="single" w:sz="4" w:space="0" w:color="auto"/>
              <w:bottom w:val="single" w:sz="4" w:space="0" w:color="auto"/>
              <w:right w:val="single" w:sz="4" w:space="0" w:color="auto"/>
            </w:tcBorders>
            <w:hideMark/>
          </w:tcPr>
          <w:p w14:paraId="3DAC471D"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Karr CJ, Rudra CB, Miller KA, Gould TR, Larson T, Sathyanarayana S, Koenig JQ. Infant exposure to fine particulate matter and traffic and risk of hospitalization for RSV bronchiolitis in a region with lower ambient air pollution. Environ Res. 2009; 109(3): 321-7.</w:t>
            </w:r>
          </w:p>
        </w:tc>
      </w:tr>
      <w:tr w:rsidR="00B123E5" w14:paraId="445AD98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13077A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72</w:t>
            </w:r>
          </w:p>
        </w:tc>
        <w:tc>
          <w:tcPr>
            <w:tcW w:w="1024" w:type="dxa"/>
            <w:tcBorders>
              <w:top w:val="single" w:sz="4" w:space="0" w:color="auto"/>
              <w:left w:val="single" w:sz="4" w:space="0" w:color="auto"/>
              <w:bottom w:val="single" w:sz="4" w:space="0" w:color="auto"/>
              <w:right w:val="single" w:sz="4" w:space="0" w:color="auto"/>
            </w:tcBorders>
            <w:hideMark/>
          </w:tcPr>
          <w:p w14:paraId="0B6BCF5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335959</w:t>
            </w:r>
          </w:p>
        </w:tc>
        <w:tc>
          <w:tcPr>
            <w:tcW w:w="7046" w:type="dxa"/>
            <w:tcBorders>
              <w:top w:val="single" w:sz="4" w:space="0" w:color="auto"/>
              <w:left w:val="single" w:sz="4" w:space="0" w:color="auto"/>
              <w:bottom w:val="single" w:sz="4" w:space="0" w:color="auto"/>
              <w:right w:val="single" w:sz="4" w:space="0" w:color="auto"/>
            </w:tcBorders>
            <w:hideMark/>
          </w:tcPr>
          <w:p w14:paraId="41FDE584"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Chen, Hong, Richard T. Burnett, Jeffrey C. Kwong, Paul J. Villeneuve, Mark S. Goldberg, Robert D. Brook, Aaron van Donkelaar, et al. ‚</w:t>
            </w:r>
            <w:proofErr w:type="spellStart"/>
            <w:r w:rsidRPr="31F26954">
              <w:rPr>
                <w:rFonts w:eastAsia="Aptos Narrow"/>
                <w:color w:val="000000" w:themeColor="text1"/>
                <w:sz w:val="20"/>
                <w:szCs w:val="20"/>
              </w:rPr>
              <w:t>ÄúRisk</w:t>
            </w:r>
            <w:proofErr w:type="spellEnd"/>
            <w:r w:rsidRPr="31F26954">
              <w:rPr>
                <w:rFonts w:eastAsia="Aptos Narrow"/>
                <w:color w:val="000000" w:themeColor="text1"/>
                <w:sz w:val="20"/>
                <w:szCs w:val="20"/>
              </w:rPr>
              <w:t xml:space="preserve"> of Incident Diabetes in Relation to Long-Term Exposure to Fine Particulate Matter in Ontario, Canada.‚</w:t>
            </w:r>
            <w:proofErr w:type="spellStart"/>
            <w:r w:rsidRPr="31F26954">
              <w:rPr>
                <w:rFonts w:eastAsia="Aptos Narrow"/>
                <w:color w:val="000000" w:themeColor="text1"/>
                <w:sz w:val="20"/>
                <w:szCs w:val="20"/>
              </w:rPr>
              <w:t>Äù</w:t>
            </w:r>
            <w:proofErr w:type="spellEnd"/>
            <w:r w:rsidRPr="31F26954">
              <w:rPr>
                <w:rFonts w:eastAsia="Aptos Narrow"/>
                <w:color w:val="000000" w:themeColor="text1"/>
                <w:sz w:val="20"/>
                <w:szCs w:val="20"/>
              </w:rPr>
              <w:t xml:space="preserve"> Environmental Health Perspectives 121, no. 7 (July 2013): 804-10. </w:t>
            </w:r>
            <w:hyperlink r:id="rId20">
              <w:r w:rsidRPr="31F26954">
                <w:rPr>
                  <w:rStyle w:val="Hyperlink"/>
                  <w:rFonts w:eastAsia="Aptos Narrow"/>
                  <w:sz w:val="20"/>
                  <w:szCs w:val="20"/>
                </w:rPr>
                <w:t>https://doi.org/10.1289/ehp.1205958</w:t>
              </w:r>
            </w:hyperlink>
            <w:r w:rsidRPr="31F26954">
              <w:rPr>
                <w:rFonts w:eastAsia="Aptos Narrow"/>
                <w:color w:val="000000" w:themeColor="text1"/>
                <w:sz w:val="20"/>
                <w:szCs w:val="20"/>
              </w:rPr>
              <w:t>.</w:t>
            </w:r>
          </w:p>
        </w:tc>
      </w:tr>
      <w:tr w:rsidR="00B123E5" w14:paraId="14B8AA8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C583BC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73</w:t>
            </w:r>
          </w:p>
        </w:tc>
        <w:tc>
          <w:tcPr>
            <w:tcW w:w="1024" w:type="dxa"/>
            <w:tcBorders>
              <w:top w:val="single" w:sz="4" w:space="0" w:color="auto"/>
              <w:left w:val="single" w:sz="4" w:space="0" w:color="auto"/>
              <w:bottom w:val="single" w:sz="4" w:space="0" w:color="auto"/>
              <w:right w:val="single" w:sz="4" w:space="0" w:color="auto"/>
            </w:tcBorders>
            <w:hideMark/>
          </w:tcPr>
          <w:p w14:paraId="0FFA276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174247</w:t>
            </w:r>
          </w:p>
        </w:tc>
        <w:tc>
          <w:tcPr>
            <w:tcW w:w="7046" w:type="dxa"/>
            <w:tcBorders>
              <w:top w:val="single" w:sz="4" w:space="0" w:color="auto"/>
              <w:left w:val="single" w:sz="4" w:space="0" w:color="auto"/>
              <w:bottom w:val="single" w:sz="4" w:space="0" w:color="auto"/>
              <w:right w:val="single" w:sz="4" w:space="0" w:color="auto"/>
            </w:tcBorders>
            <w:hideMark/>
          </w:tcPr>
          <w:p w14:paraId="0AC723E4"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Karr C, Lumley T, Schreuder A, Davis R, Larson T, Ritz B, Kaufman J. Effects of </w:t>
            </w:r>
            <w:proofErr w:type="spellStart"/>
            <w:r w:rsidRPr="31F26954">
              <w:rPr>
                <w:rFonts w:eastAsia="Aptos Narrow"/>
                <w:color w:val="000000" w:themeColor="text1"/>
                <w:sz w:val="20"/>
                <w:szCs w:val="20"/>
              </w:rPr>
              <w:t>subchronic</w:t>
            </w:r>
            <w:proofErr w:type="spellEnd"/>
            <w:r w:rsidRPr="31F26954">
              <w:rPr>
                <w:rFonts w:eastAsia="Aptos Narrow"/>
                <w:color w:val="000000" w:themeColor="text1"/>
                <w:sz w:val="20"/>
                <w:szCs w:val="20"/>
              </w:rPr>
              <w:t xml:space="preserve"> and chronic exposure to ambient air pollutants on infant bronchiolitis. Am J Epidemiol. 2007; 165(5): 553-60.</w:t>
            </w:r>
          </w:p>
        </w:tc>
      </w:tr>
      <w:tr w:rsidR="00B123E5" w14:paraId="43A6AAC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B721E6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74</w:t>
            </w:r>
          </w:p>
        </w:tc>
        <w:tc>
          <w:tcPr>
            <w:tcW w:w="1024" w:type="dxa"/>
            <w:tcBorders>
              <w:top w:val="single" w:sz="4" w:space="0" w:color="auto"/>
              <w:left w:val="single" w:sz="4" w:space="0" w:color="auto"/>
              <w:bottom w:val="single" w:sz="4" w:space="0" w:color="auto"/>
              <w:right w:val="single" w:sz="4" w:space="0" w:color="auto"/>
            </w:tcBorders>
            <w:hideMark/>
          </w:tcPr>
          <w:p w14:paraId="34056C2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335963</w:t>
            </w:r>
          </w:p>
        </w:tc>
        <w:tc>
          <w:tcPr>
            <w:tcW w:w="7046" w:type="dxa"/>
            <w:tcBorders>
              <w:top w:val="single" w:sz="4" w:space="0" w:color="auto"/>
              <w:left w:val="single" w:sz="4" w:space="0" w:color="auto"/>
              <w:bottom w:val="single" w:sz="4" w:space="0" w:color="auto"/>
              <w:right w:val="single" w:sz="4" w:space="0" w:color="auto"/>
            </w:tcBorders>
            <w:hideMark/>
          </w:tcPr>
          <w:p w14:paraId="4F13BF82"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Weinmayr</w:t>
            </w:r>
            <w:proofErr w:type="spellEnd"/>
            <w:r w:rsidRPr="31F26954">
              <w:rPr>
                <w:rFonts w:eastAsia="Aptos Narrow"/>
                <w:color w:val="000000" w:themeColor="text1"/>
                <w:sz w:val="20"/>
                <w:szCs w:val="20"/>
              </w:rPr>
              <w:t xml:space="preserve">, Gudrun, Frauke Hennig, Kateryna Fuks, et al. Long-Term Exposure to Fine Particulate Matter and Incidence of Type 2 Diabetes Mellitus in a Cohort Study: Effects of Total and Traffic-Specific Air Pollution. Environmental Health 14 (June 19, 2015): 53. </w:t>
            </w:r>
            <w:hyperlink r:id="rId21">
              <w:r w:rsidRPr="31F26954">
                <w:rPr>
                  <w:rStyle w:val="Hyperlink"/>
                  <w:rFonts w:eastAsia="Aptos Narrow"/>
                  <w:sz w:val="20"/>
                  <w:szCs w:val="20"/>
                </w:rPr>
                <w:t>https://doi.org/10.1186/s12940-015-0031-x</w:t>
              </w:r>
            </w:hyperlink>
            <w:r w:rsidRPr="31F26954">
              <w:rPr>
                <w:rFonts w:eastAsia="Aptos Narrow"/>
                <w:color w:val="000000" w:themeColor="text1"/>
                <w:sz w:val="20"/>
                <w:szCs w:val="20"/>
              </w:rPr>
              <w:t>.</w:t>
            </w:r>
          </w:p>
        </w:tc>
      </w:tr>
      <w:tr w:rsidR="00B123E5" w14:paraId="7CEA835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BF36CB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75</w:t>
            </w:r>
          </w:p>
        </w:tc>
        <w:tc>
          <w:tcPr>
            <w:tcW w:w="1024" w:type="dxa"/>
            <w:tcBorders>
              <w:top w:val="single" w:sz="4" w:space="0" w:color="auto"/>
              <w:left w:val="single" w:sz="4" w:space="0" w:color="auto"/>
              <w:bottom w:val="single" w:sz="4" w:space="0" w:color="auto"/>
              <w:right w:val="single" w:sz="4" w:space="0" w:color="auto"/>
            </w:tcBorders>
            <w:hideMark/>
          </w:tcPr>
          <w:p w14:paraId="749F689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335967</w:t>
            </w:r>
          </w:p>
        </w:tc>
        <w:tc>
          <w:tcPr>
            <w:tcW w:w="7046" w:type="dxa"/>
            <w:tcBorders>
              <w:top w:val="single" w:sz="4" w:space="0" w:color="auto"/>
              <w:left w:val="single" w:sz="4" w:space="0" w:color="auto"/>
              <w:bottom w:val="single" w:sz="4" w:space="0" w:color="auto"/>
              <w:right w:val="single" w:sz="4" w:space="0" w:color="auto"/>
            </w:tcBorders>
            <w:hideMark/>
          </w:tcPr>
          <w:p w14:paraId="227BA80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To T, Zhu J, Villeneuve PJ, </w:t>
            </w:r>
            <w:proofErr w:type="spellStart"/>
            <w:r w:rsidRPr="31F26954">
              <w:rPr>
                <w:rFonts w:eastAsia="Aptos Narrow"/>
                <w:color w:val="000000" w:themeColor="text1"/>
                <w:sz w:val="20"/>
                <w:szCs w:val="20"/>
              </w:rPr>
              <w:t>Simatovic</w:t>
            </w:r>
            <w:proofErr w:type="spellEnd"/>
            <w:r w:rsidRPr="31F26954">
              <w:rPr>
                <w:rFonts w:eastAsia="Aptos Narrow"/>
                <w:color w:val="000000" w:themeColor="text1"/>
                <w:sz w:val="20"/>
                <w:szCs w:val="20"/>
              </w:rPr>
              <w:t xml:space="preserve"> J, Feldman L, Gao C, Williams D, Chen H, </w:t>
            </w:r>
            <w:proofErr w:type="spellStart"/>
            <w:r w:rsidRPr="31F26954">
              <w:rPr>
                <w:rFonts w:eastAsia="Aptos Narrow"/>
                <w:color w:val="000000" w:themeColor="text1"/>
                <w:sz w:val="20"/>
                <w:szCs w:val="20"/>
              </w:rPr>
              <w:t>Weichenthal</w:t>
            </w:r>
            <w:proofErr w:type="spellEnd"/>
            <w:r w:rsidRPr="31F26954">
              <w:rPr>
                <w:rFonts w:eastAsia="Aptos Narrow"/>
                <w:color w:val="000000" w:themeColor="text1"/>
                <w:sz w:val="20"/>
                <w:szCs w:val="20"/>
              </w:rPr>
              <w:t xml:space="preserve"> S, Wall C, Miller AB. Chronic disease prevalence in women and air pollution--A 30-year longitudinal cohort study. Environ Int. 2015; 80: 26-32.</w:t>
            </w:r>
          </w:p>
        </w:tc>
      </w:tr>
      <w:tr w:rsidR="00B123E5" w14:paraId="3D0EA80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BBD762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76</w:t>
            </w:r>
          </w:p>
        </w:tc>
        <w:tc>
          <w:tcPr>
            <w:tcW w:w="1024" w:type="dxa"/>
            <w:tcBorders>
              <w:top w:val="single" w:sz="4" w:space="0" w:color="auto"/>
              <w:left w:val="single" w:sz="4" w:space="0" w:color="auto"/>
              <w:bottom w:val="single" w:sz="4" w:space="0" w:color="auto"/>
              <w:right w:val="single" w:sz="4" w:space="0" w:color="auto"/>
            </w:tcBorders>
            <w:hideMark/>
          </w:tcPr>
          <w:p w14:paraId="3E6B609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335971</w:t>
            </w:r>
          </w:p>
        </w:tc>
        <w:tc>
          <w:tcPr>
            <w:tcW w:w="7046" w:type="dxa"/>
            <w:tcBorders>
              <w:top w:val="single" w:sz="4" w:space="0" w:color="auto"/>
              <w:left w:val="single" w:sz="4" w:space="0" w:color="auto"/>
              <w:bottom w:val="single" w:sz="4" w:space="0" w:color="auto"/>
              <w:right w:val="single" w:sz="4" w:space="0" w:color="auto"/>
            </w:tcBorders>
            <w:hideMark/>
          </w:tcPr>
          <w:p w14:paraId="3866065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Clark C, </w:t>
            </w:r>
            <w:proofErr w:type="spellStart"/>
            <w:r w:rsidRPr="31F26954">
              <w:rPr>
                <w:rFonts w:eastAsia="Aptos Narrow"/>
                <w:color w:val="000000" w:themeColor="text1"/>
                <w:sz w:val="20"/>
                <w:szCs w:val="20"/>
              </w:rPr>
              <w:t>Sbihi</w:t>
            </w:r>
            <w:proofErr w:type="spellEnd"/>
            <w:r w:rsidRPr="31F26954">
              <w:rPr>
                <w:rFonts w:eastAsia="Aptos Narrow"/>
                <w:color w:val="000000" w:themeColor="text1"/>
                <w:sz w:val="20"/>
                <w:szCs w:val="20"/>
              </w:rPr>
              <w:t xml:space="preserve"> H, </w:t>
            </w:r>
            <w:proofErr w:type="spellStart"/>
            <w:r w:rsidRPr="31F26954">
              <w:rPr>
                <w:rFonts w:eastAsia="Aptos Narrow"/>
                <w:color w:val="000000" w:themeColor="text1"/>
                <w:sz w:val="20"/>
                <w:szCs w:val="20"/>
              </w:rPr>
              <w:t>Tamburic</w:t>
            </w:r>
            <w:proofErr w:type="spellEnd"/>
            <w:r w:rsidRPr="31F26954">
              <w:rPr>
                <w:rFonts w:eastAsia="Aptos Narrow"/>
                <w:color w:val="000000" w:themeColor="text1"/>
                <w:sz w:val="20"/>
                <w:szCs w:val="20"/>
              </w:rPr>
              <w:t xml:space="preserve"> L, Brauer M, Frank LD, Davies HW. Association of Long-Term Exposure to Transportation Noise and Traffic-Related Air Pollution with the Incidence of Diabetes: A Prospective Cohort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2017; 125(8): 087025.</w:t>
            </w:r>
          </w:p>
        </w:tc>
      </w:tr>
      <w:tr w:rsidR="00B123E5" w14:paraId="43F3465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651D02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77</w:t>
            </w:r>
          </w:p>
        </w:tc>
        <w:tc>
          <w:tcPr>
            <w:tcW w:w="1024" w:type="dxa"/>
            <w:tcBorders>
              <w:top w:val="single" w:sz="4" w:space="0" w:color="auto"/>
              <w:left w:val="single" w:sz="4" w:space="0" w:color="auto"/>
              <w:bottom w:val="single" w:sz="4" w:space="0" w:color="auto"/>
              <w:right w:val="single" w:sz="4" w:space="0" w:color="auto"/>
            </w:tcBorders>
            <w:hideMark/>
          </w:tcPr>
          <w:p w14:paraId="3BAAD19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174254</w:t>
            </w:r>
          </w:p>
        </w:tc>
        <w:tc>
          <w:tcPr>
            <w:tcW w:w="7046" w:type="dxa"/>
            <w:tcBorders>
              <w:top w:val="single" w:sz="4" w:space="0" w:color="auto"/>
              <w:left w:val="single" w:sz="4" w:space="0" w:color="auto"/>
              <w:bottom w:val="single" w:sz="4" w:space="0" w:color="auto"/>
              <w:right w:val="single" w:sz="4" w:space="0" w:color="auto"/>
            </w:tcBorders>
            <w:hideMark/>
          </w:tcPr>
          <w:p w14:paraId="23385A7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Puett RC, Hart JE, Suh H, Mittleman M, Laden F. Particulate matter exposures, mortality, and cardiovascular disease in the health professionals follow-up study.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2011; 119(8): 1130-5.</w:t>
            </w:r>
          </w:p>
        </w:tc>
      </w:tr>
      <w:tr w:rsidR="00B123E5" w14:paraId="230875A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6DD8F6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78</w:t>
            </w:r>
          </w:p>
        </w:tc>
        <w:tc>
          <w:tcPr>
            <w:tcW w:w="1024" w:type="dxa"/>
            <w:tcBorders>
              <w:top w:val="single" w:sz="4" w:space="0" w:color="auto"/>
              <w:left w:val="single" w:sz="4" w:space="0" w:color="auto"/>
              <w:bottom w:val="single" w:sz="4" w:space="0" w:color="auto"/>
              <w:right w:val="single" w:sz="4" w:space="0" w:color="auto"/>
            </w:tcBorders>
            <w:hideMark/>
          </w:tcPr>
          <w:p w14:paraId="5CD2630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336031</w:t>
            </w:r>
          </w:p>
        </w:tc>
        <w:tc>
          <w:tcPr>
            <w:tcW w:w="7046" w:type="dxa"/>
            <w:tcBorders>
              <w:top w:val="single" w:sz="4" w:space="0" w:color="auto"/>
              <w:left w:val="single" w:sz="4" w:space="0" w:color="auto"/>
              <w:bottom w:val="single" w:sz="4" w:space="0" w:color="auto"/>
              <w:right w:val="single" w:sz="4" w:space="0" w:color="auto"/>
            </w:tcBorders>
            <w:hideMark/>
          </w:tcPr>
          <w:p w14:paraId="0E2E5891"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Tseng E, Ho W-C, Lin M-H, Cheng T-J, Chen P-C, Lin H-H. Chronic exposure to particulate matter and risk of cardiovascular mortality: cohort study from Taiwan. BMC Public Health. 2015; 15: 936.</w:t>
            </w:r>
          </w:p>
        </w:tc>
      </w:tr>
      <w:tr w:rsidR="00B123E5" w14:paraId="77B78AE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696BD1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79</w:t>
            </w:r>
          </w:p>
        </w:tc>
        <w:tc>
          <w:tcPr>
            <w:tcW w:w="1024" w:type="dxa"/>
            <w:tcBorders>
              <w:top w:val="single" w:sz="4" w:space="0" w:color="auto"/>
              <w:left w:val="single" w:sz="4" w:space="0" w:color="auto"/>
              <w:bottom w:val="single" w:sz="4" w:space="0" w:color="auto"/>
              <w:right w:val="single" w:sz="4" w:space="0" w:color="auto"/>
            </w:tcBorders>
            <w:hideMark/>
          </w:tcPr>
          <w:p w14:paraId="2FE02BD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336033</w:t>
            </w:r>
          </w:p>
        </w:tc>
        <w:tc>
          <w:tcPr>
            <w:tcW w:w="7046" w:type="dxa"/>
            <w:tcBorders>
              <w:top w:val="single" w:sz="4" w:space="0" w:color="auto"/>
              <w:left w:val="single" w:sz="4" w:space="0" w:color="auto"/>
              <w:bottom w:val="single" w:sz="4" w:space="0" w:color="auto"/>
              <w:right w:val="single" w:sz="4" w:space="0" w:color="auto"/>
            </w:tcBorders>
            <w:hideMark/>
          </w:tcPr>
          <w:p w14:paraId="45FF8C56"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Yin P, Brauer M, Cohen A, Burnett RT, Liu J, Liu Y, Liang R, Wang W, Qi J, Wang L, Zhou M. Long-term Fine Particulate Matter Exposure and Nonaccidental and Cause-specific Mortality in a Large National Cohort of Chinese Men.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2017; 125(11): 117002.</w:t>
            </w:r>
          </w:p>
        </w:tc>
      </w:tr>
      <w:tr w:rsidR="00B123E5" w14:paraId="6A7724F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75944B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80</w:t>
            </w:r>
          </w:p>
        </w:tc>
        <w:tc>
          <w:tcPr>
            <w:tcW w:w="1024" w:type="dxa"/>
            <w:tcBorders>
              <w:top w:val="single" w:sz="4" w:space="0" w:color="auto"/>
              <w:left w:val="single" w:sz="4" w:space="0" w:color="auto"/>
              <w:bottom w:val="single" w:sz="4" w:space="0" w:color="auto"/>
              <w:right w:val="single" w:sz="4" w:space="0" w:color="auto"/>
            </w:tcBorders>
            <w:hideMark/>
          </w:tcPr>
          <w:p w14:paraId="16AF121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418507</w:t>
            </w:r>
          </w:p>
        </w:tc>
        <w:tc>
          <w:tcPr>
            <w:tcW w:w="7046" w:type="dxa"/>
            <w:tcBorders>
              <w:top w:val="single" w:sz="4" w:space="0" w:color="auto"/>
              <w:left w:val="single" w:sz="4" w:space="0" w:color="auto"/>
              <w:bottom w:val="single" w:sz="4" w:space="0" w:color="auto"/>
              <w:right w:val="single" w:sz="4" w:space="0" w:color="auto"/>
            </w:tcBorders>
            <w:hideMark/>
          </w:tcPr>
          <w:p w14:paraId="55564A8F"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Yin P, Brauer M, Cohen A, Burnett RT, Liu J, Liu Y, Liang R, Wang W, Qi J, Wang L, Zhou M. Long-term Fine Particulate Matter Exposure and Nonaccidental and Cause-specific Mortality in a Large National Cohort of Chinese Men.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2017; 125(11): 117002.</w:t>
            </w:r>
          </w:p>
        </w:tc>
      </w:tr>
      <w:tr w:rsidR="00B123E5" w14:paraId="637ABAF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7D3045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81</w:t>
            </w:r>
          </w:p>
        </w:tc>
        <w:tc>
          <w:tcPr>
            <w:tcW w:w="1024" w:type="dxa"/>
            <w:tcBorders>
              <w:top w:val="single" w:sz="4" w:space="0" w:color="auto"/>
              <w:left w:val="single" w:sz="4" w:space="0" w:color="auto"/>
              <w:bottom w:val="single" w:sz="4" w:space="0" w:color="auto"/>
              <w:right w:val="single" w:sz="4" w:space="0" w:color="auto"/>
            </w:tcBorders>
            <w:hideMark/>
          </w:tcPr>
          <w:p w14:paraId="755A0578"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352234</w:t>
            </w:r>
          </w:p>
        </w:tc>
        <w:tc>
          <w:tcPr>
            <w:tcW w:w="7046" w:type="dxa"/>
            <w:tcBorders>
              <w:top w:val="single" w:sz="4" w:space="0" w:color="auto"/>
              <w:left w:val="single" w:sz="4" w:space="0" w:color="auto"/>
              <w:bottom w:val="single" w:sz="4" w:space="0" w:color="auto"/>
              <w:right w:val="single" w:sz="4" w:space="0" w:color="auto"/>
            </w:tcBorders>
            <w:hideMark/>
          </w:tcPr>
          <w:p w14:paraId="1990CFA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Wong CM, Lai HK, Tsang H, Thach TQ, Thomas GN, Lam KBH, Chan KP, Yang L, Lau AKH, Ayres JG, Lee SY, Man Chan W, Hedley AJ, Lam TH. Satellite-Based Estimates of Long-Term Exposure to Fine Particles and Association with Mortality in Elderly Hong Kong Residents.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2015; 123(11): 1167-72.</w:t>
            </w:r>
          </w:p>
        </w:tc>
      </w:tr>
      <w:tr w:rsidR="00B123E5" w14:paraId="2349038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6628CC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82</w:t>
            </w:r>
          </w:p>
        </w:tc>
        <w:tc>
          <w:tcPr>
            <w:tcW w:w="1024" w:type="dxa"/>
            <w:tcBorders>
              <w:top w:val="single" w:sz="4" w:space="0" w:color="auto"/>
              <w:left w:val="single" w:sz="4" w:space="0" w:color="auto"/>
              <w:bottom w:val="single" w:sz="4" w:space="0" w:color="auto"/>
              <w:right w:val="single" w:sz="4" w:space="0" w:color="auto"/>
            </w:tcBorders>
            <w:hideMark/>
          </w:tcPr>
          <w:p w14:paraId="3DBEED2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259390</w:t>
            </w:r>
          </w:p>
        </w:tc>
        <w:tc>
          <w:tcPr>
            <w:tcW w:w="7046" w:type="dxa"/>
            <w:tcBorders>
              <w:top w:val="single" w:sz="4" w:space="0" w:color="auto"/>
              <w:left w:val="single" w:sz="4" w:space="0" w:color="auto"/>
              <w:bottom w:val="single" w:sz="4" w:space="0" w:color="auto"/>
              <w:right w:val="single" w:sz="4" w:space="0" w:color="auto"/>
            </w:tcBorders>
            <w:hideMark/>
          </w:tcPr>
          <w:p w14:paraId="609DDD8B"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Lepeule</w:t>
            </w:r>
            <w:proofErr w:type="spellEnd"/>
            <w:r w:rsidRPr="31F26954">
              <w:rPr>
                <w:rFonts w:eastAsia="Aptos Narrow"/>
                <w:color w:val="000000" w:themeColor="text1"/>
                <w:sz w:val="20"/>
                <w:szCs w:val="20"/>
              </w:rPr>
              <w:t xml:space="preserve"> J, Laden F, Dockery D, Schwartz J. Chronic exposure to fine particles and mortality: an extended follow-up of the Harvard Six Cities study from 1974 to 2009.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2012; 120(7): 965-70.</w:t>
            </w:r>
          </w:p>
        </w:tc>
      </w:tr>
      <w:tr w:rsidR="00B123E5" w14:paraId="2892F70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319FAD6"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83</w:t>
            </w:r>
          </w:p>
        </w:tc>
        <w:tc>
          <w:tcPr>
            <w:tcW w:w="1024" w:type="dxa"/>
            <w:tcBorders>
              <w:top w:val="single" w:sz="4" w:space="0" w:color="auto"/>
              <w:left w:val="single" w:sz="4" w:space="0" w:color="auto"/>
              <w:bottom w:val="single" w:sz="4" w:space="0" w:color="auto"/>
              <w:right w:val="single" w:sz="4" w:space="0" w:color="auto"/>
            </w:tcBorders>
            <w:hideMark/>
          </w:tcPr>
          <w:p w14:paraId="56B8A99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418531</w:t>
            </w:r>
          </w:p>
        </w:tc>
        <w:tc>
          <w:tcPr>
            <w:tcW w:w="7046" w:type="dxa"/>
            <w:tcBorders>
              <w:top w:val="single" w:sz="4" w:space="0" w:color="auto"/>
              <w:left w:val="single" w:sz="4" w:space="0" w:color="auto"/>
              <w:bottom w:val="single" w:sz="4" w:space="0" w:color="auto"/>
              <w:right w:val="single" w:sz="4" w:space="0" w:color="auto"/>
            </w:tcBorders>
            <w:hideMark/>
          </w:tcPr>
          <w:p w14:paraId="054E5156"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Lepeule</w:t>
            </w:r>
            <w:proofErr w:type="spellEnd"/>
            <w:r w:rsidRPr="31F26954">
              <w:rPr>
                <w:rFonts w:eastAsia="Aptos Narrow"/>
                <w:color w:val="000000" w:themeColor="text1"/>
                <w:sz w:val="20"/>
                <w:szCs w:val="20"/>
              </w:rPr>
              <w:t xml:space="preserve"> J, Laden F, Dockery D, Schwartz J. Chronic exposure to fine particles and mortality: an extended follow-up of the Harvard Six Cities study from 1974 to 2009.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2012; 120(7): 965-70.</w:t>
            </w:r>
          </w:p>
        </w:tc>
      </w:tr>
      <w:tr w:rsidR="00B123E5" w14:paraId="19AB328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91CB16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84</w:t>
            </w:r>
          </w:p>
        </w:tc>
        <w:tc>
          <w:tcPr>
            <w:tcW w:w="1024" w:type="dxa"/>
            <w:tcBorders>
              <w:top w:val="single" w:sz="4" w:space="0" w:color="auto"/>
              <w:left w:val="single" w:sz="4" w:space="0" w:color="auto"/>
              <w:bottom w:val="single" w:sz="4" w:space="0" w:color="auto"/>
              <w:right w:val="single" w:sz="4" w:space="0" w:color="auto"/>
            </w:tcBorders>
            <w:hideMark/>
          </w:tcPr>
          <w:p w14:paraId="4CCD68D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356414</w:t>
            </w:r>
          </w:p>
        </w:tc>
        <w:tc>
          <w:tcPr>
            <w:tcW w:w="7046" w:type="dxa"/>
            <w:tcBorders>
              <w:top w:val="single" w:sz="4" w:space="0" w:color="auto"/>
              <w:left w:val="single" w:sz="4" w:space="0" w:color="auto"/>
              <w:bottom w:val="single" w:sz="4" w:space="0" w:color="auto"/>
              <w:right w:val="single" w:sz="4" w:space="0" w:color="auto"/>
            </w:tcBorders>
            <w:hideMark/>
          </w:tcPr>
          <w:p w14:paraId="7F3B1BEC"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Hansen AB, Ravnskjær L, Loft S, Andersen KK, </w:t>
            </w:r>
            <w:proofErr w:type="spellStart"/>
            <w:r w:rsidRPr="31F26954">
              <w:rPr>
                <w:rFonts w:eastAsia="Aptos Narrow"/>
                <w:color w:val="000000" w:themeColor="text1"/>
                <w:sz w:val="20"/>
                <w:szCs w:val="20"/>
              </w:rPr>
              <w:t>Bräuner</w:t>
            </w:r>
            <w:proofErr w:type="spellEnd"/>
            <w:r w:rsidRPr="31F26954">
              <w:rPr>
                <w:rFonts w:eastAsia="Aptos Narrow"/>
                <w:color w:val="000000" w:themeColor="text1"/>
                <w:sz w:val="20"/>
                <w:szCs w:val="20"/>
              </w:rPr>
              <w:t xml:space="preserve"> EV, Baastrup R, Yao C, Ketzel M, Becker T, Brandt J, Hertel O, Andersen ZJ. Long-term exposure to fine particulate matter and incidence of diabetes in the Danish Nurse Cohort. Environ Int. 2016; 91: 243–50.</w:t>
            </w:r>
          </w:p>
        </w:tc>
      </w:tr>
      <w:tr w:rsidR="00B123E5" w14:paraId="01E047B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7BF5B4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85</w:t>
            </w:r>
          </w:p>
        </w:tc>
        <w:tc>
          <w:tcPr>
            <w:tcW w:w="1024" w:type="dxa"/>
            <w:tcBorders>
              <w:top w:val="single" w:sz="4" w:space="0" w:color="auto"/>
              <w:left w:val="single" w:sz="4" w:space="0" w:color="auto"/>
              <w:bottom w:val="single" w:sz="4" w:space="0" w:color="auto"/>
              <w:right w:val="single" w:sz="4" w:space="0" w:color="auto"/>
            </w:tcBorders>
            <w:hideMark/>
          </w:tcPr>
          <w:p w14:paraId="631ECAD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415478</w:t>
            </w:r>
          </w:p>
        </w:tc>
        <w:tc>
          <w:tcPr>
            <w:tcW w:w="7046" w:type="dxa"/>
            <w:tcBorders>
              <w:top w:val="single" w:sz="4" w:space="0" w:color="auto"/>
              <w:left w:val="single" w:sz="4" w:space="0" w:color="auto"/>
              <w:bottom w:val="single" w:sz="4" w:space="0" w:color="auto"/>
              <w:right w:val="single" w:sz="4" w:space="0" w:color="auto"/>
            </w:tcBorders>
            <w:hideMark/>
          </w:tcPr>
          <w:p w14:paraId="2F58EF47" w14:textId="77777777" w:rsidR="00B123E5" w:rsidRDefault="00B123E5" w:rsidP="31F26954">
            <w:pPr>
              <w:rPr>
                <w:rFonts w:eastAsia="Arial"/>
                <w:color w:val="142027"/>
                <w:sz w:val="20"/>
                <w:szCs w:val="20"/>
              </w:rPr>
            </w:pPr>
            <w:r w:rsidRPr="31F26954">
              <w:rPr>
                <w:rFonts w:eastAsia="Arial"/>
                <w:color w:val="142027"/>
                <w:sz w:val="20"/>
                <w:szCs w:val="20"/>
              </w:rPr>
              <w:t xml:space="preserve">Qiu H, Schooling CM, Sun S, Tsang H, Yang Y, Lee RS, Wong CM, Tian L. Long-term exposure to fine particulate matter air pollution and type 2 diabetes mellitus in elderly: A cohort study in Hong Kong. </w:t>
            </w:r>
            <w:r w:rsidRPr="31F26954">
              <w:rPr>
                <w:rFonts w:eastAsia="Arial"/>
                <w:i/>
                <w:iCs/>
                <w:color w:val="142027"/>
                <w:sz w:val="20"/>
                <w:szCs w:val="20"/>
              </w:rPr>
              <w:t>Environ Int</w:t>
            </w:r>
            <w:r w:rsidRPr="31F26954">
              <w:rPr>
                <w:rFonts w:eastAsia="Arial"/>
                <w:color w:val="142027"/>
                <w:sz w:val="20"/>
                <w:szCs w:val="20"/>
              </w:rPr>
              <w:t>. 2018; 113: 350-356.</w:t>
            </w:r>
          </w:p>
        </w:tc>
      </w:tr>
      <w:tr w:rsidR="00B123E5" w14:paraId="6CD5AC5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42C17E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86</w:t>
            </w:r>
          </w:p>
        </w:tc>
        <w:tc>
          <w:tcPr>
            <w:tcW w:w="1024" w:type="dxa"/>
            <w:tcBorders>
              <w:top w:val="single" w:sz="4" w:space="0" w:color="auto"/>
              <w:left w:val="single" w:sz="4" w:space="0" w:color="auto"/>
              <w:bottom w:val="single" w:sz="4" w:space="0" w:color="auto"/>
              <w:right w:val="single" w:sz="4" w:space="0" w:color="auto"/>
            </w:tcBorders>
            <w:hideMark/>
          </w:tcPr>
          <w:p w14:paraId="7A9E3D1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329948</w:t>
            </w:r>
          </w:p>
        </w:tc>
        <w:tc>
          <w:tcPr>
            <w:tcW w:w="7046" w:type="dxa"/>
            <w:tcBorders>
              <w:top w:val="single" w:sz="4" w:space="0" w:color="auto"/>
              <w:left w:val="single" w:sz="4" w:space="0" w:color="auto"/>
              <w:bottom w:val="single" w:sz="4" w:space="0" w:color="auto"/>
              <w:right w:val="single" w:sz="4" w:space="0" w:color="auto"/>
            </w:tcBorders>
            <w:hideMark/>
          </w:tcPr>
          <w:p w14:paraId="239A2DA4"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Pope CA, Burnett R, Thun M, Calle E, </w:t>
            </w:r>
            <w:proofErr w:type="spellStart"/>
            <w:r w:rsidRPr="31F26954">
              <w:rPr>
                <w:rFonts w:eastAsia="Aptos Narrow"/>
                <w:color w:val="000000" w:themeColor="text1"/>
                <w:sz w:val="20"/>
                <w:szCs w:val="20"/>
              </w:rPr>
              <w:t>Krewski</w:t>
            </w:r>
            <w:proofErr w:type="spellEnd"/>
            <w:r w:rsidRPr="31F26954">
              <w:rPr>
                <w:rFonts w:eastAsia="Aptos Narrow"/>
                <w:color w:val="000000" w:themeColor="text1"/>
                <w:sz w:val="20"/>
                <w:szCs w:val="20"/>
              </w:rPr>
              <w:t xml:space="preserve"> D, Ito K, Thurston G. Lung Cancer, Cardiopulmonary Mortality, and Long-term Exposure to Fine Particulate Air Pollution. JAMA. 2002; 287(9): 1132-41.</w:t>
            </w:r>
          </w:p>
        </w:tc>
      </w:tr>
      <w:tr w:rsidR="00B123E5" w14:paraId="6278686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C41758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87</w:t>
            </w:r>
          </w:p>
        </w:tc>
        <w:tc>
          <w:tcPr>
            <w:tcW w:w="1024" w:type="dxa"/>
            <w:tcBorders>
              <w:top w:val="single" w:sz="4" w:space="0" w:color="auto"/>
              <w:left w:val="single" w:sz="4" w:space="0" w:color="auto"/>
              <w:bottom w:val="single" w:sz="4" w:space="0" w:color="auto"/>
              <w:right w:val="single" w:sz="4" w:space="0" w:color="auto"/>
            </w:tcBorders>
            <w:hideMark/>
          </w:tcPr>
          <w:p w14:paraId="5647641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345241</w:t>
            </w:r>
          </w:p>
        </w:tc>
        <w:tc>
          <w:tcPr>
            <w:tcW w:w="7046" w:type="dxa"/>
            <w:tcBorders>
              <w:top w:val="single" w:sz="4" w:space="0" w:color="auto"/>
              <w:left w:val="single" w:sz="4" w:space="0" w:color="auto"/>
              <w:bottom w:val="single" w:sz="4" w:space="0" w:color="auto"/>
              <w:right w:val="single" w:sz="4" w:space="0" w:color="auto"/>
            </w:tcBorders>
            <w:hideMark/>
          </w:tcPr>
          <w:p w14:paraId="0BD76CDF" w14:textId="77777777" w:rsidR="00B123E5" w:rsidRDefault="00B123E5" w:rsidP="31F26954">
            <w:pPr>
              <w:rPr>
                <w:rFonts w:eastAsia="Arial"/>
                <w:color w:val="142027"/>
                <w:sz w:val="20"/>
                <w:szCs w:val="20"/>
              </w:rPr>
            </w:pPr>
            <w:r w:rsidRPr="31F26954">
              <w:rPr>
                <w:rFonts w:eastAsia="Arial"/>
                <w:color w:val="142027"/>
                <w:sz w:val="20"/>
                <w:szCs w:val="20"/>
              </w:rPr>
              <w:t>Burnett RT. Cox Proportional Survival Model Hazard Ratios from Census Year to 2011 for Adults Aged 25 to 89 in CanCHEC Cohort.</w:t>
            </w:r>
          </w:p>
        </w:tc>
      </w:tr>
      <w:tr w:rsidR="00B123E5" w14:paraId="07FAF46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04AE70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88</w:t>
            </w:r>
          </w:p>
        </w:tc>
        <w:tc>
          <w:tcPr>
            <w:tcW w:w="1024" w:type="dxa"/>
            <w:tcBorders>
              <w:top w:val="single" w:sz="4" w:space="0" w:color="auto"/>
              <w:left w:val="single" w:sz="4" w:space="0" w:color="auto"/>
              <w:bottom w:val="single" w:sz="4" w:space="0" w:color="auto"/>
              <w:right w:val="single" w:sz="4" w:space="0" w:color="auto"/>
            </w:tcBorders>
            <w:hideMark/>
          </w:tcPr>
          <w:p w14:paraId="148DD1A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421200</w:t>
            </w:r>
          </w:p>
        </w:tc>
        <w:tc>
          <w:tcPr>
            <w:tcW w:w="7046" w:type="dxa"/>
            <w:tcBorders>
              <w:top w:val="single" w:sz="4" w:space="0" w:color="auto"/>
              <w:left w:val="single" w:sz="4" w:space="0" w:color="auto"/>
              <w:bottom w:val="single" w:sz="4" w:space="0" w:color="auto"/>
              <w:right w:val="single" w:sz="4" w:space="0" w:color="auto"/>
            </w:tcBorders>
            <w:hideMark/>
          </w:tcPr>
          <w:p w14:paraId="1FB1EDC2"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Hystad P et al. Outdoor fine particulate matter air pollution and cardiovascular disease: Results from 747 communities across 21 countries in the PURE study</w:t>
            </w:r>
          </w:p>
        </w:tc>
      </w:tr>
      <w:tr w:rsidR="00B123E5" w14:paraId="34091B6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17E235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89</w:t>
            </w:r>
          </w:p>
        </w:tc>
        <w:tc>
          <w:tcPr>
            <w:tcW w:w="1024" w:type="dxa"/>
            <w:tcBorders>
              <w:top w:val="single" w:sz="4" w:space="0" w:color="auto"/>
              <w:left w:val="single" w:sz="4" w:space="0" w:color="auto"/>
              <w:bottom w:val="single" w:sz="4" w:space="0" w:color="auto"/>
              <w:right w:val="single" w:sz="4" w:space="0" w:color="auto"/>
            </w:tcBorders>
            <w:hideMark/>
          </w:tcPr>
          <w:p w14:paraId="1F1E0B2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438582</w:t>
            </w:r>
          </w:p>
        </w:tc>
        <w:tc>
          <w:tcPr>
            <w:tcW w:w="7046" w:type="dxa"/>
            <w:tcBorders>
              <w:top w:val="single" w:sz="4" w:space="0" w:color="auto"/>
              <w:left w:val="single" w:sz="4" w:space="0" w:color="auto"/>
              <w:bottom w:val="single" w:sz="4" w:space="0" w:color="auto"/>
              <w:right w:val="single" w:sz="4" w:space="0" w:color="auto"/>
            </w:tcBorders>
            <w:hideMark/>
          </w:tcPr>
          <w:p w14:paraId="5E9FD05B"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Huang K, Liang F, Yang X, Liu F, Li J, Xiao Q, Chen J, Liu X, Cao J, Shen C, Yu L, Lu F, Wu X, Zhao L, Wu X, Li Y, Hu D, Huang J, Liu Y, Lu X, Gu D. Long term exposure to ambient fine particulate matter and incidence of stroke: prospective cohort study from the China-PAR project. BMJ. 2019; 367: l6720.</w:t>
            </w:r>
          </w:p>
        </w:tc>
      </w:tr>
      <w:tr w:rsidR="00B123E5" w14:paraId="658B960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C6E4C2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90</w:t>
            </w:r>
          </w:p>
        </w:tc>
        <w:tc>
          <w:tcPr>
            <w:tcW w:w="1024" w:type="dxa"/>
            <w:tcBorders>
              <w:top w:val="single" w:sz="4" w:space="0" w:color="auto"/>
              <w:left w:val="single" w:sz="4" w:space="0" w:color="auto"/>
              <w:bottom w:val="single" w:sz="4" w:space="0" w:color="auto"/>
              <w:right w:val="single" w:sz="4" w:space="0" w:color="auto"/>
            </w:tcBorders>
            <w:hideMark/>
          </w:tcPr>
          <w:p w14:paraId="0E6BBA4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438580</w:t>
            </w:r>
          </w:p>
        </w:tc>
        <w:tc>
          <w:tcPr>
            <w:tcW w:w="7046" w:type="dxa"/>
            <w:tcBorders>
              <w:top w:val="single" w:sz="4" w:space="0" w:color="auto"/>
              <w:left w:val="single" w:sz="4" w:space="0" w:color="auto"/>
              <w:bottom w:val="single" w:sz="4" w:space="0" w:color="auto"/>
              <w:right w:val="single" w:sz="4" w:space="0" w:color="auto"/>
            </w:tcBorders>
            <w:hideMark/>
          </w:tcPr>
          <w:p w14:paraId="55D4F36E"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Qiu H, Sun S, Tsang H, Wong CM, Lee RS, Schooling CM, Tian L. Fine particulate matter exposure and incidence of stroke: A cohort study in Hong Kong. Neurology. 2017; 88(18): 1709-1717.</w:t>
            </w:r>
          </w:p>
        </w:tc>
      </w:tr>
      <w:tr w:rsidR="00B123E5" w14:paraId="16FA15D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70881C9"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91</w:t>
            </w:r>
          </w:p>
        </w:tc>
        <w:tc>
          <w:tcPr>
            <w:tcW w:w="1024" w:type="dxa"/>
            <w:tcBorders>
              <w:top w:val="single" w:sz="4" w:space="0" w:color="auto"/>
              <w:left w:val="single" w:sz="4" w:space="0" w:color="auto"/>
              <w:bottom w:val="single" w:sz="4" w:space="0" w:color="auto"/>
              <w:right w:val="single" w:sz="4" w:space="0" w:color="auto"/>
            </w:tcBorders>
            <w:hideMark/>
          </w:tcPr>
          <w:p w14:paraId="5C67C8A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174244</w:t>
            </w:r>
          </w:p>
        </w:tc>
        <w:tc>
          <w:tcPr>
            <w:tcW w:w="7046" w:type="dxa"/>
            <w:tcBorders>
              <w:top w:val="single" w:sz="4" w:space="0" w:color="auto"/>
              <w:left w:val="single" w:sz="4" w:space="0" w:color="auto"/>
              <w:bottom w:val="single" w:sz="4" w:space="0" w:color="auto"/>
              <w:right w:val="single" w:sz="4" w:space="0" w:color="auto"/>
            </w:tcBorders>
            <w:hideMark/>
          </w:tcPr>
          <w:p w14:paraId="148A415C"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Lipsett MJ, Ostro BD, Reynolds P, Goldberg D, Hertz A, Jerrett M, Smith DF, Garcia C, Chang ET, Bernstein L. Long-term exposure to air pollution and cardiorespiratory disease in the California teachers study cohort. Am J Respir Crit Care Med. 2011; 184(7): 828-35.</w:t>
            </w:r>
          </w:p>
        </w:tc>
      </w:tr>
      <w:tr w:rsidR="00B123E5" w14:paraId="5CC18F8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325253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92</w:t>
            </w:r>
          </w:p>
        </w:tc>
        <w:tc>
          <w:tcPr>
            <w:tcW w:w="1024" w:type="dxa"/>
            <w:tcBorders>
              <w:top w:val="single" w:sz="4" w:space="0" w:color="auto"/>
              <w:left w:val="single" w:sz="4" w:space="0" w:color="auto"/>
              <w:bottom w:val="single" w:sz="4" w:space="0" w:color="auto"/>
              <w:right w:val="single" w:sz="4" w:space="0" w:color="auto"/>
            </w:tcBorders>
            <w:hideMark/>
          </w:tcPr>
          <w:p w14:paraId="13115A5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259372</w:t>
            </w:r>
          </w:p>
        </w:tc>
        <w:tc>
          <w:tcPr>
            <w:tcW w:w="7046" w:type="dxa"/>
            <w:tcBorders>
              <w:top w:val="single" w:sz="4" w:space="0" w:color="auto"/>
              <w:left w:val="single" w:sz="4" w:space="0" w:color="auto"/>
              <w:bottom w:val="single" w:sz="4" w:space="0" w:color="auto"/>
              <w:right w:val="single" w:sz="4" w:space="0" w:color="auto"/>
            </w:tcBorders>
            <w:hideMark/>
          </w:tcPr>
          <w:p w14:paraId="1BC48225"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Lipsett MJ, Ostro BD, Reynolds P, Goldberg D, Hertz A, Jerrett M, Smith DF, Garcia C, Chang ET, Bernstein L. Long-term exposure to air pollution and cardiorespiratory disease in the California teachers study cohort. Am J Respir Crit Care Med. 2011; 184(7): 828-35.</w:t>
            </w:r>
          </w:p>
        </w:tc>
      </w:tr>
      <w:tr w:rsidR="00B123E5" w14:paraId="1E8CA4F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8ACB9F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93</w:t>
            </w:r>
          </w:p>
        </w:tc>
        <w:tc>
          <w:tcPr>
            <w:tcW w:w="1024" w:type="dxa"/>
            <w:tcBorders>
              <w:top w:val="single" w:sz="4" w:space="0" w:color="auto"/>
              <w:left w:val="single" w:sz="4" w:space="0" w:color="auto"/>
              <w:bottom w:val="single" w:sz="4" w:space="0" w:color="auto"/>
              <w:right w:val="single" w:sz="4" w:space="0" w:color="auto"/>
            </w:tcBorders>
            <w:hideMark/>
          </w:tcPr>
          <w:p w14:paraId="6567E75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335969</w:t>
            </w:r>
          </w:p>
        </w:tc>
        <w:tc>
          <w:tcPr>
            <w:tcW w:w="7046" w:type="dxa"/>
            <w:tcBorders>
              <w:top w:val="single" w:sz="4" w:space="0" w:color="auto"/>
              <w:left w:val="single" w:sz="4" w:space="0" w:color="auto"/>
              <w:bottom w:val="single" w:sz="4" w:space="0" w:color="auto"/>
              <w:right w:val="single" w:sz="4" w:space="0" w:color="auto"/>
            </w:tcBorders>
            <w:hideMark/>
          </w:tcPr>
          <w:p w14:paraId="5E23CD6D"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Coogan PF, White LF, Yu J, Burnett RT, Seto E, Brook RD, Palmer JR, Rosenberg L, Jerrett M. PM2.5 and Diabetes and Hypertension Incidence in the Black Women’s Health Study. Epidemiology. 2016; 27(2): 202-10.</w:t>
            </w:r>
          </w:p>
        </w:tc>
      </w:tr>
      <w:tr w:rsidR="00B123E5" w14:paraId="3E082F2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4A2685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94</w:t>
            </w:r>
          </w:p>
        </w:tc>
        <w:tc>
          <w:tcPr>
            <w:tcW w:w="1024" w:type="dxa"/>
            <w:tcBorders>
              <w:top w:val="single" w:sz="4" w:space="0" w:color="auto"/>
              <w:left w:val="single" w:sz="4" w:space="0" w:color="auto"/>
              <w:bottom w:val="single" w:sz="4" w:space="0" w:color="auto"/>
              <w:right w:val="single" w:sz="4" w:space="0" w:color="auto"/>
            </w:tcBorders>
            <w:hideMark/>
          </w:tcPr>
          <w:p w14:paraId="358875D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452892</w:t>
            </w:r>
          </w:p>
        </w:tc>
        <w:tc>
          <w:tcPr>
            <w:tcW w:w="7046" w:type="dxa"/>
            <w:tcBorders>
              <w:top w:val="single" w:sz="4" w:space="0" w:color="auto"/>
              <w:left w:val="single" w:sz="4" w:space="0" w:color="auto"/>
              <w:bottom w:val="single" w:sz="4" w:space="0" w:color="auto"/>
              <w:right w:val="single" w:sz="4" w:space="0" w:color="auto"/>
            </w:tcBorders>
            <w:hideMark/>
          </w:tcPr>
          <w:p w14:paraId="4F1D9C76"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Cakmak S, </w:t>
            </w:r>
            <w:proofErr w:type="spellStart"/>
            <w:r w:rsidRPr="31F26954">
              <w:rPr>
                <w:rFonts w:eastAsia="Aptos Narrow"/>
                <w:color w:val="000000" w:themeColor="text1"/>
                <w:sz w:val="20"/>
                <w:szCs w:val="20"/>
              </w:rPr>
              <w:t>Hebbern</w:t>
            </w:r>
            <w:proofErr w:type="spellEnd"/>
            <w:r w:rsidRPr="31F26954">
              <w:rPr>
                <w:rFonts w:eastAsia="Aptos Narrow"/>
                <w:color w:val="000000" w:themeColor="text1"/>
                <w:sz w:val="20"/>
                <w:szCs w:val="20"/>
              </w:rPr>
              <w:t xml:space="preserve"> C, Pinault L, Lavigne E, Vanos J, Crouse DL, Tjepkema M. Associations between long-term PM&lt;sub&gt;2.5&lt;/sub&gt; and ozone exposure and mortality in the Canadian Census Health and Environment Cohort (CANCHEC), by spatial synoptic classification zone. Environ Int. 2018; 111: 200-211.</w:t>
            </w:r>
          </w:p>
        </w:tc>
      </w:tr>
      <w:tr w:rsidR="00B123E5" w14:paraId="10DDE82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B061EF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95</w:t>
            </w:r>
          </w:p>
        </w:tc>
        <w:tc>
          <w:tcPr>
            <w:tcW w:w="1024" w:type="dxa"/>
            <w:tcBorders>
              <w:top w:val="single" w:sz="4" w:space="0" w:color="auto"/>
              <w:left w:val="single" w:sz="4" w:space="0" w:color="auto"/>
              <w:bottom w:val="single" w:sz="4" w:space="0" w:color="auto"/>
              <w:right w:val="single" w:sz="4" w:space="0" w:color="auto"/>
            </w:tcBorders>
            <w:hideMark/>
          </w:tcPr>
          <w:p w14:paraId="14DFF41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174252</w:t>
            </w:r>
          </w:p>
        </w:tc>
        <w:tc>
          <w:tcPr>
            <w:tcW w:w="7046" w:type="dxa"/>
            <w:tcBorders>
              <w:top w:val="single" w:sz="4" w:space="0" w:color="auto"/>
              <w:left w:val="single" w:sz="4" w:space="0" w:color="auto"/>
              <w:bottom w:val="single" w:sz="4" w:space="0" w:color="auto"/>
              <w:right w:val="single" w:sz="4" w:space="0" w:color="auto"/>
            </w:tcBorders>
            <w:hideMark/>
          </w:tcPr>
          <w:p w14:paraId="6EA37C21"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Chen LH, Knutsen SF, Shavlik D, Beeson WL, Petersen F, </w:t>
            </w:r>
            <w:proofErr w:type="spellStart"/>
            <w:r w:rsidRPr="31F26954">
              <w:rPr>
                <w:rFonts w:eastAsia="Aptos Narrow"/>
                <w:color w:val="000000" w:themeColor="text1"/>
                <w:sz w:val="20"/>
                <w:szCs w:val="20"/>
              </w:rPr>
              <w:t>Ghamsary</w:t>
            </w:r>
            <w:proofErr w:type="spellEnd"/>
            <w:r w:rsidRPr="31F26954">
              <w:rPr>
                <w:rFonts w:eastAsia="Aptos Narrow"/>
                <w:color w:val="000000" w:themeColor="text1"/>
                <w:sz w:val="20"/>
                <w:szCs w:val="20"/>
              </w:rPr>
              <w:t xml:space="preserve"> M, Abbey D. The association between fatal coronary heart disease and ambient particulate air pollution: Are females at greater risk?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2005; 113(12): 1723-9.</w:t>
            </w:r>
          </w:p>
        </w:tc>
      </w:tr>
      <w:tr w:rsidR="00B123E5" w14:paraId="140B857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C20559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96</w:t>
            </w:r>
          </w:p>
        </w:tc>
        <w:tc>
          <w:tcPr>
            <w:tcW w:w="1024" w:type="dxa"/>
            <w:tcBorders>
              <w:top w:val="single" w:sz="4" w:space="0" w:color="auto"/>
              <w:left w:val="single" w:sz="4" w:space="0" w:color="auto"/>
              <w:bottom w:val="single" w:sz="4" w:space="0" w:color="auto"/>
              <w:right w:val="single" w:sz="4" w:space="0" w:color="auto"/>
            </w:tcBorders>
            <w:hideMark/>
          </w:tcPr>
          <w:p w14:paraId="6F7F925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454716</w:t>
            </w:r>
          </w:p>
        </w:tc>
        <w:tc>
          <w:tcPr>
            <w:tcW w:w="7046" w:type="dxa"/>
            <w:tcBorders>
              <w:top w:val="single" w:sz="4" w:space="0" w:color="auto"/>
              <w:left w:val="single" w:sz="4" w:space="0" w:color="auto"/>
              <w:bottom w:val="single" w:sz="4" w:space="0" w:color="auto"/>
              <w:right w:val="single" w:sz="4" w:space="0" w:color="auto"/>
            </w:tcBorders>
            <w:hideMark/>
          </w:tcPr>
          <w:p w14:paraId="0C1EC8D7"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Garcia CA, Yap PS, Park HY, Weller BL. 2016. Association of long-term PM2.5 exposure with mortality using different air pollution exposure models: impacts in rural and urban California. International Journal of Environmental Health Research, 26(2), 145-157</w:t>
            </w:r>
          </w:p>
        </w:tc>
      </w:tr>
      <w:tr w:rsidR="00B123E5" w14:paraId="7D2A94F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90D251E"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97</w:t>
            </w:r>
          </w:p>
        </w:tc>
        <w:tc>
          <w:tcPr>
            <w:tcW w:w="1024" w:type="dxa"/>
            <w:tcBorders>
              <w:top w:val="single" w:sz="4" w:space="0" w:color="auto"/>
              <w:left w:val="single" w:sz="4" w:space="0" w:color="auto"/>
              <w:bottom w:val="single" w:sz="4" w:space="0" w:color="auto"/>
              <w:right w:val="single" w:sz="4" w:space="0" w:color="auto"/>
            </w:tcBorders>
            <w:hideMark/>
          </w:tcPr>
          <w:p w14:paraId="2855AA6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454718</w:t>
            </w:r>
          </w:p>
        </w:tc>
        <w:tc>
          <w:tcPr>
            <w:tcW w:w="7046" w:type="dxa"/>
            <w:tcBorders>
              <w:top w:val="single" w:sz="4" w:space="0" w:color="auto"/>
              <w:left w:val="single" w:sz="4" w:space="0" w:color="auto"/>
              <w:bottom w:val="single" w:sz="4" w:space="0" w:color="auto"/>
              <w:right w:val="single" w:sz="4" w:space="0" w:color="auto"/>
            </w:tcBorders>
            <w:hideMark/>
          </w:tcPr>
          <w:p w14:paraId="79779F63"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Jerrett M, Burnett RT, Beckerman BS, et al. 2013. Spatial analysis of air pollution and mortality in California. American Journal of Respiratory and Critical Care Medicine, 188(5), 593-599.</w:t>
            </w:r>
          </w:p>
        </w:tc>
      </w:tr>
      <w:tr w:rsidR="00B123E5" w14:paraId="34FF453C"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5A1DF9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98</w:t>
            </w:r>
          </w:p>
        </w:tc>
        <w:tc>
          <w:tcPr>
            <w:tcW w:w="1024" w:type="dxa"/>
            <w:tcBorders>
              <w:top w:val="single" w:sz="4" w:space="0" w:color="auto"/>
              <w:left w:val="single" w:sz="4" w:space="0" w:color="auto"/>
              <w:bottom w:val="single" w:sz="4" w:space="0" w:color="auto"/>
              <w:right w:val="single" w:sz="4" w:space="0" w:color="auto"/>
            </w:tcBorders>
            <w:hideMark/>
          </w:tcPr>
          <w:p w14:paraId="0E0C44B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369122</w:t>
            </w:r>
          </w:p>
        </w:tc>
        <w:tc>
          <w:tcPr>
            <w:tcW w:w="7046" w:type="dxa"/>
            <w:tcBorders>
              <w:top w:val="single" w:sz="4" w:space="0" w:color="auto"/>
              <w:left w:val="single" w:sz="4" w:space="0" w:color="auto"/>
              <w:bottom w:val="single" w:sz="4" w:space="0" w:color="auto"/>
              <w:right w:val="single" w:sz="4" w:space="0" w:color="auto"/>
            </w:tcBorders>
            <w:hideMark/>
          </w:tcPr>
          <w:p w14:paraId="07B48FDA"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Weichenthal</w:t>
            </w:r>
            <w:proofErr w:type="spellEnd"/>
            <w:r w:rsidRPr="31F26954">
              <w:rPr>
                <w:rFonts w:eastAsia="Aptos Narrow"/>
                <w:color w:val="000000" w:themeColor="text1"/>
                <w:sz w:val="20"/>
                <w:szCs w:val="20"/>
              </w:rPr>
              <w:t xml:space="preserve"> S, Villeneuve PJ, Burnett RT, van </w:t>
            </w:r>
            <w:proofErr w:type="spellStart"/>
            <w:r w:rsidRPr="31F26954">
              <w:rPr>
                <w:rFonts w:eastAsia="Aptos Narrow"/>
                <w:color w:val="000000" w:themeColor="text1"/>
                <w:sz w:val="20"/>
                <w:szCs w:val="20"/>
              </w:rPr>
              <w:t>Donkelaar</w:t>
            </w:r>
            <w:proofErr w:type="spellEnd"/>
            <w:r w:rsidRPr="31F26954">
              <w:rPr>
                <w:rFonts w:eastAsia="Aptos Narrow"/>
                <w:color w:val="000000" w:themeColor="text1"/>
                <w:sz w:val="20"/>
                <w:szCs w:val="20"/>
              </w:rPr>
              <w:t xml:space="preserve"> A, Martin RV, Jones RR, DellaValle CT, Sandler DP, Ward MH, Hoppin JA. Long-term exposure to fine particulate matter: association with nonaccidental and cardiovascular mortality in the agricultural health study cohort.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2014; 122(6): 609-15.</w:t>
            </w:r>
          </w:p>
        </w:tc>
      </w:tr>
      <w:tr w:rsidR="00B123E5" w14:paraId="7DD688D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00FDAA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99</w:t>
            </w:r>
          </w:p>
        </w:tc>
        <w:tc>
          <w:tcPr>
            <w:tcW w:w="1024" w:type="dxa"/>
            <w:tcBorders>
              <w:top w:val="single" w:sz="4" w:space="0" w:color="auto"/>
              <w:left w:val="single" w:sz="4" w:space="0" w:color="auto"/>
              <w:bottom w:val="single" w:sz="4" w:space="0" w:color="auto"/>
              <w:right w:val="single" w:sz="4" w:space="0" w:color="auto"/>
            </w:tcBorders>
            <w:hideMark/>
          </w:tcPr>
          <w:p w14:paraId="3B42FF1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174252</w:t>
            </w:r>
          </w:p>
        </w:tc>
        <w:tc>
          <w:tcPr>
            <w:tcW w:w="7046" w:type="dxa"/>
            <w:tcBorders>
              <w:top w:val="single" w:sz="4" w:space="0" w:color="auto"/>
              <w:left w:val="single" w:sz="4" w:space="0" w:color="auto"/>
              <w:bottom w:val="single" w:sz="4" w:space="0" w:color="auto"/>
              <w:right w:val="single" w:sz="4" w:space="0" w:color="auto"/>
            </w:tcBorders>
            <w:hideMark/>
          </w:tcPr>
          <w:p w14:paraId="1440324E"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Chen LH, Knutsen SF, Shavlik D, Beeson WL, Petersen F, </w:t>
            </w:r>
            <w:proofErr w:type="spellStart"/>
            <w:r w:rsidRPr="31F26954">
              <w:rPr>
                <w:rFonts w:eastAsia="Aptos Narrow"/>
                <w:color w:val="000000" w:themeColor="text1"/>
                <w:sz w:val="20"/>
                <w:szCs w:val="20"/>
              </w:rPr>
              <w:t>Ghamsary</w:t>
            </w:r>
            <w:proofErr w:type="spellEnd"/>
            <w:r w:rsidRPr="31F26954">
              <w:rPr>
                <w:rFonts w:eastAsia="Aptos Narrow"/>
                <w:color w:val="000000" w:themeColor="text1"/>
                <w:sz w:val="20"/>
                <w:szCs w:val="20"/>
              </w:rPr>
              <w:t xml:space="preserve"> M, Abbey D. The association between fatal coronary heart disease and ambient particulate air pollution: Are females at greater risk?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2005; 113(12): 1723-9.</w:t>
            </w:r>
          </w:p>
        </w:tc>
      </w:tr>
      <w:tr w:rsidR="00B123E5" w14:paraId="1C153F4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A4D7EC6"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100</w:t>
            </w:r>
          </w:p>
        </w:tc>
        <w:tc>
          <w:tcPr>
            <w:tcW w:w="1024" w:type="dxa"/>
            <w:tcBorders>
              <w:top w:val="single" w:sz="4" w:space="0" w:color="auto"/>
              <w:left w:val="single" w:sz="4" w:space="0" w:color="auto"/>
              <w:bottom w:val="single" w:sz="4" w:space="0" w:color="auto"/>
              <w:right w:val="single" w:sz="4" w:space="0" w:color="auto"/>
            </w:tcBorders>
            <w:hideMark/>
          </w:tcPr>
          <w:p w14:paraId="7A052866"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454746</w:t>
            </w:r>
          </w:p>
        </w:tc>
        <w:tc>
          <w:tcPr>
            <w:tcW w:w="7046" w:type="dxa"/>
            <w:tcBorders>
              <w:top w:val="single" w:sz="4" w:space="0" w:color="auto"/>
              <w:left w:val="single" w:sz="4" w:space="0" w:color="auto"/>
              <w:bottom w:val="single" w:sz="4" w:space="0" w:color="auto"/>
              <w:right w:val="single" w:sz="4" w:space="0" w:color="auto"/>
            </w:tcBorders>
            <w:hideMark/>
          </w:tcPr>
          <w:p w14:paraId="32EBD348"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Turner MC, </w:t>
            </w:r>
            <w:proofErr w:type="spellStart"/>
            <w:r w:rsidRPr="31F26954">
              <w:rPr>
                <w:rFonts w:eastAsia="Aptos Narrow"/>
                <w:color w:val="000000" w:themeColor="text1"/>
                <w:sz w:val="20"/>
                <w:szCs w:val="20"/>
              </w:rPr>
              <w:t>Krewski</w:t>
            </w:r>
            <w:proofErr w:type="spellEnd"/>
            <w:r w:rsidRPr="31F26954">
              <w:rPr>
                <w:rFonts w:eastAsia="Aptos Narrow"/>
                <w:color w:val="000000" w:themeColor="text1"/>
                <w:sz w:val="20"/>
                <w:szCs w:val="20"/>
              </w:rPr>
              <w:t xml:space="preserve"> D, Pope CA, et al. 2011. Long-term ambient fine particulate matter air pollution and lung cancer in a large cohort of never-smokers. American Journal of Respiratory and Critical Care Medicine, 184(12), 1374-1381.</w:t>
            </w:r>
          </w:p>
        </w:tc>
      </w:tr>
      <w:tr w:rsidR="00B123E5" w14:paraId="5C42C430"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62A7E7B"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101</w:t>
            </w:r>
          </w:p>
        </w:tc>
        <w:tc>
          <w:tcPr>
            <w:tcW w:w="1024" w:type="dxa"/>
            <w:tcBorders>
              <w:top w:val="single" w:sz="4" w:space="0" w:color="auto"/>
              <w:left w:val="single" w:sz="4" w:space="0" w:color="auto"/>
              <w:bottom w:val="single" w:sz="4" w:space="0" w:color="auto"/>
              <w:right w:val="single" w:sz="4" w:space="0" w:color="auto"/>
            </w:tcBorders>
            <w:hideMark/>
          </w:tcPr>
          <w:p w14:paraId="57432B25"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259393</w:t>
            </w:r>
          </w:p>
        </w:tc>
        <w:tc>
          <w:tcPr>
            <w:tcW w:w="7046" w:type="dxa"/>
            <w:tcBorders>
              <w:top w:val="single" w:sz="4" w:space="0" w:color="auto"/>
              <w:left w:val="single" w:sz="4" w:space="0" w:color="auto"/>
              <w:bottom w:val="single" w:sz="4" w:space="0" w:color="auto"/>
              <w:right w:val="single" w:sz="4" w:space="0" w:color="auto"/>
            </w:tcBorders>
            <w:hideMark/>
          </w:tcPr>
          <w:p w14:paraId="46DB0B06"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Turner </w:t>
            </w:r>
            <w:proofErr w:type="spellStart"/>
            <w:r w:rsidRPr="31F26954">
              <w:rPr>
                <w:rFonts w:eastAsia="Aptos Narrow"/>
                <w:color w:val="000000" w:themeColor="text1"/>
                <w:sz w:val="20"/>
                <w:szCs w:val="20"/>
              </w:rPr>
              <w:t>MC,Jerrett</w:t>
            </w:r>
            <w:proofErr w:type="spellEnd"/>
            <w:r w:rsidRPr="31F26954">
              <w:rPr>
                <w:rFonts w:eastAsia="Aptos Narrow"/>
                <w:color w:val="000000" w:themeColor="text1"/>
                <w:sz w:val="20"/>
                <w:szCs w:val="20"/>
              </w:rPr>
              <w:t xml:space="preserve"> M, Pope CA 3rd, </w:t>
            </w:r>
            <w:proofErr w:type="spellStart"/>
            <w:r w:rsidRPr="31F26954">
              <w:rPr>
                <w:rFonts w:eastAsia="Aptos Narrow"/>
                <w:color w:val="000000" w:themeColor="text1"/>
                <w:sz w:val="20"/>
                <w:szCs w:val="20"/>
              </w:rPr>
              <w:t>Krewski</w:t>
            </w:r>
            <w:proofErr w:type="spellEnd"/>
            <w:r w:rsidRPr="31F26954">
              <w:rPr>
                <w:rFonts w:eastAsia="Aptos Narrow"/>
                <w:color w:val="000000" w:themeColor="text1"/>
                <w:sz w:val="20"/>
                <w:szCs w:val="20"/>
              </w:rPr>
              <w:t xml:space="preserve"> D, </w:t>
            </w:r>
            <w:proofErr w:type="spellStart"/>
            <w:r w:rsidRPr="31F26954">
              <w:rPr>
                <w:rFonts w:eastAsia="Aptos Narrow"/>
                <w:color w:val="000000" w:themeColor="text1"/>
                <w:sz w:val="20"/>
                <w:szCs w:val="20"/>
              </w:rPr>
              <w:t>Gapstur</w:t>
            </w:r>
            <w:proofErr w:type="spellEnd"/>
            <w:r w:rsidRPr="31F26954">
              <w:rPr>
                <w:rFonts w:eastAsia="Aptos Narrow"/>
                <w:color w:val="000000" w:themeColor="text1"/>
                <w:sz w:val="20"/>
                <w:szCs w:val="20"/>
              </w:rPr>
              <w:t xml:space="preserve"> SM, Diver WR, Beckerman BS, Marshall JD, Su J, Crouse DL, Burnett RT. Long-term ozone exposure and mortality in a large prospective study . Am J Respir Crit Care Med. 2016; 193(10): 1134-42.</w:t>
            </w:r>
          </w:p>
        </w:tc>
      </w:tr>
      <w:tr w:rsidR="00B123E5" w14:paraId="7227513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86D4B9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102</w:t>
            </w:r>
          </w:p>
        </w:tc>
        <w:tc>
          <w:tcPr>
            <w:tcW w:w="1024" w:type="dxa"/>
            <w:tcBorders>
              <w:top w:val="single" w:sz="4" w:space="0" w:color="auto"/>
              <w:left w:val="single" w:sz="4" w:space="0" w:color="auto"/>
              <w:bottom w:val="single" w:sz="4" w:space="0" w:color="auto"/>
              <w:right w:val="single" w:sz="4" w:space="0" w:color="auto"/>
            </w:tcBorders>
            <w:hideMark/>
          </w:tcPr>
          <w:p w14:paraId="63F8C341"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454732</w:t>
            </w:r>
          </w:p>
        </w:tc>
        <w:tc>
          <w:tcPr>
            <w:tcW w:w="7046" w:type="dxa"/>
            <w:tcBorders>
              <w:top w:val="single" w:sz="4" w:space="0" w:color="auto"/>
              <w:left w:val="single" w:sz="4" w:space="0" w:color="auto"/>
              <w:bottom w:val="single" w:sz="4" w:space="0" w:color="auto"/>
              <w:right w:val="single" w:sz="4" w:space="0" w:color="auto"/>
            </w:tcBorders>
            <w:hideMark/>
          </w:tcPr>
          <w:p w14:paraId="59677CB0"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Pinault L, Brauer M, Crouse DL, et al. 2018. Diabetes status and susceptibility to the effects of PM2.5 exposure on cardiovascular mortality in a National Canadian Cohort. Epidemiology, 29(6), 784-794.</w:t>
            </w:r>
          </w:p>
        </w:tc>
      </w:tr>
      <w:tr w:rsidR="00B123E5" w14:paraId="483E788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6964812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103</w:t>
            </w:r>
          </w:p>
        </w:tc>
        <w:tc>
          <w:tcPr>
            <w:tcW w:w="1024" w:type="dxa"/>
            <w:tcBorders>
              <w:top w:val="single" w:sz="4" w:space="0" w:color="auto"/>
              <w:left w:val="single" w:sz="4" w:space="0" w:color="auto"/>
              <w:bottom w:val="single" w:sz="4" w:space="0" w:color="auto"/>
              <w:right w:val="single" w:sz="4" w:space="0" w:color="auto"/>
            </w:tcBorders>
            <w:hideMark/>
          </w:tcPr>
          <w:p w14:paraId="4FBC8A7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454739</w:t>
            </w:r>
          </w:p>
        </w:tc>
        <w:tc>
          <w:tcPr>
            <w:tcW w:w="7046" w:type="dxa"/>
            <w:tcBorders>
              <w:top w:val="single" w:sz="4" w:space="0" w:color="auto"/>
              <w:left w:val="single" w:sz="4" w:space="0" w:color="auto"/>
              <w:bottom w:val="single" w:sz="4" w:space="0" w:color="auto"/>
              <w:right w:val="single" w:sz="4" w:space="0" w:color="auto"/>
            </w:tcBorders>
            <w:hideMark/>
          </w:tcPr>
          <w:p w14:paraId="0F18DF62"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Ostro B, Hu J, Goldberg D, et al. 2015. Associations of mortality with long-term exposures to fine and ultrafine particles, species and sources: results from the California Teachers Study Cohort. Environmental Health Perspectives, 123(6), 549-556. </w:t>
            </w:r>
          </w:p>
        </w:tc>
      </w:tr>
      <w:tr w:rsidR="00B123E5" w14:paraId="4166A5C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FA1FF20"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104</w:t>
            </w:r>
          </w:p>
        </w:tc>
        <w:tc>
          <w:tcPr>
            <w:tcW w:w="1024" w:type="dxa"/>
            <w:tcBorders>
              <w:top w:val="single" w:sz="4" w:space="0" w:color="auto"/>
              <w:left w:val="single" w:sz="4" w:space="0" w:color="auto"/>
              <w:bottom w:val="single" w:sz="4" w:space="0" w:color="auto"/>
              <w:right w:val="single" w:sz="4" w:space="0" w:color="auto"/>
            </w:tcBorders>
            <w:hideMark/>
          </w:tcPr>
          <w:p w14:paraId="24C537AF"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418506</w:t>
            </w:r>
          </w:p>
        </w:tc>
        <w:tc>
          <w:tcPr>
            <w:tcW w:w="7046" w:type="dxa"/>
            <w:tcBorders>
              <w:top w:val="single" w:sz="4" w:space="0" w:color="auto"/>
              <w:left w:val="single" w:sz="4" w:space="0" w:color="auto"/>
              <w:bottom w:val="single" w:sz="4" w:space="0" w:color="auto"/>
              <w:right w:val="single" w:sz="4" w:space="0" w:color="auto"/>
            </w:tcBorders>
            <w:hideMark/>
          </w:tcPr>
          <w:p w14:paraId="3CF5EBDF"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Thurston GD, Ahn J, Cromar KR, Shao Y, Reynolds HR, Jerrett M, Lim CC, Shanley R, Park Y, Hayes RB. Ambient particulate matter air pollution exposure and mortality in the NIH-AARP diet and health cohort. Environ Health </w:t>
            </w:r>
            <w:proofErr w:type="spellStart"/>
            <w:r w:rsidRPr="31F26954">
              <w:rPr>
                <w:rFonts w:eastAsia="Aptos Narrow"/>
                <w:color w:val="000000" w:themeColor="text1"/>
                <w:sz w:val="20"/>
                <w:szCs w:val="20"/>
              </w:rPr>
              <w:t>Perspect</w:t>
            </w:r>
            <w:proofErr w:type="spellEnd"/>
            <w:r w:rsidRPr="31F26954">
              <w:rPr>
                <w:rFonts w:eastAsia="Aptos Narrow"/>
                <w:color w:val="000000" w:themeColor="text1"/>
                <w:sz w:val="20"/>
                <w:szCs w:val="20"/>
              </w:rPr>
              <w:t>. 2016; 124(4): 484-90.</w:t>
            </w:r>
          </w:p>
        </w:tc>
      </w:tr>
      <w:tr w:rsidR="00B123E5" w14:paraId="55A2A94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9F3708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105</w:t>
            </w:r>
          </w:p>
        </w:tc>
        <w:tc>
          <w:tcPr>
            <w:tcW w:w="1024" w:type="dxa"/>
            <w:tcBorders>
              <w:top w:val="single" w:sz="4" w:space="0" w:color="auto"/>
              <w:left w:val="single" w:sz="4" w:space="0" w:color="auto"/>
              <w:bottom w:val="single" w:sz="4" w:space="0" w:color="auto"/>
              <w:right w:val="single" w:sz="4" w:space="0" w:color="auto"/>
            </w:tcBorders>
            <w:hideMark/>
          </w:tcPr>
          <w:p w14:paraId="2B2FE632"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454748</w:t>
            </w:r>
          </w:p>
        </w:tc>
        <w:tc>
          <w:tcPr>
            <w:tcW w:w="7046" w:type="dxa"/>
            <w:tcBorders>
              <w:top w:val="single" w:sz="4" w:space="0" w:color="auto"/>
              <w:left w:val="single" w:sz="4" w:space="0" w:color="auto"/>
              <w:bottom w:val="single" w:sz="4" w:space="0" w:color="auto"/>
              <w:right w:val="single" w:sz="4" w:space="0" w:color="auto"/>
            </w:tcBorders>
            <w:hideMark/>
          </w:tcPr>
          <w:p w14:paraId="679EE421"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 xml:space="preserve">Renzi M, Cerza F, </w:t>
            </w:r>
            <w:proofErr w:type="spellStart"/>
            <w:r w:rsidRPr="31F26954">
              <w:rPr>
                <w:rFonts w:eastAsia="Aptos Narrow"/>
                <w:color w:val="000000" w:themeColor="text1"/>
                <w:sz w:val="20"/>
                <w:szCs w:val="20"/>
              </w:rPr>
              <w:t>Gariazzo</w:t>
            </w:r>
            <w:proofErr w:type="spellEnd"/>
            <w:r w:rsidRPr="31F26954">
              <w:rPr>
                <w:rFonts w:eastAsia="Aptos Narrow"/>
                <w:color w:val="000000" w:themeColor="text1"/>
                <w:sz w:val="20"/>
                <w:szCs w:val="20"/>
              </w:rPr>
              <w:t xml:space="preserve"> C, et al. Air pollution and occurrence of type 2 diabetes in a large cohort study. Environ Int. 2018, 112: 68-76.</w:t>
            </w:r>
          </w:p>
        </w:tc>
      </w:tr>
      <w:tr w:rsidR="00B123E5" w14:paraId="00111746"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C448964"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106</w:t>
            </w:r>
          </w:p>
        </w:tc>
        <w:tc>
          <w:tcPr>
            <w:tcW w:w="1024" w:type="dxa"/>
            <w:tcBorders>
              <w:top w:val="single" w:sz="4" w:space="0" w:color="auto"/>
              <w:left w:val="single" w:sz="4" w:space="0" w:color="auto"/>
              <w:bottom w:val="single" w:sz="4" w:space="0" w:color="auto"/>
              <w:right w:val="single" w:sz="4" w:space="0" w:color="auto"/>
            </w:tcBorders>
            <w:hideMark/>
          </w:tcPr>
          <w:p w14:paraId="4C57AC8D"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415814</w:t>
            </w:r>
          </w:p>
        </w:tc>
        <w:tc>
          <w:tcPr>
            <w:tcW w:w="7046" w:type="dxa"/>
            <w:tcBorders>
              <w:top w:val="single" w:sz="4" w:space="0" w:color="auto"/>
              <w:left w:val="single" w:sz="4" w:space="0" w:color="auto"/>
              <w:bottom w:val="single" w:sz="4" w:space="0" w:color="auto"/>
              <w:right w:val="single" w:sz="4" w:space="0" w:color="auto"/>
            </w:tcBorders>
            <w:hideMark/>
          </w:tcPr>
          <w:p w14:paraId="5A83744A" w14:textId="77777777" w:rsidR="00B123E5" w:rsidRDefault="00B123E5" w:rsidP="31F26954">
            <w:pPr>
              <w:rPr>
                <w:rFonts w:eastAsia="Aptos Narrow"/>
                <w:color w:val="000000" w:themeColor="text1"/>
                <w:sz w:val="20"/>
                <w:szCs w:val="20"/>
              </w:rPr>
            </w:pPr>
            <w:proofErr w:type="spellStart"/>
            <w:r w:rsidRPr="31F26954">
              <w:rPr>
                <w:rFonts w:eastAsia="Aptos Narrow"/>
                <w:color w:val="000000" w:themeColor="text1"/>
                <w:sz w:val="20"/>
                <w:szCs w:val="20"/>
              </w:rPr>
              <w:t>lim</w:t>
            </w:r>
            <w:proofErr w:type="spellEnd"/>
            <w:r w:rsidRPr="31F26954">
              <w:rPr>
                <w:rFonts w:eastAsia="Aptos Narrow"/>
                <w:color w:val="000000" w:themeColor="text1"/>
                <w:sz w:val="20"/>
                <w:szCs w:val="20"/>
              </w:rPr>
              <w:t xml:space="preserve"> et al 2018</w:t>
            </w:r>
          </w:p>
        </w:tc>
      </w:tr>
      <w:tr w:rsidR="00B123E5" w14:paraId="3CA46BB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AB68A7C"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107</w:t>
            </w:r>
          </w:p>
        </w:tc>
        <w:tc>
          <w:tcPr>
            <w:tcW w:w="1024" w:type="dxa"/>
            <w:tcBorders>
              <w:top w:val="single" w:sz="4" w:space="0" w:color="auto"/>
              <w:left w:val="single" w:sz="4" w:space="0" w:color="auto"/>
              <w:bottom w:val="single" w:sz="4" w:space="0" w:color="auto"/>
              <w:right w:val="single" w:sz="4" w:space="0" w:color="auto"/>
            </w:tcBorders>
            <w:hideMark/>
          </w:tcPr>
          <w:p w14:paraId="37EB776A"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415478</w:t>
            </w:r>
          </w:p>
        </w:tc>
        <w:tc>
          <w:tcPr>
            <w:tcW w:w="7046" w:type="dxa"/>
            <w:tcBorders>
              <w:top w:val="single" w:sz="4" w:space="0" w:color="auto"/>
              <w:left w:val="single" w:sz="4" w:space="0" w:color="auto"/>
              <w:bottom w:val="single" w:sz="4" w:space="0" w:color="auto"/>
              <w:right w:val="single" w:sz="4" w:space="0" w:color="auto"/>
            </w:tcBorders>
            <w:hideMark/>
          </w:tcPr>
          <w:p w14:paraId="5F50DFBE" w14:textId="77777777" w:rsidR="00B123E5" w:rsidRDefault="00B123E5" w:rsidP="31F26954">
            <w:pPr>
              <w:rPr>
                <w:rFonts w:eastAsia="Aptos Narrow"/>
                <w:color w:val="000000" w:themeColor="text1"/>
                <w:sz w:val="20"/>
                <w:szCs w:val="20"/>
              </w:rPr>
            </w:pPr>
            <w:r w:rsidRPr="31F26954">
              <w:rPr>
                <w:rFonts w:eastAsia="Aptos Narrow"/>
                <w:color w:val="000000" w:themeColor="text1"/>
                <w:sz w:val="20"/>
                <w:szCs w:val="20"/>
              </w:rPr>
              <w:t>Qiu H, Schooling CM, Sun S, et al. Long-term exposure to fine particulate matter air pollution and type 2 diabetes mellitus in elderly: A cohort study in Hong Kong. Environ Int. 2018, 113: 350-356.</w:t>
            </w:r>
          </w:p>
        </w:tc>
      </w:tr>
      <w:tr w:rsidR="00B123E5" w14:paraId="329FFAD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AC62B33"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108</w:t>
            </w:r>
          </w:p>
        </w:tc>
        <w:tc>
          <w:tcPr>
            <w:tcW w:w="1024" w:type="dxa"/>
            <w:tcBorders>
              <w:top w:val="single" w:sz="4" w:space="0" w:color="auto"/>
              <w:left w:val="single" w:sz="4" w:space="0" w:color="auto"/>
              <w:bottom w:val="single" w:sz="4" w:space="0" w:color="auto"/>
              <w:right w:val="single" w:sz="4" w:space="0" w:color="auto"/>
            </w:tcBorders>
            <w:hideMark/>
          </w:tcPr>
          <w:p w14:paraId="6F73E877" w14:textId="77777777" w:rsidR="00B123E5" w:rsidRDefault="00B123E5" w:rsidP="31F26954">
            <w:pPr>
              <w:jc w:val="right"/>
              <w:rPr>
                <w:rFonts w:eastAsia="Aptos Narrow"/>
                <w:color w:val="000000" w:themeColor="text1"/>
                <w:sz w:val="20"/>
                <w:szCs w:val="20"/>
              </w:rPr>
            </w:pPr>
            <w:r w:rsidRPr="31F26954">
              <w:rPr>
                <w:rFonts w:eastAsia="Aptos Narrow"/>
                <w:color w:val="000000" w:themeColor="text1"/>
                <w:sz w:val="20"/>
                <w:szCs w:val="20"/>
              </w:rPr>
              <w:t>454753</w:t>
            </w:r>
          </w:p>
        </w:tc>
        <w:tc>
          <w:tcPr>
            <w:tcW w:w="7046" w:type="dxa"/>
            <w:tcBorders>
              <w:top w:val="single" w:sz="4" w:space="0" w:color="auto"/>
              <w:left w:val="single" w:sz="4" w:space="0" w:color="auto"/>
              <w:bottom w:val="single" w:sz="4" w:space="0" w:color="auto"/>
              <w:right w:val="single" w:sz="4" w:space="0" w:color="auto"/>
            </w:tcBorders>
            <w:hideMark/>
          </w:tcPr>
          <w:p w14:paraId="4CAA0C20" w14:textId="77777777" w:rsidR="00B123E5" w:rsidRDefault="00B123E5" w:rsidP="31F26954">
            <w:pPr>
              <w:rPr>
                <w:rFonts w:eastAsia="Arial"/>
                <w:color w:val="142027"/>
                <w:sz w:val="20"/>
                <w:szCs w:val="20"/>
              </w:rPr>
            </w:pPr>
            <w:r w:rsidRPr="31F26954">
              <w:rPr>
                <w:rFonts w:eastAsia="Arial"/>
                <w:color w:val="142027"/>
                <w:sz w:val="20"/>
                <w:szCs w:val="20"/>
              </w:rPr>
              <w:t xml:space="preserve">Cramer J, Jørgensen JT, Hoffmann B, Loft S, </w:t>
            </w:r>
            <w:proofErr w:type="spellStart"/>
            <w:r w:rsidRPr="31F26954">
              <w:rPr>
                <w:rFonts w:eastAsia="Arial"/>
                <w:color w:val="142027"/>
                <w:sz w:val="20"/>
                <w:szCs w:val="20"/>
              </w:rPr>
              <w:t>Bräuner</w:t>
            </w:r>
            <w:proofErr w:type="spellEnd"/>
            <w:r w:rsidRPr="31F26954">
              <w:rPr>
                <w:rFonts w:eastAsia="Arial"/>
                <w:color w:val="142027"/>
                <w:sz w:val="20"/>
                <w:szCs w:val="20"/>
              </w:rPr>
              <w:t xml:space="preserve"> EV, Prescott E, Ketzel M, Hertel O, Brandt J, Jensen SS, </w:t>
            </w:r>
            <w:proofErr w:type="spellStart"/>
            <w:r w:rsidRPr="31F26954">
              <w:rPr>
                <w:rFonts w:eastAsia="Arial"/>
                <w:color w:val="142027"/>
                <w:sz w:val="20"/>
                <w:szCs w:val="20"/>
              </w:rPr>
              <w:t>Backalarz</w:t>
            </w:r>
            <w:proofErr w:type="spellEnd"/>
            <w:r w:rsidRPr="31F26954">
              <w:rPr>
                <w:rFonts w:eastAsia="Arial"/>
                <w:color w:val="142027"/>
                <w:sz w:val="20"/>
                <w:szCs w:val="20"/>
              </w:rPr>
              <w:t xml:space="preserve"> C, Simonsen MK, Andersen ZJ. Long-Term Exposure to Air Pollution and Incidence of Myocardial Infarction: A Danish Nurse Cohort Study. </w:t>
            </w:r>
            <w:r w:rsidRPr="31F26954">
              <w:rPr>
                <w:rFonts w:eastAsia="Arial"/>
                <w:i/>
                <w:iCs/>
                <w:color w:val="142027"/>
                <w:sz w:val="20"/>
                <w:szCs w:val="20"/>
              </w:rPr>
              <w:t xml:space="preserve">Environ Health </w:t>
            </w:r>
            <w:proofErr w:type="spellStart"/>
            <w:r w:rsidRPr="31F26954">
              <w:rPr>
                <w:rFonts w:eastAsia="Arial"/>
                <w:i/>
                <w:iCs/>
                <w:color w:val="142027"/>
                <w:sz w:val="20"/>
                <w:szCs w:val="20"/>
              </w:rPr>
              <w:t>Perspect</w:t>
            </w:r>
            <w:proofErr w:type="spellEnd"/>
            <w:r w:rsidRPr="31F26954">
              <w:rPr>
                <w:rFonts w:eastAsia="Arial"/>
                <w:color w:val="142027"/>
                <w:sz w:val="20"/>
                <w:szCs w:val="20"/>
              </w:rPr>
              <w:t>. 2020; 128(5): 57003.</w:t>
            </w:r>
          </w:p>
        </w:tc>
      </w:tr>
      <w:tr w:rsidR="00B123E5" w14:paraId="20A25961"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E680F49"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109</w:t>
            </w:r>
          </w:p>
        </w:tc>
        <w:tc>
          <w:tcPr>
            <w:tcW w:w="1024" w:type="dxa"/>
            <w:tcBorders>
              <w:top w:val="single" w:sz="4" w:space="0" w:color="auto"/>
              <w:left w:val="single" w:sz="4" w:space="0" w:color="auto"/>
              <w:bottom w:val="single" w:sz="4" w:space="0" w:color="auto"/>
              <w:right w:val="single" w:sz="4" w:space="0" w:color="auto"/>
            </w:tcBorders>
            <w:hideMark/>
          </w:tcPr>
          <w:p w14:paraId="391F27EE"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464987</w:t>
            </w:r>
          </w:p>
        </w:tc>
        <w:tc>
          <w:tcPr>
            <w:tcW w:w="7046" w:type="dxa"/>
            <w:tcBorders>
              <w:top w:val="single" w:sz="4" w:space="0" w:color="auto"/>
              <w:left w:val="single" w:sz="4" w:space="0" w:color="auto"/>
              <w:bottom w:val="single" w:sz="4" w:space="0" w:color="auto"/>
              <w:right w:val="single" w:sz="4" w:space="0" w:color="auto"/>
            </w:tcBorders>
            <w:hideMark/>
          </w:tcPr>
          <w:p w14:paraId="7B4BA914"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Chen H, Kwong JC, Copes R, Hystad P, van </w:t>
            </w:r>
            <w:proofErr w:type="spellStart"/>
            <w:r w:rsidRPr="000F32B0">
              <w:rPr>
                <w:rFonts w:eastAsia="Aptos Narrow"/>
                <w:color w:val="000000" w:themeColor="text1"/>
                <w:sz w:val="20"/>
                <w:szCs w:val="20"/>
              </w:rPr>
              <w:t>Donkelaar</w:t>
            </w:r>
            <w:proofErr w:type="spellEnd"/>
            <w:r w:rsidRPr="000F32B0">
              <w:rPr>
                <w:rFonts w:eastAsia="Aptos Narrow"/>
                <w:color w:val="000000" w:themeColor="text1"/>
                <w:sz w:val="20"/>
                <w:szCs w:val="20"/>
              </w:rPr>
              <w:t xml:space="preserve"> A, Tu K, Brook JR, Goldberg MS, Martin RV, Murray BJ, Wilton AS, Kopp A, Burnett RT. Exposure to ambient air pollution and the incidence of dementia: A population-based cohort study. Environ Int. 2017 Nov;108:271-277.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10.1016/j.envint.2017.08.020.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2017 Sep 13. PMID: 28917207.</w:t>
            </w:r>
          </w:p>
        </w:tc>
      </w:tr>
      <w:tr w:rsidR="00B123E5" w14:paraId="54A46A4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F4BB47C"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110</w:t>
            </w:r>
          </w:p>
        </w:tc>
        <w:tc>
          <w:tcPr>
            <w:tcW w:w="1024" w:type="dxa"/>
            <w:tcBorders>
              <w:top w:val="single" w:sz="4" w:space="0" w:color="auto"/>
              <w:left w:val="single" w:sz="4" w:space="0" w:color="auto"/>
              <w:bottom w:val="single" w:sz="4" w:space="0" w:color="auto"/>
              <w:right w:val="single" w:sz="4" w:space="0" w:color="auto"/>
            </w:tcBorders>
            <w:hideMark/>
          </w:tcPr>
          <w:p w14:paraId="6657AF25"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464992</w:t>
            </w:r>
          </w:p>
        </w:tc>
        <w:tc>
          <w:tcPr>
            <w:tcW w:w="7046" w:type="dxa"/>
            <w:tcBorders>
              <w:top w:val="single" w:sz="4" w:space="0" w:color="auto"/>
              <w:left w:val="single" w:sz="4" w:space="0" w:color="auto"/>
              <w:bottom w:val="single" w:sz="4" w:space="0" w:color="auto"/>
              <w:right w:val="single" w:sz="4" w:space="0" w:color="auto"/>
            </w:tcBorders>
            <w:hideMark/>
          </w:tcPr>
          <w:p w14:paraId="4CE6FDD3"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Carey IM, Anderson HR, Atkinson RW, Beevers SD, Cook DG, Strachan DP, </w:t>
            </w:r>
            <w:proofErr w:type="spellStart"/>
            <w:r w:rsidRPr="000F32B0">
              <w:rPr>
                <w:rFonts w:eastAsia="Aptos Narrow"/>
                <w:color w:val="000000" w:themeColor="text1"/>
                <w:sz w:val="20"/>
                <w:szCs w:val="20"/>
              </w:rPr>
              <w:t>Dajnak</w:t>
            </w:r>
            <w:proofErr w:type="spellEnd"/>
            <w:r w:rsidRPr="000F32B0">
              <w:rPr>
                <w:rFonts w:eastAsia="Aptos Narrow"/>
                <w:color w:val="000000" w:themeColor="text1"/>
                <w:sz w:val="20"/>
                <w:szCs w:val="20"/>
              </w:rPr>
              <w:t xml:space="preserve"> D, Gulliver J, Kelly FJ. Are noise and air pollution related to the incidence of dementia? A cohort study in London, England. BMJ Open. 2018 Sep 11;8(9):e022404.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10.1136/bmjopen-2018-022404. PMID: 30206085; PMCID: PMC6144407.</w:t>
            </w:r>
          </w:p>
        </w:tc>
      </w:tr>
      <w:tr w:rsidR="00B123E5" w14:paraId="240406B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28D4150"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111</w:t>
            </w:r>
          </w:p>
        </w:tc>
        <w:tc>
          <w:tcPr>
            <w:tcW w:w="1024" w:type="dxa"/>
            <w:tcBorders>
              <w:top w:val="single" w:sz="4" w:space="0" w:color="auto"/>
              <w:left w:val="single" w:sz="4" w:space="0" w:color="auto"/>
              <w:bottom w:val="single" w:sz="4" w:space="0" w:color="auto"/>
              <w:right w:val="single" w:sz="4" w:space="0" w:color="auto"/>
            </w:tcBorders>
            <w:hideMark/>
          </w:tcPr>
          <w:p w14:paraId="400F840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465331</w:t>
            </w:r>
          </w:p>
        </w:tc>
        <w:tc>
          <w:tcPr>
            <w:tcW w:w="7046" w:type="dxa"/>
            <w:tcBorders>
              <w:top w:val="single" w:sz="4" w:space="0" w:color="auto"/>
              <w:left w:val="single" w:sz="4" w:space="0" w:color="auto"/>
              <w:bottom w:val="single" w:sz="4" w:space="0" w:color="auto"/>
              <w:right w:val="single" w:sz="4" w:space="0" w:color="auto"/>
            </w:tcBorders>
            <w:hideMark/>
          </w:tcPr>
          <w:p w14:paraId="2E483AC9"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Jung CR, Lin YT, Hwang BF. Ozone, particulate matter, and newly diagnosed Alzheimer's disease: a population-based cohort study in Taiwan. J </w:t>
            </w:r>
            <w:proofErr w:type="spellStart"/>
            <w:r w:rsidRPr="000F32B0">
              <w:rPr>
                <w:rFonts w:eastAsia="Aptos Narrow"/>
                <w:color w:val="000000" w:themeColor="text1"/>
                <w:sz w:val="20"/>
                <w:szCs w:val="20"/>
              </w:rPr>
              <w:t>Alzheimers</w:t>
            </w:r>
            <w:proofErr w:type="spellEnd"/>
            <w:r w:rsidRPr="000F32B0">
              <w:rPr>
                <w:rFonts w:eastAsia="Aptos Narrow"/>
                <w:color w:val="000000" w:themeColor="text1"/>
                <w:sz w:val="20"/>
                <w:szCs w:val="20"/>
              </w:rPr>
              <w:t xml:space="preserve"> Dis. 2015;44(2):573-84.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10.3233/JAD-140855. PMID: 25310992.</w:t>
            </w:r>
          </w:p>
        </w:tc>
      </w:tr>
      <w:tr w:rsidR="00B123E5" w14:paraId="24F16B0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98352B5"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112</w:t>
            </w:r>
          </w:p>
        </w:tc>
        <w:tc>
          <w:tcPr>
            <w:tcW w:w="1024" w:type="dxa"/>
            <w:tcBorders>
              <w:top w:val="single" w:sz="4" w:space="0" w:color="auto"/>
              <w:left w:val="single" w:sz="4" w:space="0" w:color="auto"/>
              <w:bottom w:val="single" w:sz="4" w:space="0" w:color="auto"/>
              <w:right w:val="single" w:sz="4" w:space="0" w:color="auto"/>
            </w:tcBorders>
            <w:hideMark/>
          </w:tcPr>
          <w:p w14:paraId="4E08BF9F"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465328</w:t>
            </w:r>
          </w:p>
        </w:tc>
        <w:tc>
          <w:tcPr>
            <w:tcW w:w="7046" w:type="dxa"/>
            <w:tcBorders>
              <w:top w:val="single" w:sz="4" w:space="0" w:color="auto"/>
              <w:left w:val="single" w:sz="4" w:space="0" w:color="auto"/>
              <w:bottom w:val="single" w:sz="4" w:space="0" w:color="auto"/>
              <w:right w:val="single" w:sz="4" w:space="0" w:color="auto"/>
            </w:tcBorders>
            <w:hideMark/>
          </w:tcPr>
          <w:p w14:paraId="40AC16BF"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Oudin A, </w:t>
            </w:r>
            <w:proofErr w:type="spellStart"/>
            <w:r w:rsidRPr="000F32B0">
              <w:rPr>
                <w:rFonts w:eastAsia="Aptos Narrow"/>
                <w:color w:val="000000" w:themeColor="text1"/>
                <w:sz w:val="20"/>
                <w:szCs w:val="20"/>
              </w:rPr>
              <w:t>Segersson</w:t>
            </w:r>
            <w:proofErr w:type="spellEnd"/>
            <w:r w:rsidRPr="000F32B0">
              <w:rPr>
                <w:rFonts w:eastAsia="Aptos Narrow"/>
                <w:color w:val="000000" w:themeColor="text1"/>
                <w:sz w:val="20"/>
                <w:szCs w:val="20"/>
              </w:rPr>
              <w:t xml:space="preserve"> D, Adolfsson R, Forsberg B. Association between air pollution from residential wood burning and dementia incidence in a longitudinal study in Northern Sweden. </w:t>
            </w:r>
            <w:proofErr w:type="spellStart"/>
            <w:r w:rsidRPr="000F32B0">
              <w:rPr>
                <w:rFonts w:eastAsia="Aptos Narrow"/>
                <w:color w:val="000000" w:themeColor="text1"/>
                <w:sz w:val="20"/>
                <w:szCs w:val="20"/>
              </w:rPr>
              <w:t>PLoS</w:t>
            </w:r>
            <w:proofErr w:type="spellEnd"/>
            <w:r w:rsidRPr="000F32B0">
              <w:rPr>
                <w:rFonts w:eastAsia="Aptos Narrow"/>
                <w:color w:val="000000" w:themeColor="text1"/>
                <w:sz w:val="20"/>
                <w:szCs w:val="20"/>
              </w:rPr>
              <w:t xml:space="preserve"> One. 2018 Jun 13;13(6):e0198283.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10.1371/journal.pone.0198283. PMID: 29897947; PMCID: PMC5999109.</w:t>
            </w:r>
          </w:p>
        </w:tc>
      </w:tr>
      <w:tr w:rsidR="00B123E5" w14:paraId="2C45D9FB"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CA332D2"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113</w:t>
            </w:r>
          </w:p>
        </w:tc>
        <w:tc>
          <w:tcPr>
            <w:tcW w:w="1024" w:type="dxa"/>
            <w:tcBorders>
              <w:top w:val="single" w:sz="4" w:space="0" w:color="auto"/>
              <w:left w:val="single" w:sz="4" w:space="0" w:color="auto"/>
              <w:bottom w:val="single" w:sz="4" w:space="0" w:color="auto"/>
              <w:right w:val="single" w:sz="4" w:space="0" w:color="auto"/>
            </w:tcBorders>
            <w:hideMark/>
          </w:tcPr>
          <w:p w14:paraId="7BE18F3B"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472344</w:t>
            </w:r>
          </w:p>
        </w:tc>
        <w:tc>
          <w:tcPr>
            <w:tcW w:w="7046" w:type="dxa"/>
            <w:tcBorders>
              <w:top w:val="single" w:sz="4" w:space="0" w:color="auto"/>
              <w:left w:val="single" w:sz="4" w:space="0" w:color="auto"/>
              <w:bottom w:val="single" w:sz="4" w:space="0" w:color="auto"/>
              <w:right w:val="single" w:sz="4" w:space="0" w:color="auto"/>
            </w:tcBorders>
            <w:hideMark/>
          </w:tcPr>
          <w:p w14:paraId="1740CEAF"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Smargiassi A, Sidi EAL, Robert LE, Plante C, Haddad M, Gamache P, Burnett R, Goudreau S, Liu L, Fournier M, Pelletier E, </w:t>
            </w:r>
            <w:proofErr w:type="spellStart"/>
            <w:r w:rsidRPr="000F32B0">
              <w:rPr>
                <w:rFonts w:eastAsia="Aptos Narrow"/>
                <w:color w:val="000000" w:themeColor="text1"/>
                <w:sz w:val="20"/>
                <w:szCs w:val="20"/>
              </w:rPr>
              <w:t>Yankoty</w:t>
            </w:r>
            <w:proofErr w:type="spellEnd"/>
            <w:r w:rsidRPr="000F32B0">
              <w:rPr>
                <w:rFonts w:eastAsia="Aptos Narrow"/>
                <w:color w:val="000000" w:themeColor="text1"/>
                <w:sz w:val="20"/>
                <w:szCs w:val="20"/>
              </w:rPr>
              <w:t xml:space="preserve"> I. Exposure to ambient air pollutants and the onset of dementia in Québec, Canada. Environ Res. 2020 Nov;190:109870.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10.1016/j.envres.2020.109870.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2020 Jul 23. PMID: 32739624.</w:t>
            </w:r>
          </w:p>
        </w:tc>
      </w:tr>
      <w:tr w:rsidR="00B123E5" w14:paraId="63243639"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EC833D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114</w:t>
            </w:r>
          </w:p>
        </w:tc>
        <w:tc>
          <w:tcPr>
            <w:tcW w:w="1024" w:type="dxa"/>
            <w:tcBorders>
              <w:top w:val="single" w:sz="4" w:space="0" w:color="auto"/>
              <w:left w:val="single" w:sz="4" w:space="0" w:color="auto"/>
              <w:bottom w:val="single" w:sz="4" w:space="0" w:color="auto"/>
              <w:right w:val="single" w:sz="4" w:space="0" w:color="auto"/>
            </w:tcBorders>
            <w:hideMark/>
          </w:tcPr>
          <w:p w14:paraId="3178DDA0"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472333</w:t>
            </w:r>
          </w:p>
        </w:tc>
        <w:tc>
          <w:tcPr>
            <w:tcW w:w="7046" w:type="dxa"/>
            <w:tcBorders>
              <w:top w:val="single" w:sz="4" w:space="0" w:color="auto"/>
              <w:left w:val="single" w:sz="4" w:space="0" w:color="auto"/>
              <w:bottom w:val="single" w:sz="4" w:space="0" w:color="auto"/>
              <w:right w:val="single" w:sz="4" w:space="0" w:color="auto"/>
            </w:tcBorders>
            <w:hideMark/>
          </w:tcPr>
          <w:p w14:paraId="04DB10E8"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Younan D, Wang X, Casanova R, Barnard R, </w:t>
            </w:r>
            <w:proofErr w:type="spellStart"/>
            <w:r w:rsidRPr="000F32B0">
              <w:rPr>
                <w:rFonts w:eastAsia="Aptos Narrow"/>
                <w:color w:val="000000" w:themeColor="text1"/>
                <w:sz w:val="20"/>
                <w:szCs w:val="20"/>
              </w:rPr>
              <w:t>Gaussoin</w:t>
            </w:r>
            <w:proofErr w:type="spellEnd"/>
            <w:r w:rsidRPr="000F32B0">
              <w:rPr>
                <w:rFonts w:eastAsia="Aptos Narrow"/>
                <w:color w:val="000000" w:themeColor="text1"/>
                <w:sz w:val="20"/>
                <w:szCs w:val="20"/>
              </w:rPr>
              <w:t xml:space="preserve"> SA, Saldana S, Petkus AJ, Beavers DP, Resnick SM, Manson JE, Serre ML, Vizuete W, Henderson VW, Sachs BC, Salinas JA, Gatz M, Espeland MA, Chui HC, Shumaker SA, Rapp SR, Chen JC; Women's Health Initiative. PM2.5 associated with gray matter atrophy reflecting increased Alzheimer’s risk in older women. Neurology. 2020 Nov 18:10.1212/WNL.0000000000011149.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10.1212/WNL.0000000000011149.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ahead of print. PMID: 33208540.</w:t>
            </w:r>
          </w:p>
        </w:tc>
      </w:tr>
      <w:tr w:rsidR="00B123E5" w14:paraId="240FF5AF"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F410D68"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115</w:t>
            </w:r>
          </w:p>
        </w:tc>
        <w:tc>
          <w:tcPr>
            <w:tcW w:w="1024" w:type="dxa"/>
            <w:tcBorders>
              <w:top w:val="single" w:sz="4" w:space="0" w:color="auto"/>
              <w:left w:val="single" w:sz="4" w:space="0" w:color="auto"/>
              <w:bottom w:val="single" w:sz="4" w:space="0" w:color="auto"/>
              <w:right w:val="single" w:sz="4" w:space="0" w:color="auto"/>
            </w:tcBorders>
            <w:hideMark/>
          </w:tcPr>
          <w:p w14:paraId="7DAC53C7"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472335</w:t>
            </w:r>
          </w:p>
        </w:tc>
        <w:tc>
          <w:tcPr>
            <w:tcW w:w="7046" w:type="dxa"/>
            <w:tcBorders>
              <w:top w:val="single" w:sz="4" w:space="0" w:color="auto"/>
              <w:left w:val="single" w:sz="4" w:space="0" w:color="auto"/>
              <w:bottom w:val="single" w:sz="4" w:space="0" w:color="auto"/>
              <w:right w:val="single" w:sz="4" w:space="0" w:color="auto"/>
            </w:tcBorders>
            <w:hideMark/>
          </w:tcPr>
          <w:p w14:paraId="5716E304"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Ran J, Schooling CM, Han L, Sun S, Zhao S, Zhang X, Chan KP, Guo F, Lee RS, Qiu Y, Tian L. Long-term exposure to fine particulate matter and dementia incidence: A cohort study in Hong Kong. Environ </w:t>
            </w:r>
            <w:proofErr w:type="spellStart"/>
            <w:r w:rsidRPr="000F32B0">
              <w:rPr>
                <w:rFonts w:eastAsia="Aptos Narrow"/>
                <w:color w:val="000000" w:themeColor="text1"/>
                <w:sz w:val="20"/>
                <w:szCs w:val="20"/>
              </w:rPr>
              <w:t>Pollut</w:t>
            </w:r>
            <w:proofErr w:type="spellEnd"/>
            <w:r w:rsidRPr="000F32B0">
              <w:rPr>
                <w:rFonts w:eastAsia="Aptos Narrow"/>
                <w:color w:val="000000" w:themeColor="text1"/>
                <w:sz w:val="20"/>
                <w:szCs w:val="20"/>
              </w:rPr>
              <w:t xml:space="preserve">. 2021 Feb 15;271:116303.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10.1016/j.envpol.2020.116303.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2020 Dec 25. PMID: 33370610.</w:t>
            </w:r>
          </w:p>
        </w:tc>
      </w:tr>
      <w:tr w:rsidR="00B123E5" w14:paraId="5EF6A304"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1350FD4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116</w:t>
            </w:r>
          </w:p>
        </w:tc>
        <w:tc>
          <w:tcPr>
            <w:tcW w:w="1024" w:type="dxa"/>
            <w:tcBorders>
              <w:top w:val="single" w:sz="4" w:space="0" w:color="auto"/>
              <w:left w:val="single" w:sz="4" w:space="0" w:color="auto"/>
              <w:bottom w:val="single" w:sz="4" w:space="0" w:color="auto"/>
              <w:right w:val="single" w:sz="4" w:space="0" w:color="auto"/>
            </w:tcBorders>
            <w:hideMark/>
          </w:tcPr>
          <w:p w14:paraId="2510C025"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472337</w:t>
            </w:r>
          </w:p>
        </w:tc>
        <w:tc>
          <w:tcPr>
            <w:tcW w:w="7046" w:type="dxa"/>
            <w:tcBorders>
              <w:top w:val="single" w:sz="4" w:space="0" w:color="auto"/>
              <w:left w:val="single" w:sz="4" w:space="0" w:color="auto"/>
              <w:bottom w:val="single" w:sz="4" w:space="0" w:color="auto"/>
              <w:right w:val="single" w:sz="4" w:space="0" w:color="auto"/>
            </w:tcBorders>
            <w:hideMark/>
          </w:tcPr>
          <w:p w14:paraId="0EA805E4"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Shi L, Wu X, Danesh Yazdi M, Braun D, Abu Awad Y, Wei Y, Liu P, Di Q, Wang Y, Schwartz J, Dominici F, </w:t>
            </w:r>
            <w:proofErr w:type="spellStart"/>
            <w:r w:rsidRPr="000F32B0">
              <w:rPr>
                <w:rFonts w:eastAsia="Aptos Narrow"/>
                <w:color w:val="000000" w:themeColor="text1"/>
                <w:sz w:val="20"/>
                <w:szCs w:val="20"/>
              </w:rPr>
              <w:t>Kioumourtzoglou</w:t>
            </w:r>
            <w:proofErr w:type="spellEnd"/>
            <w:r w:rsidRPr="000F32B0">
              <w:rPr>
                <w:rFonts w:eastAsia="Aptos Narrow"/>
                <w:color w:val="000000" w:themeColor="text1"/>
                <w:sz w:val="20"/>
                <w:szCs w:val="20"/>
              </w:rPr>
              <w:t xml:space="preserve"> MA, </w:t>
            </w:r>
            <w:proofErr w:type="spellStart"/>
            <w:r w:rsidRPr="000F32B0">
              <w:rPr>
                <w:rFonts w:eastAsia="Aptos Narrow"/>
                <w:color w:val="000000" w:themeColor="text1"/>
                <w:sz w:val="20"/>
                <w:szCs w:val="20"/>
              </w:rPr>
              <w:t>Zanobetti</w:t>
            </w:r>
            <w:proofErr w:type="spellEnd"/>
            <w:r w:rsidRPr="000F32B0">
              <w:rPr>
                <w:rFonts w:eastAsia="Aptos Narrow"/>
                <w:color w:val="000000" w:themeColor="text1"/>
                <w:sz w:val="20"/>
                <w:szCs w:val="20"/>
              </w:rPr>
              <w:t xml:space="preserve"> A. Long-term effects of PM2¬∑5 on neurological disorders in the American Medicare population: a longitudinal cohort study. Lancet Planet Health. 2020 Dec;4(12):e557-e565.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10.1016/S2542-5196(20)30227-8.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2020 Oct 19. PMID: 33091388; PMCID: PMC7720425.</w:t>
            </w:r>
          </w:p>
        </w:tc>
      </w:tr>
      <w:tr w:rsidR="00B123E5" w14:paraId="09F7D6D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6D8AA38"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117</w:t>
            </w:r>
          </w:p>
        </w:tc>
        <w:tc>
          <w:tcPr>
            <w:tcW w:w="1024" w:type="dxa"/>
            <w:tcBorders>
              <w:top w:val="single" w:sz="4" w:space="0" w:color="auto"/>
              <w:left w:val="single" w:sz="4" w:space="0" w:color="auto"/>
              <w:bottom w:val="single" w:sz="4" w:space="0" w:color="auto"/>
              <w:right w:val="single" w:sz="4" w:space="0" w:color="auto"/>
            </w:tcBorders>
            <w:hideMark/>
          </w:tcPr>
          <w:p w14:paraId="3106F10C"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472579</w:t>
            </w:r>
          </w:p>
        </w:tc>
        <w:tc>
          <w:tcPr>
            <w:tcW w:w="7046" w:type="dxa"/>
            <w:tcBorders>
              <w:top w:val="single" w:sz="4" w:space="0" w:color="auto"/>
              <w:left w:val="single" w:sz="4" w:space="0" w:color="auto"/>
              <w:bottom w:val="single" w:sz="4" w:space="0" w:color="auto"/>
              <w:right w:val="single" w:sz="4" w:space="0" w:color="auto"/>
            </w:tcBorders>
            <w:hideMark/>
          </w:tcPr>
          <w:p w14:paraId="725A36DE"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Grande G, Ljungman PLS, </w:t>
            </w:r>
            <w:proofErr w:type="spellStart"/>
            <w:r w:rsidRPr="000F32B0">
              <w:rPr>
                <w:rFonts w:eastAsia="Aptos Narrow"/>
                <w:color w:val="000000" w:themeColor="text1"/>
                <w:sz w:val="20"/>
                <w:szCs w:val="20"/>
              </w:rPr>
              <w:t>Eneroth</w:t>
            </w:r>
            <w:proofErr w:type="spellEnd"/>
            <w:r w:rsidRPr="000F32B0">
              <w:rPr>
                <w:rFonts w:eastAsia="Aptos Narrow"/>
                <w:color w:val="000000" w:themeColor="text1"/>
                <w:sz w:val="20"/>
                <w:szCs w:val="20"/>
              </w:rPr>
              <w:t xml:space="preserve"> K, </w:t>
            </w:r>
            <w:proofErr w:type="spellStart"/>
            <w:r w:rsidRPr="000F32B0">
              <w:rPr>
                <w:rFonts w:eastAsia="Aptos Narrow"/>
                <w:color w:val="000000" w:themeColor="text1"/>
                <w:sz w:val="20"/>
                <w:szCs w:val="20"/>
              </w:rPr>
              <w:t>Bellander</w:t>
            </w:r>
            <w:proofErr w:type="spellEnd"/>
            <w:r w:rsidRPr="000F32B0">
              <w:rPr>
                <w:rFonts w:eastAsia="Aptos Narrow"/>
                <w:color w:val="000000" w:themeColor="text1"/>
                <w:sz w:val="20"/>
                <w:szCs w:val="20"/>
              </w:rPr>
              <w:t xml:space="preserve"> T, Rizzuto D. Association Between Cardiovascular Disease and Long-term Exposure to Air Pollution With the Risk of Dementia. JAMA Neurol. 2020 Jul 1;77(7):801-809.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10.1001/jamaneurol.2019.4914. PMID: 32227140; PMCID: PMC7105952.</w:t>
            </w:r>
          </w:p>
        </w:tc>
      </w:tr>
      <w:tr w:rsidR="00B123E5" w14:paraId="16FFEDD7"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3FAABA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118</w:t>
            </w:r>
          </w:p>
        </w:tc>
        <w:tc>
          <w:tcPr>
            <w:tcW w:w="1024" w:type="dxa"/>
            <w:tcBorders>
              <w:top w:val="single" w:sz="4" w:space="0" w:color="auto"/>
              <w:left w:val="single" w:sz="4" w:space="0" w:color="auto"/>
              <w:bottom w:val="single" w:sz="4" w:space="0" w:color="auto"/>
              <w:right w:val="single" w:sz="4" w:space="0" w:color="auto"/>
            </w:tcBorders>
            <w:hideMark/>
          </w:tcPr>
          <w:p w14:paraId="42974D67"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472576</w:t>
            </w:r>
          </w:p>
        </w:tc>
        <w:tc>
          <w:tcPr>
            <w:tcW w:w="7046" w:type="dxa"/>
            <w:tcBorders>
              <w:top w:val="single" w:sz="4" w:space="0" w:color="auto"/>
              <w:left w:val="single" w:sz="4" w:space="0" w:color="auto"/>
              <w:bottom w:val="single" w:sz="4" w:space="0" w:color="auto"/>
              <w:right w:val="single" w:sz="4" w:space="0" w:color="auto"/>
            </w:tcBorders>
            <w:hideMark/>
          </w:tcPr>
          <w:p w14:paraId="4181434E" w14:textId="77777777" w:rsidR="00B123E5" w:rsidRPr="000F32B0" w:rsidRDefault="00B123E5" w:rsidP="31F26954">
            <w:pPr>
              <w:rPr>
                <w:rFonts w:eastAsia="Aptos Narrow"/>
                <w:color w:val="000000" w:themeColor="text1"/>
                <w:sz w:val="20"/>
                <w:szCs w:val="20"/>
              </w:rPr>
            </w:pPr>
            <w:proofErr w:type="spellStart"/>
            <w:r w:rsidRPr="000F32B0">
              <w:rPr>
                <w:rFonts w:eastAsia="Aptos Narrow"/>
                <w:color w:val="000000" w:themeColor="text1"/>
                <w:sz w:val="20"/>
                <w:szCs w:val="20"/>
              </w:rPr>
              <w:t>Mortamais</w:t>
            </w:r>
            <w:proofErr w:type="spellEnd"/>
            <w:r w:rsidRPr="000F32B0">
              <w:rPr>
                <w:rFonts w:eastAsia="Aptos Narrow"/>
                <w:color w:val="000000" w:themeColor="text1"/>
                <w:sz w:val="20"/>
                <w:szCs w:val="20"/>
              </w:rPr>
              <w:t xml:space="preserve"> M, Gutierrez LA, de </w:t>
            </w:r>
            <w:proofErr w:type="spellStart"/>
            <w:r w:rsidRPr="000F32B0">
              <w:rPr>
                <w:rFonts w:eastAsia="Aptos Narrow"/>
                <w:color w:val="000000" w:themeColor="text1"/>
                <w:sz w:val="20"/>
                <w:szCs w:val="20"/>
              </w:rPr>
              <w:t>Hoogh</w:t>
            </w:r>
            <w:proofErr w:type="spellEnd"/>
            <w:r w:rsidRPr="000F32B0">
              <w:rPr>
                <w:rFonts w:eastAsia="Aptos Narrow"/>
                <w:color w:val="000000" w:themeColor="text1"/>
                <w:sz w:val="20"/>
                <w:szCs w:val="20"/>
              </w:rPr>
              <w:t xml:space="preserve"> K, Chen J, Vienneau D, </w:t>
            </w:r>
            <w:proofErr w:type="spellStart"/>
            <w:r w:rsidRPr="000F32B0">
              <w:rPr>
                <w:rFonts w:eastAsia="Aptos Narrow"/>
                <w:color w:val="000000" w:themeColor="text1"/>
                <w:sz w:val="20"/>
                <w:szCs w:val="20"/>
              </w:rPr>
              <w:t>Carrière</w:t>
            </w:r>
            <w:proofErr w:type="spellEnd"/>
            <w:r w:rsidRPr="000F32B0">
              <w:rPr>
                <w:rFonts w:eastAsia="Aptos Narrow"/>
                <w:color w:val="000000" w:themeColor="text1"/>
                <w:sz w:val="20"/>
                <w:szCs w:val="20"/>
              </w:rPr>
              <w:t xml:space="preserve"> I, Letellier N, Helmer C, Gabelle A, Mura T, </w:t>
            </w:r>
            <w:proofErr w:type="spellStart"/>
            <w:r w:rsidRPr="000F32B0">
              <w:rPr>
                <w:rFonts w:eastAsia="Aptos Narrow"/>
                <w:color w:val="000000" w:themeColor="text1"/>
                <w:sz w:val="20"/>
                <w:szCs w:val="20"/>
              </w:rPr>
              <w:t>Sunyer</w:t>
            </w:r>
            <w:proofErr w:type="spellEnd"/>
            <w:r w:rsidRPr="000F32B0">
              <w:rPr>
                <w:rFonts w:eastAsia="Aptos Narrow"/>
                <w:color w:val="000000" w:themeColor="text1"/>
                <w:sz w:val="20"/>
                <w:szCs w:val="20"/>
              </w:rPr>
              <w:t xml:space="preserve"> J, </w:t>
            </w:r>
            <w:proofErr w:type="spellStart"/>
            <w:r w:rsidRPr="000F32B0">
              <w:rPr>
                <w:rFonts w:eastAsia="Aptos Narrow"/>
                <w:color w:val="000000" w:themeColor="text1"/>
                <w:sz w:val="20"/>
                <w:szCs w:val="20"/>
              </w:rPr>
              <w:t>Benmarhnia</w:t>
            </w:r>
            <w:proofErr w:type="spellEnd"/>
            <w:r w:rsidRPr="000F32B0">
              <w:rPr>
                <w:rFonts w:eastAsia="Aptos Narrow"/>
                <w:color w:val="000000" w:themeColor="text1"/>
                <w:sz w:val="20"/>
                <w:szCs w:val="20"/>
              </w:rPr>
              <w:t xml:space="preserve"> T, Jacquemin B, Berr C. Long-term exposure to ambient air pollution and risk of dementia: Results of the prospective Three-City Study. Environ Int. 2021 Mar;148:106376. </w:t>
            </w:r>
            <w:proofErr w:type="spellStart"/>
            <w:r w:rsidRPr="000F32B0">
              <w:rPr>
                <w:rFonts w:eastAsia="Aptos Narrow"/>
                <w:color w:val="000000" w:themeColor="text1"/>
                <w:sz w:val="20"/>
                <w:szCs w:val="20"/>
              </w:rPr>
              <w:t>doi</w:t>
            </w:r>
            <w:proofErr w:type="spellEnd"/>
            <w:r w:rsidRPr="000F32B0">
              <w:rPr>
                <w:rFonts w:eastAsia="Aptos Narrow"/>
                <w:color w:val="000000" w:themeColor="text1"/>
                <w:sz w:val="20"/>
                <w:szCs w:val="20"/>
              </w:rPr>
              <w:t xml:space="preserve">: 10.1016/j.envint.2020.106376. </w:t>
            </w:r>
            <w:proofErr w:type="spellStart"/>
            <w:r w:rsidRPr="000F32B0">
              <w:rPr>
                <w:rFonts w:eastAsia="Aptos Narrow"/>
                <w:color w:val="000000" w:themeColor="text1"/>
                <w:sz w:val="20"/>
                <w:szCs w:val="20"/>
              </w:rPr>
              <w:t>Epub</w:t>
            </w:r>
            <w:proofErr w:type="spellEnd"/>
            <w:r w:rsidRPr="000F32B0">
              <w:rPr>
                <w:rFonts w:eastAsia="Aptos Narrow"/>
                <w:color w:val="000000" w:themeColor="text1"/>
                <w:sz w:val="20"/>
                <w:szCs w:val="20"/>
              </w:rPr>
              <w:t xml:space="preserve"> 2021 Jan 20. PMID: 33484961.</w:t>
            </w:r>
          </w:p>
        </w:tc>
      </w:tr>
      <w:tr w:rsidR="00B123E5" w14:paraId="2F282C9D"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73541729"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119</w:t>
            </w:r>
          </w:p>
        </w:tc>
        <w:tc>
          <w:tcPr>
            <w:tcW w:w="1024" w:type="dxa"/>
            <w:tcBorders>
              <w:top w:val="single" w:sz="4" w:space="0" w:color="auto"/>
              <w:left w:val="single" w:sz="4" w:space="0" w:color="auto"/>
              <w:bottom w:val="single" w:sz="4" w:space="0" w:color="auto"/>
              <w:right w:val="single" w:sz="4" w:space="0" w:color="auto"/>
            </w:tcBorders>
            <w:hideMark/>
          </w:tcPr>
          <w:p w14:paraId="7C0979B9"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486780</w:t>
            </w:r>
          </w:p>
        </w:tc>
        <w:tc>
          <w:tcPr>
            <w:tcW w:w="7046" w:type="dxa"/>
            <w:tcBorders>
              <w:top w:val="single" w:sz="4" w:space="0" w:color="auto"/>
              <w:left w:val="single" w:sz="4" w:space="0" w:color="auto"/>
              <w:bottom w:val="single" w:sz="4" w:space="0" w:color="auto"/>
              <w:right w:val="single" w:sz="4" w:space="0" w:color="auto"/>
            </w:tcBorders>
            <w:hideMark/>
          </w:tcPr>
          <w:p w14:paraId="128FBBE6"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Shaffer RM, Blanco MN, Li G, Adar SD, Carone M, </w:t>
            </w:r>
            <w:proofErr w:type="spellStart"/>
            <w:r w:rsidRPr="000F32B0">
              <w:rPr>
                <w:rFonts w:eastAsia="Aptos Narrow"/>
                <w:color w:val="000000" w:themeColor="text1"/>
                <w:sz w:val="20"/>
                <w:szCs w:val="20"/>
              </w:rPr>
              <w:t>Szpiro</w:t>
            </w:r>
            <w:proofErr w:type="spellEnd"/>
            <w:r w:rsidRPr="000F32B0">
              <w:rPr>
                <w:rFonts w:eastAsia="Aptos Narrow"/>
                <w:color w:val="000000" w:themeColor="text1"/>
                <w:sz w:val="20"/>
                <w:szCs w:val="20"/>
              </w:rPr>
              <w:t xml:space="preserve"> AA, Kaufman JD, Larson TV, Larson EB, Crane PK, Sheppard L. Fine Particulate Matter and Dementia Incidence in the Adult Changes in Thought Study. Environ Health </w:t>
            </w:r>
            <w:proofErr w:type="spellStart"/>
            <w:r w:rsidRPr="000F32B0">
              <w:rPr>
                <w:rFonts w:eastAsia="Aptos Narrow"/>
                <w:color w:val="000000" w:themeColor="text1"/>
                <w:sz w:val="20"/>
                <w:szCs w:val="20"/>
              </w:rPr>
              <w:t>Perspect</w:t>
            </w:r>
            <w:proofErr w:type="spellEnd"/>
            <w:r w:rsidRPr="000F32B0">
              <w:rPr>
                <w:rFonts w:eastAsia="Aptos Narrow"/>
                <w:color w:val="000000" w:themeColor="text1"/>
                <w:sz w:val="20"/>
                <w:szCs w:val="20"/>
              </w:rPr>
              <w:t>. 2021; 129(8): 87001.</w:t>
            </w:r>
          </w:p>
        </w:tc>
      </w:tr>
      <w:tr w:rsidR="00B123E5" w14:paraId="335B6ABE"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3445682"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120</w:t>
            </w:r>
          </w:p>
        </w:tc>
        <w:tc>
          <w:tcPr>
            <w:tcW w:w="1024" w:type="dxa"/>
            <w:tcBorders>
              <w:top w:val="single" w:sz="4" w:space="0" w:color="auto"/>
              <w:left w:val="single" w:sz="4" w:space="0" w:color="auto"/>
              <w:bottom w:val="single" w:sz="4" w:space="0" w:color="auto"/>
              <w:right w:val="single" w:sz="4" w:space="0" w:color="auto"/>
            </w:tcBorders>
            <w:hideMark/>
          </w:tcPr>
          <w:p w14:paraId="5FB77A0A"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490458</w:t>
            </w:r>
          </w:p>
        </w:tc>
        <w:tc>
          <w:tcPr>
            <w:tcW w:w="7046" w:type="dxa"/>
            <w:tcBorders>
              <w:top w:val="single" w:sz="4" w:space="0" w:color="auto"/>
              <w:left w:val="single" w:sz="4" w:space="0" w:color="auto"/>
              <w:bottom w:val="single" w:sz="4" w:space="0" w:color="auto"/>
              <w:right w:val="single" w:sz="4" w:space="0" w:color="auto"/>
            </w:tcBorders>
            <w:hideMark/>
          </w:tcPr>
          <w:p w14:paraId="1CD1B00C"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Younan D, Wang X, Gruenewald T, Gatz M, Serre ML, Vizuete W, </w:t>
            </w:r>
            <w:proofErr w:type="spellStart"/>
            <w:r w:rsidRPr="000F32B0">
              <w:rPr>
                <w:rFonts w:eastAsia="Aptos Narrow"/>
                <w:color w:val="000000" w:themeColor="text1"/>
                <w:sz w:val="20"/>
                <w:szCs w:val="20"/>
              </w:rPr>
              <w:t>Braskie</w:t>
            </w:r>
            <w:proofErr w:type="spellEnd"/>
            <w:r w:rsidRPr="000F32B0">
              <w:rPr>
                <w:rFonts w:eastAsia="Aptos Narrow"/>
                <w:color w:val="000000" w:themeColor="text1"/>
                <w:sz w:val="20"/>
                <w:szCs w:val="20"/>
              </w:rPr>
              <w:t xml:space="preserve"> MN, Woods NF, Kahe K, Garcia L, </w:t>
            </w:r>
            <w:proofErr w:type="spellStart"/>
            <w:r w:rsidRPr="000F32B0">
              <w:rPr>
                <w:rFonts w:eastAsia="Aptos Narrow"/>
                <w:color w:val="000000" w:themeColor="text1"/>
                <w:sz w:val="20"/>
                <w:szCs w:val="20"/>
              </w:rPr>
              <w:t>Lurmann</w:t>
            </w:r>
            <w:proofErr w:type="spellEnd"/>
            <w:r w:rsidRPr="000F32B0">
              <w:rPr>
                <w:rFonts w:eastAsia="Aptos Narrow"/>
                <w:color w:val="000000" w:themeColor="text1"/>
                <w:sz w:val="20"/>
                <w:szCs w:val="20"/>
              </w:rPr>
              <w:t xml:space="preserve"> F, Manson JE, Chui HC, Wallace RB, Espeland MA, Chen JC. Racial/Ethnic Disparities in Alzheimer's Disease Risk: Role of Exposure to Ambient Fine Particles. J </w:t>
            </w:r>
            <w:proofErr w:type="spellStart"/>
            <w:r w:rsidRPr="000F32B0">
              <w:rPr>
                <w:rFonts w:eastAsia="Aptos Narrow"/>
                <w:color w:val="000000" w:themeColor="text1"/>
                <w:sz w:val="20"/>
                <w:szCs w:val="20"/>
              </w:rPr>
              <w:t>Gerontol</w:t>
            </w:r>
            <w:proofErr w:type="spellEnd"/>
            <w:r w:rsidRPr="000F32B0">
              <w:rPr>
                <w:rFonts w:eastAsia="Aptos Narrow"/>
                <w:color w:val="000000" w:themeColor="text1"/>
                <w:sz w:val="20"/>
                <w:szCs w:val="20"/>
              </w:rPr>
              <w:t xml:space="preserve"> A Biol Sci Med Sci. 2021.</w:t>
            </w:r>
          </w:p>
        </w:tc>
      </w:tr>
      <w:tr w:rsidR="00B123E5" w14:paraId="0B00815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51ABF35"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121</w:t>
            </w:r>
          </w:p>
        </w:tc>
        <w:tc>
          <w:tcPr>
            <w:tcW w:w="1024" w:type="dxa"/>
            <w:tcBorders>
              <w:top w:val="single" w:sz="4" w:space="0" w:color="auto"/>
              <w:left w:val="single" w:sz="4" w:space="0" w:color="auto"/>
              <w:bottom w:val="single" w:sz="4" w:space="0" w:color="auto"/>
              <w:right w:val="single" w:sz="4" w:space="0" w:color="auto"/>
            </w:tcBorders>
            <w:hideMark/>
          </w:tcPr>
          <w:p w14:paraId="7E263954"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490462</w:t>
            </w:r>
          </w:p>
        </w:tc>
        <w:tc>
          <w:tcPr>
            <w:tcW w:w="7046" w:type="dxa"/>
            <w:tcBorders>
              <w:top w:val="single" w:sz="4" w:space="0" w:color="auto"/>
              <w:left w:val="single" w:sz="4" w:space="0" w:color="auto"/>
              <w:bottom w:val="single" w:sz="4" w:space="0" w:color="auto"/>
              <w:right w:val="single" w:sz="4" w:space="0" w:color="auto"/>
            </w:tcBorders>
            <w:hideMark/>
          </w:tcPr>
          <w:p w14:paraId="1B724CFF"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Sullivan KJ, Ran X, Wu F, Chang CH, Sharma R, Jacobsen E, Berman S, </w:t>
            </w:r>
            <w:proofErr w:type="spellStart"/>
            <w:r w:rsidRPr="000F32B0">
              <w:rPr>
                <w:rFonts w:eastAsia="Aptos Narrow"/>
                <w:color w:val="000000" w:themeColor="text1"/>
                <w:sz w:val="20"/>
                <w:szCs w:val="20"/>
              </w:rPr>
              <w:t>Snitz</w:t>
            </w:r>
            <w:proofErr w:type="spellEnd"/>
            <w:r w:rsidRPr="000F32B0">
              <w:rPr>
                <w:rFonts w:eastAsia="Aptos Narrow"/>
                <w:color w:val="000000" w:themeColor="text1"/>
                <w:sz w:val="20"/>
                <w:szCs w:val="20"/>
              </w:rPr>
              <w:t xml:space="preserve"> BE, </w:t>
            </w:r>
            <w:proofErr w:type="spellStart"/>
            <w:r w:rsidRPr="000F32B0">
              <w:rPr>
                <w:rFonts w:eastAsia="Aptos Narrow"/>
                <w:color w:val="000000" w:themeColor="text1"/>
                <w:sz w:val="20"/>
                <w:szCs w:val="20"/>
              </w:rPr>
              <w:t>Sekikawa</w:t>
            </w:r>
            <w:proofErr w:type="spellEnd"/>
            <w:r w:rsidRPr="000F32B0">
              <w:rPr>
                <w:rFonts w:eastAsia="Aptos Narrow"/>
                <w:color w:val="000000" w:themeColor="text1"/>
                <w:sz w:val="20"/>
                <w:szCs w:val="20"/>
              </w:rPr>
              <w:t xml:space="preserve"> A, Talbott EO, Ganguli M. Ambient fine particulate matter exposure and incident mild cognitive impairment and dementia. J Am </w:t>
            </w:r>
            <w:proofErr w:type="spellStart"/>
            <w:r w:rsidRPr="000F32B0">
              <w:rPr>
                <w:rFonts w:eastAsia="Aptos Narrow"/>
                <w:color w:val="000000" w:themeColor="text1"/>
                <w:sz w:val="20"/>
                <w:szCs w:val="20"/>
              </w:rPr>
              <w:t>Geriatr</w:t>
            </w:r>
            <w:proofErr w:type="spellEnd"/>
            <w:r w:rsidRPr="000F32B0">
              <w:rPr>
                <w:rFonts w:eastAsia="Aptos Narrow"/>
                <w:color w:val="000000" w:themeColor="text1"/>
                <w:sz w:val="20"/>
                <w:szCs w:val="20"/>
              </w:rPr>
              <w:t xml:space="preserve"> Soc. 2021; 69(8): 2185-2194.</w:t>
            </w:r>
          </w:p>
        </w:tc>
      </w:tr>
      <w:tr w:rsidR="00B123E5" w14:paraId="33A19FC2"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2D6DE07C"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122</w:t>
            </w:r>
          </w:p>
        </w:tc>
        <w:tc>
          <w:tcPr>
            <w:tcW w:w="1024" w:type="dxa"/>
            <w:tcBorders>
              <w:top w:val="single" w:sz="4" w:space="0" w:color="auto"/>
              <w:left w:val="single" w:sz="4" w:space="0" w:color="auto"/>
              <w:bottom w:val="single" w:sz="4" w:space="0" w:color="auto"/>
              <w:right w:val="single" w:sz="4" w:space="0" w:color="auto"/>
            </w:tcBorders>
            <w:hideMark/>
          </w:tcPr>
          <w:p w14:paraId="6B49C9A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490464</w:t>
            </w:r>
          </w:p>
        </w:tc>
        <w:tc>
          <w:tcPr>
            <w:tcW w:w="7046" w:type="dxa"/>
            <w:tcBorders>
              <w:top w:val="single" w:sz="4" w:space="0" w:color="auto"/>
              <w:left w:val="single" w:sz="4" w:space="0" w:color="auto"/>
              <w:bottom w:val="single" w:sz="4" w:space="0" w:color="auto"/>
              <w:right w:val="single" w:sz="4" w:space="0" w:color="auto"/>
            </w:tcBorders>
            <w:hideMark/>
          </w:tcPr>
          <w:p w14:paraId="08C97531"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Cerza F, Renzi M, </w:t>
            </w:r>
            <w:proofErr w:type="spellStart"/>
            <w:r w:rsidRPr="000F32B0">
              <w:rPr>
                <w:rFonts w:eastAsia="Aptos Narrow"/>
                <w:color w:val="000000" w:themeColor="text1"/>
                <w:sz w:val="20"/>
                <w:szCs w:val="20"/>
              </w:rPr>
              <w:t>Gariazzo</w:t>
            </w:r>
            <w:proofErr w:type="spellEnd"/>
            <w:r w:rsidRPr="000F32B0">
              <w:rPr>
                <w:rFonts w:eastAsia="Aptos Narrow"/>
                <w:color w:val="000000" w:themeColor="text1"/>
                <w:sz w:val="20"/>
                <w:szCs w:val="20"/>
              </w:rPr>
              <w:t xml:space="preserve"> C, Davoli M, </w:t>
            </w:r>
            <w:proofErr w:type="spellStart"/>
            <w:r w:rsidRPr="000F32B0">
              <w:rPr>
                <w:rFonts w:eastAsia="Aptos Narrow"/>
                <w:color w:val="000000" w:themeColor="text1"/>
                <w:sz w:val="20"/>
                <w:szCs w:val="20"/>
              </w:rPr>
              <w:t>Michelozzi</w:t>
            </w:r>
            <w:proofErr w:type="spellEnd"/>
            <w:r w:rsidRPr="000F32B0">
              <w:rPr>
                <w:rFonts w:eastAsia="Aptos Narrow"/>
                <w:color w:val="000000" w:themeColor="text1"/>
                <w:sz w:val="20"/>
                <w:szCs w:val="20"/>
              </w:rPr>
              <w:t xml:space="preserve"> P, </w:t>
            </w:r>
            <w:proofErr w:type="spellStart"/>
            <w:r w:rsidRPr="000F32B0">
              <w:rPr>
                <w:rFonts w:eastAsia="Aptos Narrow"/>
                <w:color w:val="000000" w:themeColor="text1"/>
                <w:sz w:val="20"/>
                <w:szCs w:val="20"/>
              </w:rPr>
              <w:t>Forastiere</w:t>
            </w:r>
            <w:proofErr w:type="spellEnd"/>
            <w:r w:rsidRPr="000F32B0">
              <w:rPr>
                <w:rFonts w:eastAsia="Aptos Narrow"/>
                <w:color w:val="000000" w:themeColor="text1"/>
                <w:sz w:val="20"/>
                <w:szCs w:val="20"/>
              </w:rPr>
              <w:t xml:space="preserve"> F, </w:t>
            </w:r>
            <w:proofErr w:type="spellStart"/>
            <w:r w:rsidRPr="000F32B0">
              <w:rPr>
                <w:rFonts w:eastAsia="Aptos Narrow"/>
                <w:color w:val="000000" w:themeColor="text1"/>
                <w:sz w:val="20"/>
                <w:szCs w:val="20"/>
              </w:rPr>
              <w:t>Cesaroni</w:t>
            </w:r>
            <w:proofErr w:type="spellEnd"/>
            <w:r w:rsidRPr="000F32B0">
              <w:rPr>
                <w:rFonts w:eastAsia="Aptos Narrow"/>
                <w:color w:val="000000" w:themeColor="text1"/>
                <w:sz w:val="20"/>
                <w:szCs w:val="20"/>
              </w:rPr>
              <w:t xml:space="preserve"> G. Long-term exposure to air pollution and hospitalization for dementia in the Rome longitudinal study. Environ Health. 2019; 18(1): 72.</w:t>
            </w:r>
          </w:p>
        </w:tc>
      </w:tr>
      <w:tr w:rsidR="00B123E5" w14:paraId="5663219A"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5A7AAFD7"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123</w:t>
            </w:r>
          </w:p>
        </w:tc>
        <w:tc>
          <w:tcPr>
            <w:tcW w:w="1024" w:type="dxa"/>
            <w:tcBorders>
              <w:top w:val="single" w:sz="4" w:space="0" w:color="auto"/>
              <w:left w:val="single" w:sz="4" w:space="0" w:color="auto"/>
              <w:bottom w:val="single" w:sz="4" w:space="0" w:color="auto"/>
              <w:right w:val="single" w:sz="4" w:space="0" w:color="auto"/>
            </w:tcBorders>
            <w:hideMark/>
          </w:tcPr>
          <w:p w14:paraId="2FB8A732"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490466</w:t>
            </w:r>
          </w:p>
        </w:tc>
        <w:tc>
          <w:tcPr>
            <w:tcW w:w="7046" w:type="dxa"/>
            <w:tcBorders>
              <w:top w:val="single" w:sz="4" w:space="0" w:color="auto"/>
              <w:left w:val="single" w:sz="4" w:space="0" w:color="auto"/>
              <w:bottom w:val="single" w:sz="4" w:space="0" w:color="auto"/>
              <w:right w:val="single" w:sz="4" w:space="0" w:color="auto"/>
            </w:tcBorders>
            <w:hideMark/>
          </w:tcPr>
          <w:p w14:paraId="59F2E5B4"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Ilango SD, Chen H, Hystad P, van </w:t>
            </w:r>
            <w:proofErr w:type="spellStart"/>
            <w:r w:rsidRPr="000F32B0">
              <w:rPr>
                <w:rFonts w:eastAsia="Aptos Narrow"/>
                <w:color w:val="000000" w:themeColor="text1"/>
                <w:sz w:val="20"/>
                <w:szCs w:val="20"/>
              </w:rPr>
              <w:t>Donkelaar</w:t>
            </w:r>
            <w:proofErr w:type="spellEnd"/>
            <w:r w:rsidRPr="000F32B0">
              <w:rPr>
                <w:rFonts w:eastAsia="Aptos Narrow"/>
                <w:color w:val="000000" w:themeColor="text1"/>
                <w:sz w:val="20"/>
                <w:szCs w:val="20"/>
              </w:rPr>
              <w:t xml:space="preserve"> A, Kwong JC, Tu K, Martin RV, </w:t>
            </w:r>
            <w:proofErr w:type="spellStart"/>
            <w:r w:rsidRPr="000F32B0">
              <w:rPr>
                <w:rFonts w:eastAsia="Aptos Narrow"/>
                <w:color w:val="000000" w:themeColor="text1"/>
                <w:sz w:val="20"/>
                <w:szCs w:val="20"/>
              </w:rPr>
              <w:t>Benmarhnia</w:t>
            </w:r>
            <w:proofErr w:type="spellEnd"/>
            <w:r w:rsidRPr="000F32B0">
              <w:rPr>
                <w:rFonts w:eastAsia="Aptos Narrow"/>
                <w:color w:val="000000" w:themeColor="text1"/>
                <w:sz w:val="20"/>
                <w:szCs w:val="20"/>
              </w:rPr>
              <w:t xml:space="preserve"> T. The role of cardiovascular disease in the relationship between air pollution and incident dementia: a population-based cohort study. Int J Epidemiol. 2020; 49(1): 36-44.</w:t>
            </w:r>
          </w:p>
        </w:tc>
      </w:tr>
      <w:tr w:rsidR="00B123E5" w14:paraId="51084883"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340CEA69"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124</w:t>
            </w:r>
          </w:p>
        </w:tc>
        <w:tc>
          <w:tcPr>
            <w:tcW w:w="1024" w:type="dxa"/>
            <w:tcBorders>
              <w:top w:val="single" w:sz="4" w:space="0" w:color="auto"/>
              <w:left w:val="single" w:sz="4" w:space="0" w:color="auto"/>
              <w:bottom w:val="single" w:sz="4" w:space="0" w:color="auto"/>
              <w:right w:val="single" w:sz="4" w:space="0" w:color="auto"/>
            </w:tcBorders>
            <w:hideMark/>
          </w:tcPr>
          <w:p w14:paraId="6E899356"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490468</w:t>
            </w:r>
          </w:p>
        </w:tc>
        <w:tc>
          <w:tcPr>
            <w:tcW w:w="7046" w:type="dxa"/>
            <w:tcBorders>
              <w:top w:val="single" w:sz="4" w:space="0" w:color="auto"/>
              <w:left w:val="single" w:sz="4" w:space="0" w:color="auto"/>
              <w:bottom w:val="single" w:sz="4" w:space="0" w:color="auto"/>
              <w:right w:val="single" w:sz="4" w:space="0" w:color="auto"/>
            </w:tcBorders>
            <w:hideMark/>
          </w:tcPr>
          <w:p w14:paraId="2EE6383D"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Yuchi W, </w:t>
            </w:r>
            <w:proofErr w:type="spellStart"/>
            <w:r w:rsidRPr="000F32B0">
              <w:rPr>
                <w:rFonts w:eastAsia="Aptos Narrow"/>
                <w:color w:val="000000" w:themeColor="text1"/>
                <w:sz w:val="20"/>
                <w:szCs w:val="20"/>
              </w:rPr>
              <w:t>Sbihi</w:t>
            </w:r>
            <w:proofErr w:type="spellEnd"/>
            <w:r w:rsidRPr="000F32B0">
              <w:rPr>
                <w:rFonts w:eastAsia="Aptos Narrow"/>
                <w:color w:val="000000" w:themeColor="text1"/>
                <w:sz w:val="20"/>
                <w:szCs w:val="20"/>
              </w:rPr>
              <w:t xml:space="preserve"> H, Davies H, </w:t>
            </w:r>
            <w:proofErr w:type="spellStart"/>
            <w:r w:rsidRPr="000F32B0">
              <w:rPr>
                <w:rFonts w:eastAsia="Aptos Narrow"/>
                <w:color w:val="000000" w:themeColor="text1"/>
                <w:sz w:val="20"/>
                <w:szCs w:val="20"/>
              </w:rPr>
              <w:t>Tamburic</w:t>
            </w:r>
            <w:proofErr w:type="spellEnd"/>
            <w:r w:rsidRPr="000F32B0">
              <w:rPr>
                <w:rFonts w:eastAsia="Aptos Narrow"/>
                <w:color w:val="000000" w:themeColor="text1"/>
                <w:sz w:val="20"/>
                <w:szCs w:val="20"/>
              </w:rPr>
              <w:t xml:space="preserve"> L, Brauer M. Road proximity, air pollution, noise, green space and neurologic disease incidence: a population-based cohort study. Environ Health. 2020; 19(1): 8.</w:t>
            </w:r>
          </w:p>
        </w:tc>
      </w:tr>
      <w:tr w:rsidR="00B123E5" w14:paraId="39A5164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45D2A6F3"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125</w:t>
            </w:r>
          </w:p>
        </w:tc>
        <w:tc>
          <w:tcPr>
            <w:tcW w:w="1024" w:type="dxa"/>
            <w:tcBorders>
              <w:top w:val="single" w:sz="4" w:space="0" w:color="auto"/>
              <w:left w:val="single" w:sz="4" w:space="0" w:color="auto"/>
              <w:bottom w:val="single" w:sz="4" w:space="0" w:color="auto"/>
              <w:right w:val="single" w:sz="4" w:space="0" w:color="auto"/>
            </w:tcBorders>
            <w:hideMark/>
          </w:tcPr>
          <w:p w14:paraId="3D5B9E8E"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490761</w:t>
            </w:r>
          </w:p>
        </w:tc>
        <w:tc>
          <w:tcPr>
            <w:tcW w:w="7046" w:type="dxa"/>
            <w:tcBorders>
              <w:top w:val="single" w:sz="4" w:space="0" w:color="auto"/>
              <w:left w:val="single" w:sz="4" w:space="0" w:color="auto"/>
              <w:bottom w:val="single" w:sz="4" w:space="0" w:color="auto"/>
              <w:right w:val="single" w:sz="4" w:space="0" w:color="auto"/>
            </w:tcBorders>
            <w:hideMark/>
          </w:tcPr>
          <w:p w14:paraId="7EDE8519" w14:textId="77777777" w:rsidR="00B123E5" w:rsidRPr="000F32B0" w:rsidRDefault="00B123E5" w:rsidP="31F26954">
            <w:pPr>
              <w:rPr>
                <w:rFonts w:eastAsia="Arial"/>
                <w:color w:val="142027"/>
                <w:sz w:val="20"/>
                <w:szCs w:val="20"/>
              </w:rPr>
            </w:pPr>
            <w:r w:rsidRPr="000F32B0">
              <w:rPr>
                <w:rFonts w:eastAsia="Arial"/>
                <w:color w:val="142027"/>
                <w:sz w:val="20"/>
                <w:szCs w:val="20"/>
              </w:rPr>
              <w:t xml:space="preserve">Bowe B, Xie Y, Yan Y, Al-Aly Z. Burden of Cause-Specific Mortality Associated With PM2.5 Air Pollution in the United States. </w:t>
            </w:r>
            <w:r w:rsidRPr="000F32B0">
              <w:rPr>
                <w:rFonts w:eastAsia="Arial"/>
                <w:i/>
                <w:iCs/>
                <w:color w:val="142027"/>
                <w:sz w:val="20"/>
                <w:szCs w:val="20"/>
              </w:rPr>
              <w:t xml:space="preserve">JAMA </w:t>
            </w:r>
            <w:proofErr w:type="spellStart"/>
            <w:r w:rsidRPr="000F32B0">
              <w:rPr>
                <w:rFonts w:eastAsia="Arial"/>
                <w:i/>
                <w:iCs/>
                <w:color w:val="142027"/>
                <w:sz w:val="20"/>
                <w:szCs w:val="20"/>
              </w:rPr>
              <w:t>Netw</w:t>
            </w:r>
            <w:proofErr w:type="spellEnd"/>
            <w:r w:rsidRPr="000F32B0">
              <w:rPr>
                <w:rFonts w:eastAsia="Arial"/>
                <w:i/>
                <w:iCs/>
                <w:color w:val="142027"/>
                <w:sz w:val="20"/>
                <w:szCs w:val="20"/>
              </w:rPr>
              <w:t xml:space="preserve"> Open</w:t>
            </w:r>
            <w:r w:rsidRPr="000F32B0">
              <w:rPr>
                <w:rFonts w:eastAsia="Arial"/>
                <w:color w:val="142027"/>
                <w:sz w:val="20"/>
                <w:szCs w:val="20"/>
              </w:rPr>
              <w:t>. 2019; 2(11): e1915834.</w:t>
            </w:r>
          </w:p>
        </w:tc>
      </w:tr>
      <w:tr w:rsidR="00B123E5" w14:paraId="34D39718" w14:textId="77777777" w:rsidTr="31F26954">
        <w:trPr>
          <w:trHeight w:val="300"/>
        </w:trPr>
        <w:tc>
          <w:tcPr>
            <w:tcW w:w="945" w:type="dxa"/>
            <w:tcBorders>
              <w:top w:val="single" w:sz="4" w:space="0" w:color="auto"/>
              <w:left w:val="single" w:sz="4" w:space="0" w:color="auto"/>
              <w:bottom w:val="single" w:sz="4" w:space="0" w:color="auto"/>
              <w:right w:val="single" w:sz="4" w:space="0" w:color="auto"/>
            </w:tcBorders>
            <w:hideMark/>
          </w:tcPr>
          <w:p w14:paraId="0D5487EC"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126</w:t>
            </w:r>
          </w:p>
        </w:tc>
        <w:tc>
          <w:tcPr>
            <w:tcW w:w="1024" w:type="dxa"/>
            <w:tcBorders>
              <w:top w:val="single" w:sz="4" w:space="0" w:color="auto"/>
              <w:left w:val="single" w:sz="4" w:space="0" w:color="auto"/>
              <w:bottom w:val="single" w:sz="4" w:space="0" w:color="auto"/>
              <w:right w:val="single" w:sz="4" w:space="0" w:color="auto"/>
            </w:tcBorders>
            <w:hideMark/>
          </w:tcPr>
          <w:p w14:paraId="7EEF324F" w14:textId="77777777" w:rsidR="00B123E5" w:rsidRPr="000F32B0" w:rsidRDefault="00B123E5" w:rsidP="31F26954">
            <w:pPr>
              <w:jc w:val="right"/>
              <w:rPr>
                <w:rFonts w:eastAsia="Aptos Narrow"/>
                <w:color w:val="000000" w:themeColor="text1"/>
                <w:sz w:val="20"/>
                <w:szCs w:val="20"/>
              </w:rPr>
            </w:pPr>
            <w:r w:rsidRPr="000F32B0">
              <w:rPr>
                <w:rFonts w:eastAsia="Aptos Narrow"/>
                <w:color w:val="000000" w:themeColor="text1"/>
                <w:sz w:val="20"/>
                <w:szCs w:val="20"/>
              </w:rPr>
              <w:t>492954</w:t>
            </w:r>
          </w:p>
        </w:tc>
        <w:tc>
          <w:tcPr>
            <w:tcW w:w="7046" w:type="dxa"/>
            <w:tcBorders>
              <w:top w:val="single" w:sz="4" w:space="0" w:color="auto"/>
              <w:left w:val="single" w:sz="4" w:space="0" w:color="auto"/>
              <w:bottom w:val="single" w:sz="4" w:space="0" w:color="auto"/>
              <w:right w:val="single" w:sz="4" w:space="0" w:color="auto"/>
            </w:tcBorders>
            <w:hideMark/>
          </w:tcPr>
          <w:p w14:paraId="396A0F23" w14:textId="77777777" w:rsidR="00B123E5" w:rsidRPr="000F32B0" w:rsidRDefault="00B123E5" w:rsidP="31F26954">
            <w:pPr>
              <w:rPr>
                <w:rFonts w:eastAsia="Aptos Narrow"/>
                <w:color w:val="000000" w:themeColor="text1"/>
                <w:sz w:val="20"/>
                <w:szCs w:val="20"/>
              </w:rPr>
            </w:pPr>
            <w:r w:rsidRPr="000F32B0">
              <w:rPr>
                <w:rFonts w:eastAsia="Aptos Narrow"/>
                <w:color w:val="000000" w:themeColor="text1"/>
                <w:sz w:val="20"/>
                <w:szCs w:val="20"/>
              </w:rPr>
              <w:t xml:space="preserve">Shi L, Steenland K, Li H, Liu P, Zhang Y, Lyles RH, </w:t>
            </w:r>
            <w:proofErr w:type="spellStart"/>
            <w:r w:rsidRPr="000F32B0">
              <w:rPr>
                <w:rFonts w:eastAsia="Aptos Narrow"/>
                <w:color w:val="000000" w:themeColor="text1"/>
                <w:sz w:val="20"/>
                <w:szCs w:val="20"/>
              </w:rPr>
              <w:t>Requia</w:t>
            </w:r>
            <w:proofErr w:type="spellEnd"/>
            <w:r w:rsidRPr="000F32B0">
              <w:rPr>
                <w:rFonts w:eastAsia="Aptos Narrow"/>
                <w:color w:val="000000" w:themeColor="text1"/>
                <w:sz w:val="20"/>
                <w:szCs w:val="20"/>
              </w:rPr>
              <w:t xml:space="preserve"> WJ, Ilango SD, Chang HH, Wingo T, Weber RJ, Schwartz J. A national cohort study (2000-2018) of long-term air pollution exposure and incident dementia in older adults in the United States. Nat Commun. 2021; 12(1): 6754.</w:t>
            </w:r>
          </w:p>
        </w:tc>
      </w:tr>
    </w:tbl>
    <w:p w14:paraId="34584458" w14:textId="77777777" w:rsidR="00B123E5" w:rsidRDefault="00B123E5" w:rsidP="00B123E5">
      <w:pPr>
        <w:rPr>
          <w:rFonts w:ascii="Calibri" w:eastAsia="Calibri" w:hAnsi="Calibri" w:cs="Calibri"/>
        </w:rPr>
      </w:pPr>
    </w:p>
    <w:p w14:paraId="23C97837" w14:textId="77777777" w:rsidR="00B123E5" w:rsidRPr="00D856EF" w:rsidRDefault="00B123E5" w:rsidP="31F26954">
      <w:pPr>
        <w:rPr>
          <w:b/>
          <w:bCs/>
        </w:rPr>
      </w:pPr>
      <w:r w:rsidRPr="00D856EF">
        <w:rPr>
          <w:b/>
          <w:bCs/>
        </w:rPr>
        <w:t>Low birthweight and short gestation mediation analysis</w:t>
      </w:r>
    </w:p>
    <w:p w14:paraId="03159599" w14:textId="7093CA9A" w:rsidR="00B123E5" w:rsidRDefault="00B123E5" w:rsidP="00B123E5">
      <w:pPr>
        <w:rPr>
          <w:rFonts w:ascii="Calibri" w:eastAsia="Calibri" w:hAnsi="Calibri" w:cs="Calibri"/>
        </w:rPr>
      </w:pPr>
      <w:r w:rsidRPr="31F26954">
        <w:rPr>
          <w:rFonts w:ascii="Calibri" w:eastAsia="Calibri" w:hAnsi="Calibri" w:cs="Calibri"/>
        </w:rPr>
        <w:t xml:space="preserve">Since GBD 2019, low birthweight and short gestation were included as </w:t>
      </w:r>
      <w:r>
        <w:t>PM</w:t>
      </w:r>
      <w:r w:rsidRPr="31F26954">
        <w:rPr>
          <w:vertAlign w:val="subscript"/>
        </w:rPr>
        <w:t>2.5</w:t>
      </w:r>
      <w:r w:rsidRPr="31F26954">
        <w:rPr>
          <w:rFonts w:ascii="Calibri" w:eastAsia="Calibri" w:hAnsi="Calibri" w:cs="Calibri"/>
        </w:rPr>
        <w:t xml:space="preserve"> outcomes via a mediation analysis. No changes were made to the modelling for GBD 2023. Low birthweight and short gestation </w:t>
      </w:r>
      <w:r w:rsidR="00644419">
        <w:rPr>
          <w:rFonts w:ascii="Calibri" w:eastAsia="Calibri" w:hAnsi="Calibri" w:cs="Calibri"/>
        </w:rPr>
        <w:t xml:space="preserve">are risk factors for </w:t>
      </w:r>
      <w:r w:rsidR="00DA4E06">
        <w:rPr>
          <w:rFonts w:ascii="Calibri" w:eastAsia="Calibri" w:hAnsi="Calibri" w:cs="Calibri"/>
        </w:rPr>
        <w:t>a range of health outcomes, including</w:t>
      </w:r>
      <w:r w:rsidRPr="31F26954">
        <w:rPr>
          <w:rFonts w:ascii="Calibri" w:eastAsia="Calibri" w:hAnsi="Calibri" w:cs="Calibri"/>
        </w:rPr>
        <w:t xml:space="preserve"> </w:t>
      </w:r>
      <w:r w:rsidR="00DA4E06">
        <w:rPr>
          <w:rFonts w:ascii="Calibri" w:eastAsia="Calibri" w:hAnsi="Calibri" w:cs="Calibri"/>
        </w:rPr>
        <w:t xml:space="preserve">meningitis, </w:t>
      </w:r>
      <w:r w:rsidR="00507F47" w:rsidRPr="31F26954">
        <w:rPr>
          <w:rFonts w:ascii="Calibri" w:eastAsia="Calibri" w:hAnsi="Calibri" w:cs="Calibri"/>
        </w:rPr>
        <w:t>encephalitis</w:t>
      </w:r>
      <w:r w:rsidR="00507F47">
        <w:rPr>
          <w:rFonts w:ascii="Calibri" w:eastAsia="Calibri" w:hAnsi="Calibri" w:cs="Calibri"/>
        </w:rPr>
        <w:t xml:space="preserve">, </w:t>
      </w:r>
      <w:proofErr w:type="spellStart"/>
      <w:r w:rsidRPr="31F26954">
        <w:rPr>
          <w:rFonts w:ascii="Calibri" w:eastAsia="Calibri" w:hAnsi="Calibri" w:cs="Calibri"/>
        </w:rPr>
        <w:t>diarrhoeal</w:t>
      </w:r>
      <w:proofErr w:type="spellEnd"/>
      <w:r w:rsidRPr="31F26954">
        <w:rPr>
          <w:rFonts w:ascii="Calibri" w:eastAsia="Calibri" w:hAnsi="Calibri" w:cs="Calibri"/>
        </w:rPr>
        <w:t xml:space="preserve"> diseases, lower respiratory infections, upper respiratory infections, </w:t>
      </w:r>
      <w:r w:rsidR="00980FD9">
        <w:rPr>
          <w:rFonts w:ascii="Calibri" w:eastAsia="Calibri" w:hAnsi="Calibri" w:cs="Calibri"/>
        </w:rPr>
        <w:t xml:space="preserve">and </w:t>
      </w:r>
      <w:r w:rsidRPr="31F26954">
        <w:rPr>
          <w:rFonts w:ascii="Calibri" w:eastAsia="Calibri" w:hAnsi="Calibri" w:cs="Calibri"/>
        </w:rPr>
        <w:t>otitis media</w:t>
      </w:r>
      <w:r w:rsidR="00980FD9">
        <w:rPr>
          <w:rFonts w:ascii="Calibri" w:eastAsia="Calibri" w:hAnsi="Calibri" w:cs="Calibri"/>
        </w:rPr>
        <w:t xml:space="preserve">. </w:t>
      </w:r>
      <w:r w:rsidRPr="31F26954">
        <w:rPr>
          <w:rFonts w:ascii="Calibri" w:eastAsia="Calibri" w:hAnsi="Calibri" w:cs="Calibri"/>
        </w:rPr>
        <w:t>These outcomes are specific to the neonatal ages: 0–6 days and 7–27 days.</w:t>
      </w:r>
    </w:p>
    <w:p w14:paraId="6E18CA39" w14:textId="7AE0926A" w:rsidR="00B123E5" w:rsidRDefault="000074DE" w:rsidP="00B123E5">
      <w:r w:rsidRPr="000074DE">
        <w:rPr>
          <w:rFonts w:ascii="Calibri" w:eastAsia="Calibri" w:hAnsi="Calibri" w:cs="Calibri"/>
        </w:rPr>
        <w:t>The following describes the methods used to conduct the mediation analysis.</w:t>
      </w:r>
      <w:r w:rsidR="00B123E5" w:rsidRPr="31F26954">
        <w:rPr>
          <w:rFonts w:ascii="Calibri" w:eastAsia="Calibri" w:hAnsi="Calibri" w:cs="Calibri"/>
        </w:rPr>
        <w:t xml:space="preserve"> For GBD 2019, we conducted a systematic review of all cohort, case-control, or </w:t>
      </w:r>
      <w:proofErr w:type="spellStart"/>
      <w:r w:rsidR="00B123E5" w:rsidRPr="31F26954">
        <w:rPr>
          <w:rFonts w:ascii="Calibri" w:eastAsia="Calibri" w:hAnsi="Calibri" w:cs="Calibri"/>
        </w:rPr>
        <w:t>randomised</w:t>
      </w:r>
      <w:proofErr w:type="spellEnd"/>
      <w:r w:rsidR="00B123E5" w:rsidRPr="31F26954">
        <w:rPr>
          <w:rFonts w:ascii="Calibri" w:eastAsia="Calibri" w:hAnsi="Calibri" w:cs="Calibri"/>
        </w:rPr>
        <w:t xml:space="preserve">-controlled trial studies of ambient </w:t>
      </w:r>
      <w:r w:rsidR="00B123E5">
        <w:t>PM</w:t>
      </w:r>
      <w:r w:rsidR="00B123E5" w:rsidRPr="31F26954">
        <w:rPr>
          <w:vertAlign w:val="subscript"/>
        </w:rPr>
        <w:t>2.5</w:t>
      </w:r>
      <w:r w:rsidR="00B123E5" w:rsidRPr="31F26954">
        <w:rPr>
          <w:rFonts w:ascii="Calibri" w:eastAsia="Calibri" w:hAnsi="Calibri" w:cs="Calibri"/>
        </w:rPr>
        <w:t xml:space="preserve"> pollution or household air pollution and birthweight or gestational age</w:t>
      </w:r>
      <w:r w:rsidR="001A62B4">
        <w:rPr>
          <w:rFonts w:ascii="Calibri" w:eastAsia="Calibri" w:hAnsi="Calibri" w:cs="Calibri"/>
        </w:rPr>
        <w:t xml:space="preserve"> </w:t>
      </w:r>
      <w:r w:rsidR="00B123E5" w:rsidRPr="31F26954">
        <w:rPr>
          <w:rFonts w:ascii="Calibri" w:eastAsia="Calibri" w:hAnsi="Calibri" w:cs="Calibri"/>
        </w:rPr>
        <w:t>outcomes.</w:t>
      </w:r>
      <w:r w:rsidR="00B123E5" w:rsidRPr="31F26954">
        <w:rPr>
          <w:rFonts w:ascii="Calibri" w:eastAsia="Calibri" w:hAnsi="Calibri" w:cs="Calibri"/>
          <w:vertAlign w:val="superscript"/>
        </w:rPr>
        <w:t>10</w:t>
      </w:r>
      <w:r w:rsidR="00B123E5" w:rsidRPr="31F26954">
        <w:rPr>
          <w:rFonts w:ascii="Calibri" w:eastAsia="Calibri" w:hAnsi="Calibri" w:cs="Calibri"/>
        </w:rPr>
        <w:t xml:space="preserve"> Outcomes measured included continuous birthweight (</w:t>
      </w:r>
      <w:proofErr w:type="spellStart"/>
      <w:r w:rsidR="00B123E5" w:rsidRPr="31F26954">
        <w:rPr>
          <w:rFonts w:ascii="Calibri" w:eastAsia="Calibri" w:hAnsi="Calibri" w:cs="Calibri"/>
        </w:rPr>
        <w:t>bw</w:t>
      </w:r>
      <w:proofErr w:type="spellEnd"/>
      <w:r w:rsidR="00B123E5" w:rsidRPr="31F26954">
        <w:rPr>
          <w:rFonts w:ascii="Calibri" w:eastAsia="Calibri" w:hAnsi="Calibri" w:cs="Calibri"/>
        </w:rPr>
        <w:t>), continuous gestational age (ga), low birthweight (LBW) (&lt;2500 g), preterm birth (PTB) (&lt;37 weeks), and very preterm birth (VPTB) (&lt;32 weeks). We included any papers published until April 4, 2021.</w:t>
      </w:r>
    </w:p>
    <w:p w14:paraId="4812DD07" w14:textId="36362F5D" w:rsidR="00B123E5" w:rsidRDefault="00B123E5" w:rsidP="00B123E5">
      <w:pPr>
        <w:rPr>
          <w:rFonts w:ascii="Calibri" w:eastAsia="Calibri" w:hAnsi="Calibri" w:cs="Calibri"/>
        </w:rPr>
      </w:pPr>
      <w:r>
        <w:rPr>
          <w:noProof/>
        </w:rPr>
        <w:drawing>
          <wp:anchor distT="0" distB="0" distL="114300" distR="114300" simplePos="0" relativeHeight="251658240" behindDoc="1" locked="0" layoutInCell="1" allowOverlap="1" wp14:anchorId="5008F1B5" wp14:editId="26F07595">
            <wp:simplePos x="0" y="0"/>
            <wp:positionH relativeFrom="margin">
              <wp:posOffset>3117850</wp:posOffset>
            </wp:positionH>
            <wp:positionV relativeFrom="paragraph">
              <wp:posOffset>986155</wp:posOffset>
            </wp:positionV>
            <wp:extent cx="2924175" cy="2286000"/>
            <wp:effectExtent l="0" t="0" r="9525" b="0"/>
            <wp:wrapSquare wrapText="bothSides"/>
            <wp:docPr id="1486079667" name="Picture 7"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079667" name="Picture 7" descr="A diagram of a function&#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4175" cy="2286000"/>
                    </a:xfrm>
                    <a:prstGeom prst="rect">
                      <a:avLst/>
                    </a:prstGeom>
                    <a:noFill/>
                  </pic:spPr>
                </pic:pic>
              </a:graphicData>
            </a:graphic>
            <wp14:sizeRelH relativeFrom="page">
              <wp14:pctWidth>0</wp14:pctWidth>
            </wp14:sizeRelH>
            <wp14:sizeRelV relativeFrom="page">
              <wp14:pctHeight>0</wp14:pctHeight>
            </wp14:sizeRelV>
          </wp:anchor>
        </w:drawing>
      </w:r>
      <w:r w:rsidRPr="31F26954">
        <w:rPr>
          <w:rFonts w:ascii="Calibri" w:eastAsia="Calibri" w:hAnsi="Calibri" w:cs="Calibri"/>
        </w:rPr>
        <w:t>Birthweight and gestational age are modelled using a continuous joint distribution for the GBD. To determine</w:t>
      </w:r>
      <w:r>
        <w:rPr>
          <w:rFonts w:ascii="Calibri" w:eastAsia="Calibri" w:hAnsi="Calibri" w:cs="Calibri"/>
        </w:rPr>
        <w:t xml:space="preserve"> how these distributions are influenced by </w:t>
      </w:r>
      <w:r>
        <w:t>PM</w:t>
      </w:r>
      <w:r>
        <w:rPr>
          <w:vertAlign w:val="subscript"/>
        </w:rPr>
        <w:t>2.5</w:t>
      </w:r>
      <w:r>
        <w:rPr>
          <w:rFonts w:ascii="Calibri" w:eastAsia="Calibri" w:hAnsi="Calibri" w:cs="Calibri"/>
        </w:rPr>
        <w:t xml:space="preserve"> pollution, we used available literature to model the continuous shift in birthweight (</w:t>
      </w:r>
      <w:proofErr w:type="spellStart"/>
      <w:r>
        <w:rPr>
          <w:rFonts w:ascii="Calibri" w:eastAsia="Calibri" w:hAnsi="Calibri" w:cs="Calibri"/>
        </w:rPr>
        <w:t>bw</w:t>
      </w:r>
      <w:proofErr w:type="spellEnd"/>
      <w:r>
        <w:rPr>
          <w:rFonts w:ascii="Calibri" w:eastAsia="Calibri" w:hAnsi="Calibri" w:cs="Calibri"/>
        </w:rPr>
        <w:t xml:space="preserve">, grams) and gestational age (ga, weeks) at a given </w:t>
      </w:r>
      <w:r>
        <w:t>PM</w:t>
      </w:r>
      <w:r>
        <w:rPr>
          <w:vertAlign w:val="subscript"/>
        </w:rPr>
        <w:t>2.5</w:t>
      </w:r>
      <w:r w:rsidRPr="31F26954">
        <w:rPr>
          <w:rFonts w:ascii="Calibri" w:eastAsia="Calibri" w:hAnsi="Calibri" w:cs="Calibri"/>
        </w:rPr>
        <w:t xml:space="preserve"> exposure level. When available, we used estimates</w:t>
      </w:r>
      <w:r>
        <w:rPr>
          <w:rFonts w:ascii="Calibri" w:eastAsia="Calibri" w:hAnsi="Calibri" w:cs="Calibri"/>
        </w:rPr>
        <w:t xml:space="preserve"> of continuous shifts in </w:t>
      </w:r>
      <w:proofErr w:type="spellStart"/>
      <w:r>
        <w:rPr>
          <w:rFonts w:ascii="Calibri" w:eastAsia="Calibri" w:hAnsi="Calibri" w:cs="Calibri"/>
        </w:rPr>
        <w:t>bw</w:t>
      </w:r>
      <w:proofErr w:type="spellEnd"/>
      <w:r>
        <w:rPr>
          <w:rFonts w:ascii="Calibri" w:eastAsia="Calibri" w:hAnsi="Calibri" w:cs="Calibri"/>
        </w:rPr>
        <w:t xml:space="preserve"> or ga directly from each study. When shifts were not available, we converted the published OR/RR/HR for LBW, PTB, or VPTB using the following strategy:</w:t>
      </w:r>
    </w:p>
    <w:p w14:paraId="16B62ABD" w14:textId="77777777" w:rsidR="00B123E5" w:rsidRDefault="00B123E5" w:rsidP="31F26954">
      <w:pPr>
        <w:pStyle w:val="ListParagraph"/>
        <w:numPr>
          <w:ilvl w:val="0"/>
          <w:numId w:val="16"/>
        </w:numPr>
        <w:spacing w:after="0" w:line="240" w:lineRule="auto"/>
        <w:rPr>
          <w:rFonts w:eastAsiaTheme="minorEastAsia"/>
        </w:rPr>
      </w:pPr>
      <w:r w:rsidRPr="31F26954">
        <w:rPr>
          <w:rFonts w:ascii="Calibri" w:eastAsia="Calibri" w:hAnsi="Calibri" w:cs="Calibri"/>
        </w:rPr>
        <w:t xml:space="preserve">Extract the OR/RR/HR from the study. </w:t>
      </w:r>
    </w:p>
    <w:p w14:paraId="65925C4A" w14:textId="77777777" w:rsidR="00B123E5" w:rsidRDefault="00B123E5" w:rsidP="31F26954">
      <w:pPr>
        <w:pStyle w:val="ListParagraph"/>
        <w:numPr>
          <w:ilvl w:val="0"/>
          <w:numId w:val="16"/>
        </w:numPr>
        <w:spacing w:after="0" w:line="240" w:lineRule="auto"/>
        <w:rPr>
          <w:rFonts w:eastAsiaTheme="minorEastAsia"/>
        </w:rPr>
      </w:pPr>
      <w:r w:rsidRPr="31F26954">
        <w:rPr>
          <w:rFonts w:ascii="Calibri" w:eastAsia="Calibri" w:hAnsi="Calibri" w:cs="Calibri"/>
        </w:rPr>
        <w:t xml:space="preserve">Select the GBD 2017 estimated </w:t>
      </w:r>
      <w:proofErr w:type="spellStart"/>
      <w:r w:rsidRPr="31F26954">
        <w:rPr>
          <w:rFonts w:ascii="Calibri" w:eastAsia="Calibri" w:hAnsi="Calibri" w:cs="Calibri"/>
        </w:rPr>
        <w:t>bw</w:t>
      </w:r>
      <w:proofErr w:type="spellEnd"/>
      <w:r w:rsidRPr="31F26954">
        <w:rPr>
          <w:rFonts w:ascii="Calibri" w:eastAsia="Calibri" w:hAnsi="Calibri" w:cs="Calibri"/>
        </w:rPr>
        <w:t xml:space="preserve">-ga joint distribution for the study location and year. </w:t>
      </w:r>
    </w:p>
    <w:p w14:paraId="3AEB7599" w14:textId="77777777" w:rsidR="00B123E5" w:rsidRDefault="00B123E5" w:rsidP="31F26954">
      <w:pPr>
        <w:pStyle w:val="ListParagraph"/>
        <w:numPr>
          <w:ilvl w:val="0"/>
          <w:numId w:val="16"/>
        </w:numPr>
        <w:spacing w:after="0" w:line="240" w:lineRule="auto"/>
        <w:rPr>
          <w:rFonts w:eastAsiaTheme="minorEastAsia"/>
        </w:rPr>
      </w:pPr>
      <w:r w:rsidRPr="31F26954">
        <w:rPr>
          <w:rFonts w:ascii="Calibri" w:eastAsia="Calibri" w:hAnsi="Calibri" w:cs="Calibri"/>
        </w:rPr>
        <w:t>Calculate the number of grams or weeks required to shift the distribution such that the proportion of births under the specified threshold (P) is reduced by the study effect size to a counterfactual level (</w:t>
      </w:r>
      <w:proofErr w:type="spellStart"/>
      <w:r w:rsidRPr="31F26954">
        <w:rPr>
          <w:rFonts w:ascii="Calibri" w:eastAsia="Calibri" w:hAnsi="Calibri" w:cs="Calibri"/>
        </w:rPr>
        <w:t>P</w:t>
      </w:r>
      <w:r w:rsidRPr="31F26954">
        <w:rPr>
          <w:rFonts w:ascii="Calibri" w:eastAsia="Calibri" w:hAnsi="Calibri" w:cs="Calibri"/>
          <w:vertAlign w:val="subscript"/>
        </w:rPr>
        <w:t>cf</w:t>
      </w:r>
      <w:proofErr w:type="spellEnd"/>
      <w:r w:rsidRPr="31F26954">
        <w:rPr>
          <w:rFonts w:ascii="Calibri" w:eastAsia="Calibri" w:hAnsi="Calibri" w:cs="Calibri"/>
        </w:rPr>
        <w:t xml:space="preserve">). </w:t>
      </w:r>
    </w:p>
    <w:p w14:paraId="760B4BF1" w14:textId="77777777" w:rsidR="00B123E5" w:rsidRDefault="00B123E5" w:rsidP="31F26954">
      <w:pPr>
        <w:pStyle w:val="ListParagraph"/>
        <w:numPr>
          <w:ilvl w:val="0"/>
          <w:numId w:val="16"/>
        </w:numPr>
        <w:spacing w:after="0" w:line="240" w:lineRule="auto"/>
        <w:rPr>
          <w:rFonts w:eastAsiaTheme="minorEastAsia"/>
        </w:rPr>
      </w:pPr>
      <w:r w:rsidRPr="31F26954">
        <w:rPr>
          <w:rFonts w:ascii="Calibri" w:eastAsia="Calibri" w:hAnsi="Calibri" w:cs="Calibri"/>
        </w:rPr>
        <w:t>Save the resulting shift and 95% CI as the continuous effect.</w:t>
      </w:r>
    </w:p>
    <w:p w14:paraId="2A6D42D4" w14:textId="77777777" w:rsidR="00B123E5" w:rsidRDefault="00B123E5" w:rsidP="00B123E5">
      <w:pPr>
        <w:rPr>
          <w:rFonts w:ascii="Calibri" w:eastAsia="Calibri" w:hAnsi="Calibri" w:cs="Calibri"/>
        </w:rPr>
      </w:pPr>
    </w:p>
    <w:p w14:paraId="3CA9969B" w14:textId="0749AC08" w:rsidR="00B123E5" w:rsidRDefault="00B123E5" w:rsidP="00B123E5">
      <w:pPr>
        <w:rPr>
          <w:rFonts w:ascii="Calibri" w:eastAsia="Calibri" w:hAnsi="Calibri" w:cs="Calibri"/>
        </w:rPr>
      </w:pPr>
      <w:r w:rsidRPr="31F26954">
        <w:rPr>
          <w:rFonts w:ascii="Calibri" w:eastAsia="Calibri" w:hAnsi="Calibri" w:cs="Calibri"/>
        </w:rPr>
        <w:t xml:space="preserve">When preparing </w:t>
      </w:r>
      <w:r w:rsidR="00375BB3" w:rsidRPr="00375BB3">
        <w:rPr>
          <w:rFonts w:ascii="Calibri" w:eastAsia="Calibri" w:hAnsi="Calibri" w:cs="Calibri"/>
        </w:rPr>
        <w:t xml:space="preserve">household air pollution from solid fuels </w:t>
      </w:r>
      <w:r w:rsidR="001404D0">
        <w:rPr>
          <w:rFonts w:ascii="Calibri" w:eastAsia="Calibri" w:hAnsi="Calibri" w:cs="Calibri"/>
        </w:rPr>
        <w:t>(</w:t>
      </w:r>
      <w:r w:rsidRPr="31F26954">
        <w:rPr>
          <w:rFonts w:ascii="Calibri" w:eastAsia="Calibri" w:hAnsi="Calibri" w:cs="Calibri"/>
        </w:rPr>
        <w:t>HAP</w:t>
      </w:r>
      <w:r w:rsidR="001404D0">
        <w:rPr>
          <w:rFonts w:ascii="Calibri" w:eastAsia="Calibri" w:hAnsi="Calibri" w:cs="Calibri"/>
        </w:rPr>
        <w:t>)</w:t>
      </w:r>
      <w:r w:rsidRPr="31F26954">
        <w:rPr>
          <w:rFonts w:ascii="Calibri" w:eastAsia="Calibri" w:hAnsi="Calibri" w:cs="Calibri"/>
        </w:rPr>
        <w:t xml:space="preserve"> data to fit splines, we used the same strategy described above for other outcomes to map HAP input data to</w:t>
      </w:r>
      <w:r>
        <w:t xml:space="preserve"> PM</w:t>
      </w:r>
      <w:r w:rsidRPr="31F26954">
        <w:rPr>
          <w:vertAlign w:val="subscript"/>
        </w:rPr>
        <w:t>2.5</w:t>
      </w:r>
      <w:r w:rsidRPr="31F26954">
        <w:rPr>
          <w:rFonts w:ascii="Calibri" w:eastAsia="Calibri" w:hAnsi="Calibri" w:cs="Calibri"/>
        </w:rPr>
        <w:t xml:space="preserve"> exposure values. We then fit MR-BRT splines to the input studies, where the difference in the value of the model at the upper concentration (X) and the value of the model at the counterfactual concentration (X</w:t>
      </w:r>
      <w:r w:rsidRPr="31F26954">
        <w:rPr>
          <w:rFonts w:ascii="Calibri" w:eastAsia="Calibri" w:hAnsi="Calibri" w:cs="Calibri"/>
          <w:vertAlign w:val="subscript"/>
        </w:rPr>
        <w:t>CF</w:t>
      </w:r>
      <w:r w:rsidRPr="31F26954">
        <w:rPr>
          <w:rFonts w:ascii="Calibri" w:eastAsia="Calibri" w:hAnsi="Calibri" w:cs="Calibri"/>
        </w:rPr>
        <w:t xml:space="preserve">) is equal to the published or calculated shift in </w:t>
      </w:r>
      <w:proofErr w:type="spellStart"/>
      <w:r w:rsidRPr="31F26954">
        <w:rPr>
          <w:rFonts w:ascii="Calibri" w:eastAsia="Calibri" w:hAnsi="Calibri" w:cs="Calibri"/>
        </w:rPr>
        <w:t>bw</w:t>
      </w:r>
      <w:proofErr w:type="spellEnd"/>
      <w:r w:rsidRPr="31F26954">
        <w:rPr>
          <w:rFonts w:ascii="Calibri" w:eastAsia="Calibri" w:hAnsi="Calibri" w:cs="Calibri"/>
        </w:rPr>
        <w:t xml:space="preserve"> or ga:</w:t>
      </w:r>
    </w:p>
    <w:p w14:paraId="51039F1C" w14:textId="77777777" w:rsidR="00B123E5" w:rsidRDefault="00B123E5" w:rsidP="31F26954">
      <w:pPr>
        <w:jc w:val="center"/>
        <w:rPr>
          <w:rFonts w:eastAsiaTheme="minorEastAsia"/>
        </w:rPr>
      </w:pPr>
      <m:oMathPara>
        <m:oMath>
          <m:r>
            <w:rPr>
              <w:rFonts w:ascii="Cambria Math" w:hAnsi="Cambria Math"/>
            </w:rPr>
            <m:t>MRBRT</m:t>
          </m:r>
          <m:d>
            <m:dPr>
              <m:ctrlPr>
                <w:rPr>
                  <w:rFonts w:ascii="Cambria Math" w:hAnsi="Cambria Math"/>
                  <w:i/>
                </w:rPr>
              </m:ctrlPr>
            </m:dPr>
            <m:e>
              <m:r>
                <w:rPr>
                  <w:rFonts w:ascii="Cambria Math" w:hAnsi="Cambria Math"/>
                </w:rPr>
                <m:t>X</m:t>
              </m:r>
            </m:e>
          </m:d>
          <m:r>
            <w:rPr>
              <w:rFonts w:ascii="Cambria Math" w:hAnsi="Cambria Math"/>
            </w:rPr>
            <m:t>-MRBRT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CF</m:t>
                  </m:r>
                </m:sub>
              </m:sSub>
            </m:e>
          </m:d>
          <m:r>
            <w:rPr>
              <w:rFonts w:ascii="Cambria Math" w:hAnsi="Cambria Math"/>
            </w:rPr>
            <m:t>~Shift</m:t>
          </m:r>
        </m:oMath>
      </m:oMathPara>
    </w:p>
    <w:p w14:paraId="12FBD71B" w14:textId="77777777" w:rsidR="00B123E5" w:rsidRDefault="00B123E5" w:rsidP="00B123E5">
      <w:pPr>
        <w:rPr>
          <w:rFonts w:ascii="Calibri" w:eastAsia="Calibri" w:hAnsi="Calibri" w:cs="Calibri"/>
        </w:rPr>
      </w:pPr>
      <w:r w:rsidRPr="31F26954">
        <w:rPr>
          <w:rFonts w:ascii="Calibri" w:eastAsia="Calibri" w:hAnsi="Calibri" w:cs="Calibri"/>
        </w:rPr>
        <w:t>We used the same model fitting process, settings, and covariate selection process as described above for the other outcomes. The only exception is that, because the change in birthweight and gestational age was expected to be negative, the splines were constrained to be monotonically decreasing.</w:t>
      </w:r>
    </w:p>
    <w:p w14:paraId="6277E9CB" w14:textId="77777777" w:rsidR="00B123E5" w:rsidRDefault="00B123E5" w:rsidP="00B123E5">
      <w:pPr>
        <w:rPr>
          <w:rFonts w:ascii="Calibri" w:eastAsia="Calibri" w:hAnsi="Calibri" w:cs="Calibri"/>
        </w:rPr>
      </w:pPr>
      <w:r>
        <w:t xml:space="preserve">No changes were made to risk curves for GBD 2023. </w:t>
      </w:r>
    </w:p>
    <w:p w14:paraId="2D50F96C" w14:textId="77777777" w:rsidR="00B123E5" w:rsidRDefault="00B123E5" w:rsidP="00B123E5">
      <w:pPr>
        <w:rPr>
          <w:rFonts w:ascii="Calibri" w:eastAsia="Calibri" w:hAnsi="Calibri" w:cs="Calibri"/>
        </w:rPr>
      </w:pPr>
      <w:r w:rsidRPr="31F26954">
        <w:rPr>
          <w:rFonts w:ascii="Calibri" w:eastAsia="Calibri" w:hAnsi="Calibri" w:cs="Calibri"/>
        </w:rPr>
        <w:t xml:space="preserve">We used the curves of estimated shifts across the exposure range to predict the shift in both birthweight and gestational age for total female particulate matter pollution exposure in each location and year. Because the epidemiological studies mutually controlled for birthweight and gestational age, we assumed these shifts are independent. We then shifted the observed distributions to reflect the expected </w:t>
      </w:r>
      <w:proofErr w:type="spellStart"/>
      <w:r w:rsidRPr="31F26954">
        <w:rPr>
          <w:rFonts w:ascii="Calibri" w:eastAsia="Calibri" w:hAnsi="Calibri" w:cs="Calibri"/>
        </w:rPr>
        <w:t>bwga</w:t>
      </w:r>
      <w:proofErr w:type="spellEnd"/>
      <w:r w:rsidRPr="31F26954">
        <w:rPr>
          <w:rFonts w:ascii="Calibri" w:eastAsia="Calibri" w:hAnsi="Calibri" w:cs="Calibri"/>
        </w:rPr>
        <w:t xml:space="preserve"> distribution in the absence of particulate matter pollution. These shifted distributions were used as the counterfactual in the PAF calculation equation to calculate the burden attributable to </w:t>
      </w:r>
      <w:r>
        <w:t>PM</w:t>
      </w:r>
      <w:r w:rsidRPr="31F26954">
        <w:rPr>
          <w:vertAlign w:val="subscript"/>
        </w:rPr>
        <w:t>2.5</w:t>
      </w:r>
      <w:r w:rsidRPr="31F26954">
        <w:rPr>
          <w:rFonts w:ascii="Calibri" w:eastAsia="Calibri" w:hAnsi="Calibri" w:cs="Calibri"/>
        </w:rPr>
        <w:t xml:space="preserve"> pollution.</w:t>
      </w:r>
    </w:p>
    <w:p w14:paraId="167D748F" w14:textId="77777777" w:rsidR="00B123E5" w:rsidRDefault="00B123E5" w:rsidP="00B123E5">
      <w:r>
        <w:t xml:space="preserve">To calculate PAFs, the distribution is divided into 56 </w:t>
      </w:r>
      <w:proofErr w:type="spellStart"/>
      <w:r>
        <w:t>bw</w:t>
      </w:r>
      <w:proofErr w:type="spellEnd"/>
      <w:r>
        <w:t xml:space="preserve">-ga categories, each with a unique RR. Let </w:t>
      </w:r>
      <w:r w:rsidRPr="31F26954">
        <w:rPr>
          <w:i/>
          <w:iCs/>
        </w:rPr>
        <w:t>p</w:t>
      </w:r>
      <w:r w:rsidRPr="31F26954">
        <w:rPr>
          <w:i/>
          <w:iCs/>
          <w:vertAlign w:val="subscript"/>
        </w:rPr>
        <w:t>i</w:t>
      </w:r>
      <w:r w:rsidRPr="31F26954">
        <w:rPr>
          <w:i/>
          <w:iCs/>
        </w:rPr>
        <w:t xml:space="preserve"> </w:t>
      </w:r>
      <w:r>
        <w:t xml:space="preserve">be the observed proportion of babies in category, </w:t>
      </w:r>
      <w:proofErr w:type="spellStart"/>
      <w:r w:rsidRPr="31F26954">
        <w:rPr>
          <w:i/>
          <w:iCs/>
        </w:rPr>
        <w:t>i</w:t>
      </w:r>
      <w:proofErr w:type="spellEnd"/>
      <w:r>
        <w:t xml:space="preserve"> and </w:t>
      </w:r>
      <w:r w:rsidRPr="31F26954">
        <w:rPr>
          <w:i/>
          <w:iCs/>
        </w:rPr>
        <w:t>p</w:t>
      </w:r>
      <w:r w:rsidRPr="31F26954">
        <w:rPr>
          <w:i/>
          <w:iCs/>
          <w:vertAlign w:val="subscript"/>
        </w:rPr>
        <w:t>i</w:t>
      </w:r>
      <w:r w:rsidRPr="31F26954">
        <w:rPr>
          <w:i/>
          <w:iCs/>
        </w:rPr>
        <w:t>’</w:t>
      </w:r>
      <w:r>
        <w:t xml:space="preserve"> be the counterfactual proportion of babies in category, </w:t>
      </w:r>
      <w:proofErr w:type="spellStart"/>
      <w:r w:rsidRPr="31F26954">
        <w:rPr>
          <w:i/>
          <w:iCs/>
        </w:rPr>
        <w:t>i</w:t>
      </w:r>
      <w:proofErr w:type="spellEnd"/>
      <w:r>
        <w:t xml:space="preserve"> if there were no particulate matter pollution.</w:t>
      </w:r>
    </w:p>
    <w:p w14:paraId="65ED60FF" w14:textId="77777777" w:rsidR="00B123E5" w:rsidRDefault="00B123E5" w:rsidP="31F26954">
      <w:pPr>
        <w:jc w:val="center"/>
        <w:rPr>
          <w:rFonts w:eastAsiaTheme="minorEastAsia"/>
        </w:rPr>
      </w:pPr>
      <m:oMathPara>
        <m:oMath>
          <m:r>
            <w:rPr>
              <w:rFonts w:ascii="Cambria Math" w:hAnsi="Cambria Math"/>
            </w:rPr>
            <m:t>PA</m:t>
          </m:r>
          <m:sSub>
            <m:sSubPr>
              <m:ctrlPr>
                <w:rPr>
                  <w:rFonts w:ascii="Cambria Math" w:hAnsi="Cambria Math"/>
                  <w:i/>
                </w:rPr>
              </m:ctrlPr>
            </m:sSubPr>
            <m:e>
              <m:r>
                <w:rPr>
                  <w:rFonts w:ascii="Cambria Math" w:hAnsi="Cambria Math"/>
                </w:rPr>
                <m:t>F</m:t>
              </m:r>
            </m:e>
            <m:sub>
              <m:r>
                <w:rPr>
                  <w:rFonts w:ascii="Cambria Math" w:hAnsi="Cambria Math"/>
                </w:rPr>
                <m:t>PM</m:t>
              </m:r>
            </m:sub>
          </m:sSub>
          <m:r>
            <w:rPr>
              <w:rFonts w:ascii="Cambria Math" w:hAnsi="Cambria Math"/>
            </w:rPr>
            <m:t>=</m:t>
          </m:r>
          <m:f>
            <m:fPr>
              <m:ctrlPr>
                <w:rPr>
                  <w:rFonts w:ascii="Cambria Math" w:hAnsi="Cambria Math"/>
                  <w:i/>
                </w:rPr>
              </m:ctrlPr>
            </m:fPr>
            <m:num>
              <m:nary>
                <m:naryPr>
                  <m:chr m:val="∑"/>
                  <m:limLoc m:val="subSup"/>
                  <m:supHide m:val="1"/>
                  <m:ctrlPr>
                    <w:rPr>
                      <w:rFonts w:ascii="Cambria Math" w:hAnsi="Cambria Math"/>
                      <w:i/>
                    </w:rPr>
                  </m:ctrlPr>
                </m:naryPr>
                <m:sub>
                  <m:r>
                    <w:rPr>
                      <w:rFonts w:ascii="Cambria Math" w:hAnsi="Cambria Math"/>
                    </w:rPr>
                    <m:t>i ∈bwga category</m:t>
                  </m:r>
                </m:sub>
                <m:sup/>
                <m:e>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m:t>
              </m:r>
              <m:nary>
                <m:naryPr>
                  <m:chr m:val="∑"/>
                  <m:limLoc m:val="subSup"/>
                  <m:supHide m:val="1"/>
                  <m:ctrlPr>
                    <w:rPr>
                      <w:rFonts w:ascii="Cambria Math" w:hAnsi="Cambria Math"/>
                      <w:i/>
                    </w:rPr>
                  </m:ctrlPr>
                </m:naryPr>
                <m:sub>
                  <m:r>
                    <w:rPr>
                      <w:rFonts w:ascii="Cambria Math" w:hAnsi="Cambria Math"/>
                    </w:rPr>
                    <m:t>i∈bwga category</m:t>
                  </m:r>
                </m:sub>
                <m:sup/>
                <m:e>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e>
              </m:nary>
            </m:num>
            <m:den>
              <m:nary>
                <m:naryPr>
                  <m:chr m:val="∑"/>
                  <m:limLoc m:val="subSup"/>
                  <m:supHide m:val="1"/>
                  <m:ctrlPr>
                    <w:rPr>
                      <w:rFonts w:ascii="Cambria Math" w:hAnsi="Cambria Math"/>
                      <w:i/>
                    </w:rPr>
                  </m:ctrlPr>
                </m:naryPr>
                <m:sub>
                  <m:r>
                    <w:rPr>
                      <w:rFonts w:ascii="Cambria Math" w:hAnsi="Cambria Math"/>
                    </w:rPr>
                    <m:t>i ∈bwga</m:t>
                  </m:r>
                </m:sub>
                <m:sup/>
                <m:e>
                  <m:r>
                    <w:rPr>
                      <w:rFonts w:ascii="Cambria Math" w:hAnsi="Cambria Math"/>
                    </w:rPr>
                    <m:t>R</m:t>
                  </m:r>
                  <m:sSub>
                    <m:sSubPr>
                      <m:ctrlPr>
                        <w:rPr>
                          <w:rFonts w:ascii="Cambria Math" w:hAnsi="Cambria Math"/>
                          <w:i/>
                        </w:rPr>
                      </m:ctrlPr>
                    </m:sSubPr>
                    <m:e>
                      <m:r>
                        <w:rPr>
                          <w:rFonts w:ascii="Cambria Math" w:hAnsi="Cambria Math"/>
                        </w:rPr>
                        <m:t>R</m:t>
                      </m:r>
                    </m:e>
                    <m:sub>
                      <m:r>
                        <w:rPr>
                          <w:rFonts w:ascii="Cambria Math" w:hAnsi="Cambria Math"/>
                        </w:rPr>
                        <m:t>i</m:t>
                      </m:r>
                    </m:sub>
                  </m:sSub>
                  <m:sSub>
                    <m:sSubPr>
                      <m:ctrlPr>
                        <w:rPr>
                          <w:rFonts w:ascii="Cambria Math" w:hAnsi="Cambria Math"/>
                          <w:i/>
                        </w:rPr>
                      </m:ctrlPr>
                    </m:sSubPr>
                    <m:e>
                      <m:r>
                        <w:rPr>
                          <w:rFonts w:ascii="Cambria Math" w:hAnsi="Cambria Math"/>
                        </w:rPr>
                        <m:t>p</m:t>
                      </m:r>
                    </m:e>
                    <m:sub>
                      <m:r>
                        <w:rPr>
                          <w:rFonts w:ascii="Cambria Math" w:hAnsi="Cambria Math"/>
                        </w:rPr>
                        <m:t>i</m:t>
                      </m:r>
                    </m:sub>
                  </m:sSub>
                </m:e>
              </m:nary>
            </m:den>
          </m:f>
        </m:oMath>
      </m:oMathPara>
    </w:p>
    <w:p w14:paraId="5EAF08AD" w14:textId="77777777" w:rsidR="00B123E5" w:rsidRDefault="00B123E5" w:rsidP="00B123E5">
      <w:r>
        <w:t xml:space="preserve">We proportionately split this PAF to ambient and HAP based on exposure as described below. One important assumption to note is that we assume the shift in </w:t>
      </w:r>
      <w:proofErr w:type="spellStart"/>
      <w:r>
        <w:t>bw</w:t>
      </w:r>
      <w:proofErr w:type="spellEnd"/>
      <w:r>
        <w:t xml:space="preserve"> and ga is linear across the </w:t>
      </w:r>
      <w:proofErr w:type="spellStart"/>
      <w:r>
        <w:t>bwga</w:t>
      </w:r>
      <w:proofErr w:type="spellEnd"/>
      <w:r>
        <w:t xml:space="preserve"> distribution. </w:t>
      </w:r>
    </w:p>
    <w:p w14:paraId="7BECC037" w14:textId="77777777" w:rsidR="00B123E5" w:rsidRDefault="00B123E5" w:rsidP="00B123E5">
      <w:r>
        <w:t>For lower respiratory infections, PM</w:t>
      </w:r>
      <w:r w:rsidRPr="31F26954">
        <w:rPr>
          <w:vertAlign w:val="subscript"/>
        </w:rPr>
        <w:t>2.5</w:t>
      </w:r>
      <w:r>
        <w:t xml:space="preserve">-attributable PAFs are directly estimated in addition to </w:t>
      </w:r>
      <w:proofErr w:type="spellStart"/>
      <w:r>
        <w:t>estimated</w:t>
      </w:r>
      <w:proofErr w:type="spellEnd"/>
      <w:r>
        <w:t xml:space="preserve"> through </w:t>
      </w:r>
      <w:proofErr w:type="spellStart"/>
      <w:r>
        <w:t>bwga</w:t>
      </w:r>
      <w:proofErr w:type="spellEnd"/>
      <w:r>
        <w:t xml:space="preserve"> mediation. We expect that some of the directly estimated PAFs are mediated through </w:t>
      </w:r>
      <w:proofErr w:type="spellStart"/>
      <w:r>
        <w:t>bw</w:t>
      </w:r>
      <w:proofErr w:type="spellEnd"/>
      <w:r>
        <w:t xml:space="preserve"> and ga. Additionally, the directly estimated PAF is based on a summary of relative risks for all children under 5 years, so there is a possibility that the mediated PAF, which is more finely resolved, could be greater. To avoid double counting, for the two neonatal age groups (0</w:t>
      </w:r>
      <w:r w:rsidRPr="31F26954">
        <w:rPr>
          <w:rFonts w:ascii="Calibri" w:eastAsia="Calibri" w:hAnsi="Calibri" w:cs="Calibri"/>
        </w:rPr>
        <w:t>–</w:t>
      </w:r>
      <w:r>
        <w:t>6 days and 0</w:t>
      </w:r>
      <w:r w:rsidRPr="31F26954">
        <w:rPr>
          <w:rFonts w:ascii="Calibri" w:eastAsia="Calibri" w:hAnsi="Calibri" w:cs="Calibri"/>
        </w:rPr>
        <w:t>–</w:t>
      </w:r>
      <w:r>
        <w:t xml:space="preserve">27 days), we take the maximum of the two PAF estimates. If the directly estimated PAF is greater than the </w:t>
      </w:r>
      <w:proofErr w:type="spellStart"/>
      <w:r>
        <w:t>bwga</w:t>
      </w:r>
      <w:proofErr w:type="spellEnd"/>
      <w:r>
        <w:t>-mediated PAF, we take the direct estimate, and if the mediated PAF is greater, we take the mediated estimate.</w:t>
      </w:r>
    </w:p>
    <w:p w14:paraId="6917747C" w14:textId="77777777" w:rsidR="00B123E5" w:rsidRDefault="00B123E5" w:rsidP="00C31303"/>
    <w:p w14:paraId="43DC98E1" w14:textId="77777777" w:rsidR="00B123E5" w:rsidRPr="00D856EF" w:rsidRDefault="00B123E5" w:rsidP="00C31303">
      <w:pPr>
        <w:rPr>
          <w:rFonts w:ascii="Calibri Light" w:hAnsi="Calibri Light"/>
          <w:b/>
          <w:bCs/>
        </w:rPr>
      </w:pPr>
      <w:r w:rsidRPr="00D856EF">
        <w:rPr>
          <w:b/>
          <w:bCs/>
        </w:rPr>
        <w:t>Limitations</w:t>
      </w:r>
    </w:p>
    <w:p w14:paraId="00E1D5CB" w14:textId="77777777" w:rsidR="00B123E5" w:rsidRDefault="00B123E5" w:rsidP="00B123E5">
      <w:pPr>
        <w:rPr>
          <w:rFonts w:ascii="Calibri" w:eastAsia="Calibri" w:hAnsi="Calibri" w:cs="Calibri"/>
          <w:vertAlign w:val="superscript"/>
        </w:rPr>
      </w:pPr>
      <w:r w:rsidRPr="31F26954">
        <w:rPr>
          <w:rFonts w:ascii="Calibri" w:eastAsia="Calibri" w:hAnsi="Calibri" w:cs="Calibri"/>
        </w:rPr>
        <w:t xml:space="preserve">Since GBD 2021 we have not used active smoking or secondhand smoking data to estimate </w:t>
      </w:r>
      <w:r>
        <w:t>PM</w:t>
      </w:r>
      <w:r w:rsidRPr="31F26954">
        <w:rPr>
          <w:vertAlign w:val="subscript"/>
        </w:rPr>
        <w:t>2.5</w:t>
      </w:r>
      <w:r w:rsidRPr="31F26954">
        <w:rPr>
          <w:rFonts w:ascii="Calibri" w:eastAsia="Calibri" w:hAnsi="Calibri" w:cs="Calibri"/>
        </w:rPr>
        <w:t xml:space="preserve"> risk curves; however, we still use an integrated exposure–response approach because we integrate relative risk estimates across ambient and HAP sources. The use of both source types to construct a risk curve with PM</w:t>
      </w:r>
      <w:r w:rsidRPr="31F26954">
        <w:rPr>
          <w:rFonts w:ascii="Calibri" w:eastAsia="Calibri" w:hAnsi="Calibri" w:cs="Calibri"/>
          <w:vertAlign w:val="subscript"/>
        </w:rPr>
        <w:t>2.5</w:t>
      </w:r>
      <w:r w:rsidRPr="31F26954">
        <w:rPr>
          <w:rFonts w:ascii="Calibri" w:eastAsia="Calibri" w:hAnsi="Calibri" w:cs="Calibri"/>
        </w:rPr>
        <w:t xml:space="preserve"> as the exposure indicator assumes equitoxicity of particles regardless of source, despite evidence suggesting differences in health impacts by specific PM source (</w:t>
      </w:r>
      <w:proofErr w:type="spellStart"/>
      <w:r w:rsidRPr="31F26954">
        <w:rPr>
          <w:rFonts w:ascii="Calibri" w:eastAsia="Calibri" w:hAnsi="Calibri" w:cs="Calibri"/>
        </w:rPr>
        <w:t>eg</w:t>
      </w:r>
      <w:proofErr w:type="spellEnd"/>
      <w:r w:rsidRPr="31F26954">
        <w:rPr>
          <w:rFonts w:ascii="Calibri" w:eastAsia="Calibri" w:hAnsi="Calibri" w:cs="Calibri"/>
        </w:rPr>
        <w:t>, motor vehicles, coal-fired power plant), size, and/or chemical composition. However, in the absence of sufficient estimates of source- or composition-specific exposure–response relationships and consistent and robust evidence of differential toxicity by source, integrating across all OAP and HAP studies is the approach most consistent with the current evidence, as reviewed by USA EPA and WHO.</w:t>
      </w:r>
      <w:r w:rsidRPr="31F26954">
        <w:rPr>
          <w:rFonts w:ascii="Calibri" w:eastAsia="Calibri" w:hAnsi="Calibri" w:cs="Calibri"/>
          <w:vertAlign w:val="superscript"/>
        </w:rPr>
        <w:t>11,12</w:t>
      </w:r>
    </w:p>
    <w:p w14:paraId="72D38F5B" w14:textId="77777777" w:rsidR="00B123E5" w:rsidRPr="00D856EF" w:rsidRDefault="00B123E5" w:rsidP="31F26954">
      <w:pPr>
        <w:rPr>
          <w:b/>
          <w:bCs/>
        </w:rPr>
      </w:pPr>
      <w:r w:rsidRPr="00D856EF">
        <w:rPr>
          <w:b/>
          <w:bCs/>
        </w:rPr>
        <w:t>Proportional PAF approach</w:t>
      </w:r>
    </w:p>
    <w:p w14:paraId="392F8242" w14:textId="77777777" w:rsidR="00B123E5" w:rsidRDefault="00B123E5" w:rsidP="31F26954">
      <w:pPr>
        <w:spacing w:before="100" w:beforeAutospacing="1" w:after="100" w:afterAutospacing="1" w:line="240" w:lineRule="auto"/>
      </w:pPr>
      <w:r>
        <w:t>Prior to GBD 2017, relative risks for both ambient and HAP exposures were obtained from the risk curve as a function of exposure, relative to the same TMREL. In reality, were a country to reduce only one of these risk factors, the other would remain. We did not consider the joint effects of particulate matter from outdoor exposure and burning solid fuels for cooking. For GBD 2017, we developed a new approach to use the risk curve for obtaining PAFs for both OAP and HAP, which was also implemented in GBD 2019, 2021, and 2023.</w:t>
      </w:r>
    </w:p>
    <w:p w14:paraId="6EA4E814" w14:textId="77777777" w:rsidR="00B123E5" w:rsidRDefault="00B123E5" w:rsidP="31F26954">
      <w:pPr>
        <w:rPr>
          <w:rFonts w:eastAsiaTheme="minorEastAsia"/>
        </w:rPr>
      </w:pPr>
      <w:r>
        <w:t xml:space="preserve">Let </w:t>
      </w:r>
      <m:oMath>
        <m:r>
          <w:rPr>
            <w:rFonts w:ascii="Cambria Math" w:hAnsi="Cambria Math"/>
          </w:rPr>
          <m:t>Ex</m:t>
        </m:r>
        <m:sSub>
          <m:sSubPr>
            <m:ctrlPr>
              <w:rPr>
                <w:rFonts w:ascii="Cambria Math" w:hAnsi="Cambria Math"/>
                <w:i/>
              </w:rPr>
            </m:ctrlPr>
          </m:sSubPr>
          <m:e>
            <m:r>
              <w:rPr>
                <w:rFonts w:ascii="Cambria Math" w:hAnsi="Cambria Math"/>
              </w:rPr>
              <m:t>p</m:t>
            </m:r>
          </m:e>
          <m:sub>
            <m:r>
              <w:rPr>
                <w:rFonts w:ascii="Cambria Math" w:hAnsi="Cambria Math"/>
              </w:rPr>
              <m:t>OAP</m:t>
            </m:r>
          </m:sub>
        </m:sSub>
      </m:oMath>
      <w:r w:rsidRPr="31F26954">
        <w:rPr>
          <w:rFonts w:eastAsiaTheme="minorEastAsia"/>
        </w:rPr>
        <w:t xml:space="preserve"> be the ambient </w:t>
      </w:r>
      <w:r>
        <w:t>PM</w:t>
      </w:r>
      <w:r>
        <w:rPr>
          <w:vertAlign w:val="subscript"/>
        </w:rPr>
        <w:t>2.5</w:t>
      </w:r>
      <w:r w:rsidRPr="31F26954">
        <w:rPr>
          <w:rFonts w:eastAsiaTheme="minorEastAsia"/>
        </w:rPr>
        <w:t xml:space="preserve"> exposure level and </w:t>
      </w:r>
      <m:oMath>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oMath>
      <w:r w:rsidRPr="31F26954">
        <w:rPr>
          <w:rFonts w:eastAsiaTheme="minorEastAsia"/>
        </w:rPr>
        <w:t xml:space="preserve"> be the excess exposure for those who use solid fuel for cooking. Let </w:t>
      </w:r>
      <m:oMath>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oMath>
      <w:r w:rsidRPr="31F26954">
        <w:rPr>
          <w:rFonts w:eastAsiaTheme="minorEastAsia"/>
        </w:rPr>
        <w:t xml:space="preserve"> be the proportion of the population using solid fuel for cooking. We calculated PAFs at each </w:t>
      </w:r>
      <w:r>
        <w:t>0.1</w:t>
      </w:r>
      <w:r>
        <w:rPr>
          <w:vertAlign w:val="superscript"/>
        </w:rPr>
        <w:t xml:space="preserve">o </w:t>
      </w:r>
      <w:r>
        <w:t>× 0.1</w:t>
      </w:r>
      <w:r>
        <w:rPr>
          <w:vertAlign w:val="superscript"/>
        </w:rPr>
        <w:t>o</w:t>
      </w:r>
      <w:r>
        <w:rPr>
          <w:position w:val="10"/>
        </w:rPr>
        <w:t xml:space="preserve"> </w:t>
      </w:r>
      <w:r w:rsidRPr="31F26954">
        <w:rPr>
          <w:rFonts w:eastAsiaTheme="minorEastAsia"/>
        </w:rPr>
        <w:t>grid cell. We assumed that the distribution of those using solid fuel for cooking (HAP) was equivalent across all grid cells of the GBD location.</w:t>
      </w:r>
    </w:p>
    <w:p w14:paraId="476839C2" w14:textId="77777777" w:rsidR="00B123E5" w:rsidRDefault="00B123E5" w:rsidP="31F26954">
      <w:pPr>
        <w:spacing w:before="100" w:beforeAutospacing="1" w:after="100" w:afterAutospacing="1" w:line="240" w:lineRule="auto"/>
      </w:pPr>
      <w:r>
        <w:t>For the proportion of the population not exposed to HAP the relative risk was:</w:t>
      </w:r>
    </w:p>
    <w:p w14:paraId="047C8FF0" w14:textId="77777777" w:rsidR="00B123E5" w:rsidRDefault="005551EC" w:rsidP="31F26954">
      <w:pPr>
        <w:spacing w:before="100" w:beforeAutospacing="1" w:after="100" w:afterAutospacing="1" w:line="240" w:lineRule="auto"/>
        <w:jc w:val="center"/>
        <w:rPr>
          <w:rFonts w:eastAsiaTheme="minorEastAsia"/>
        </w:rPr>
      </w:pPr>
      <m:oMath>
        <m:sSub>
          <m:sSubPr>
            <m:ctrlPr>
              <w:rPr>
                <w:rFonts w:ascii="Cambria Math" w:hAnsi="Cambria Math"/>
                <w:i/>
              </w:rPr>
            </m:ctrlPr>
          </m:sSubPr>
          <m:e>
            <m:r>
              <w:rPr>
                <w:rFonts w:ascii="Cambria Math" w:hAnsi="Cambria Math"/>
              </w:rPr>
              <m:t>RR</m:t>
            </m:r>
          </m:e>
          <m:sub>
            <m:r>
              <w:rPr>
                <w:rFonts w:ascii="Cambria Math" w:hAnsi="Cambria Math"/>
                <w:vertAlign w:val="subscript"/>
              </w:rPr>
              <m:t>OAP</m:t>
            </m:r>
          </m:sub>
        </m:sSub>
        <m:r>
          <w:rPr>
            <w:rFonts w:ascii="Cambria Math" w:hAnsi="Cambria Math"/>
          </w:rPr>
          <m:t xml:space="preserve"> =  MRBRT(z = </m:t>
        </m:r>
        <m:sSub>
          <m:sSubPr>
            <m:ctrlPr>
              <w:rPr>
                <w:rFonts w:ascii="Cambria Math" w:hAnsi="Cambria Math"/>
                <w:i/>
              </w:rPr>
            </m:ctrlPr>
          </m:sSubPr>
          <m:e>
            <m:r>
              <w:rPr>
                <w:rFonts w:ascii="Cambria Math" w:hAnsi="Cambria Math"/>
              </w:rPr>
              <m:t>Exp</m:t>
            </m:r>
          </m:e>
          <m:sub>
            <m:r>
              <w:rPr>
                <w:rFonts w:ascii="Cambria Math" w:hAnsi="Cambria Math"/>
                <w:vertAlign w:val="subscript"/>
              </w:rPr>
              <m:t>OAP</m:t>
            </m:r>
          </m:sub>
        </m:sSub>
        <m:r>
          <w:rPr>
            <w:rFonts w:ascii="Cambria Math" w:hAnsi="Cambria Math"/>
          </w:rPr>
          <m:t>)/MRBRT(z = TMREL)</m:t>
        </m:r>
      </m:oMath>
      <w:r w:rsidR="00B123E5" w:rsidRPr="31F26954">
        <w:rPr>
          <w:rFonts w:eastAsiaTheme="minorEastAsia"/>
        </w:rPr>
        <w:t>,</w:t>
      </w:r>
    </w:p>
    <w:p w14:paraId="39AA901A" w14:textId="77777777" w:rsidR="00B123E5" w:rsidRDefault="00B123E5" w:rsidP="31F26954">
      <w:pPr>
        <w:spacing w:before="100" w:beforeAutospacing="1" w:after="100" w:afterAutospacing="1" w:line="240" w:lineRule="auto"/>
      </w:pPr>
      <w:r>
        <w:t xml:space="preserve">And for those exposed to HAP, the relative risk was </w:t>
      </w:r>
    </w:p>
    <w:p w14:paraId="5F670BD6" w14:textId="77777777" w:rsidR="00B123E5" w:rsidRDefault="005551EC" w:rsidP="31F26954">
      <w:pPr>
        <w:jc w:val="center"/>
        <w:rPr>
          <w:rFonts w:eastAsiaTheme="minorEastAsia"/>
          <w:i/>
          <w:iCs/>
        </w:rPr>
      </w:pPr>
      <m:oMath>
        <m:sSub>
          <m:sSubPr>
            <m:ctrlPr>
              <w:rPr>
                <w:rFonts w:ascii="Cambria Math" w:hAnsi="Cambria Math"/>
                <w:i/>
              </w:rPr>
            </m:ctrlPr>
          </m:sSubPr>
          <m:e>
            <m:r>
              <w:rPr>
                <w:rFonts w:ascii="Cambria Math" w:hAnsi="Cambria Math"/>
              </w:rPr>
              <m:t>RR</m:t>
            </m:r>
          </m:e>
          <m:sub>
            <m:r>
              <w:rPr>
                <w:rFonts w:ascii="Cambria Math" w:hAnsi="Cambria Math"/>
                <w:vertAlign w:val="subscript"/>
              </w:rPr>
              <m:t>HAP</m:t>
            </m:r>
          </m:sub>
        </m:sSub>
        <m:r>
          <w:rPr>
            <w:rFonts w:ascii="Cambria Math" w:hAnsi="Cambria Math"/>
          </w:rPr>
          <m:t xml:space="preserve"> =  MRBRT(z = </m:t>
        </m:r>
        <m:sSub>
          <m:sSubPr>
            <m:ctrlPr>
              <w:rPr>
                <w:rFonts w:ascii="Cambria Math" w:hAnsi="Cambria Math"/>
                <w:i/>
              </w:rPr>
            </m:ctrlPr>
          </m:sSubPr>
          <m:e>
            <m:r>
              <w:rPr>
                <w:rFonts w:ascii="Cambria Math" w:hAnsi="Cambria Math"/>
              </w:rPr>
              <m:t>Exp</m:t>
            </m:r>
          </m:e>
          <m:sub>
            <m:r>
              <w:rPr>
                <w:rFonts w:ascii="Cambria Math" w:hAnsi="Cambria Math"/>
                <w:vertAlign w:val="subscript"/>
              </w:rPr>
              <m:t>OAP</m:t>
            </m:r>
          </m:sub>
        </m:sSub>
        <m:r>
          <w:rPr>
            <w:rFonts w:ascii="Cambria Math" w:hAnsi="Cambria Math"/>
          </w:rPr>
          <m:t>+</m:t>
        </m:r>
        <m:sSub>
          <m:sSubPr>
            <m:ctrlPr>
              <w:rPr>
                <w:rFonts w:ascii="Cambria Math" w:hAnsi="Cambria Math"/>
                <w:i/>
              </w:rPr>
            </m:ctrlPr>
          </m:sSubPr>
          <m:e>
            <m:r>
              <w:rPr>
                <w:rFonts w:ascii="Cambria Math" w:hAnsi="Cambria Math"/>
              </w:rPr>
              <m:t>Exp</m:t>
            </m:r>
          </m:e>
          <m:sub>
            <m:r>
              <w:rPr>
                <w:rFonts w:ascii="Cambria Math" w:hAnsi="Cambria Math"/>
              </w:rPr>
              <m:t>HAP</m:t>
            </m:r>
          </m:sub>
        </m:sSub>
        <m:r>
          <w:rPr>
            <w:rFonts w:ascii="Cambria Math" w:hAnsi="Cambria Math"/>
          </w:rPr>
          <m:t>)/MRBRT(z = TMREL)</m:t>
        </m:r>
      </m:oMath>
      <w:r w:rsidR="00B123E5" w:rsidRPr="31F26954">
        <w:rPr>
          <w:rFonts w:eastAsiaTheme="minorEastAsia"/>
          <w:i/>
          <w:iCs/>
        </w:rPr>
        <w:t>.</w:t>
      </w:r>
    </w:p>
    <w:p w14:paraId="0F3DFB25" w14:textId="77777777" w:rsidR="00B123E5" w:rsidRDefault="00B123E5" w:rsidP="31F26954">
      <w:pPr>
        <w:spacing w:before="100" w:beforeAutospacing="1" w:after="100" w:afterAutospacing="1" w:line="240" w:lineRule="auto"/>
      </w:pPr>
      <w:r>
        <w:t>We then calculate a population-level RR and PAF for all particulate matter exposure:</w:t>
      </w:r>
    </w:p>
    <w:p w14:paraId="57D86B38" w14:textId="77777777" w:rsidR="00B123E5" w:rsidRDefault="00B123E5" w:rsidP="31F26954">
      <w:pPr>
        <w:jc w:val="center"/>
        <w:rPr>
          <w:rFonts w:eastAsiaTheme="minorEastAsia"/>
        </w:rPr>
      </w:pPr>
      <m:oMathPara>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PM</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OAP</m:t>
              </m:r>
            </m:sub>
          </m:sSub>
          <m:d>
            <m:dPr>
              <m:ctrlPr>
                <w:rPr>
                  <w:rFonts w:ascii="Cambria Math" w:eastAsiaTheme="minorEastAsia" w:hAnsi="Cambria Math"/>
                  <w:i/>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e>
          </m:d>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HAP</m:t>
              </m:r>
            </m:sub>
          </m:sSub>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oMath>
      </m:oMathPara>
    </w:p>
    <w:p w14:paraId="249626B3" w14:textId="77777777" w:rsidR="00B123E5" w:rsidRDefault="005551EC" w:rsidP="31F26954">
      <w:pPr>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PAF</m:t>
              </m:r>
            </m:e>
            <m:sub>
              <m:r>
                <w:rPr>
                  <w:rFonts w:ascii="Cambria Math" w:eastAsiaTheme="minorEastAsia" w:hAnsi="Cambria Math"/>
                </w:rPr>
                <m:t>PM</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PM</m:t>
                  </m:r>
                </m:sub>
              </m:sSub>
              <m:r>
                <w:rPr>
                  <w:rFonts w:ascii="Cambria Math" w:eastAsiaTheme="minorEastAsia" w:hAnsi="Cambria Math"/>
                </w:rPr>
                <m:t>-1</m:t>
              </m:r>
            </m:num>
            <m:den>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PM</m:t>
                  </m:r>
                </m:sub>
              </m:sSub>
            </m:den>
          </m:f>
        </m:oMath>
      </m:oMathPara>
    </w:p>
    <w:p w14:paraId="2F577553" w14:textId="77777777" w:rsidR="00B123E5" w:rsidRDefault="00B123E5" w:rsidP="31F26954">
      <w:pPr>
        <w:spacing w:before="100" w:beforeAutospacing="1" w:after="100" w:afterAutospacing="1" w:line="240" w:lineRule="auto"/>
      </w:pPr>
      <w:r>
        <w:t>We population weight the grid-cell level particulate matter PAFs to get a country-level PAF, and finally, we split this PAF based on the average exposure to each OAP and HAP:</w:t>
      </w:r>
    </w:p>
    <w:p w14:paraId="493CB1E4" w14:textId="77777777" w:rsidR="00B123E5" w:rsidRDefault="005551EC" w:rsidP="31F26954">
      <w:pPr>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PAF</m:t>
            </m:r>
          </m:e>
          <m:sub>
            <m:r>
              <w:rPr>
                <w:rFonts w:ascii="Cambria Math" w:eastAsiaTheme="minorEastAsia" w:hAnsi="Cambria Math"/>
              </w:rPr>
              <m:t>OAP</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OAP</m:t>
                </m:r>
              </m:sub>
            </m:sSub>
          </m:num>
          <m:den>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OAP</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den>
        </m:f>
        <m:r>
          <w:rPr>
            <w:rFonts w:ascii="Cambria Math" w:eastAsiaTheme="minorEastAsia" w:hAnsi="Cambria Math"/>
          </w:rPr>
          <m:t>PA</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m:t>
            </m:r>
          </m:sub>
        </m:sSub>
      </m:oMath>
      <w:r w:rsidR="00B123E5" w:rsidRPr="31F26954">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PAF</m:t>
            </m:r>
          </m:e>
          <m:sub>
            <m:r>
              <w:rPr>
                <w:rFonts w:ascii="Cambria Math" w:eastAsiaTheme="minorEastAsia" w:hAnsi="Cambria Math"/>
              </w:rPr>
              <m:t>HAP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num>
          <m:den>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OAP</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r>
              <w:rPr>
                <w:rFonts w:ascii="Cambria Math" w:eastAsiaTheme="minorEastAsia" w:hAnsi="Cambria Math"/>
              </w:rPr>
              <m:t>*Ex</m:t>
            </m:r>
            <m:sSub>
              <m:sSubPr>
                <m:ctrlPr>
                  <w:rPr>
                    <w:rFonts w:ascii="Cambria Math" w:eastAsiaTheme="minorEastAsia" w:hAnsi="Cambria Math"/>
                    <w:i/>
                  </w:rPr>
                </m:ctrlPr>
              </m:sSubPr>
              <m:e>
                <m:r>
                  <w:rPr>
                    <w:rFonts w:ascii="Cambria Math" w:eastAsiaTheme="minorEastAsia" w:hAnsi="Cambria Math"/>
                  </w:rPr>
                  <m:t>p</m:t>
                </m:r>
              </m:e>
              <m:sub>
                <m:r>
                  <w:rPr>
                    <w:rFonts w:ascii="Cambria Math" w:eastAsiaTheme="minorEastAsia" w:hAnsi="Cambria Math"/>
                  </w:rPr>
                  <m:t>HAP</m:t>
                </m:r>
              </m:sub>
            </m:sSub>
          </m:den>
        </m:f>
        <m:r>
          <w:rPr>
            <w:rFonts w:ascii="Cambria Math" w:eastAsiaTheme="minorEastAsia" w:hAnsi="Cambria Math"/>
          </w:rPr>
          <m:t>PA</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m:t>
            </m:r>
          </m:sub>
        </m:sSub>
      </m:oMath>
      <w:r w:rsidR="00B123E5" w:rsidRPr="31F26954">
        <w:rPr>
          <w:rFonts w:eastAsiaTheme="minorEastAsia"/>
        </w:rPr>
        <w:t>.</w:t>
      </w:r>
    </w:p>
    <w:p w14:paraId="38814F45" w14:textId="77777777" w:rsidR="00B123E5" w:rsidRDefault="00B123E5" w:rsidP="31F26954">
      <w:pPr>
        <w:spacing w:before="100" w:beforeAutospacing="1" w:after="100" w:afterAutospacing="1" w:line="240" w:lineRule="auto"/>
      </w:pPr>
      <w:r>
        <w:t xml:space="preserve">With this strategy, </w:t>
      </w:r>
      <m:oMath>
        <m:r>
          <w:rPr>
            <w:rFonts w:ascii="Cambria Math" w:eastAsiaTheme="minorEastAsia" w:hAnsi="Cambria Math"/>
          </w:rPr>
          <m:t>PA</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PM</m:t>
            </m:r>
          </m:sub>
        </m:sSub>
        <m:r>
          <w:rPr>
            <w:rFonts w:ascii="Cambria Math" w:eastAsiaTheme="minorEastAsia" w:hAnsi="Cambria Math"/>
          </w:rPr>
          <m:t>=PA</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HAP</m:t>
            </m:r>
          </m:sub>
        </m:sSub>
        <m:r>
          <w:rPr>
            <w:rFonts w:ascii="Cambria Math" w:eastAsiaTheme="minorEastAsia" w:hAnsi="Cambria Math"/>
          </w:rPr>
          <m:t>+PA</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OAP</m:t>
            </m:r>
          </m:sub>
        </m:sSub>
      </m:oMath>
      <w:r w:rsidRPr="31F26954">
        <w:rPr>
          <w:rFonts w:eastAsiaTheme="minorEastAsia"/>
        </w:rPr>
        <w:t xml:space="preserve">, </w:t>
      </w:r>
      <w:r>
        <w:t>and no burden is counted twice.</w:t>
      </w:r>
    </w:p>
    <w:p w14:paraId="53CAE2EE" w14:textId="77777777" w:rsidR="00B123E5" w:rsidRDefault="00B123E5" w:rsidP="31F26954">
      <w:pPr>
        <w:spacing w:before="100" w:beforeAutospacing="1" w:after="100" w:afterAutospacing="1" w:line="240" w:lineRule="auto"/>
      </w:pPr>
    </w:p>
    <w:p w14:paraId="2970AEA3" w14:textId="77777777" w:rsidR="00B123E5" w:rsidRPr="00D856EF" w:rsidRDefault="00B123E5" w:rsidP="31F26954">
      <w:pPr>
        <w:rPr>
          <w:b/>
          <w:bCs/>
        </w:rPr>
      </w:pPr>
      <w:r w:rsidRPr="00D856EF">
        <w:rPr>
          <w:b/>
          <w:bCs/>
        </w:rPr>
        <w:t>References</w:t>
      </w:r>
    </w:p>
    <w:p w14:paraId="62E86573" w14:textId="77777777" w:rsidR="00B123E5" w:rsidRDefault="00B123E5" w:rsidP="31F26954">
      <w:pPr>
        <w:pStyle w:val="ListParagraph"/>
        <w:numPr>
          <w:ilvl w:val="0"/>
          <w:numId w:val="18"/>
        </w:numPr>
        <w:spacing w:after="0" w:line="240" w:lineRule="auto"/>
      </w:pPr>
      <w:bookmarkStart w:id="75" w:name="_Ref520282130"/>
      <w:r>
        <w:t>Aaron van Donkelaar, Melanie S. Hammer, Liam Bindle, Michael Brauer, Jeffery R. Brook, Michael J. Garay, N. Christina Hsu, Olga V. Kalashnikova, Ralph A. Kahn, Colin Lee, Robert C. Levy, Alexei Lyapustin, Andrew M. Sayer and Randall V. Martin (2021). Monthly Global Estimates of Fine Particulate Matter and Their Uncertainty Environmental Science &amp; Technology, 2021</w:t>
      </w:r>
    </w:p>
    <w:p w14:paraId="0888DC80" w14:textId="77777777" w:rsidR="00B123E5" w:rsidRDefault="00B123E5" w:rsidP="31F26954">
      <w:pPr>
        <w:pStyle w:val="ListParagraph"/>
        <w:numPr>
          <w:ilvl w:val="0"/>
          <w:numId w:val="18"/>
        </w:numPr>
        <w:spacing w:after="0" w:line="256" w:lineRule="auto"/>
        <w:rPr>
          <w:rFonts w:cs="Arial"/>
          <w:color w:val="1A1A1A"/>
          <w:lang w:val="en-GB"/>
        </w:rPr>
      </w:pPr>
      <w:r w:rsidRPr="31F26954">
        <w:rPr>
          <w:rFonts w:cs="Arial"/>
          <w:color w:val="1A1A1A"/>
          <w:lang w:val="en-GB"/>
        </w:rPr>
        <w:t xml:space="preserve">Turner MC, Jerrett M, Pope CA 3rd, </w:t>
      </w:r>
      <w:proofErr w:type="spellStart"/>
      <w:r w:rsidRPr="31F26954">
        <w:rPr>
          <w:rFonts w:cs="Arial"/>
          <w:color w:val="1A1A1A"/>
          <w:lang w:val="en-GB"/>
        </w:rPr>
        <w:t>Krewski</w:t>
      </w:r>
      <w:proofErr w:type="spellEnd"/>
      <w:r w:rsidRPr="31F26954">
        <w:rPr>
          <w:rFonts w:cs="Arial"/>
          <w:color w:val="1A1A1A"/>
          <w:lang w:val="en-GB"/>
        </w:rPr>
        <w:t xml:space="preserve"> D, </w:t>
      </w:r>
      <w:proofErr w:type="spellStart"/>
      <w:r w:rsidRPr="31F26954">
        <w:rPr>
          <w:rFonts w:cs="Arial"/>
          <w:color w:val="1A1A1A"/>
          <w:lang w:val="en-GB"/>
        </w:rPr>
        <w:t>Gapstur</w:t>
      </w:r>
      <w:proofErr w:type="spellEnd"/>
      <w:r w:rsidRPr="31F26954">
        <w:rPr>
          <w:rFonts w:cs="Arial"/>
          <w:color w:val="1A1A1A"/>
          <w:lang w:val="en-GB"/>
        </w:rPr>
        <w:t xml:space="preserve"> SM, Diver WR, Beckerman BS, Marshall JD, Su J, Crouse DL, Burnett RT. Long-term ozone exposure and mortality in a large prospective study. Am J Respir Crit Care Med. 2016; 193(10): 1134-42.</w:t>
      </w:r>
    </w:p>
    <w:p w14:paraId="057FC750" w14:textId="77777777" w:rsidR="00B123E5" w:rsidRDefault="00B123E5" w:rsidP="31F26954">
      <w:pPr>
        <w:pStyle w:val="ListParagraph"/>
        <w:numPr>
          <w:ilvl w:val="0"/>
          <w:numId w:val="18"/>
        </w:numPr>
        <w:spacing w:after="0" w:line="240" w:lineRule="auto"/>
      </w:pPr>
      <w:r>
        <w:t xml:space="preserve">Thomas, M. L., </w:t>
      </w:r>
      <w:proofErr w:type="spellStart"/>
      <w:r>
        <w:t>Shaddick</w:t>
      </w:r>
      <w:proofErr w:type="spellEnd"/>
      <w:r>
        <w:t xml:space="preserve">, G., Simpson, D., de Hoogh, K. and Zidek, J. V. </w:t>
      </w:r>
      <w:proofErr w:type="spellStart"/>
      <w:r>
        <w:t>Spatio</w:t>
      </w:r>
      <w:proofErr w:type="spellEnd"/>
      <w:r>
        <w:t xml:space="preserve">-temporal downscaling for continental–scale estimation of air pollution concentrations. </w:t>
      </w:r>
      <w:proofErr w:type="spellStart"/>
      <w:r>
        <w:t>arXiv</w:t>
      </w:r>
      <w:proofErr w:type="spellEnd"/>
      <w:r>
        <w:t xml:space="preserve"> preprint arXiv:1907.00093 (also been Submitted to the Journal of the Royal Statistical Society: Series C (Applied Statistics)).</w:t>
      </w:r>
    </w:p>
    <w:p w14:paraId="120DED01" w14:textId="77777777" w:rsidR="00B123E5" w:rsidRDefault="00B123E5" w:rsidP="31F26954">
      <w:pPr>
        <w:pStyle w:val="ListParagraph"/>
        <w:numPr>
          <w:ilvl w:val="0"/>
          <w:numId w:val="18"/>
        </w:numPr>
        <w:spacing w:after="0" w:line="240" w:lineRule="auto"/>
      </w:pPr>
      <w:r>
        <w:t xml:space="preserve">Yin P, Brauer M, Cohen A, et al. Long-term Fine Particulate Matter Exposure and Nonaccidental and Cause-specific Mortality in a Large National Cohort of Chinese Men. Environ Health </w:t>
      </w:r>
      <w:proofErr w:type="spellStart"/>
      <w:r>
        <w:t>Perspect</w:t>
      </w:r>
      <w:proofErr w:type="spellEnd"/>
      <w:r>
        <w:t xml:space="preserve"> 2017; 125: 117002.</w:t>
      </w:r>
    </w:p>
    <w:p w14:paraId="3B4A07E5" w14:textId="77777777" w:rsidR="00B123E5" w:rsidRDefault="00B123E5" w:rsidP="31F26954">
      <w:pPr>
        <w:pStyle w:val="ListParagraph"/>
        <w:numPr>
          <w:ilvl w:val="0"/>
          <w:numId w:val="18"/>
        </w:numPr>
        <w:spacing w:after="0" w:line="240" w:lineRule="auto"/>
      </w:pPr>
      <w:r>
        <w:t>Li T, Zhang Y, Wang J, et al. All-cause mortality risk associated with long-term exposure to ambient PM2·5 in China: a cohort study. Lancet Public Health 2018; 3: e470–7.</w:t>
      </w:r>
    </w:p>
    <w:p w14:paraId="221DAF70" w14:textId="77777777" w:rsidR="00B123E5" w:rsidRDefault="00B123E5" w:rsidP="31F26954">
      <w:pPr>
        <w:pStyle w:val="ListParagraph"/>
        <w:numPr>
          <w:ilvl w:val="0"/>
          <w:numId w:val="18"/>
        </w:numPr>
        <w:spacing w:after="0" w:line="240" w:lineRule="auto"/>
      </w:pPr>
      <w:r>
        <w:t>Yang Y, Tang R, Qiu H, et al. Long term exposure to air pollution and mortality in an elderly cohort in Hong Kong. Environ Int 2018; 117: 99–106.</w:t>
      </w:r>
    </w:p>
    <w:p w14:paraId="67E02DF5" w14:textId="77777777" w:rsidR="00B123E5" w:rsidRDefault="00B123E5" w:rsidP="31F26954">
      <w:pPr>
        <w:pStyle w:val="ListParagraph"/>
        <w:numPr>
          <w:ilvl w:val="0"/>
          <w:numId w:val="18"/>
        </w:numPr>
        <w:spacing w:after="0" w:line="240" w:lineRule="auto"/>
      </w:pPr>
      <w:r>
        <w:t xml:space="preserve">Hystad P, Larkin A, Rangarajan S, </w:t>
      </w:r>
      <w:proofErr w:type="spellStart"/>
      <w:r>
        <w:t>AlHabib</w:t>
      </w:r>
      <w:proofErr w:type="spellEnd"/>
      <w:r>
        <w:t xml:space="preserve"> KF, </w:t>
      </w:r>
      <w:proofErr w:type="spellStart"/>
      <w:r>
        <w:t>Avezum</w:t>
      </w:r>
      <w:proofErr w:type="spellEnd"/>
      <w:r>
        <w:t xml:space="preserve"> A, </w:t>
      </w:r>
      <w:proofErr w:type="spellStart"/>
      <w:r>
        <w:t>Tumerdem</w:t>
      </w:r>
      <w:proofErr w:type="spellEnd"/>
      <w:r>
        <w:t xml:space="preserve"> Calik KB; Chifamba J, Dans A, Diaz R, du Plessis JL, Gupta R, Iqbal R, Khatib R, </w:t>
      </w:r>
      <w:proofErr w:type="spellStart"/>
      <w:r>
        <w:t>Kelishadi</w:t>
      </w:r>
      <w:proofErr w:type="spellEnd"/>
      <w:r>
        <w:t xml:space="preserve"> R, Lanas F, Liu Z, Lopez-Jaramillo P, Nair S, Poirier P, Rahman O, Rosengren A, Swidan H, Tse L-A, Wei L, Wielgosz A, Yeates K, Yusoff K, </w:t>
      </w:r>
      <w:proofErr w:type="spellStart"/>
      <w:r>
        <w:t>Zatoński</w:t>
      </w:r>
      <w:proofErr w:type="spellEnd"/>
      <w:r>
        <w:t xml:space="preserve"> T, Yusuf S, Brauer M. Outdoor fine particulate matter air pollution and cardiovascular disease: Results from 747 communities across 21 countries in the PURE Study. (Submitted to Lancet Global Health)</w:t>
      </w:r>
    </w:p>
    <w:p w14:paraId="1E4FFAC7" w14:textId="77777777" w:rsidR="00B123E5" w:rsidRDefault="00B123E5" w:rsidP="31F26954">
      <w:pPr>
        <w:pStyle w:val="ListParagraph"/>
        <w:numPr>
          <w:ilvl w:val="0"/>
          <w:numId w:val="18"/>
        </w:numPr>
        <w:spacing w:after="0" w:line="240" w:lineRule="auto"/>
      </w:pPr>
      <w:r>
        <w:t xml:space="preserve">Joseph P, Rangarajan S, Islam S, Mente A, Hystad P, Brauer M, Raman Kutty V, Gupta R, Wielgosz A, </w:t>
      </w:r>
      <w:proofErr w:type="spellStart"/>
      <w:r>
        <w:t>AlHabib</w:t>
      </w:r>
      <w:proofErr w:type="spellEnd"/>
      <w:r>
        <w:t xml:space="preserve"> KF, Dans A, Lopez-Jaramillo P, </w:t>
      </w:r>
      <w:proofErr w:type="spellStart"/>
      <w:r>
        <w:t>Avezum</w:t>
      </w:r>
      <w:proofErr w:type="spellEnd"/>
      <w:r>
        <w:t xml:space="preserve"> A, Lanas F, Oguz A, Kruger IM, Diaz R, Yusoff K, Mony P, Chifamba J, Yeates K, </w:t>
      </w:r>
      <w:proofErr w:type="spellStart"/>
      <w:r>
        <w:t>Kelishadi</w:t>
      </w:r>
      <w:proofErr w:type="spellEnd"/>
      <w:r>
        <w:t xml:space="preserve"> R, </w:t>
      </w:r>
      <w:proofErr w:type="spellStart"/>
      <w:r>
        <w:t>Yusufali</w:t>
      </w:r>
      <w:proofErr w:type="spellEnd"/>
      <w:r>
        <w:t xml:space="preserve"> A, Khatib R, Rahman O, </w:t>
      </w:r>
      <w:proofErr w:type="spellStart"/>
      <w:r>
        <w:t>Zatonska</w:t>
      </w:r>
      <w:proofErr w:type="spellEnd"/>
      <w:r>
        <w:t xml:space="preserve"> K, Iqbal R, Wei L, Bo H, Rosengren A, Kaur M, Mohan V, Lear SA, Teo KK, O’Donnell M, McKee M, Dagenais G, Yusuf S. Modifiable risk factors, cardiovascular disease and mortality in 155,722 individuals from 21 high-, middle-, and low-income countries (PURE): a prospective cohort study. The Lancet. 2019. doi:10.1016/S0140-6736(19)32008-2</w:t>
      </w:r>
    </w:p>
    <w:p w14:paraId="7D5477E9" w14:textId="77777777" w:rsidR="00B123E5" w:rsidRDefault="00B123E5" w:rsidP="31F26954">
      <w:pPr>
        <w:pStyle w:val="ListParagraph"/>
        <w:numPr>
          <w:ilvl w:val="0"/>
          <w:numId w:val="18"/>
        </w:numPr>
        <w:spacing w:after="0" w:line="256" w:lineRule="auto"/>
        <w:rPr>
          <w:rFonts w:cs="Arial"/>
          <w:color w:val="1A1A1A"/>
          <w:lang w:val="en-GB"/>
        </w:rPr>
      </w:pPr>
      <w:r w:rsidRPr="31F26954">
        <w:rPr>
          <w:rFonts w:cs="Arial"/>
          <w:color w:val="1A1A1A"/>
        </w:rPr>
        <w:t xml:space="preserve">Burnett RT, Pope CA 3rd, Ezzati M, Olives C, Lim SS, Mehta S, Shin HH, Singh G, Hubbell B, Brauer M, Anderson HR, Smith KR, Balmes JR, Bruce NG, Kan H, Laden F, </w:t>
      </w:r>
      <w:proofErr w:type="spellStart"/>
      <w:r w:rsidRPr="31F26954">
        <w:rPr>
          <w:rFonts w:cs="Arial"/>
          <w:color w:val="1A1A1A"/>
        </w:rPr>
        <w:t>Prüss-Ustün</w:t>
      </w:r>
      <w:proofErr w:type="spellEnd"/>
      <w:r w:rsidRPr="31F26954">
        <w:rPr>
          <w:rFonts w:cs="Arial"/>
          <w:color w:val="1A1A1A"/>
        </w:rPr>
        <w:t xml:space="preserve"> A, Turner MC, </w:t>
      </w:r>
      <w:proofErr w:type="spellStart"/>
      <w:r w:rsidRPr="31F26954">
        <w:rPr>
          <w:rFonts w:cs="Arial"/>
          <w:color w:val="1A1A1A"/>
        </w:rPr>
        <w:t>Gapstur</w:t>
      </w:r>
      <w:proofErr w:type="spellEnd"/>
      <w:r w:rsidRPr="31F26954">
        <w:rPr>
          <w:rFonts w:cs="Arial"/>
          <w:color w:val="1A1A1A"/>
        </w:rPr>
        <w:t xml:space="preserve"> SM, Diver WR, Cohen A. An integrated risk function for estimating the global burden of disease attributable to ambient fine particulate matter exposure. </w:t>
      </w:r>
      <w:r w:rsidRPr="31F26954">
        <w:rPr>
          <w:rFonts w:cs="Arial"/>
          <w:i/>
          <w:iCs/>
          <w:color w:val="1A1A1A"/>
        </w:rPr>
        <w:t xml:space="preserve">Environ Health </w:t>
      </w:r>
      <w:proofErr w:type="spellStart"/>
      <w:r w:rsidRPr="31F26954">
        <w:rPr>
          <w:rFonts w:cs="Arial"/>
          <w:i/>
          <w:iCs/>
          <w:color w:val="1A1A1A"/>
        </w:rPr>
        <w:t>Perspect</w:t>
      </w:r>
      <w:proofErr w:type="spellEnd"/>
      <w:r w:rsidRPr="31F26954">
        <w:rPr>
          <w:rFonts w:cs="Arial"/>
          <w:color w:val="1A1A1A"/>
        </w:rPr>
        <w:t>. 2014; 122(4): 397-403.</w:t>
      </w:r>
    </w:p>
    <w:p w14:paraId="77AC95F2" w14:textId="77777777" w:rsidR="00437DA0" w:rsidRDefault="00437DA0" w:rsidP="31F26954">
      <w:pPr>
        <w:pStyle w:val="ListParagraph"/>
        <w:numPr>
          <w:ilvl w:val="0"/>
          <w:numId w:val="18"/>
        </w:numPr>
        <w:spacing w:after="0" w:line="240" w:lineRule="auto"/>
      </w:pPr>
      <w:r w:rsidRPr="00437DA0">
        <w:t xml:space="preserve">Ghosh R, Causey K, Burkart K, Wozniak S, Cohen A, Brauer M. Ambient and household PM2.5 pollution and adverse perinatal outcomes: A meta-regression and analysis of attributable global burden for 204 countries and territories. </w:t>
      </w:r>
      <w:proofErr w:type="spellStart"/>
      <w:r w:rsidRPr="00437DA0">
        <w:t>PLoS</w:t>
      </w:r>
      <w:proofErr w:type="spellEnd"/>
      <w:r w:rsidRPr="00437DA0">
        <w:t xml:space="preserve"> Med. 2021 Sep 28;18(9):e1003718. </w:t>
      </w:r>
      <w:proofErr w:type="spellStart"/>
      <w:r w:rsidRPr="00437DA0">
        <w:t>doi</w:t>
      </w:r>
      <w:proofErr w:type="spellEnd"/>
      <w:r w:rsidRPr="00437DA0">
        <w:t xml:space="preserve">: 10.1371/journal.pmed.1003718. Erratum in: </w:t>
      </w:r>
      <w:proofErr w:type="spellStart"/>
      <w:r w:rsidRPr="00437DA0">
        <w:t>PLoS</w:t>
      </w:r>
      <w:proofErr w:type="spellEnd"/>
      <w:r w:rsidRPr="00437DA0">
        <w:t xml:space="preserve"> Med. 2021 Nov 2;18(11):e1003852. </w:t>
      </w:r>
      <w:proofErr w:type="spellStart"/>
      <w:r w:rsidRPr="00437DA0">
        <w:t>doi</w:t>
      </w:r>
      <w:proofErr w:type="spellEnd"/>
      <w:r w:rsidRPr="00437DA0">
        <w:t xml:space="preserve">: 10.1371/journal.pmed.1003852. PMID: 34582444; PMCID: PMC8478226. </w:t>
      </w:r>
    </w:p>
    <w:p w14:paraId="47A9214E" w14:textId="0C00042B" w:rsidR="00B123E5" w:rsidRDefault="00B123E5" w:rsidP="31F26954">
      <w:pPr>
        <w:pStyle w:val="ListParagraph"/>
        <w:numPr>
          <w:ilvl w:val="0"/>
          <w:numId w:val="18"/>
        </w:numPr>
        <w:spacing w:after="0" w:line="240" w:lineRule="auto"/>
      </w:pPr>
      <w:r>
        <w:t xml:space="preserve">US Environmental Protection Agency. Integrated science assessment (ISA) for particulate matter (Final Report, Dec 2009). EPA/600/R-08/139F, 2009. Washington, DC: US Environmental Protection Agency; 2009. Available at: http://cfpub.epa.gov/ncea/risk/recordisplay.cfm?deid=216546 </w:t>
      </w:r>
      <w:bookmarkEnd w:id="75"/>
    </w:p>
    <w:p w14:paraId="600122B3" w14:textId="77777777" w:rsidR="00BD32DE" w:rsidRPr="00A759B4" w:rsidRDefault="00BD32DE" w:rsidP="00A759B4"/>
    <w:p w14:paraId="7303F0C0" w14:textId="12EE0C7F" w:rsidR="004017B3" w:rsidRDefault="00E8375F" w:rsidP="00260001">
      <w:pPr>
        <w:pStyle w:val="Heading2"/>
      </w:pPr>
      <w:bookmarkStart w:id="76" w:name="_Toc213357092"/>
      <w:bookmarkStart w:id="77" w:name="_Toc164260261"/>
      <w:r>
        <w:t>Household Air Pollution</w:t>
      </w:r>
      <w:bookmarkEnd w:id="76"/>
    </w:p>
    <w:p w14:paraId="50A90D08" w14:textId="64FA57B7" w:rsidR="004017B3" w:rsidRDefault="004017B3" w:rsidP="31F26954">
      <w:r>
        <w:t>Flowchart</w:t>
      </w:r>
    </w:p>
    <w:p w14:paraId="0065D1F6" w14:textId="60632DAC" w:rsidR="004017B3" w:rsidRDefault="00B67EDC" w:rsidP="004017B3">
      <w:r>
        <w:rPr>
          <w:noProof/>
        </w:rPr>
        <w:drawing>
          <wp:inline distT="0" distB="0" distL="0" distR="0" wp14:anchorId="57DC0D41" wp14:editId="0EF43776">
            <wp:extent cx="5943600" cy="2986405"/>
            <wp:effectExtent l="0" t="0" r="0" b="4445"/>
            <wp:docPr id="440918936"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918936" name="Picture 1" descr="A diagram of a company&#10;&#10;AI-generated content may be incorrect."/>
                    <pic:cNvPicPr/>
                  </pic:nvPicPr>
                  <pic:blipFill>
                    <a:blip r:embed="rId23"/>
                    <a:stretch>
                      <a:fillRect/>
                    </a:stretch>
                  </pic:blipFill>
                  <pic:spPr>
                    <a:xfrm>
                      <a:off x="0" y="0"/>
                      <a:ext cx="5943600" cy="2986405"/>
                    </a:xfrm>
                    <a:prstGeom prst="rect">
                      <a:avLst/>
                    </a:prstGeom>
                  </pic:spPr>
                </pic:pic>
              </a:graphicData>
            </a:graphic>
          </wp:inline>
        </w:drawing>
      </w:r>
    </w:p>
    <w:p w14:paraId="43CDC04D" w14:textId="77777777" w:rsidR="00C72AB3" w:rsidRPr="00D856EF" w:rsidRDefault="00C72AB3" w:rsidP="00C72AB3">
      <w:pPr>
        <w:rPr>
          <w:b/>
          <w:bCs/>
        </w:rPr>
      </w:pPr>
      <w:r w:rsidRPr="00D856EF">
        <w:rPr>
          <w:b/>
          <w:bCs/>
        </w:rPr>
        <w:t>Input data and methodological summary</w:t>
      </w:r>
    </w:p>
    <w:p w14:paraId="64AB6FC4" w14:textId="0DFBDB75" w:rsidR="004017B3" w:rsidRPr="00D856EF" w:rsidRDefault="004017B3" w:rsidP="31F26954">
      <w:pPr>
        <w:rPr>
          <w:b/>
          <w:bCs/>
        </w:rPr>
      </w:pPr>
      <w:r w:rsidRPr="00D856EF">
        <w:rPr>
          <w:b/>
          <w:bCs/>
        </w:rPr>
        <w:t>Definition</w:t>
      </w:r>
    </w:p>
    <w:p w14:paraId="1FEBA0F3" w14:textId="77777777" w:rsidR="004017B3" w:rsidRPr="00D856EF" w:rsidRDefault="004017B3" w:rsidP="31F26954">
      <w:pPr>
        <w:rPr>
          <w:b/>
          <w:bCs/>
        </w:rPr>
      </w:pPr>
      <w:r w:rsidRPr="00D856EF">
        <w:rPr>
          <w:b/>
          <w:bCs/>
        </w:rPr>
        <w:t>Exposure</w:t>
      </w:r>
    </w:p>
    <w:p w14:paraId="2D8A4F96" w14:textId="77777777" w:rsidR="004017B3" w:rsidRDefault="004017B3" w:rsidP="004017B3">
      <w:pPr>
        <w:rPr>
          <w:rFonts w:ascii="Calibri" w:eastAsia="Calibri" w:hAnsi="Calibri" w:cs="Calibri"/>
          <w:color w:val="000000" w:themeColor="text1"/>
        </w:rPr>
      </w:pPr>
      <w:r w:rsidRPr="31F26954">
        <w:rPr>
          <w:rFonts w:ascii="Calibri" w:eastAsia="Calibri" w:hAnsi="Calibri" w:cs="Calibri"/>
          <w:color w:val="000000" w:themeColor="text1"/>
        </w:rPr>
        <w:t>Exposure to household air pollution from solid fuels (HAP) is estimated from both the proportion of individuals using solid cooking fuels and the level of exposure to particulate matter less than 2.5 micrometers in aerodynamic diameter (PM</w:t>
      </w:r>
      <w:r w:rsidRPr="31F26954">
        <w:rPr>
          <w:rFonts w:ascii="Calibri" w:eastAsia="Calibri" w:hAnsi="Calibri" w:cs="Calibri"/>
          <w:color w:val="000000" w:themeColor="text1"/>
          <w:vertAlign w:val="subscript"/>
        </w:rPr>
        <w:t>2.5</w:t>
      </w:r>
      <w:r w:rsidRPr="31F26954">
        <w:rPr>
          <w:rFonts w:ascii="Calibri" w:eastAsia="Calibri" w:hAnsi="Calibri" w:cs="Calibri"/>
          <w:color w:val="000000" w:themeColor="text1"/>
        </w:rPr>
        <w:t>) air pollution for these individuals. Solid fuels in our analysis include wood, coal/charcoal, dung, and agricultural residues.</w:t>
      </w:r>
    </w:p>
    <w:p w14:paraId="2E1C0802" w14:textId="77777777" w:rsidR="004017B3" w:rsidRPr="00D856EF" w:rsidRDefault="004017B3" w:rsidP="31F26954">
      <w:pPr>
        <w:rPr>
          <w:b/>
          <w:bCs/>
        </w:rPr>
      </w:pPr>
      <w:r w:rsidRPr="00D856EF">
        <w:rPr>
          <w:b/>
          <w:bCs/>
        </w:rPr>
        <w:t>Input data</w:t>
      </w:r>
    </w:p>
    <w:p w14:paraId="046BF864" w14:textId="77777777" w:rsidR="004017B3" w:rsidRPr="00D856EF" w:rsidRDefault="004017B3" w:rsidP="31F26954">
      <w:pPr>
        <w:rPr>
          <w:b/>
          <w:bCs/>
        </w:rPr>
      </w:pPr>
      <w:r w:rsidRPr="00D856EF">
        <w:rPr>
          <w:b/>
          <w:bCs/>
        </w:rPr>
        <w:t>Exposure</w:t>
      </w:r>
    </w:p>
    <w:p w14:paraId="3D24C8A1" w14:textId="5100CB6F" w:rsidR="004017B3" w:rsidRDefault="004017B3" w:rsidP="004017B3">
      <w:r>
        <w:t>We extracted information on the use of solid fuels for cooking from standard multi-country survey series, including the Demographic and Health Surveys (DHS), Living Standards Measurement Surveys (LSMS), Multiple Indicator Cluster Surveys (MICS), and World Health Surveys (WHS). We also used data from censuses and country-specific survey series, such as the Kenya Welfare Monitoring Survey and South Africa General Household Survey. To fill remaining gaps in survey and census data, we downloaded the WHO Household Energy Database and updated estimates using extracted information from literature through a systematic review.</w:t>
      </w:r>
      <w:r w:rsidR="248923EF" w:rsidRPr="5677D41E">
        <w:rPr>
          <w:vertAlign w:val="superscript"/>
        </w:rPr>
        <w:t>1</w:t>
      </w:r>
      <w:r>
        <w:t xml:space="preserve"> From this combined body of input data, each nationally or </w:t>
      </w:r>
      <w:proofErr w:type="spellStart"/>
      <w:r>
        <w:t>subnationally</w:t>
      </w:r>
      <w:proofErr w:type="spellEnd"/>
      <w:r>
        <w:t xml:space="preserve"> representative datapoint provided an estimate of the percentage of households or individuals using solid cooking fuels. </w:t>
      </w:r>
    </w:p>
    <w:p w14:paraId="47319A16" w14:textId="77777777" w:rsidR="004017B3" w:rsidRDefault="004017B3" w:rsidP="004017B3">
      <w:pPr>
        <w:rPr>
          <w:rFonts w:ascii="Calibri" w:eastAsia="Calibri" w:hAnsi="Calibri" w:cs="Calibri"/>
          <w:color w:val="000000" w:themeColor="text1"/>
        </w:rPr>
      </w:pPr>
      <w:r>
        <w:t>We excluded sources that did not distinguish specific primary fuel types, estimated fuel used for purposes other than cooking (</w:t>
      </w:r>
      <w:proofErr w:type="spellStart"/>
      <w:r>
        <w:t>eg</w:t>
      </w:r>
      <w:proofErr w:type="spellEnd"/>
      <w:r>
        <w:t xml:space="preserve">, lighting or heating), failed to report standard error or sample size, reported over 15% missingness for households surveyed, reported fuel use in physical units, or were secondary sources referencing primary analyses. </w:t>
      </w:r>
    </w:p>
    <w:p w14:paraId="54F1106A" w14:textId="77777777" w:rsidR="004017B3" w:rsidRDefault="004017B3" w:rsidP="004017B3"/>
    <w:p w14:paraId="3F0F84DB" w14:textId="77777777" w:rsidR="004017B3" w:rsidRPr="00D856EF" w:rsidRDefault="004017B3" w:rsidP="31F26954">
      <w:pPr>
        <w:rPr>
          <w:rFonts w:eastAsia="SimSun" w:cs="Times New Roman"/>
          <w:b/>
          <w:bCs/>
        </w:rPr>
      </w:pPr>
      <w:r w:rsidRPr="00D856EF">
        <w:rPr>
          <w:b/>
          <w:bCs/>
        </w:rPr>
        <w:t>Data processing</w:t>
      </w:r>
    </w:p>
    <w:p w14:paraId="516890F0" w14:textId="2BF7E12B" w:rsidR="004017B3" w:rsidRDefault="004017B3" w:rsidP="004017B3">
      <w:r>
        <w:t>Many estimates in the WHO Energy Database and other reports quantify the proportion of households using solid fuel for cooking; however, we are interested in the proportion of individuals using solid fuel for cooking for exposure and burden assessment. To crosswalk these estimates, where available, we extracted fuel use at both the individual and household levels. We used studies that reported values for both household and individual solid fuel use. For studies that reported zero, we replaced the zero value with half of the lowest non-zero value for the region the datapoint is in. For studies that reported one, we replaced one with the value of the globally highest non-one value plus half of the difference between one and the globally highest non-one value. For the crosswalk model, we used the meta-regression</w:t>
      </w:r>
      <w:r w:rsidRPr="5677D41E">
        <w:rPr>
          <w:rFonts w:ascii="Calibri" w:hAnsi="Calibri" w:cs="Calibri"/>
        </w:rPr>
        <w:t>—</w:t>
      </w:r>
      <w:r>
        <w:t xml:space="preserve">Bayesian, </w:t>
      </w:r>
      <w:proofErr w:type="spellStart"/>
      <w:r>
        <w:t>regularised</w:t>
      </w:r>
      <w:proofErr w:type="spellEnd"/>
      <w:r>
        <w:t>, trimmed (MR-BRT) meta-regression tool.</w:t>
      </w:r>
      <w:r w:rsidR="3AB21AC7" w:rsidRPr="5677D41E">
        <w:rPr>
          <w:vertAlign w:val="superscript"/>
        </w:rPr>
        <w:t>2</w:t>
      </w:r>
      <w:r>
        <w:t xml:space="preserve"> The results of the model can be found in Table 1. We applied this crosswalk only to proportion estimates for the parent solid fuel category. We did not adjust fuel-specific (coal/charcoal, crop, dung, or wood) proportion estimates due to lack of sufficient data for each individual fuel type.</w:t>
      </w:r>
    </w:p>
    <w:p w14:paraId="338D16B0" w14:textId="77777777" w:rsidR="004017B3" w:rsidRDefault="004017B3" w:rsidP="004017B3">
      <w:r w:rsidRPr="31F26954">
        <w:rPr>
          <w:rFonts w:ascii="Calibri" w:eastAsia="Calibri" w:hAnsi="Calibri" w:cs="Calibri"/>
          <w:b/>
          <w:bCs/>
        </w:rPr>
        <w:t>Table 1: MR-BRT crosswalk adjustment factors for household air pollution exposure</w:t>
      </w:r>
    </w:p>
    <w:tbl>
      <w:tblPr>
        <w:tblStyle w:val="TableGrid"/>
        <w:tblW w:w="9360" w:type="dxa"/>
        <w:tblLayout w:type="fixed"/>
        <w:tblLook w:val="04A0" w:firstRow="1" w:lastRow="0" w:firstColumn="1" w:lastColumn="0" w:noHBand="0" w:noVBand="1"/>
      </w:tblPr>
      <w:tblGrid>
        <w:gridCol w:w="1846"/>
        <w:gridCol w:w="2337"/>
        <w:gridCol w:w="1007"/>
        <w:gridCol w:w="2085"/>
        <w:gridCol w:w="2085"/>
      </w:tblGrid>
      <w:tr w:rsidR="004017B3" w14:paraId="4DC1D4AB" w14:textId="77777777" w:rsidTr="31F26954">
        <w:trPr>
          <w:trHeight w:val="300"/>
        </w:trPr>
        <w:tc>
          <w:tcPr>
            <w:tcW w:w="1847" w:type="dxa"/>
            <w:tcBorders>
              <w:top w:val="single" w:sz="8" w:space="0" w:color="auto"/>
              <w:left w:val="single" w:sz="8" w:space="0" w:color="auto"/>
              <w:bottom w:val="single" w:sz="8" w:space="0" w:color="auto"/>
              <w:right w:val="single" w:sz="8" w:space="0" w:color="auto"/>
            </w:tcBorders>
            <w:hideMark/>
          </w:tcPr>
          <w:p w14:paraId="46AC2D10" w14:textId="77777777" w:rsidR="004017B3" w:rsidRDefault="004017B3">
            <w:r w:rsidRPr="31F26954">
              <w:rPr>
                <w:rFonts w:ascii="Calibri" w:eastAsia="Calibri" w:hAnsi="Calibri" w:cs="Calibri"/>
                <w:b/>
                <w:bCs/>
              </w:rPr>
              <w:t>Data input</w:t>
            </w:r>
          </w:p>
        </w:tc>
        <w:tc>
          <w:tcPr>
            <w:tcW w:w="2337" w:type="dxa"/>
            <w:tcBorders>
              <w:top w:val="single" w:sz="8" w:space="0" w:color="auto"/>
              <w:left w:val="single" w:sz="8" w:space="0" w:color="auto"/>
              <w:bottom w:val="single" w:sz="8" w:space="0" w:color="auto"/>
              <w:right w:val="single" w:sz="8" w:space="0" w:color="auto"/>
            </w:tcBorders>
            <w:hideMark/>
          </w:tcPr>
          <w:p w14:paraId="56499175" w14:textId="77777777" w:rsidR="004017B3" w:rsidRDefault="004017B3">
            <w:r w:rsidRPr="31F26954">
              <w:rPr>
                <w:rFonts w:ascii="Calibri" w:eastAsia="Calibri" w:hAnsi="Calibri" w:cs="Calibri"/>
                <w:b/>
                <w:bCs/>
              </w:rPr>
              <w:t>Reference or alternative case definition</w:t>
            </w:r>
          </w:p>
        </w:tc>
        <w:tc>
          <w:tcPr>
            <w:tcW w:w="1007" w:type="dxa"/>
            <w:tcBorders>
              <w:top w:val="single" w:sz="8" w:space="0" w:color="auto"/>
              <w:left w:val="single" w:sz="8" w:space="0" w:color="auto"/>
              <w:bottom w:val="single" w:sz="8" w:space="0" w:color="auto"/>
              <w:right w:val="single" w:sz="8" w:space="0" w:color="auto"/>
            </w:tcBorders>
            <w:hideMark/>
          </w:tcPr>
          <w:p w14:paraId="5F5E1CC1" w14:textId="77777777" w:rsidR="004017B3" w:rsidRDefault="004017B3">
            <w:r w:rsidRPr="31F26954">
              <w:rPr>
                <w:rFonts w:ascii="Calibri" w:eastAsia="Calibri" w:hAnsi="Calibri" w:cs="Calibri"/>
                <w:b/>
                <w:bCs/>
              </w:rPr>
              <w:t>Gamma</w:t>
            </w:r>
          </w:p>
        </w:tc>
        <w:tc>
          <w:tcPr>
            <w:tcW w:w="2085" w:type="dxa"/>
            <w:tcBorders>
              <w:top w:val="single" w:sz="8" w:space="0" w:color="auto"/>
              <w:left w:val="single" w:sz="8" w:space="0" w:color="auto"/>
              <w:bottom w:val="single" w:sz="8" w:space="0" w:color="auto"/>
              <w:right w:val="single" w:sz="8" w:space="0" w:color="auto"/>
            </w:tcBorders>
            <w:hideMark/>
          </w:tcPr>
          <w:p w14:paraId="3881FD7E" w14:textId="77777777" w:rsidR="004017B3" w:rsidRDefault="004017B3">
            <w:r w:rsidRPr="31F26954">
              <w:rPr>
                <w:rFonts w:ascii="Calibri" w:eastAsia="Calibri" w:hAnsi="Calibri" w:cs="Calibri"/>
                <w:b/>
                <w:bCs/>
              </w:rPr>
              <w:t>Beta coefficient, logit</w:t>
            </w:r>
          </w:p>
          <w:p w14:paraId="6DE69B65" w14:textId="77777777" w:rsidR="004017B3" w:rsidRDefault="004017B3">
            <w:pPr>
              <w:rPr>
                <w:rFonts w:ascii="Calibri" w:eastAsia="Calibri" w:hAnsi="Calibri" w:cs="Calibri"/>
                <w:b/>
                <w:bCs/>
              </w:rPr>
            </w:pPr>
            <w:r w:rsidRPr="31F26954">
              <w:rPr>
                <w:rFonts w:ascii="Calibri" w:eastAsia="Calibri" w:hAnsi="Calibri" w:cs="Calibri"/>
                <w:b/>
                <w:bCs/>
              </w:rPr>
              <w:t>(95% UI)*</w:t>
            </w:r>
          </w:p>
        </w:tc>
        <w:tc>
          <w:tcPr>
            <w:tcW w:w="2085" w:type="dxa"/>
            <w:tcBorders>
              <w:top w:val="single" w:sz="8" w:space="0" w:color="auto"/>
              <w:left w:val="single" w:sz="8" w:space="0" w:color="auto"/>
              <w:bottom w:val="single" w:sz="8" w:space="0" w:color="auto"/>
              <w:right w:val="single" w:sz="8" w:space="0" w:color="auto"/>
            </w:tcBorders>
            <w:hideMark/>
          </w:tcPr>
          <w:p w14:paraId="42E45C9D" w14:textId="77777777" w:rsidR="004017B3" w:rsidRDefault="004017B3">
            <w:pPr>
              <w:rPr>
                <w:rFonts w:ascii="Calibri" w:eastAsia="Calibri" w:hAnsi="Calibri" w:cs="Calibri"/>
                <w:b/>
                <w:bCs/>
              </w:rPr>
            </w:pPr>
            <w:r w:rsidRPr="31F26954">
              <w:rPr>
                <w:rFonts w:ascii="Calibri" w:eastAsia="Calibri" w:hAnsi="Calibri" w:cs="Calibri"/>
                <w:b/>
                <w:bCs/>
              </w:rPr>
              <w:t>Adjustment factor**</w:t>
            </w:r>
          </w:p>
        </w:tc>
      </w:tr>
      <w:tr w:rsidR="004017B3" w14:paraId="2B06FA0E" w14:textId="77777777" w:rsidTr="31F26954">
        <w:trPr>
          <w:trHeight w:val="300"/>
        </w:trPr>
        <w:tc>
          <w:tcPr>
            <w:tcW w:w="1847" w:type="dxa"/>
            <w:tcBorders>
              <w:top w:val="single" w:sz="8" w:space="0" w:color="auto"/>
              <w:left w:val="single" w:sz="8" w:space="0" w:color="auto"/>
              <w:bottom w:val="single" w:sz="8" w:space="0" w:color="auto"/>
              <w:right w:val="single" w:sz="8" w:space="0" w:color="auto"/>
            </w:tcBorders>
            <w:hideMark/>
          </w:tcPr>
          <w:p w14:paraId="20087199" w14:textId="77777777" w:rsidR="004017B3" w:rsidRDefault="004017B3">
            <w:r w:rsidRPr="31F26954">
              <w:rPr>
                <w:rFonts w:ascii="Calibri" w:eastAsia="Calibri" w:hAnsi="Calibri" w:cs="Calibri"/>
              </w:rPr>
              <w:t xml:space="preserve">Proportion of individuals </w:t>
            </w:r>
          </w:p>
        </w:tc>
        <w:tc>
          <w:tcPr>
            <w:tcW w:w="2337" w:type="dxa"/>
            <w:tcBorders>
              <w:top w:val="single" w:sz="8" w:space="0" w:color="auto"/>
              <w:left w:val="single" w:sz="8" w:space="0" w:color="auto"/>
              <w:bottom w:val="single" w:sz="8" w:space="0" w:color="auto"/>
              <w:right w:val="single" w:sz="8" w:space="0" w:color="auto"/>
            </w:tcBorders>
            <w:hideMark/>
          </w:tcPr>
          <w:p w14:paraId="7EFACD60" w14:textId="77777777" w:rsidR="004017B3" w:rsidRDefault="004017B3">
            <w:r w:rsidRPr="31F26954">
              <w:rPr>
                <w:rFonts w:ascii="Calibri" w:eastAsia="Calibri" w:hAnsi="Calibri" w:cs="Calibri"/>
              </w:rPr>
              <w:t>Ref</w:t>
            </w:r>
          </w:p>
        </w:tc>
        <w:tc>
          <w:tcPr>
            <w:tcW w:w="1007" w:type="dxa"/>
            <w:vMerge w:val="restart"/>
            <w:tcBorders>
              <w:top w:val="single" w:sz="8" w:space="0" w:color="auto"/>
              <w:left w:val="single" w:sz="8" w:space="0" w:color="auto"/>
              <w:bottom w:val="single" w:sz="4" w:space="0" w:color="auto"/>
              <w:right w:val="single" w:sz="8" w:space="0" w:color="auto"/>
            </w:tcBorders>
            <w:hideMark/>
          </w:tcPr>
          <w:p w14:paraId="76A5D10F" w14:textId="77777777" w:rsidR="004017B3" w:rsidRDefault="004017B3">
            <w:r>
              <w:t>4.93</w:t>
            </w:r>
          </w:p>
        </w:tc>
        <w:tc>
          <w:tcPr>
            <w:tcW w:w="2085" w:type="dxa"/>
            <w:tcBorders>
              <w:top w:val="single" w:sz="8" w:space="0" w:color="auto"/>
              <w:left w:val="single" w:sz="8" w:space="0" w:color="auto"/>
              <w:bottom w:val="single" w:sz="8" w:space="0" w:color="auto"/>
              <w:right w:val="single" w:sz="8" w:space="0" w:color="auto"/>
            </w:tcBorders>
            <w:hideMark/>
          </w:tcPr>
          <w:p w14:paraId="52522FF3" w14:textId="77777777" w:rsidR="004017B3" w:rsidRDefault="004017B3">
            <w:r w:rsidRPr="31F26954">
              <w:rPr>
                <w:rFonts w:ascii="Calibri" w:eastAsia="Calibri" w:hAnsi="Calibri" w:cs="Calibri"/>
              </w:rPr>
              <w:t>---</w:t>
            </w:r>
          </w:p>
        </w:tc>
        <w:tc>
          <w:tcPr>
            <w:tcW w:w="2085" w:type="dxa"/>
            <w:tcBorders>
              <w:top w:val="single" w:sz="8" w:space="0" w:color="auto"/>
              <w:left w:val="single" w:sz="8" w:space="0" w:color="auto"/>
              <w:bottom w:val="single" w:sz="8" w:space="0" w:color="auto"/>
              <w:right w:val="single" w:sz="8" w:space="0" w:color="auto"/>
            </w:tcBorders>
            <w:hideMark/>
          </w:tcPr>
          <w:p w14:paraId="36064EBA" w14:textId="77777777" w:rsidR="004017B3" w:rsidRDefault="004017B3">
            <w:pPr>
              <w:rPr>
                <w:rFonts w:ascii="Calibri" w:eastAsia="Calibri" w:hAnsi="Calibri" w:cs="Calibri"/>
              </w:rPr>
            </w:pPr>
            <w:r w:rsidRPr="31F26954">
              <w:rPr>
                <w:rFonts w:ascii="Calibri" w:eastAsia="Calibri" w:hAnsi="Calibri" w:cs="Calibri"/>
              </w:rPr>
              <w:t>---</w:t>
            </w:r>
          </w:p>
        </w:tc>
      </w:tr>
      <w:tr w:rsidR="004017B3" w14:paraId="045254F0" w14:textId="77777777" w:rsidTr="31F26954">
        <w:trPr>
          <w:trHeight w:val="300"/>
        </w:trPr>
        <w:tc>
          <w:tcPr>
            <w:tcW w:w="1847" w:type="dxa"/>
            <w:tcBorders>
              <w:top w:val="single" w:sz="8" w:space="0" w:color="auto"/>
              <w:left w:val="single" w:sz="8" w:space="0" w:color="auto"/>
              <w:bottom w:val="single" w:sz="8" w:space="0" w:color="auto"/>
              <w:right w:val="single" w:sz="8" w:space="0" w:color="auto"/>
            </w:tcBorders>
            <w:hideMark/>
          </w:tcPr>
          <w:p w14:paraId="45B3C5AD" w14:textId="77777777" w:rsidR="004017B3" w:rsidRDefault="004017B3">
            <w:r w:rsidRPr="31F26954">
              <w:rPr>
                <w:rFonts w:ascii="Calibri" w:eastAsia="Calibri" w:hAnsi="Calibri" w:cs="Calibri"/>
              </w:rPr>
              <w:t>Proportion of households</w:t>
            </w:r>
          </w:p>
        </w:tc>
        <w:tc>
          <w:tcPr>
            <w:tcW w:w="2337" w:type="dxa"/>
            <w:tcBorders>
              <w:top w:val="single" w:sz="8" w:space="0" w:color="auto"/>
              <w:left w:val="single" w:sz="8" w:space="0" w:color="auto"/>
              <w:bottom w:val="single" w:sz="8" w:space="0" w:color="auto"/>
              <w:right w:val="single" w:sz="8" w:space="0" w:color="auto"/>
            </w:tcBorders>
            <w:hideMark/>
          </w:tcPr>
          <w:p w14:paraId="1CB3487B" w14:textId="77777777" w:rsidR="004017B3" w:rsidRDefault="004017B3">
            <w:r w:rsidRPr="31F26954">
              <w:rPr>
                <w:rFonts w:ascii="Calibri" w:eastAsia="Calibri" w:hAnsi="Calibri" w:cs="Calibri"/>
              </w:rPr>
              <w:t xml:space="preserve">Alt </w:t>
            </w:r>
          </w:p>
        </w:tc>
        <w:tc>
          <w:tcPr>
            <w:tcW w:w="1007" w:type="dxa"/>
            <w:vMerge/>
            <w:vAlign w:val="center"/>
            <w:hideMark/>
          </w:tcPr>
          <w:p w14:paraId="24F046DD" w14:textId="77777777" w:rsidR="004017B3" w:rsidRDefault="004017B3"/>
        </w:tc>
        <w:tc>
          <w:tcPr>
            <w:tcW w:w="2085" w:type="dxa"/>
            <w:tcBorders>
              <w:top w:val="single" w:sz="8" w:space="0" w:color="auto"/>
              <w:left w:val="nil"/>
              <w:bottom w:val="single" w:sz="8" w:space="0" w:color="auto"/>
              <w:right w:val="single" w:sz="8" w:space="0" w:color="auto"/>
            </w:tcBorders>
            <w:hideMark/>
          </w:tcPr>
          <w:p w14:paraId="30DB5E42" w14:textId="77777777" w:rsidR="004017B3" w:rsidRDefault="004017B3">
            <w:r w:rsidRPr="31F26954">
              <w:rPr>
                <w:rFonts w:ascii="Calibri" w:hAnsi="Calibri" w:cs="Calibri"/>
              </w:rPr>
              <w:t>–</w:t>
            </w:r>
            <w:r w:rsidRPr="31F26954">
              <w:rPr>
                <w:rFonts w:ascii="Calibri" w:eastAsia="Calibri" w:hAnsi="Calibri" w:cs="Calibri"/>
              </w:rPr>
              <w:t xml:space="preserve">0.53 </w:t>
            </w:r>
          </w:p>
          <w:p w14:paraId="6ABBD8E0" w14:textId="77777777" w:rsidR="004017B3" w:rsidRDefault="004017B3">
            <w:r w:rsidRPr="31F26954">
              <w:rPr>
                <w:rFonts w:ascii="Calibri" w:eastAsia="Calibri" w:hAnsi="Calibri" w:cs="Calibri"/>
              </w:rPr>
              <w:t>(</w:t>
            </w:r>
            <w:r w:rsidRPr="31F26954">
              <w:rPr>
                <w:rFonts w:ascii="Calibri" w:hAnsi="Calibri" w:cs="Calibri"/>
              </w:rPr>
              <w:t>–</w:t>
            </w:r>
            <w:r w:rsidRPr="31F26954">
              <w:rPr>
                <w:rFonts w:ascii="Calibri" w:eastAsia="Calibri" w:hAnsi="Calibri" w:cs="Calibri"/>
              </w:rPr>
              <w:t xml:space="preserve">0.580 to </w:t>
            </w:r>
            <w:r w:rsidRPr="31F26954">
              <w:rPr>
                <w:rFonts w:ascii="Calibri" w:hAnsi="Calibri" w:cs="Calibri"/>
              </w:rPr>
              <w:t>–</w:t>
            </w:r>
            <w:r w:rsidRPr="31F26954">
              <w:rPr>
                <w:rFonts w:ascii="Calibri" w:eastAsia="Calibri" w:hAnsi="Calibri" w:cs="Calibri"/>
              </w:rPr>
              <w:t>0.480)</w:t>
            </w:r>
          </w:p>
        </w:tc>
        <w:tc>
          <w:tcPr>
            <w:tcW w:w="2085" w:type="dxa"/>
            <w:tcBorders>
              <w:top w:val="single" w:sz="8" w:space="0" w:color="auto"/>
              <w:left w:val="nil"/>
              <w:bottom w:val="single" w:sz="8" w:space="0" w:color="auto"/>
              <w:right w:val="single" w:sz="8" w:space="0" w:color="auto"/>
            </w:tcBorders>
            <w:hideMark/>
          </w:tcPr>
          <w:p w14:paraId="437BED7B" w14:textId="77777777" w:rsidR="004017B3" w:rsidRDefault="004017B3">
            <w:pPr>
              <w:rPr>
                <w:rFonts w:ascii="Calibri" w:eastAsia="Calibri" w:hAnsi="Calibri" w:cs="Calibri"/>
              </w:rPr>
            </w:pPr>
            <w:r w:rsidRPr="31F26954">
              <w:rPr>
                <w:rFonts w:ascii="Calibri" w:eastAsia="Calibri" w:hAnsi="Calibri" w:cs="Calibri"/>
              </w:rPr>
              <w:t>1.699 (1.617</w:t>
            </w:r>
            <w:r w:rsidRPr="31F26954">
              <w:rPr>
                <w:rFonts w:ascii="Calibri" w:hAnsi="Calibri" w:cs="Calibri"/>
              </w:rPr>
              <w:t>–</w:t>
            </w:r>
            <w:r w:rsidRPr="31F26954">
              <w:rPr>
                <w:rFonts w:ascii="Calibri" w:eastAsia="Calibri" w:hAnsi="Calibri" w:cs="Calibri"/>
              </w:rPr>
              <w:t>1.786)</w:t>
            </w:r>
          </w:p>
        </w:tc>
      </w:tr>
    </w:tbl>
    <w:p w14:paraId="65913914" w14:textId="77777777" w:rsidR="004017B3" w:rsidRDefault="004017B3" w:rsidP="004017B3">
      <w:r w:rsidRPr="31F26954">
        <w:rPr>
          <w:rFonts w:ascii="Calibri" w:eastAsia="Calibri" w:hAnsi="Calibri" w:cs="Calibri"/>
          <w:i/>
          <w:iCs/>
          <w:sz w:val="20"/>
          <w:szCs w:val="20"/>
        </w:rPr>
        <w:t xml:space="preserve"> *MR-BRT crosswalk adjustments can be interpreted as the factor the alternative case definition is adjusted by to reflect what it would have been had it been measured using the reference case definition. If the log/logit beta coefficient is negative, then the alternative is adjusted up to the reference. If the log/logit beta coefficient is positive, then the alternative is adjusted down to the reference.</w:t>
      </w:r>
    </w:p>
    <w:p w14:paraId="0F478F75" w14:textId="77777777" w:rsidR="004017B3" w:rsidRDefault="004017B3" w:rsidP="004017B3">
      <w:r w:rsidRPr="31F26954">
        <w:rPr>
          <w:rFonts w:ascii="Calibri" w:eastAsia="Calibri" w:hAnsi="Calibri" w:cs="Calibri"/>
          <w:i/>
          <w:iCs/>
          <w:sz w:val="20"/>
          <w:szCs w:val="20"/>
        </w:rPr>
        <w:t xml:space="preserve">**The adjustment factor column is the exponentiated negative beta coefficient. For log beta coefficients, this is the relative rate between the two case definitions. For logit beta coefficients, this is the relative odds between the two case definitions. </w:t>
      </w:r>
    </w:p>
    <w:p w14:paraId="47573127" w14:textId="77777777" w:rsidR="004017B3" w:rsidRDefault="004017B3" w:rsidP="31F26954">
      <w:pPr>
        <w:rPr>
          <w:rFonts w:ascii="Calibri" w:eastAsia="Calibri" w:hAnsi="Calibri" w:cs="Calibri"/>
          <w:i/>
          <w:iCs/>
          <w:sz w:val="20"/>
          <w:szCs w:val="20"/>
        </w:rPr>
      </w:pPr>
    </w:p>
    <w:p w14:paraId="7705811A" w14:textId="77777777" w:rsidR="004017B3" w:rsidRDefault="004017B3" w:rsidP="004017B3">
      <w:r>
        <w:t>We applied this coefficient to household-only solid fuel reports with the following formula:</w:t>
      </w:r>
    </w:p>
    <w:p w14:paraId="2936BDC7" w14:textId="77777777" w:rsidR="004017B3" w:rsidRDefault="004017B3" w:rsidP="31F26954">
      <w:pPr>
        <w:ind w:left="720"/>
        <w:rPr>
          <w:rFonts w:eastAsiaTheme="minorEastAsia"/>
          <w:sz w:val="20"/>
          <w:szCs w:val="20"/>
        </w:rPr>
      </w:pPr>
      <m:oMath>
        <m:r>
          <w:rPr>
            <w:rFonts w:ascii="Cambria Math" w:hAnsi="Cambria Math"/>
            <w:sz w:val="20"/>
          </w:rPr>
          <m:t>pro</m:t>
        </m:r>
        <m:sSub>
          <m:sSubPr>
            <m:ctrlPr>
              <w:rPr>
                <w:rFonts w:ascii="Cambria Math" w:hAnsi="Cambria Math"/>
                <w:i/>
              </w:rPr>
            </m:ctrlPr>
          </m:sSubPr>
          <m:e>
            <m:r>
              <w:rPr>
                <w:rFonts w:ascii="Cambria Math" w:hAnsi="Cambria Math"/>
                <w:sz w:val="20"/>
              </w:rPr>
              <m:t>p</m:t>
            </m:r>
          </m:e>
          <m:sub>
            <m:r>
              <w:rPr>
                <w:rFonts w:ascii="Cambria Math" w:hAnsi="Cambria Math"/>
                <w:sz w:val="20"/>
              </w:rPr>
              <m:t>individ</m:t>
            </m:r>
          </m:sub>
        </m:sSub>
      </m:oMath>
      <w:r w:rsidRPr="31F26954">
        <w:rPr>
          <w:rFonts w:eastAsiaTheme="minorEastAsia"/>
          <w:sz w:val="20"/>
          <w:szCs w:val="20"/>
        </w:rPr>
        <w:t xml:space="preserve"> = the proportion of individuals using solid fuel for cooking, and </w:t>
      </w:r>
    </w:p>
    <w:p w14:paraId="341B5489" w14:textId="77777777" w:rsidR="004017B3" w:rsidRDefault="004017B3" w:rsidP="31F26954">
      <w:pPr>
        <w:ind w:left="720"/>
        <w:rPr>
          <w:rFonts w:eastAsiaTheme="minorEastAsia"/>
          <w:sz w:val="20"/>
          <w:szCs w:val="20"/>
        </w:rPr>
      </w:pPr>
      <m:oMath>
        <m:r>
          <w:rPr>
            <w:rFonts w:ascii="Cambria Math" w:hAnsi="Cambria Math"/>
            <w:sz w:val="20"/>
          </w:rPr>
          <m:t>pro</m:t>
        </m:r>
        <m:sSub>
          <m:sSubPr>
            <m:ctrlPr>
              <w:rPr>
                <w:rFonts w:ascii="Cambria Math" w:hAnsi="Cambria Math"/>
                <w:i/>
              </w:rPr>
            </m:ctrlPr>
          </m:sSubPr>
          <m:e>
            <m:r>
              <w:rPr>
                <w:rFonts w:ascii="Cambria Math" w:hAnsi="Cambria Math"/>
                <w:sz w:val="20"/>
              </w:rPr>
              <m:t>p</m:t>
            </m:r>
          </m:e>
          <m:sub>
            <m:r>
              <w:rPr>
                <w:rFonts w:ascii="Cambria Math" w:hAnsi="Cambria Math"/>
                <w:sz w:val="20"/>
              </w:rPr>
              <m:t>hh</m:t>
            </m:r>
          </m:sub>
        </m:sSub>
      </m:oMath>
      <w:r w:rsidRPr="31F26954">
        <w:rPr>
          <w:rFonts w:eastAsiaTheme="minorEastAsia"/>
          <w:sz w:val="20"/>
          <w:szCs w:val="20"/>
        </w:rPr>
        <w:t xml:space="preserve"> = the proportion of households using solid fuel for cooking.</w:t>
      </w:r>
    </w:p>
    <w:p w14:paraId="1786CC10" w14:textId="77777777" w:rsidR="004017B3" w:rsidRDefault="004017B3" w:rsidP="31F26954">
      <w:pPr>
        <w:rPr>
          <w:rFonts w:eastAsiaTheme="minorEastAsia"/>
          <w:sz w:val="20"/>
          <w:szCs w:val="20"/>
        </w:rPr>
      </w:pPr>
    </w:p>
    <w:p w14:paraId="294F2F72" w14:textId="77777777" w:rsidR="004017B3" w:rsidRDefault="005551EC" w:rsidP="31F26954">
      <w:pPr>
        <w:jc w:val="center"/>
        <w:rPr>
          <w:rFonts w:eastAsiaTheme="minorEastAsia"/>
          <w:sz w:val="20"/>
          <w:szCs w:val="20"/>
        </w:rPr>
      </w:pPr>
      <m:oMathPara>
        <m:oMath>
          <m:func>
            <m:funcPr>
              <m:ctrlPr>
                <w:rPr>
                  <w:rFonts w:ascii="Cambria Math" w:hAnsi="Cambria Math"/>
                  <w:i/>
                </w:rPr>
              </m:ctrlPr>
            </m:funcPr>
            <m:fName>
              <m:r>
                <m:rPr>
                  <m:sty m:val="p"/>
                </m:rPr>
                <w:rPr>
                  <w:rFonts w:ascii="Cambria Math" w:hAnsi="Cambria Math"/>
                  <w:sz w:val="20"/>
                </w:rPr>
                <m:t>log</m:t>
              </m:r>
            </m:fName>
            <m:e>
              <m:d>
                <m:dPr>
                  <m:ctrlPr>
                    <w:rPr>
                      <w:rFonts w:ascii="Cambria Math" w:hAnsi="Cambria Math"/>
                      <w:i/>
                    </w:rPr>
                  </m:ctrlPr>
                </m:dPr>
                <m:e>
                  <m:f>
                    <m:fPr>
                      <m:ctrlPr>
                        <w:rPr>
                          <w:rFonts w:ascii="Cambria Math" w:hAnsi="Cambria Math"/>
                          <w:i/>
                        </w:rPr>
                      </m:ctrlPr>
                    </m:fPr>
                    <m:num>
                      <m:r>
                        <w:rPr>
                          <w:rFonts w:ascii="Cambria Math" w:hAnsi="Cambria Math"/>
                          <w:sz w:val="20"/>
                        </w:rPr>
                        <m:t>pro</m:t>
                      </m:r>
                      <m:sSub>
                        <m:sSubPr>
                          <m:ctrlPr>
                            <w:rPr>
                              <w:rFonts w:ascii="Cambria Math" w:hAnsi="Cambria Math"/>
                              <w:i/>
                            </w:rPr>
                          </m:ctrlPr>
                        </m:sSubPr>
                        <m:e>
                          <m:r>
                            <w:rPr>
                              <w:rFonts w:ascii="Cambria Math" w:hAnsi="Cambria Math"/>
                              <w:sz w:val="20"/>
                            </w:rPr>
                            <m:t>p</m:t>
                          </m:r>
                        </m:e>
                        <m:sub>
                          <m:r>
                            <w:rPr>
                              <w:rFonts w:ascii="Cambria Math" w:hAnsi="Cambria Math"/>
                              <w:sz w:val="20"/>
                            </w:rPr>
                            <m:t>individ</m:t>
                          </m:r>
                        </m:sub>
                      </m:sSub>
                    </m:num>
                    <m:den>
                      <m:r>
                        <w:rPr>
                          <w:rFonts w:ascii="Cambria Math" w:hAnsi="Cambria Math"/>
                          <w:sz w:val="20"/>
                        </w:rPr>
                        <m:t>1-pro</m:t>
                      </m:r>
                      <m:sSub>
                        <m:sSubPr>
                          <m:ctrlPr>
                            <w:rPr>
                              <w:rFonts w:ascii="Cambria Math" w:hAnsi="Cambria Math"/>
                              <w:i/>
                            </w:rPr>
                          </m:ctrlPr>
                        </m:sSubPr>
                        <m:e>
                          <m:r>
                            <w:rPr>
                              <w:rFonts w:ascii="Cambria Math" w:hAnsi="Cambria Math"/>
                              <w:sz w:val="20"/>
                            </w:rPr>
                            <m:t>p</m:t>
                          </m:r>
                        </m:e>
                        <m:sub>
                          <m:r>
                            <w:rPr>
                              <w:rFonts w:ascii="Cambria Math" w:hAnsi="Cambria Math"/>
                              <w:sz w:val="20"/>
                            </w:rPr>
                            <m:t>individ</m:t>
                          </m:r>
                        </m:sub>
                      </m:sSub>
                    </m:den>
                  </m:f>
                </m:e>
              </m:d>
            </m:e>
          </m:func>
          <m:r>
            <w:rPr>
              <w:rFonts w:ascii="Cambria Math" w:hAnsi="Cambria Math"/>
              <w:sz w:val="20"/>
            </w:rPr>
            <m:t>=</m:t>
          </m:r>
          <m:func>
            <m:funcPr>
              <m:ctrlPr>
                <w:rPr>
                  <w:rFonts w:ascii="Cambria Math" w:hAnsi="Cambria Math"/>
                  <w:i/>
                </w:rPr>
              </m:ctrlPr>
            </m:funcPr>
            <m:fName>
              <m:r>
                <m:rPr>
                  <m:sty m:val="p"/>
                </m:rPr>
                <w:rPr>
                  <w:rFonts w:ascii="Cambria Math" w:hAnsi="Cambria Math"/>
                  <w:sz w:val="20"/>
                </w:rPr>
                <m:t>log</m:t>
              </m:r>
            </m:fName>
            <m:e>
              <m:d>
                <m:dPr>
                  <m:ctrlPr>
                    <w:rPr>
                      <w:rFonts w:ascii="Cambria Math" w:hAnsi="Cambria Math"/>
                      <w:i/>
                    </w:rPr>
                  </m:ctrlPr>
                </m:dPr>
                <m:e>
                  <m:f>
                    <m:fPr>
                      <m:ctrlPr>
                        <w:rPr>
                          <w:rFonts w:ascii="Cambria Math" w:hAnsi="Cambria Math"/>
                          <w:i/>
                        </w:rPr>
                      </m:ctrlPr>
                    </m:fPr>
                    <m:num>
                      <m:r>
                        <w:rPr>
                          <w:rFonts w:ascii="Cambria Math" w:hAnsi="Cambria Math"/>
                          <w:sz w:val="20"/>
                        </w:rPr>
                        <m:t>pro</m:t>
                      </m:r>
                      <m:sSub>
                        <m:sSubPr>
                          <m:ctrlPr>
                            <w:rPr>
                              <w:rFonts w:ascii="Cambria Math" w:hAnsi="Cambria Math"/>
                              <w:i/>
                            </w:rPr>
                          </m:ctrlPr>
                        </m:sSubPr>
                        <m:e>
                          <m:r>
                            <w:rPr>
                              <w:rFonts w:ascii="Cambria Math" w:hAnsi="Cambria Math"/>
                              <w:sz w:val="20"/>
                            </w:rPr>
                            <m:t>p</m:t>
                          </m:r>
                        </m:e>
                        <m:sub>
                          <m:r>
                            <w:rPr>
                              <w:rFonts w:ascii="Cambria Math" w:hAnsi="Cambria Math"/>
                              <w:sz w:val="20"/>
                            </w:rPr>
                            <m:t>hh</m:t>
                          </m:r>
                        </m:sub>
                      </m:sSub>
                    </m:num>
                    <m:den>
                      <m:r>
                        <w:rPr>
                          <w:rFonts w:ascii="Cambria Math" w:hAnsi="Cambria Math"/>
                          <w:sz w:val="20"/>
                        </w:rPr>
                        <m:t>1-pro</m:t>
                      </m:r>
                      <m:sSub>
                        <m:sSubPr>
                          <m:ctrlPr>
                            <w:rPr>
                              <w:rFonts w:ascii="Cambria Math" w:hAnsi="Cambria Math"/>
                              <w:i/>
                            </w:rPr>
                          </m:ctrlPr>
                        </m:sSubPr>
                        <m:e>
                          <m:r>
                            <w:rPr>
                              <w:rFonts w:ascii="Cambria Math" w:hAnsi="Cambria Math"/>
                              <w:sz w:val="20"/>
                            </w:rPr>
                            <m:t>p</m:t>
                          </m:r>
                        </m:e>
                        <m:sub>
                          <m:r>
                            <w:rPr>
                              <w:rFonts w:ascii="Cambria Math" w:hAnsi="Cambria Math"/>
                              <w:sz w:val="20"/>
                            </w:rPr>
                            <m:t>hh</m:t>
                          </m:r>
                        </m:sub>
                      </m:sSub>
                    </m:den>
                  </m:f>
                </m:e>
              </m:d>
            </m:e>
          </m:func>
          <m:r>
            <w:rPr>
              <w:rFonts w:ascii="Cambria Math" w:hAnsi="Cambria Math"/>
              <w:sz w:val="20"/>
            </w:rPr>
            <m:t>-β</m:t>
          </m:r>
        </m:oMath>
      </m:oMathPara>
    </w:p>
    <w:p w14:paraId="5DDBF3A4" w14:textId="77777777" w:rsidR="004017B3" w:rsidRDefault="004017B3" w:rsidP="31F26954">
      <w:pPr>
        <w:jc w:val="center"/>
        <w:rPr>
          <w:rFonts w:eastAsiaTheme="minorEastAsia"/>
          <w:sz w:val="20"/>
          <w:szCs w:val="20"/>
        </w:rPr>
      </w:pPr>
      <w:r w:rsidRPr="31F26954">
        <w:rPr>
          <w:rFonts w:eastAsiaTheme="minorEastAsia"/>
          <w:sz w:val="20"/>
          <w:szCs w:val="20"/>
        </w:rPr>
        <w:t>or</w:t>
      </w:r>
    </w:p>
    <w:p w14:paraId="5A1EC281" w14:textId="77777777" w:rsidR="004017B3" w:rsidRDefault="004017B3" w:rsidP="31F26954">
      <w:pPr>
        <w:jc w:val="center"/>
        <w:rPr>
          <w:rFonts w:eastAsiaTheme="minorEastAsia"/>
          <w:sz w:val="20"/>
          <w:szCs w:val="20"/>
        </w:rPr>
      </w:pPr>
      <m:oMathPara>
        <m:oMath>
          <m:r>
            <w:rPr>
              <w:rFonts w:ascii="Cambria Math" w:eastAsiaTheme="minorEastAsia" w:hAnsi="Cambria Math"/>
              <w:sz w:val="20"/>
            </w:rPr>
            <m:t>pro</m:t>
          </m:r>
          <m:sSub>
            <m:sSubPr>
              <m:ctrlPr>
                <w:rPr>
                  <w:rFonts w:ascii="Cambria Math" w:eastAsiaTheme="minorEastAsia" w:hAnsi="Cambria Math"/>
                  <w:i/>
                </w:rPr>
              </m:ctrlPr>
            </m:sSubPr>
            <m:e>
              <m:r>
                <w:rPr>
                  <w:rFonts w:ascii="Cambria Math" w:eastAsiaTheme="minorEastAsia" w:hAnsi="Cambria Math"/>
                  <w:sz w:val="20"/>
                </w:rPr>
                <m:t>p</m:t>
              </m:r>
            </m:e>
            <m:sub>
              <m:r>
                <w:rPr>
                  <w:rFonts w:ascii="Cambria Math" w:eastAsiaTheme="minorEastAsia" w:hAnsi="Cambria Math"/>
                  <w:sz w:val="20"/>
                </w:rPr>
                <m:t>individ</m:t>
              </m:r>
            </m:sub>
          </m:sSub>
          <m:r>
            <w:rPr>
              <w:rFonts w:ascii="Cambria Math" w:eastAsiaTheme="minorEastAsia" w:hAnsi="Cambria Math"/>
              <w:sz w:val="20"/>
            </w:rPr>
            <m:t>=</m:t>
          </m:r>
          <m:f>
            <m:fPr>
              <m:ctrlPr>
                <w:rPr>
                  <w:rFonts w:ascii="Cambria Math" w:eastAsiaTheme="minorEastAsia" w:hAnsi="Cambria Math"/>
                  <w:i/>
                </w:rPr>
              </m:ctrlPr>
            </m:fPr>
            <m:num>
              <m:r>
                <w:rPr>
                  <w:rFonts w:ascii="Cambria Math" w:eastAsiaTheme="minorEastAsia" w:hAnsi="Cambria Math"/>
                  <w:sz w:val="20"/>
                </w:rPr>
                <m:t>pro</m:t>
              </m:r>
              <m:sSub>
                <m:sSubPr>
                  <m:ctrlPr>
                    <w:rPr>
                      <w:rFonts w:ascii="Cambria Math" w:eastAsiaTheme="minorEastAsia" w:hAnsi="Cambria Math"/>
                      <w:i/>
                    </w:rPr>
                  </m:ctrlPr>
                </m:sSubPr>
                <m:e>
                  <m:r>
                    <w:rPr>
                      <w:rFonts w:ascii="Cambria Math" w:eastAsiaTheme="minorEastAsia" w:hAnsi="Cambria Math"/>
                      <w:sz w:val="20"/>
                    </w:rPr>
                    <m:t>p</m:t>
                  </m:r>
                </m:e>
                <m:sub>
                  <m:r>
                    <w:rPr>
                      <w:rFonts w:ascii="Cambria Math" w:eastAsiaTheme="minorEastAsia" w:hAnsi="Cambria Math"/>
                      <w:sz w:val="20"/>
                    </w:rPr>
                    <m:t>hh</m:t>
                  </m:r>
                </m:sub>
              </m:sSub>
              <m:r>
                <w:rPr>
                  <w:rFonts w:ascii="Cambria Math" w:eastAsiaTheme="minorEastAsia" w:hAnsi="Cambria Math"/>
                  <w:sz w:val="20"/>
                </w:rPr>
                <m:t>*</m:t>
              </m:r>
              <m:sSup>
                <m:sSupPr>
                  <m:ctrlPr>
                    <w:rPr>
                      <w:rFonts w:ascii="Cambria Math" w:eastAsiaTheme="minorEastAsia" w:hAnsi="Cambria Math"/>
                      <w:i/>
                    </w:rPr>
                  </m:ctrlPr>
                </m:sSupPr>
                <m:e>
                  <m:r>
                    <w:rPr>
                      <w:rFonts w:ascii="Cambria Math" w:eastAsiaTheme="minorEastAsia" w:hAnsi="Cambria Math"/>
                      <w:sz w:val="20"/>
                    </w:rPr>
                    <m:t>e</m:t>
                  </m:r>
                </m:e>
                <m:sup>
                  <m:r>
                    <w:rPr>
                      <w:rFonts w:ascii="Cambria Math" w:eastAsiaTheme="minorEastAsia" w:hAnsi="Cambria Math"/>
                      <w:sz w:val="20"/>
                    </w:rPr>
                    <m:t>-β</m:t>
                  </m:r>
                </m:sup>
              </m:sSup>
            </m:num>
            <m:den>
              <m:r>
                <w:rPr>
                  <w:rFonts w:ascii="Cambria Math" w:eastAsiaTheme="minorEastAsia" w:hAnsi="Cambria Math"/>
                  <w:sz w:val="20"/>
                </w:rPr>
                <m:t>1-pro</m:t>
              </m:r>
              <m:sSub>
                <m:sSubPr>
                  <m:ctrlPr>
                    <w:rPr>
                      <w:rFonts w:ascii="Cambria Math" w:eastAsiaTheme="minorEastAsia" w:hAnsi="Cambria Math"/>
                      <w:i/>
                    </w:rPr>
                  </m:ctrlPr>
                </m:sSubPr>
                <m:e>
                  <m:r>
                    <w:rPr>
                      <w:rFonts w:ascii="Cambria Math" w:eastAsiaTheme="minorEastAsia" w:hAnsi="Cambria Math"/>
                      <w:sz w:val="20"/>
                    </w:rPr>
                    <m:t>p</m:t>
                  </m:r>
                </m:e>
                <m:sub>
                  <m:r>
                    <w:rPr>
                      <w:rFonts w:ascii="Cambria Math" w:eastAsiaTheme="minorEastAsia" w:hAnsi="Cambria Math"/>
                      <w:sz w:val="20"/>
                    </w:rPr>
                    <m:t>hh</m:t>
                  </m:r>
                </m:sub>
              </m:sSub>
              <m:r>
                <w:rPr>
                  <w:rFonts w:ascii="Cambria Math" w:eastAsiaTheme="minorEastAsia" w:hAnsi="Cambria Math"/>
                  <w:sz w:val="20"/>
                </w:rPr>
                <m:t>+pro</m:t>
              </m:r>
              <m:sSub>
                <m:sSubPr>
                  <m:ctrlPr>
                    <w:rPr>
                      <w:rFonts w:ascii="Cambria Math" w:eastAsiaTheme="minorEastAsia" w:hAnsi="Cambria Math"/>
                      <w:i/>
                    </w:rPr>
                  </m:ctrlPr>
                </m:sSubPr>
                <m:e>
                  <m:r>
                    <w:rPr>
                      <w:rFonts w:ascii="Cambria Math" w:eastAsiaTheme="minorEastAsia" w:hAnsi="Cambria Math"/>
                      <w:sz w:val="20"/>
                    </w:rPr>
                    <m:t>p</m:t>
                  </m:r>
                </m:e>
                <m:sub>
                  <m:r>
                    <w:rPr>
                      <w:rFonts w:ascii="Cambria Math" w:eastAsiaTheme="minorEastAsia" w:hAnsi="Cambria Math"/>
                      <w:sz w:val="20"/>
                    </w:rPr>
                    <m:t>hh</m:t>
                  </m:r>
                </m:sub>
              </m:sSub>
              <m:r>
                <w:rPr>
                  <w:rFonts w:ascii="Cambria Math" w:eastAsiaTheme="minorEastAsia" w:hAnsi="Cambria Math"/>
                  <w:sz w:val="20"/>
                </w:rPr>
                <m:t>*</m:t>
              </m:r>
              <m:sSup>
                <m:sSupPr>
                  <m:ctrlPr>
                    <w:rPr>
                      <w:rFonts w:ascii="Cambria Math" w:eastAsiaTheme="minorEastAsia" w:hAnsi="Cambria Math"/>
                      <w:i/>
                    </w:rPr>
                  </m:ctrlPr>
                </m:sSupPr>
                <m:e>
                  <m:r>
                    <w:rPr>
                      <w:rFonts w:ascii="Cambria Math" w:eastAsiaTheme="minorEastAsia" w:hAnsi="Cambria Math"/>
                      <w:sz w:val="20"/>
                    </w:rPr>
                    <m:t>e</m:t>
                  </m:r>
                </m:e>
                <m:sup>
                  <m:r>
                    <w:rPr>
                      <w:rFonts w:ascii="Cambria Math" w:eastAsiaTheme="minorEastAsia" w:hAnsi="Cambria Math"/>
                      <w:sz w:val="20"/>
                    </w:rPr>
                    <m:t>-β</m:t>
                  </m:r>
                </m:sup>
              </m:sSup>
            </m:den>
          </m:f>
        </m:oMath>
      </m:oMathPara>
    </w:p>
    <w:p w14:paraId="6918A63A" w14:textId="77777777" w:rsidR="004017B3" w:rsidRDefault="004017B3" w:rsidP="004017B3">
      <w:pPr>
        <w:rPr>
          <w:rFonts w:ascii="Calibri Light" w:eastAsia="Calibri Light" w:hAnsi="Calibri Light" w:cs="Calibri Light"/>
        </w:rPr>
      </w:pPr>
      <w:r w:rsidRPr="31F26954">
        <w:rPr>
          <w:rFonts w:eastAsia="Calibri"/>
        </w:rPr>
        <w:t xml:space="preserve">As a result, household studies were inflated to account for bias in size between households that use solid cooking fuels and those that do not. Larger households are more likely to use solid fuels for cooking. </w:t>
      </w:r>
    </w:p>
    <w:p w14:paraId="71ADF754" w14:textId="77777777" w:rsidR="004017B3" w:rsidRPr="00D856EF" w:rsidRDefault="004017B3" w:rsidP="31F26954">
      <w:pPr>
        <w:rPr>
          <w:b/>
          <w:bCs/>
        </w:rPr>
      </w:pPr>
      <w:r w:rsidRPr="00D856EF">
        <w:rPr>
          <w:b/>
          <w:bCs/>
        </w:rPr>
        <w:t>Modelling strategy</w:t>
      </w:r>
    </w:p>
    <w:p w14:paraId="39F63FD0" w14:textId="77777777" w:rsidR="004017B3" w:rsidRPr="00D856EF" w:rsidRDefault="004017B3" w:rsidP="31F26954">
      <w:pPr>
        <w:rPr>
          <w:b/>
          <w:bCs/>
        </w:rPr>
      </w:pPr>
      <w:r w:rsidRPr="00D856EF">
        <w:rPr>
          <w:b/>
          <w:bCs/>
        </w:rPr>
        <w:t>Exposure</w:t>
      </w:r>
    </w:p>
    <w:p w14:paraId="36FAD06D" w14:textId="0A7E2FEF" w:rsidR="004017B3" w:rsidRDefault="004017B3" w:rsidP="004017B3">
      <w:r>
        <w:t>Household air pollution was modelled at the individual level using a three-step modelling strategy implementing linear regression, spatiotemporal regression, and Gaussian process regression (ST-GPR).</w:t>
      </w:r>
      <w:r w:rsidR="6041C290" w:rsidRPr="5677D41E">
        <w:rPr>
          <w:vertAlign w:val="superscript"/>
        </w:rPr>
        <w:t>3</w:t>
      </w:r>
      <w:r>
        <w:t xml:space="preserve"> </w:t>
      </w:r>
    </w:p>
    <w:p w14:paraId="4F1AB279" w14:textId="77777777" w:rsidR="004017B3" w:rsidRDefault="004017B3" w:rsidP="004017B3">
      <w:r>
        <w:t xml:space="preserve">In GBD 2021, we updated the HAP proportion model to disaggregate estimates of solid fuel use to estimate the proportion of individuals using each of the following component fuel type categories: 1) coal or charcoal, 2) crop residue, 3) dung, and 4) wood. With this strategy, we can more finely </w:t>
      </w:r>
      <w:proofErr w:type="spellStart"/>
      <w:r>
        <w:t>characterise</w:t>
      </w:r>
      <w:proofErr w:type="spellEnd"/>
      <w:r>
        <w:t xml:space="preserve"> individual exposure to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t xml:space="preserve">due to solid fuel use by applying fuel-specific mapping values to fuel-specific proportion estimates. This change addresses an important limitation in our model, in that it previously assumed equal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t>exposure for all solid fuel categories.</w:t>
      </w:r>
    </w:p>
    <w:p w14:paraId="4E3DB3BB" w14:textId="77777777" w:rsidR="004017B3" w:rsidRDefault="004017B3" w:rsidP="004017B3">
      <w:r>
        <w:t>ST-GPR was used to create estimates for the parent solid fuel category, and each fuel type (coal, crop, dung, and wood) for a total of five models. Once an ST-GPR model is established, we use the covariates, but not the random effects, to predict for locations and years with insufficient data. Each model’s linear regression equation is the same, with the following equation:</w:t>
      </w:r>
    </w:p>
    <w:p w14:paraId="3024FCBA" w14:textId="77777777" w:rsidR="004017B3" w:rsidRDefault="004017B3" w:rsidP="31F26954">
      <w:pPr>
        <w:jc w:val="center"/>
        <w:rPr>
          <w:rFonts w:eastAsiaTheme="minorEastAsia"/>
        </w:rPr>
      </w:pPr>
      <m:oMathPara>
        <m:oMath>
          <m:r>
            <w:rPr>
              <w:rFonts w:ascii="Cambria Math" w:hAnsi="Cambria Math"/>
            </w:rPr>
            <m:t>logit</m:t>
          </m:r>
          <m:d>
            <m:dPr>
              <m:ctrlPr>
                <w:rPr>
                  <w:rFonts w:ascii="Cambria Math" w:hAnsi="Cambria Math"/>
                  <w:i/>
                </w:rPr>
              </m:ctrlPr>
            </m:dPr>
            <m:e>
              <m:r>
                <w:rPr>
                  <w:rFonts w:ascii="Cambria Math" w:hAnsi="Cambria Math"/>
                </w:rPr>
                <m:t>data</m:t>
              </m:r>
            </m:e>
          </m:d>
          <m:r>
            <w:rPr>
              <w:rFonts w:ascii="Cambria Math" w:hAnsi="Cambria Math"/>
            </w:rPr>
            <m:t>~ maternal education+pro</m:t>
          </m:r>
          <m:sSub>
            <m:sSubPr>
              <m:ctrlPr>
                <w:rPr>
                  <w:rFonts w:ascii="Cambria Math" w:hAnsi="Cambria Math"/>
                  <w:i/>
                </w:rPr>
              </m:ctrlPr>
            </m:sSubPr>
            <m:e>
              <m:r>
                <w:rPr>
                  <w:rFonts w:ascii="Cambria Math" w:hAnsi="Cambria Math"/>
                </w:rPr>
                <m:t>p</m:t>
              </m:r>
            </m:e>
            <m:sub>
              <m:r>
                <w:rPr>
                  <w:rFonts w:ascii="Cambria Math" w:hAnsi="Cambria Math"/>
                </w:rPr>
                <m:t>urban</m:t>
              </m:r>
            </m:sub>
          </m:sSub>
          <m:r>
            <w:rPr>
              <w:rFonts w:ascii="Cambria Math" w:hAnsi="Cambria Math"/>
            </w:rPr>
            <m:t>+</m:t>
          </m:r>
          <m:d>
            <m:dPr>
              <m:ctrlPr>
                <w:rPr>
                  <w:rFonts w:ascii="Cambria Math" w:hAnsi="Cambria Math"/>
                  <w:i/>
                </w:rPr>
              </m:ctrlPr>
            </m:dPr>
            <m:e>
              <m:r>
                <w:rPr>
                  <w:rFonts w:ascii="Cambria Math" w:hAnsi="Cambria Math"/>
                </w:rPr>
                <m:t>1</m:t>
              </m:r>
            </m:e>
            <m:e>
              <m:r>
                <w:rPr>
                  <w:rFonts w:ascii="Cambria Math" w:hAnsi="Cambria Math"/>
                </w:rPr>
                <m:t>leve</m:t>
              </m:r>
              <m:sSub>
                <m:sSubPr>
                  <m:ctrlPr>
                    <w:rPr>
                      <w:rFonts w:ascii="Cambria Math" w:hAnsi="Cambria Math"/>
                      <w:i/>
                    </w:rPr>
                  </m:ctrlPr>
                </m:sSubPr>
                <m:e>
                  <m:r>
                    <w:rPr>
                      <w:rFonts w:ascii="Cambria Math" w:hAnsi="Cambria Math"/>
                    </w:rPr>
                    <m:t>l</m:t>
                  </m:r>
                </m:e>
                <m:sub>
                  <m:r>
                    <w:rPr>
                      <w:rFonts w:ascii="Cambria Math" w:hAnsi="Cambria Math"/>
                    </w:rPr>
                    <m:t>1</m:t>
                  </m:r>
                </m:sub>
              </m:sSub>
            </m:e>
          </m:d>
          <m:r>
            <w:rPr>
              <w:rFonts w:ascii="Cambria Math" w:hAnsi="Cambria Math"/>
            </w:rPr>
            <m:t xml:space="preserve">+ </m:t>
          </m:r>
          <m:d>
            <m:dPr>
              <m:ctrlPr>
                <w:rPr>
                  <w:rFonts w:ascii="Cambria Math" w:hAnsi="Cambria Math"/>
                  <w:i/>
                </w:rPr>
              </m:ctrlPr>
            </m:dPr>
            <m:e>
              <m:r>
                <w:rPr>
                  <w:rFonts w:ascii="Cambria Math" w:hAnsi="Cambria Math"/>
                </w:rPr>
                <m:t>1</m:t>
              </m:r>
            </m:e>
            <m:e>
              <m:r>
                <w:rPr>
                  <w:rFonts w:ascii="Cambria Math" w:hAnsi="Cambria Math"/>
                </w:rPr>
                <m:t>leve</m:t>
              </m:r>
              <m:sSub>
                <m:sSubPr>
                  <m:ctrlPr>
                    <w:rPr>
                      <w:rFonts w:ascii="Cambria Math" w:hAnsi="Cambria Math"/>
                      <w:i/>
                    </w:rPr>
                  </m:ctrlPr>
                </m:sSubPr>
                <m:e>
                  <m:r>
                    <w:rPr>
                      <w:rFonts w:ascii="Cambria Math" w:hAnsi="Cambria Math"/>
                    </w:rPr>
                    <m:t>l</m:t>
                  </m:r>
                </m:e>
                <m:sub>
                  <m:r>
                    <w:rPr>
                      <w:rFonts w:ascii="Cambria Math" w:hAnsi="Cambria Math"/>
                    </w:rPr>
                    <m:t>2</m:t>
                  </m:r>
                </m:sub>
              </m:sSub>
            </m:e>
          </m:d>
        </m:oMath>
      </m:oMathPara>
    </w:p>
    <w:p w14:paraId="160045B6" w14:textId="77777777" w:rsidR="004017B3" w:rsidRDefault="004017B3" w:rsidP="31F26954">
      <w:pPr>
        <w:spacing w:after="0" w:line="240" w:lineRule="auto"/>
        <w:ind w:left="1440"/>
        <w:rPr>
          <w:i/>
          <w:iCs/>
        </w:rPr>
      </w:pPr>
      <w:r w:rsidRPr="31F26954">
        <w:rPr>
          <w:i/>
          <w:iCs/>
        </w:rPr>
        <w:t>Maternal education = mean years of maternal education per capita</w:t>
      </w:r>
    </w:p>
    <w:p w14:paraId="237F1E4D" w14:textId="77777777" w:rsidR="004017B3" w:rsidRDefault="004017B3" w:rsidP="31F26954">
      <w:pPr>
        <w:spacing w:after="0" w:line="240" w:lineRule="auto"/>
        <w:ind w:left="1440"/>
        <w:rPr>
          <w:rFonts w:eastAsiaTheme="minorEastAsia"/>
          <w:i/>
          <w:iCs/>
        </w:rPr>
      </w:pPr>
      <w:proofErr w:type="spellStart"/>
      <w:r w:rsidRPr="31F26954">
        <w:rPr>
          <w:i/>
          <w:iCs/>
        </w:rPr>
        <w:t>Prop</w:t>
      </w:r>
      <w:r w:rsidRPr="31F26954">
        <w:rPr>
          <w:i/>
          <w:iCs/>
          <w:vertAlign w:val="subscript"/>
        </w:rPr>
        <w:t>urban</w:t>
      </w:r>
      <w:proofErr w:type="spellEnd"/>
      <w:r w:rsidRPr="31F26954">
        <w:rPr>
          <w:i/>
          <w:iCs/>
        </w:rPr>
        <w:t xml:space="preserve"> = </w:t>
      </w:r>
      <w:r w:rsidRPr="31F26954">
        <w:rPr>
          <w:rFonts w:eastAsiaTheme="minorEastAsia"/>
          <w:i/>
          <w:iCs/>
        </w:rPr>
        <w:t>proportion of population living in urban areas</w:t>
      </w:r>
    </w:p>
    <w:p w14:paraId="5EBA38E0" w14:textId="77777777" w:rsidR="004017B3" w:rsidRDefault="004017B3" w:rsidP="31F26954">
      <w:pPr>
        <w:spacing w:after="0" w:line="240" w:lineRule="auto"/>
        <w:ind w:left="1440"/>
        <w:rPr>
          <w:rFonts w:eastAsiaTheme="minorEastAsia"/>
          <w:i/>
          <w:iCs/>
        </w:rPr>
      </w:pPr>
      <w:r w:rsidRPr="31F26954">
        <w:rPr>
          <w:rFonts w:eastAsiaTheme="minorEastAsia"/>
          <w:i/>
          <w:iCs/>
        </w:rPr>
        <w:t>(1|level</w:t>
      </w:r>
      <w:r w:rsidRPr="31F26954">
        <w:rPr>
          <w:rFonts w:eastAsiaTheme="minorEastAsia"/>
          <w:i/>
          <w:iCs/>
          <w:vertAlign w:val="subscript"/>
        </w:rPr>
        <w:t>1</w:t>
      </w:r>
      <w:r w:rsidRPr="31F26954">
        <w:rPr>
          <w:rFonts w:eastAsiaTheme="minorEastAsia"/>
          <w:i/>
          <w:iCs/>
        </w:rPr>
        <w:t>) = super-region-level random effects</w:t>
      </w:r>
    </w:p>
    <w:p w14:paraId="2924DF77" w14:textId="77777777" w:rsidR="004017B3" w:rsidRDefault="004017B3" w:rsidP="31F26954">
      <w:pPr>
        <w:spacing w:after="0" w:line="240" w:lineRule="auto"/>
        <w:ind w:left="1440"/>
        <w:rPr>
          <w:i/>
          <w:iCs/>
        </w:rPr>
      </w:pPr>
      <w:r w:rsidRPr="31F26954">
        <w:rPr>
          <w:rFonts w:eastAsiaTheme="minorEastAsia"/>
          <w:i/>
          <w:iCs/>
        </w:rPr>
        <w:t>(1|level</w:t>
      </w:r>
      <w:r w:rsidRPr="31F26954">
        <w:rPr>
          <w:rFonts w:eastAsiaTheme="minorEastAsia"/>
          <w:i/>
          <w:iCs/>
          <w:vertAlign w:val="subscript"/>
        </w:rPr>
        <w:t>2</w:t>
      </w:r>
      <w:r w:rsidRPr="31F26954">
        <w:rPr>
          <w:rFonts w:eastAsiaTheme="minorEastAsia"/>
          <w:i/>
          <w:iCs/>
        </w:rPr>
        <w:t>) = region-level random effects</w:t>
      </w:r>
    </w:p>
    <w:p w14:paraId="069D95E6" w14:textId="77777777" w:rsidR="004017B3" w:rsidRDefault="004017B3" w:rsidP="31F26954">
      <w:pPr>
        <w:rPr>
          <w:i/>
          <w:iCs/>
        </w:rPr>
      </w:pPr>
    </w:p>
    <w:p w14:paraId="668C5ED6" w14:textId="77777777" w:rsidR="004017B3" w:rsidRDefault="004017B3" w:rsidP="004017B3">
      <w:pPr>
        <w:rPr>
          <w:rFonts w:ascii="Calibri" w:eastAsia="Calibri" w:hAnsi="Calibri" w:cs="Calibri"/>
          <w:b/>
          <w:bCs/>
        </w:rPr>
      </w:pPr>
      <w:proofErr w:type="spellStart"/>
      <w:r w:rsidRPr="31F26954">
        <w:rPr>
          <w:i/>
          <w:iCs/>
        </w:rPr>
        <w:t>Prop</w:t>
      </w:r>
      <w:r w:rsidRPr="31F26954">
        <w:rPr>
          <w:i/>
          <w:iCs/>
          <w:vertAlign w:val="subscript"/>
        </w:rPr>
        <w:t>urban</w:t>
      </w:r>
      <w:r>
        <w:t>’s</w:t>
      </w:r>
      <w:proofErr w:type="spellEnd"/>
      <w:r>
        <w:t xml:space="preserve"> methodologies can be found in the lead risk factor appendix.</w:t>
      </w:r>
    </w:p>
    <w:p w14:paraId="321F201E" w14:textId="77777777" w:rsidR="004017B3" w:rsidRDefault="004017B3" w:rsidP="004017B3">
      <w:pPr>
        <w:rPr>
          <w:rFonts w:ascii="Calibri" w:eastAsia="Calibri" w:hAnsi="Calibri" w:cs="Calibri"/>
          <w:b/>
          <w:bCs/>
        </w:rPr>
      </w:pPr>
      <w:r>
        <w:t xml:space="preserve">The four fuel-type-specific proportion estimates were then squeezed to the estimates for the overall proportion of individuals using solid fuel for cooking. For each location and year, we used the following formula, where </w:t>
      </w:r>
      <w:proofErr w:type="spellStart"/>
      <w:r>
        <w:t>prop</w:t>
      </w:r>
      <w:r w:rsidRPr="31F26954">
        <w:rPr>
          <w:vertAlign w:val="subscript"/>
        </w:rPr>
        <w:t>coal</w:t>
      </w:r>
      <w:proofErr w:type="spellEnd"/>
      <w:r>
        <w:t xml:space="preserve">, </w:t>
      </w:r>
      <w:proofErr w:type="spellStart"/>
      <w:r>
        <w:t>prop</w:t>
      </w:r>
      <w:r w:rsidRPr="31F26954">
        <w:rPr>
          <w:vertAlign w:val="subscript"/>
        </w:rPr>
        <w:t>crop</w:t>
      </w:r>
      <w:proofErr w:type="spellEnd"/>
      <w:r>
        <w:t xml:space="preserve">, </w:t>
      </w:r>
      <w:proofErr w:type="spellStart"/>
      <w:r>
        <w:t>prop</w:t>
      </w:r>
      <w:r w:rsidRPr="31F26954">
        <w:rPr>
          <w:vertAlign w:val="subscript"/>
        </w:rPr>
        <w:t>dung</w:t>
      </w:r>
      <w:proofErr w:type="spellEnd"/>
      <w:r w:rsidRPr="31F26954">
        <w:rPr>
          <w:vertAlign w:val="subscript"/>
        </w:rPr>
        <w:t xml:space="preserve">, </w:t>
      </w:r>
      <w:proofErr w:type="spellStart"/>
      <w:r>
        <w:t>prop</w:t>
      </w:r>
      <w:r w:rsidRPr="31F26954">
        <w:rPr>
          <w:vertAlign w:val="subscript"/>
        </w:rPr>
        <w:t>wood</w:t>
      </w:r>
      <w:proofErr w:type="spellEnd"/>
      <w:r>
        <w:t xml:space="preserve">, and </w:t>
      </w:r>
      <w:proofErr w:type="spellStart"/>
      <w:r>
        <w:t>prop</w:t>
      </w:r>
      <w:r w:rsidRPr="31F26954">
        <w:rPr>
          <w:vertAlign w:val="subscript"/>
        </w:rPr>
        <w:t>solid</w:t>
      </w:r>
      <w:proofErr w:type="spellEnd"/>
      <w:r>
        <w:t xml:space="preserve"> indicate the proportion of individuals using coal, crop, dung, wood, or any type of solid fuel, respectively.</w:t>
      </w:r>
    </w:p>
    <w:p w14:paraId="6F1FF9B5" w14:textId="77777777" w:rsidR="004017B3" w:rsidRDefault="004017B3" w:rsidP="004017B3">
      <w:pPr>
        <w:jc w:val="center"/>
      </w:pPr>
      <w:r>
        <w:t xml:space="preserve"> </w:t>
      </w:r>
      <m:oMath>
        <m:sSub>
          <m:sSubPr>
            <m:ctrlPr>
              <w:rPr>
                <w:rFonts w:ascii="Cambria Math" w:hAnsi="Cambria Math"/>
                <w:i/>
              </w:rPr>
            </m:ctrlPr>
          </m:sSubPr>
          <m:e>
            <m:r>
              <w:rPr>
                <w:rFonts w:ascii="Cambria Math" w:hAnsi="Cambria Math"/>
              </w:rPr>
              <m:t>prop</m:t>
            </m:r>
          </m:e>
          <m:sub>
            <m:r>
              <w:rPr>
                <w:rFonts w:ascii="Cambria Math" w:hAnsi="Cambria Math"/>
              </w:rPr>
              <m:t>total</m:t>
            </m:r>
          </m:sub>
        </m:sSub>
        <m:r>
          <w:rPr>
            <w:rFonts w:ascii="Cambria Math" w:hAnsi="Cambria Math"/>
          </w:rPr>
          <m:t xml:space="preserve">= </m:t>
        </m:r>
        <m:sSub>
          <m:sSubPr>
            <m:ctrlPr>
              <w:rPr>
                <w:rFonts w:ascii="Cambria Math" w:hAnsi="Cambria Math"/>
                <w:i/>
              </w:rPr>
            </m:ctrlPr>
          </m:sSubPr>
          <m:e>
            <m:r>
              <w:rPr>
                <w:rFonts w:ascii="Cambria Math" w:hAnsi="Cambria Math"/>
              </w:rPr>
              <m:t>prop</m:t>
            </m:r>
          </m:e>
          <m:sub>
            <m:r>
              <w:rPr>
                <w:rFonts w:ascii="Cambria Math" w:hAnsi="Cambria Math"/>
              </w:rPr>
              <m:t>coal</m:t>
            </m:r>
          </m:sub>
        </m:sSub>
        <m:r>
          <w:rPr>
            <w:rFonts w:ascii="Cambria Math" w:hAnsi="Cambria Math"/>
          </w:rPr>
          <m:t xml:space="preserve">+ </m:t>
        </m:r>
        <m:sSub>
          <m:sSubPr>
            <m:ctrlPr>
              <w:rPr>
                <w:rFonts w:ascii="Cambria Math" w:hAnsi="Cambria Math"/>
                <w:i/>
              </w:rPr>
            </m:ctrlPr>
          </m:sSubPr>
          <m:e>
            <m:r>
              <w:rPr>
                <w:rFonts w:ascii="Cambria Math" w:hAnsi="Cambria Math"/>
              </w:rPr>
              <m:t>prop</m:t>
            </m:r>
          </m:e>
          <m:sub>
            <m:r>
              <w:rPr>
                <w:rFonts w:ascii="Cambria Math" w:hAnsi="Cambria Math"/>
              </w:rPr>
              <m:t>wood</m:t>
            </m:r>
          </m:sub>
        </m:sSub>
        <m:r>
          <w:rPr>
            <w:rFonts w:ascii="Cambria Math" w:hAnsi="Cambria Math"/>
          </w:rPr>
          <m:t xml:space="preserve">+ </m:t>
        </m:r>
        <m:sSub>
          <m:sSubPr>
            <m:ctrlPr>
              <w:rPr>
                <w:rFonts w:ascii="Cambria Math" w:hAnsi="Cambria Math"/>
                <w:i/>
              </w:rPr>
            </m:ctrlPr>
          </m:sSubPr>
          <m:e>
            <m:r>
              <w:rPr>
                <w:rFonts w:ascii="Cambria Math" w:hAnsi="Cambria Math"/>
              </w:rPr>
              <m:t>prop</m:t>
            </m:r>
          </m:e>
          <m:sub>
            <m:r>
              <w:rPr>
                <w:rFonts w:ascii="Cambria Math" w:hAnsi="Cambria Math"/>
              </w:rPr>
              <m:t>crop</m:t>
            </m:r>
          </m:sub>
        </m:sSub>
        <m:r>
          <w:rPr>
            <w:rFonts w:ascii="Cambria Math" w:hAnsi="Cambria Math"/>
          </w:rPr>
          <m:t xml:space="preserve">+ </m:t>
        </m:r>
        <m:sSub>
          <m:sSubPr>
            <m:ctrlPr>
              <w:rPr>
                <w:rFonts w:ascii="Cambria Math" w:hAnsi="Cambria Math"/>
                <w:i/>
              </w:rPr>
            </m:ctrlPr>
          </m:sSubPr>
          <m:e>
            <m:r>
              <w:rPr>
                <w:rFonts w:ascii="Cambria Math" w:hAnsi="Cambria Math"/>
              </w:rPr>
              <m:t>prop</m:t>
            </m:r>
          </m:e>
          <m:sub>
            <m:r>
              <w:rPr>
                <w:rFonts w:ascii="Cambria Math" w:hAnsi="Cambria Math"/>
              </w:rPr>
              <m:t>dung</m:t>
            </m:r>
          </m:sub>
        </m:sSub>
      </m:oMath>
    </w:p>
    <w:p w14:paraId="38BB9AA7" w14:textId="77777777" w:rsidR="004017B3" w:rsidRDefault="004017B3" w:rsidP="004017B3">
      <w:pPr>
        <w:jc w:val="center"/>
      </w:pPr>
      <m:oMathPara>
        <m:oMathParaPr>
          <m:jc m:val="center"/>
        </m:oMathParaPr>
        <m:oMath>
          <m:r>
            <w:rPr>
              <w:rFonts w:ascii="Cambria Math" w:hAnsi="Cambria Math"/>
            </w:rPr>
            <m:t xml:space="preserve">S = </m:t>
          </m:r>
          <m:sSub>
            <m:sSubPr>
              <m:ctrlPr>
                <w:rPr>
                  <w:rFonts w:ascii="Cambria Math" w:hAnsi="Cambria Math"/>
                  <w:i/>
                </w:rPr>
              </m:ctrlPr>
            </m:sSubPr>
            <m:e>
              <m:r>
                <w:rPr>
                  <w:rFonts w:ascii="Cambria Math" w:hAnsi="Cambria Math"/>
                </w:rPr>
                <m:t>prop</m:t>
              </m:r>
            </m:e>
            <m:sub>
              <m:r>
                <w:rPr>
                  <w:rFonts w:ascii="Cambria Math" w:hAnsi="Cambria Math"/>
                </w:rPr>
                <m:t>total</m:t>
              </m:r>
            </m:sub>
          </m:sSub>
          <m:r>
            <w:rPr>
              <w:rFonts w:ascii="Cambria Math" w:hAnsi="Cambria Math"/>
            </w:rPr>
            <m:t xml:space="preserve"> / </m:t>
          </m:r>
          <m:sSub>
            <m:sSubPr>
              <m:ctrlPr>
                <w:rPr>
                  <w:rFonts w:ascii="Cambria Math" w:hAnsi="Cambria Math"/>
                  <w:i/>
                </w:rPr>
              </m:ctrlPr>
            </m:sSubPr>
            <m:e>
              <m:r>
                <w:rPr>
                  <w:rFonts w:ascii="Cambria Math" w:hAnsi="Cambria Math"/>
                </w:rPr>
                <m:t>prop</m:t>
              </m:r>
            </m:e>
            <m:sub>
              <m:r>
                <w:rPr>
                  <w:rFonts w:ascii="Cambria Math" w:hAnsi="Cambria Math"/>
                </w:rPr>
                <m:t>solid</m:t>
              </m:r>
            </m:sub>
          </m:sSub>
        </m:oMath>
      </m:oMathPara>
    </w:p>
    <w:p w14:paraId="1028C2ED" w14:textId="77777777" w:rsidR="004017B3" w:rsidRDefault="004017B3" w:rsidP="004017B3">
      <w:r>
        <w:t xml:space="preserve">where </w:t>
      </w:r>
      <w:r w:rsidRPr="31F26954">
        <w:rPr>
          <w:i/>
          <w:iCs/>
        </w:rPr>
        <w:t xml:space="preserve">S </w:t>
      </w:r>
      <w:r>
        <w:t>is the squeezed total value. For each fuel category, with coal shown below as an example, the adjusted (squeezed) proportion is calculated as</w:t>
      </w:r>
    </w:p>
    <w:p w14:paraId="06CAB1CD" w14:textId="77777777" w:rsidR="004017B3" w:rsidRDefault="005551EC" w:rsidP="004017B3">
      <w:pPr>
        <w:tabs>
          <w:tab w:val="left" w:pos="6948"/>
        </w:tabs>
        <w:jc w:val="center"/>
        <w:rPr>
          <w:rFonts w:ascii="Calibri" w:eastAsia="Calibri" w:hAnsi="Calibri" w:cs="Calibri"/>
          <w:b/>
          <w:bCs/>
        </w:rPr>
      </w:pPr>
      <m:oMathPara>
        <m:oMath>
          <m:sSub>
            <m:sSubPr>
              <m:ctrlPr>
                <w:rPr>
                  <w:rFonts w:ascii="Cambria Math" w:hAnsi="Cambria Math"/>
                  <w:i/>
                  <w:vertAlign w:val="subscript"/>
                </w:rPr>
              </m:ctrlPr>
            </m:sSubPr>
            <m:e>
              <m:r>
                <w:rPr>
                  <w:rFonts w:ascii="Cambria Math" w:hAnsi="Cambria Math"/>
                  <w:vertAlign w:val="subscript"/>
                </w:rPr>
                <m:t>prop</m:t>
              </m:r>
            </m:e>
            <m:sub>
              <m:r>
                <w:rPr>
                  <w:rFonts w:ascii="Cambria Math" w:hAnsi="Cambria Math"/>
                  <w:vertAlign w:val="subscript"/>
                </w:rPr>
                <m:t>coal</m:t>
              </m:r>
            </m:sub>
          </m:sSub>
          <m:r>
            <w:rPr>
              <w:rFonts w:ascii="Cambria Math" w:hAnsi="Cambria Math"/>
            </w:rPr>
            <m:t xml:space="preserve">' = </m:t>
          </m:r>
          <m:sSub>
            <m:sSubPr>
              <m:ctrlPr>
                <w:rPr>
                  <w:rFonts w:ascii="Cambria Math" w:hAnsi="Cambria Math"/>
                  <w:i/>
                  <w:vertAlign w:val="subscript"/>
                </w:rPr>
              </m:ctrlPr>
            </m:sSubPr>
            <m:e>
              <m:r>
                <w:rPr>
                  <w:rFonts w:ascii="Cambria Math" w:hAnsi="Cambria Math"/>
                  <w:vertAlign w:val="subscript"/>
                </w:rPr>
                <m:t>prop</m:t>
              </m:r>
            </m:e>
            <m:sub>
              <m:r>
                <w:rPr>
                  <w:rFonts w:ascii="Cambria Math" w:hAnsi="Cambria Math"/>
                  <w:vertAlign w:val="subscript"/>
                </w:rPr>
                <m:t>coal</m:t>
              </m:r>
            </m:sub>
          </m:sSub>
          <m:r>
            <w:rPr>
              <w:rFonts w:ascii="Cambria Math" w:hAnsi="Cambria Math"/>
            </w:rPr>
            <m:t xml:space="preserve"> / S</m:t>
          </m:r>
        </m:oMath>
      </m:oMathPara>
    </w:p>
    <w:p w14:paraId="2913C5B0" w14:textId="77777777" w:rsidR="004017B3" w:rsidRDefault="004017B3" w:rsidP="004017B3"/>
    <w:p w14:paraId="7693BDF6" w14:textId="77777777" w:rsidR="004017B3" w:rsidRDefault="004017B3" w:rsidP="004017B3">
      <w:r>
        <w:t>In GBD 2021, during preliminary model iterations, we mapped mixed fuel strings (</w:t>
      </w:r>
      <w:proofErr w:type="spellStart"/>
      <w:r>
        <w:t>eg</w:t>
      </w:r>
      <w:proofErr w:type="spellEnd"/>
      <w:r>
        <w:t xml:space="preserve">, “wood and agricultural residues”) to the category associated with highest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t>exposure to avoid underestimating HAP exposure. However, fuel-specific ST-GPR models were unstable with this approach. We therefore excluded mixed-fuel string studies from final estimates for fuel-specific proportions, though we retained these studies when modelling the proportion of overall solid fuel use. No further changes were made for GBD 2023.</w:t>
      </w:r>
    </w:p>
    <w:p w14:paraId="1CEB7C15" w14:textId="77777777" w:rsidR="004017B3" w:rsidRPr="00D856EF" w:rsidRDefault="004017B3" w:rsidP="31F26954">
      <w:pPr>
        <w:rPr>
          <w:b/>
          <w:bCs/>
        </w:rPr>
      </w:pPr>
      <w:r w:rsidRPr="00D856EF">
        <w:rPr>
          <w:b/>
          <w:bCs/>
        </w:rPr>
        <w:t>Theoretical minimum risk exposure level</w:t>
      </w:r>
    </w:p>
    <w:p w14:paraId="1103F2E5" w14:textId="77777777" w:rsidR="004017B3" w:rsidRDefault="004017B3" w:rsidP="004017B3">
      <w:r>
        <w:t xml:space="preserve">For all HAP outcomes except cataract, burden is related to both ambient and household air pollution. These PAFs are estimated jointly, and the theoretical minimum risk exposure level (TMREL) is defined as a uniform distribution between 2.4 and 5.9 </w:t>
      </w:r>
      <w:r w:rsidRPr="31F26954">
        <w:rPr>
          <w:rFonts w:ascii="Calibri" w:hAnsi="Calibri" w:cs="Calibri"/>
        </w:rPr>
        <w:t>µ</w:t>
      </w:r>
      <w:r>
        <w:t>g/m</w:t>
      </w:r>
      <w:r w:rsidRPr="31F26954">
        <w:rPr>
          <w:vertAlign w:val="superscript"/>
        </w:rPr>
        <w:t>3</w:t>
      </w:r>
      <w:r>
        <w:t xml:space="preserve">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2.5</w:t>
      </w:r>
      <w:r>
        <w:t>. For cataract, the TMREL is defined as no individuals using solid cooking fuel.</w:t>
      </w:r>
    </w:p>
    <w:p w14:paraId="5F89F6AF" w14:textId="77777777" w:rsidR="004017B3" w:rsidRPr="00D856EF" w:rsidRDefault="004017B3" w:rsidP="31F26954">
      <w:pPr>
        <w:rPr>
          <w:rFonts w:eastAsia="SimSun" w:cs="Times New Roman"/>
          <w:b/>
          <w:bCs/>
        </w:rPr>
      </w:pPr>
      <w:r w:rsidRPr="00D856EF">
        <w:rPr>
          <w:b/>
          <w:bCs/>
        </w:rPr>
        <w:t>Relative risk</w:t>
      </w:r>
    </w:p>
    <w:p w14:paraId="4AC979F4" w14:textId="77777777" w:rsidR="004017B3" w:rsidRDefault="004017B3" w:rsidP="004017B3">
      <w:r>
        <w:t xml:space="preserve">The outcomes associated with household air pollution are lower respiratory infections (LRI), stroke, </w:t>
      </w:r>
      <w:proofErr w:type="spellStart"/>
      <w:r>
        <w:t>ischaemic</w:t>
      </w:r>
      <w:proofErr w:type="spellEnd"/>
      <w:r>
        <w:t xml:space="preserve"> heart disease (IHD), chronic obstructive pulmonary disease (COPD), lung cancer, type 2 diabetes, and cataract. Low birthweight and short gestation are also outcomes attributable to household air pollution through a mediation analysis. With the exception of cataract, all causes share risk curves and are calculated jointly with ambient particulate matter pollution.</w:t>
      </w:r>
    </w:p>
    <w:p w14:paraId="0D5CA942" w14:textId="77777777" w:rsidR="004017B3" w:rsidRDefault="004017B3" w:rsidP="004017B3">
      <w:r>
        <w:t xml:space="preserve">Studies reported effect sizes for males, females, and/or both sexes. In a sensitivity analysis conducted in GBD 2019 and repeated in GBD 2021, we included a covariate for sex and found no significant difference in effect size by sex. We therefore estimate cataract as an outcome of household air pollution in both males and females. </w:t>
      </w:r>
    </w:p>
    <w:p w14:paraId="36D5FCE7" w14:textId="79848CE5" w:rsidR="004017B3" w:rsidRDefault="004017B3" w:rsidP="004017B3">
      <w:pPr>
        <w:rPr>
          <w:rFonts w:ascii="Calibri" w:eastAsia="Calibri" w:hAnsi="Calibri" w:cs="Calibri"/>
          <w:color w:val="000000" w:themeColor="text1"/>
        </w:rPr>
      </w:pPr>
      <w:r>
        <w:t>In GBD 2021, we also implemented risk</w:t>
      </w:r>
      <w:r w:rsidRPr="5677D41E">
        <w:rPr>
          <w:rFonts w:ascii="Calibri" w:hAnsi="Calibri" w:cs="Calibri"/>
        </w:rPr>
        <w:t>–</w:t>
      </w:r>
      <w:r>
        <w:t>outcome scoring in the Burden of Proof (</w:t>
      </w:r>
      <w:proofErr w:type="spellStart"/>
      <w:r>
        <w:t>BoP</w:t>
      </w:r>
      <w:proofErr w:type="spellEnd"/>
      <w:r>
        <w:t>) framework to provide an empirical measure of strength of evidence for risk</w:t>
      </w:r>
      <w:r w:rsidRPr="5677D41E">
        <w:rPr>
          <w:rFonts w:ascii="Calibri" w:hAnsi="Calibri" w:cs="Calibri"/>
        </w:rPr>
        <w:t>–</w:t>
      </w:r>
      <w:r>
        <w:t>outcome pairs across risk factors in the GBD study (described in more detail elsewhere)</w:t>
      </w:r>
      <w:r w:rsidR="00B3781C">
        <w:t>.</w:t>
      </w:r>
      <w:r w:rsidR="57BC877B" w:rsidRPr="5677D41E">
        <w:rPr>
          <w:vertAlign w:val="superscript"/>
        </w:rPr>
        <w:t>2</w:t>
      </w:r>
      <w:r w:rsidRPr="5677D41E">
        <w:rPr>
          <w:vertAlign w:val="superscript"/>
        </w:rPr>
        <w:t>,</w:t>
      </w:r>
      <w:r w:rsidR="1021D16A" w:rsidRPr="5677D41E">
        <w:rPr>
          <w:vertAlign w:val="superscript"/>
        </w:rPr>
        <w:t>4</w:t>
      </w:r>
      <w:r>
        <w:t xml:space="preserve"> Prior to generating a risk</w:t>
      </w:r>
      <w:r w:rsidRPr="5677D41E">
        <w:rPr>
          <w:rFonts w:ascii="Calibri" w:hAnsi="Calibri" w:cs="Calibri"/>
        </w:rPr>
        <w:t>–</w:t>
      </w:r>
      <w:r>
        <w:t xml:space="preserve">outcome score, we conducted an additional post-analysis step to detect and flag publication bias in the input data. </w:t>
      </w:r>
      <w:r w:rsidRPr="5677D41E">
        <w:rPr>
          <w:rFonts w:ascii="Calibri" w:eastAsia="Calibri" w:hAnsi="Calibri" w:cs="Calibri"/>
          <w:color w:val="000000" w:themeColor="text1"/>
        </w:rPr>
        <w:t>This approach is based on the classic Egger’s regression strategy, which is applied to the residuals in our model. In the current implementation, we do not correct for publication bias but flag the risk</w:t>
      </w:r>
      <w:r w:rsidRPr="5677D41E">
        <w:rPr>
          <w:rFonts w:ascii="Calibri" w:hAnsi="Calibri" w:cs="Calibri"/>
        </w:rPr>
        <w:t>–</w:t>
      </w:r>
      <w:r w:rsidRPr="5677D41E">
        <w:rPr>
          <w:rFonts w:ascii="Calibri" w:eastAsia="Calibri" w:hAnsi="Calibri" w:cs="Calibri"/>
          <w:color w:val="000000" w:themeColor="text1"/>
        </w:rPr>
        <w:t>outcome pairs where the risk for publication bias is significant. Publication bias was not detected for HAP</w:t>
      </w:r>
      <w:r w:rsidRPr="5677D41E">
        <w:rPr>
          <w:rFonts w:ascii="Calibri" w:hAnsi="Calibri" w:cs="Calibri"/>
        </w:rPr>
        <w:t>–</w:t>
      </w:r>
      <w:r w:rsidRPr="5677D41E">
        <w:rPr>
          <w:rFonts w:ascii="Calibri" w:eastAsia="Calibri" w:hAnsi="Calibri" w:cs="Calibri"/>
          <w:color w:val="000000" w:themeColor="text1"/>
        </w:rPr>
        <w:t>cataract risk literature. The resulting risk</w:t>
      </w:r>
      <w:r w:rsidRPr="5677D41E">
        <w:rPr>
          <w:rFonts w:ascii="Calibri" w:hAnsi="Calibri" w:cs="Calibri"/>
        </w:rPr>
        <w:t>–</w:t>
      </w:r>
      <w:r w:rsidRPr="5677D41E">
        <w:rPr>
          <w:rFonts w:ascii="Calibri" w:eastAsia="Calibri" w:hAnsi="Calibri" w:cs="Calibri"/>
          <w:color w:val="000000" w:themeColor="text1"/>
        </w:rPr>
        <w:t xml:space="preserve">outcome score for HAP and cataract was </w:t>
      </w:r>
      <w:r w:rsidRPr="5677D41E">
        <w:rPr>
          <w:rFonts w:ascii="Calibri" w:hAnsi="Calibri" w:cs="Calibri"/>
        </w:rPr>
        <w:t>–</w:t>
      </w:r>
      <w:r w:rsidRPr="5677D41E">
        <w:rPr>
          <w:rFonts w:ascii="Calibri" w:eastAsia="Calibri" w:hAnsi="Calibri" w:cs="Calibri"/>
          <w:color w:val="000000" w:themeColor="text1"/>
        </w:rPr>
        <w:t>0.009, which corresponds to a star rating of one.</w:t>
      </w:r>
    </w:p>
    <w:p w14:paraId="4A53FF09" w14:textId="77777777" w:rsidR="004017B3" w:rsidRPr="00D856EF" w:rsidRDefault="004017B3" w:rsidP="31F26954">
      <w:pPr>
        <w:rPr>
          <w:b/>
          <w:bCs/>
        </w:rPr>
      </w:pPr>
      <w:r w:rsidRPr="00D856EF">
        <w:rPr>
          <w:b/>
          <w:bCs/>
        </w:rPr>
        <w:t>PM</w:t>
      </w:r>
      <w:r w:rsidRPr="00D856EF">
        <w:rPr>
          <w:b/>
          <w:bCs/>
          <w:vertAlign w:val="subscript"/>
        </w:rPr>
        <w:t>2.5</w:t>
      </w:r>
      <w:r w:rsidRPr="00D856EF">
        <w:rPr>
          <w:b/>
          <w:bCs/>
        </w:rPr>
        <w:t xml:space="preserve"> mapping value estimation</w:t>
      </w:r>
    </w:p>
    <w:p w14:paraId="136BE34D" w14:textId="0BE0A78C" w:rsidR="004017B3" w:rsidRDefault="004017B3" w:rsidP="004017B3">
      <w:r>
        <w:t xml:space="preserve">To calculate relative risks from particulate matter risk curves for individuals using solid fuels for cooking, we first estimated the </w:t>
      </w:r>
      <w:r w:rsidRPr="5677D41E">
        <w:rPr>
          <w:rFonts w:ascii="Calibri" w:eastAsia="Calibri" w:hAnsi="Calibri" w:cs="Calibri"/>
          <w:color w:val="000000" w:themeColor="text1"/>
        </w:rPr>
        <w:t>PM</w:t>
      </w:r>
      <w:r w:rsidRPr="5677D41E">
        <w:rPr>
          <w:rFonts w:ascii="Calibri" w:eastAsia="Calibri" w:hAnsi="Calibri" w:cs="Calibri"/>
          <w:color w:val="000000" w:themeColor="text1"/>
          <w:vertAlign w:val="subscript"/>
        </w:rPr>
        <w:t xml:space="preserve">2.5 </w:t>
      </w:r>
      <w:r>
        <w:t>exposure level resulting from usage of each fuel type. Input data for the HAP mapping model included indoor and personal measurement data from the WHO Global Household Air Pollution Measurements database.</w:t>
      </w:r>
      <w:r w:rsidR="6B70FF57" w:rsidRPr="5677D41E">
        <w:rPr>
          <w:vertAlign w:val="superscript"/>
        </w:rPr>
        <w:t>5</w:t>
      </w:r>
      <w:r>
        <w:t xml:space="preserve"> In GBD 2021, we added data from the PURE-AIR study published in 2020, which included additional measurements from 120 rural locations in Bangladesh, Chile, China, Colombia, India, Pakistan, Tanzania, and Zimbabwe.</w:t>
      </w:r>
      <w:r w:rsidR="7823E041" w:rsidRPr="5677D41E">
        <w:rPr>
          <w:vertAlign w:val="superscript"/>
        </w:rPr>
        <w:t>6</w:t>
      </w:r>
      <w:r>
        <w:t xml:space="preserve"> We included measurements for indoor exposure and personal monitors. </w:t>
      </w:r>
    </w:p>
    <w:p w14:paraId="2CFBAB15" w14:textId="77777777" w:rsidR="004017B3" w:rsidRDefault="004017B3" w:rsidP="004017B3">
      <w:r>
        <w:t xml:space="preserve">The following models were used to predict log-transformed estimates of excess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t xml:space="preserve">for each individual fuel type (coal, crop, dung, wood) and for the parent solid category. Predictions for the parent solid category were used only to prepare relative risk input data for analysis, not for predicting individual exposure to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t>from solid fuel use.</w:t>
      </w:r>
    </w:p>
    <w:p w14:paraId="4DDF219D" w14:textId="77777777" w:rsidR="004017B3" w:rsidRDefault="004017B3" w:rsidP="004017B3">
      <w:r>
        <w:t>Fuel types:</w:t>
      </w:r>
    </w:p>
    <w:p w14:paraId="04196DD6" w14:textId="77777777" w:rsidR="004017B3" w:rsidRDefault="005551EC" w:rsidP="31F26954">
      <w:pPr>
        <w:rPr>
          <w:rFonts w:eastAsiaTheme="minorEastAsia"/>
          <w:sz w:val="20"/>
          <w:szCs w:val="20"/>
        </w:rPr>
      </w:pPr>
      <m:oMath>
        <m:func>
          <m:funcPr>
            <m:ctrlPr>
              <w:rPr>
                <w:rFonts w:ascii="Cambria Math" w:hAnsi="Cambria Math"/>
                <w:i/>
              </w:rPr>
            </m:ctrlPr>
          </m:funcPr>
          <m:fName>
            <m:r>
              <m:rPr>
                <m:sty m:val="p"/>
              </m:rPr>
              <w:rPr>
                <w:rFonts w:ascii="Cambria Math" w:hAnsi="Cambria Math"/>
                <w:sz w:val="20"/>
                <w:szCs w:val="20"/>
              </w:rPr>
              <m:t>log</m:t>
            </m:r>
          </m:fName>
          <m:e>
            <m:d>
              <m:dPr>
                <m:ctrlPr>
                  <w:rPr>
                    <w:rFonts w:ascii="Cambria Math" w:hAnsi="Cambria Math"/>
                    <w:i/>
                  </w:rPr>
                </m:ctrlPr>
              </m:dPr>
              <m:e>
                <m:r>
                  <w:rPr>
                    <w:rFonts w:ascii="Cambria Math" w:hAnsi="Cambria Math"/>
                    <w:sz w:val="20"/>
                    <w:szCs w:val="20"/>
                  </w:rPr>
                  <m:t>excess PM</m:t>
                </m:r>
              </m:e>
            </m:d>
          </m:e>
        </m:func>
        <m:r>
          <w:rPr>
            <w:rFonts w:ascii="Cambria Math" w:hAnsi="Cambria Math"/>
            <w:sz w:val="20"/>
            <w:szCs w:val="20"/>
          </w:rPr>
          <m:t xml:space="preserve">~ crop+coal+dung+wood+measure group+24 </m:t>
        </m:r>
        <m:r>
          <w:rPr>
            <w:rFonts w:ascii="Cambria Math" w:hAnsi="Cambria Math"/>
            <w:sz w:val="20"/>
            <w:szCs w:val="20"/>
          </w:rPr>
          <m:t>hr measurement+LDI+(1|study)</m:t>
        </m:r>
      </m:oMath>
      <w:r w:rsidR="004017B3" w:rsidRPr="31F26954">
        <w:rPr>
          <w:rFonts w:eastAsiaTheme="minorEastAsia"/>
          <w:sz w:val="20"/>
          <w:szCs w:val="20"/>
        </w:rPr>
        <w:t xml:space="preserve"> </w:t>
      </w:r>
    </w:p>
    <w:p w14:paraId="5E977080" w14:textId="77777777" w:rsidR="004017B3" w:rsidRDefault="004017B3" w:rsidP="31F26954">
      <w:pPr>
        <w:rPr>
          <w:rFonts w:eastAsiaTheme="minorEastAsia"/>
        </w:rPr>
      </w:pPr>
      <w:r w:rsidRPr="31F26954">
        <w:rPr>
          <w:rFonts w:eastAsiaTheme="minorEastAsia"/>
        </w:rPr>
        <w:t>Solid:</w:t>
      </w:r>
    </w:p>
    <w:p w14:paraId="72C3BC75" w14:textId="77777777" w:rsidR="004017B3" w:rsidRDefault="005551EC" w:rsidP="31F26954">
      <w:pPr>
        <w:rPr>
          <w:rFonts w:eastAsiaTheme="minorEastAsia"/>
          <w:sz w:val="20"/>
          <w:szCs w:val="20"/>
        </w:rPr>
      </w:pPr>
      <m:oMath>
        <m:func>
          <m:funcPr>
            <m:ctrlPr>
              <w:rPr>
                <w:rFonts w:ascii="Cambria Math" w:hAnsi="Cambria Math"/>
                <w:i/>
              </w:rPr>
            </m:ctrlPr>
          </m:funcPr>
          <m:fName>
            <m:r>
              <m:rPr>
                <m:sty m:val="p"/>
              </m:rPr>
              <w:rPr>
                <w:rFonts w:ascii="Cambria Math" w:hAnsi="Cambria Math"/>
                <w:sz w:val="20"/>
                <w:szCs w:val="20"/>
              </w:rPr>
              <m:t>log</m:t>
            </m:r>
          </m:fName>
          <m:e>
            <m:d>
              <m:dPr>
                <m:ctrlPr>
                  <w:rPr>
                    <w:rFonts w:ascii="Cambria Math" w:hAnsi="Cambria Math"/>
                    <w:i/>
                  </w:rPr>
                </m:ctrlPr>
              </m:dPr>
              <m:e>
                <m:r>
                  <w:rPr>
                    <w:rFonts w:ascii="Cambria Math" w:hAnsi="Cambria Math"/>
                    <w:sz w:val="20"/>
                    <w:szCs w:val="20"/>
                  </w:rPr>
                  <m:t>excess PM</m:t>
                </m:r>
              </m:e>
            </m:d>
          </m:e>
        </m:func>
        <m:r>
          <w:rPr>
            <w:rFonts w:ascii="Cambria Math" w:hAnsi="Cambria Math"/>
            <w:sz w:val="20"/>
            <w:szCs w:val="20"/>
          </w:rPr>
          <m:t xml:space="preserve">~ solid+measure group+24 </m:t>
        </m:r>
        <m:r>
          <w:rPr>
            <w:rFonts w:ascii="Cambria Math" w:hAnsi="Cambria Math"/>
            <w:sz w:val="20"/>
            <w:szCs w:val="20"/>
          </w:rPr>
          <m:t>hr measurement+LDI+(1|study)</m:t>
        </m:r>
      </m:oMath>
      <w:r w:rsidR="004017B3" w:rsidRPr="31F26954">
        <w:rPr>
          <w:rFonts w:eastAsiaTheme="minorEastAsia"/>
          <w:sz w:val="20"/>
          <w:szCs w:val="20"/>
        </w:rPr>
        <w:t xml:space="preserve"> </w:t>
      </w:r>
    </w:p>
    <w:p w14:paraId="5A21CC2A" w14:textId="77777777" w:rsidR="004017B3" w:rsidRDefault="004017B3" w:rsidP="004017B3">
      <w:r>
        <w:t xml:space="preserve">Where </w:t>
      </w:r>
    </w:p>
    <w:p w14:paraId="5DA2443E" w14:textId="77777777" w:rsidR="004017B3" w:rsidRDefault="004017B3" w:rsidP="31F26954">
      <w:pPr>
        <w:pStyle w:val="ListParagraph"/>
        <w:numPr>
          <w:ilvl w:val="0"/>
          <w:numId w:val="19"/>
        </w:numPr>
        <w:spacing w:after="0" w:line="240" w:lineRule="auto"/>
        <w:rPr>
          <w:rFonts w:eastAsiaTheme="minorEastAsia"/>
        </w:rPr>
      </w:pPr>
      <w:r w:rsidRPr="31F26954">
        <w:rPr>
          <w:i/>
          <w:iCs/>
        </w:rPr>
        <w:t>24-hour measurement</w:t>
      </w:r>
      <w:r>
        <w:t xml:space="preserve">: </w:t>
      </w:r>
      <w:r w:rsidRPr="31F26954">
        <w:rPr>
          <w:rFonts w:ascii="Calibri" w:eastAsia="Calibri" w:hAnsi="Calibri" w:cs="Calibri"/>
        </w:rPr>
        <w:t>binary variable equal to one if the measurement occurred over at least a 24-hour period and not only during mealtimes</w:t>
      </w:r>
    </w:p>
    <w:p w14:paraId="3520E853" w14:textId="77777777" w:rsidR="004017B3" w:rsidRDefault="004017B3" w:rsidP="31F26954">
      <w:pPr>
        <w:pStyle w:val="ListParagraph"/>
        <w:numPr>
          <w:ilvl w:val="0"/>
          <w:numId w:val="19"/>
        </w:numPr>
        <w:spacing w:after="0" w:line="240" w:lineRule="auto"/>
        <w:rPr>
          <w:rFonts w:eastAsiaTheme="minorEastAsia"/>
        </w:rPr>
      </w:pPr>
      <w:r w:rsidRPr="31F26954">
        <w:rPr>
          <w:rFonts w:ascii="Calibri" w:eastAsia="Calibri" w:hAnsi="Calibri" w:cs="Calibri"/>
          <w:i/>
          <w:iCs/>
        </w:rPr>
        <w:t>Measure group</w:t>
      </w:r>
      <w:r w:rsidRPr="31F26954">
        <w:rPr>
          <w:rFonts w:ascii="Calibri" w:eastAsia="Calibri" w:hAnsi="Calibri" w:cs="Calibri"/>
        </w:rPr>
        <w:t>: categorical variable indicating indoor, female, male, or children</w:t>
      </w:r>
    </w:p>
    <w:p w14:paraId="4A7D7DE9" w14:textId="77777777" w:rsidR="004017B3" w:rsidRDefault="004017B3" w:rsidP="31F26954">
      <w:pPr>
        <w:pStyle w:val="ListParagraph"/>
        <w:numPr>
          <w:ilvl w:val="0"/>
          <w:numId w:val="19"/>
        </w:numPr>
        <w:spacing w:after="0" w:line="240" w:lineRule="auto"/>
        <w:rPr>
          <w:rFonts w:eastAsiaTheme="minorEastAsia"/>
        </w:rPr>
      </w:pPr>
      <w:r w:rsidRPr="31F26954">
        <w:rPr>
          <w:rFonts w:ascii="Calibri" w:eastAsia="Calibri" w:hAnsi="Calibri" w:cs="Calibri"/>
          <w:i/>
          <w:iCs/>
        </w:rPr>
        <w:t>Solid</w:t>
      </w:r>
      <w:r w:rsidRPr="31F26954">
        <w:rPr>
          <w:rFonts w:ascii="Calibri" w:eastAsia="Calibri" w:hAnsi="Calibri" w:cs="Calibri"/>
        </w:rPr>
        <w:t>: indicator variable equal to one if the measurements were among households using solid fuel only, 0.5 if the measurements represented a mix of clean and solid fuels, and zero if the households only used clean fuels.</w:t>
      </w:r>
    </w:p>
    <w:p w14:paraId="4B54319B" w14:textId="77777777" w:rsidR="004017B3" w:rsidRDefault="004017B3" w:rsidP="004017B3">
      <w:pPr>
        <w:rPr>
          <w:rFonts w:ascii="Calibri" w:eastAsia="Calibri" w:hAnsi="Calibri" w:cs="Calibri"/>
        </w:rPr>
      </w:pPr>
    </w:p>
    <w:p w14:paraId="77FFD89A" w14:textId="77777777" w:rsidR="004017B3" w:rsidRDefault="004017B3" w:rsidP="004017B3">
      <w:pPr>
        <w:rPr>
          <w:rFonts w:ascii="Calibri" w:eastAsia="Calibri" w:hAnsi="Calibri" w:cs="Calibri"/>
        </w:rPr>
      </w:pPr>
      <w:r w:rsidRPr="31F26954">
        <w:rPr>
          <w:rFonts w:ascii="Calibri" w:eastAsia="Calibri" w:hAnsi="Calibri" w:cs="Calibri"/>
        </w:rPr>
        <w:t xml:space="preserve">Prior to GBD 2021, we also included the Socio-demographic Index (SDI) as a variable to predict a unique value of HAP for each location and year based on development. In GBD 2021, we updated the HAP mapping model to predict unique values from the lag-distributed income per capita (LDI). Evaluations of model fit using root mean square error (RMSE) indicated that LDI is a more suitable predictor of excess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2.5</w:t>
      </w:r>
      <w:r w:rsidRPr="31F26954">
        <w:rPr>
          <w:rFonts w:ascii="Calibri" w:eastAsia="Calibri" w:hAnsi="Calibri" w:cs="Calibri"/>
        </w:rPr>
        <w:t>. We also included a random effect on study and weighted each study by the square root of its sample size.</w:t>
      </w:r>
    </w:p>
    <w:p w14:paraId="2D258F39" w14:textId="77777777" w:rsidR="004017B3" w:rsidRDefault="004017B3" w:rsidP="004017B3">
      <w:pPr>
        <w:rPr>
          <w:rFonts w:ascii="Calibri" w:eastAsia="Calibri" w:hAnsi="Calibri" w:cs="Calibri"/>
        </w:rPr>
      </w:pPr>
      <w:r w:rsidRPr="31F26954">
        <w:rPr>
          <w:rFonts w:ascii="Calibri" w:eastAsia="Calibri" w:hAnsi="Calibri" w:cs="Calibri"/>
        </w:rPr>
        <w:t xml:space="preserve">Before modelling, we subtracted off the prediction of ambient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rPr>
        <w:t>in the study location and year to calculate the excess particulate matter for individuals using solid fuel. The final model coefficients are included below, in Table 2.</w:t>
      </w:r>
    </w:p>
    <w:p w14:paraId="14F43A2D" w14:textId="77777777" w:rsidR="004017B3" w:rsidRDefault="004017B3" w:rsidP="004017B3">
      <w:pPr>
        <w:rPr>
          <w:rFonts w:ascii="Calibri" w:eastAsia="Calibri" w:hAnsi="Calibri" w:cs="Calibri"/>
          <w:b/>
          <w:bCs/>
        </w:rPr>
      </w:pPr>
      <w:r w:rsidRPr="31F26954">
        <w:rPr>
          <w:rFonts w:ascii="Calibri" w:eastAsia="Calibri" w:hAnsi="Calibri" w:cs="Calibri"/>
          <w:b/>
          <w:bCs/>
        </w:rPr>
        <w:t>Table 2: HAP mapping model and coefficients</w:t>
      </w:r>
    </w:p>
    <w:tbl>
      <w:tblPr>
        <w:tblStyle w:val="TableGrid"/>
        <w:tblW w:w="0" w:type="auto"/>
        <w:tblLayout w:type="fixed"/>
        <w:tblLook w:val="06A0" w:firstRow="1" w:lastRow="0" w:firstColumn="1" w:lastColumn="0" w:noHBand="1" w:noVBand="1"/>
      </w:tblPr>
      <w:tblGrid>
        <w:gridCol w:w="3105"/>
        <w:gridCol w:w="3105"/>
        <w:gridCol w:w="3105"/>
      </w:tblGrid>
      <w:tr w:rsidR="004017B3" w14:paraId="3C423338"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78689A39"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b/>
                <w:bCs/>
                <w:color w:val="000000" w:themeColor="text1"/>
                <w:sz w:val="20"/>
                <w:szCs w:val="20"/>
              </w:rPr>
              <w:t>Variable</w:t>
            </w:r>
          </w:p>
        </w:tc>
        <w:tc>
          <w:tcPr>
            <w:tcW w:w="3105" w:type="dxa"/>
            <w:tcBorders>
              <w:top w:val="single" w:sz="4" w:space="0" w:color="auto"/>
              <w:left w:val="single" w:sz="4" w:space="0" w:color="auto"/>
              <w:bottom w:val="single" w:sz="4" w:space="0" w:color="auto"/>
              <w:right w:val="single" w:sz="4" w:space="0" w:color="auto"/>
            </w:tcBorders>
            <w:hideMark/>
          </w:tcPr>
          <w:p w14:paraId="5FF180A7"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b/>
                <w:bCs/>
                <w:color w:val="000000" w:themeColor="text1"/>
                <w:sz w:val="20"/>
                <w:szCs w:val="20"/>
              </w:rPr>
              <w:t>Beta, log (95% UI)</w:t>
            </w:r>
          </w:p>
        </w:tc>
        <w:tc>
          <w:tcPr>
            <w:tcW w:w="3105" w:type="dxa"/>
            <w:tcBorders>
              <w:top w:val="single" w:sz="4" w:space="0" w:color="auto"/>
              <w:left w:val="single" w:sz="4" w:space="0" w:color="auto"/>
              <w:bottom w:val="single" w:sz="4" w:space="0" w:color="auto"/>
              <w:right w:val="single" w:sz="4" w:space="0" w:color="auto"/>
            </w:tcBorders>
            <w:hideMark/>
          </w:tcPr>
          <w:p w14:paraId="4EE181ED"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b/>
                <w:bCs/>
                <w:color w:val="000000" w:themeColor="text1"/>
                <w:sz w:val="20"/>
                <w:szCs w:val="20"/>
              </w:rPr>
              <w:t>Beta, exponentiated (95% UI)</w:t>
            </w:r>
          </w:p>
        </w:tc>
      </w:tr>
      <w:tr w:rsidR="004017B3" w14:paraId="236655A1"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52B3C82E"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Intercept</w:t>
            </w:r>
          </w:p>
        </w:tc>
        <w:tc>
          <w:tcPr>
            <w:tcW w:w="3105" w:type="dxa"/>
            <w:tcBorders>
              <w:top w:val="single" w:sz="4" w:space="0" w:color="auto"/>
              <w:left w:val="single" w:sz="4" w:space="0" w:color="auto"/>
              <w:bottom w:val="single" w:sz="4" w:space="0" w:color="auto"/>
              <w:right w:val="single" w:sz="4" w:space="0" w:color="auto"/>
            </w:tcBorders>
            <w:hideMark/>
          </w:tcPr>
          <w:p w14:paraId="56136892"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3.22 (2.85–3.58)</w:t>
            </w:r>
          </w:p>
        </w:tc>
        <w:tc>
          <w:tcPr>
            <w:tcW w:w="3105" w:type="dxa"/>
            <w:tcBorders>
              <w:top w:val="single" w:sz="4" w:space="0" w:color="auto"/>
              <w:left w:val="single" w:sz="4" w:space="0" w:color="auto"/>
              <w:bottom w:val="single" w:sz="4" w:space="0" w:color="auto"/>
              <w:right w:val="single" w:sz="4" w:space="0" w:color="auto"/>
            </w:tcBorders>
            <w:hideMark/>
          </w:tcPr>
          <w:p w14:paraId="419F9D67"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24.97 (17.21–36.00)</w:t>
            </w:r>
          </w:p>
        </w:tc>
      </w:tr>
      <w:tr w:rsidR="004017B3" w14:paraId="10071A68"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27EFD9D5" w14:textId="77777777" w:rsidR="004017B3" w:rsidRDefault="004017B3">
            <w:pPr>
              <w:spacing w:after="255"/>
              <w:contextualSpacing/>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Fuel type</w:t>
            </w:r>
          </w:p>
          <w:p w14:paraId="378479C6" w14:textId="77777777" w:rsidR="004017B3" w:rsidRDefault="004017B3" w:rsidP="31F26954">
            <w:pPr>
              <w:pStyle w:val="ListParagraph"/>
              <w:numPr>
                <w:ilvl w:val="0"/>
                <w:numId w:val="20"/>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Clean (ref)</w:t>
            </w:r>
          </w:p>
          <w:p w14:paraId="70408003" w14:textId="77777777" w:rsidR="004017B3" w:rsidRDefault="004017B3" w:rsidP="31F26954">
            <w:pPr>
              <w:pStyle w:val="ListParagraph"/>
              <w:numPr>
                <w:ilvl w:val="0"/>
                <w:numId w:val="20"/>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Crop</w:t>
            </w:r>
          </w:p>
          <w:p w14:paraId="757BE02F" w14:textId="77777777" w:rsidR="004017B3" w:rsidRDefault="004017B3" w:rsidP="31F26954">
            <w:pPr>
              <w:pStyle w:val="ListParagraph"/>
              <w:numPr>
                <w:ilvl w:val="0"/>
                <w:numId w:val="20"/>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Coal</w:t>
            </w:r>
          </w:p>
          <w:p w14:paraId="2C5456E6" w14:textId="77777777" w:rsidR="004017B3" w:rsidRDefault="004017B3" w:rsidP="31F26954">
            <w:pPr>
              <w:pStyle w:val="ListParagraph"/>
              <w:numPr>
                <w:ilvl w:val="0"/>
                <w:numId w:val="20"/>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Dung</w:t>
            </w:r>
          </w:p>
          <w:p w14:paraId="3A9677B8" w14:textId="77777777" w:rsidR="004017B3" w:rsidRDefault="004017B3" w:rsidP="31F26954">
            <w:pPr>
              <w:pStyle w:val="ListParagraph"/>
              <w:numPr>
                <w:ilvl w:val="0"/>
                <w:numId w:val="20"/>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Wood</w:t>
            </w:r>
          </w:p>
        </w:tc>
        <w:tc>
          <w:tcPr>
            <w:tcW w:w="3105" w:type="dxa"/>
            <w:tcBorders>
              <w:top w:val="single" w:sz="4" w:space="0" w:color="auto"/>
              <w:left w:val="single" w:sz="4" w:space="0" w:color="auto"/>
              <w:bottom w:val="single" w:sz="4" w:space="0" w:color="auto"/>
              <w:right w:val="single" w:sz="4" w:space="0" w:color="auto"/>
            </w:tcBorders>
          </w:tcPr>
          <w:p w14:paraId="397B903B" w14:textId="77777777" w:rsidR="004017B3" w:rsidRDefault="004017B3">
            <w:pPr>
              <w:rPr>
                <w:rFonts w:ascii="Calibri" w:eastAsia="Calibri" w:hAnsi="Calibri" w:cs="Calibri"/>
                <w:color w:val="000000" w:themeColor="text1"/>
                <w:sz w:val="20"/>
                <w:szCs w:val="20"/>
              </w:rPr>
            </w:pPr>
          </w:p>
          <w:p w14:paraId="5458FEB9" w14:textId="77777777" w:rsidR="004017B3" w:rsidRDefault="004017B3">
            <w:pPr>
              <w:rPr>
                <w:rFonts w:ascii="Calibri" w:eastAsia="Calibri" w:hAnsi="Calibri" w:cs="Calibri"/>
                <w:color w:val="000000" w:themeColor="text1"/>
                <w:sz w:val="20"/>
                <w:szCs w:val="20"/>
              </w:rPr>
            </w:pPr>
          </w:p>
          <w:p w14:paraId="7530F07F"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3.25 (3.15–3.35)</w:t>
            </w:r>
          </w:p>
          <w:p w14:paraId="71872A8D"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1.61 (1.53–1.71)</w:t>
            </w:r>
          </w:p>
          <w:p w14:paraId="69784B25"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2.49 (2.38–2.59)</w:t>
            </w:r>
          </w:p>
          <w:p w14:paraId="46E7C83F"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1.96 (1.91–2.02)</w:t>
            </w:r>
          </w:p>
        </w:tc>
        <w:tc>
          <w:tcPr>
            <w:tcW w:w="3105" w:type="dxa"/>
            <w:tcBorders>
              <w:top w:val="single" w:sz="4" w:space="0" w:color="auto"/>
              <w:left w:val="single" w:sz="4" w:space="0" w:color="auto"/>
              <w:bottom w:val="single" w:sz="4" w:space="0" w:color="auto"/>
              <w:right w:val="single" w:sz="4" w:space="0" w:color="auto"/>
            </w:tcBorders>
          </w:tcPr>
          <w:p w14:paraId="44F9F1C0" w14:textId="77777777" w:rsidR="004017B3" w:rsidRDefault="004017B3">
            <w:pPr>
              <w:rPr>
                <w:rFonts w:ascii="Calibri" w:eastAsia="Calibri" w:hAnsi="Calibri" w:cs="Calibri"/>
                <w:color w:val="000000" w:themeColor="text1"/>
                <w:sz w:val="20"/>
                <w:szCs w:val="20"/>
              </w:rPr>
            </w:pPr>
          </w:p>
          <w:p w14:paraId="43BC3CEC" w14:textId="77777777" w:rsidR="004017B3" w:rsidRDefault="004017B3">
            <w:pPr>
              <w:rPr>
                <w:rFonts w:ascii="Calibri" w:eastAsia="Calibri" w:hAnsi="Calibri" w:cs="Calibri"/>
                <w:color w:val="000000" w:themeColor="text1"/>
                <w:sz w:val="20"/>
                <w:szCs w:val="20"/>
              </w:rPr>
            </w:pPr>
          </w:p>
          <w:p w14:paraId="277A1256"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25.80 (23.26–28.42)</w:t>
            </w:r>
          </w:p>
          <w:p w14:paraId="111E369A"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5.00 (4.61–5.53)</w:t>
            </w:r>
          </w:p>
          <w:p w14:paraId="4F215EC0"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12.05 (108.81–13.31)</w:t>
            </w:r>
          </w:p>
          <w:p w14:paraId="4E3CDD6A"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7.10 (6.76–7.50)</w:t>
            </w:r>
          </w:p>
        </w:tc>
      </w:tr>
      <w:tr w:rsidR="004017B3" w14:paraId="31C7469D"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7B8CB4A9" w14:textId="77777777" w:rsidR="004017B3" w:rsidRDefault="004017B3">
            <w:pPr>
              <w:spacing w:after="255"/>
              <w:contextualSpacing/>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Measure group</w:t>
            </w:r>
          </w:p>
          <w:p w14:paraId="5FFBB007" w14:textId="77777777" w:rsidR="004017B3" w:rsidRDefault="004017B3" w:rsidP="31F26954">
            <w:pPr>
              <w:pStyle w:val="ListParagraph"/>
              <w:numPr>
                <w:ilvl w:val="0"/>
                <w:numId w:val="21"/>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Indoor (ref)</w:t>
            </w:r>
          </w:p>
          <w:p w14:paraId="559CE777" w14:textId="77777777" w:rsidR="004017B3" w:rsidRDefault="004017B3" w:rsidP="31F26954">
            <w:pPr>
              <w:pStyle w:val="ListParagraph"/>
              <w:numPr>
                <w:ilvl w:val="0"/>
                <w:numId w:val="21"/>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Female</w:t>
            </w:r>
          </w:p>
          <w:p w14:paraId="7F68A1C9" w14:textId="77777777" w:rsidR="004017B3" w:rsidRDefault="004017B3" w:rsidP="31F26954">
            <w:pPr>
              <w:pStyle w:val="ListParagraph"/>
              <w:numPr>
                <w:ilvl w:val="0"/>
                <w:numId w:val="21"/>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Male</w:t>
            </w:r>
          </w:p>
          <w:p w14:paraId="6C1388E3" w14:textId="77777777" w:rsidR="004017B3" w:rsidRDefault="004017B3" w:rsidP="31F26954">
            <w:pPr>
              <w:pStyle w:val="ListParagraph"/>
              <w:numPr>
                <w:ilvl w:val="0"/>
                <w:numId w:val="21"/>
              </w:numPr>
              <w:spacing w:line="256" w:lineRule="auto"/>
              <w:rPr>
                <w:rFonts w:eastAsiaTheme="minorEastAsia"/>
                <w:color w:val="000000" w:themeColor="text1"/>
                <w:sz w:val="20"/>
                <w:szCs w:val="20"/>
              </w:rPr>
            </w:pPr>
            <w:r w:rsidRPr="31F26954">
              <w:rPr>
                <w:rFonts w:ascii="Calibri" w:eastAsia="Calibri" w:hAnsi="Calibri" w:cs="Calibri"/>
                <w:color w:val="000000" w:themeColor="text1"/>
                <w:sz w:val="20"/>
                <w:szCs w:val="20"/>
              </w:rPr>
              <w:t>Child</w:t>
            </w:r>
          </w:p>
        </w:tc>
        <w:tc>
          <w:tcPr>
            <w:tcW w:w="3105" w:type="dxa"/>
            <w:tcBorders>
              <w:top w:val="single" w:sz="4" w:space="0" w:color="auto"/>
              <w:left w:val="single" w:sz="4" w:space="0" w:color="auto"/>
              <w:bottom w:val="single" w:sz="4" w:space="0" w:color="auto"/>
              <w:right w:val="single" w:sz="4" w:space="0" w:color="auto"/>
            </w:tcBorders>
          </w:tcPr>
          <w:p w14:paraId="447769D2" w14:textId="77777777" w:rsidR="004017B3" w:rsidRDefault="004017B3">
            <w:pPr>
              <w:rPr>
                <w:rFonts w:ascii="Calibri" w:eastAsia="Calibri" w:hAnsi="Calibri" w:cs="Calibri"/>
                <w:color w:val="000000" w:themeColor="text1"/>
                <w:sz w:val="20"/>
                <w:szCs w:val="20"/>
              </w:rPr>
            </w:pPr>
          </w:p>
          <w:p w14:paraId="342372C9" w14:textId="77777777" w:rsidR="004017B3" w:rsidRDefault="004017B3">
            <w:pPr>
              <w:rPr>
                <w:rFonts w:ascii="Calibri" w:eastAsia="Calibri" w:hAnsi="Calibri" w:cs="Calibri"/>
                <w:color w:val="000000" w:themeColor="text1"/>
                <w:sz w:val="20"/>
                <w:szCs w:val="20"/>
              </w:rPr>
            </w:pPr>
          </w:p>
          <w:p w14:paraId="4EF74629"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–0.32 (–0.39 to –0.28)</w:t>
            </w:r>
          </w:p>
          <w:p w14:paraId="7F4B751F"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–0.24 (–0.32 to –0.15)</w:t>
            </w:r>
          </w:p>
          <w:p w14:paraId="0CD92B7D"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–1.04 (–1.14 to –0.95)</w:t>
            </w:r>
          </w:p>
        </w:tc>
        <w:tc>
          <w:tcPr>
            <w:tcW w:w="3105" w:type="dxa"/>
            <w:tcBorders>
              <w:top w:val="single" w:sz="4" w:space="0" w:color="auto"/>
              <w:left w:val="single" w:sz="4" w:space="0" w:color="auto"/>
              <w:bottom w:val="single" w:sz="4" w:space="0" w:color="auto"/>
              <w:right w:val="single" w:sz="4" w:space="0" w:color="auto"/>
            </w:tcBorders>
          </w:tcPr>
          <w:p w14:paraId="02660C64" w14:textId="77777777" w:rsidR="004017B3" w:rsidRDefault="004017B3">
            <w:pPr>
              <w:rPr>
                <w:rFonts w:ascii="Calibri" w:eastAsia="Calibri" w:hAnsi="Calibri" w:cs="Calibri"/>
                <w:color w:val="000000" w:themeColor="text1"/>
                <w:sz w:val="20"/>
                <w:szCs w:val="20"/>
              </w:rPr>
            </w:pPr>
          </w:p>
          <w:p w14:paraId="1FF611BA" w14:textId="77777777" w:rsidR="004017B3" w:rsidRDefault="004017B3">
            <w:pPr>
              <w:rPr>
                <w:rFonts w:ascii="Calibri" w:eastAsia="Calibri" w:hAnsi="Calibri" w:cs="Calibri"/>
                <w:color w:val="000000" w:themeColor="text1"/>
                <w:sz w:val="20"/>
                <w:szCs w:val="20"/>
              </w:rPr>
            </w:pPr>
          </w:p>
          <w:p w14:paraId="3E12C54B"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0.72 (0.68–0.76)</w:t>
            </w:r>
          </w:p>
          <w:p w14:paraId="7127ABFB"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0.79 (0.73–0.86)</w:t>
            </w:r>
          </w:p>
          <w:p w14:paraId="19FD9EF1"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0.35 (0.32–0.39)</w:t>
            </w:r>
          </w:p>
        </w:tc>
      </w:tr>
      <w:tr w:rsidR="004017B3" w14:paraId="5A2B092A"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44ECBE51"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24-hour measurement</w:t>
            </w:r>
          </w:p>
        </w:tc>
        <w:tc>
          <w:tcPr>
            <w:tcW w:w="3105" w:type="dxa"/>
            <w:tcBorders>
              <w:top w:val="single" w:sz="4" w:space="0" w:color="auto"/>
              <w:left w:val="single" w:sz="4" w:space="0" w:color="auto"/>
              <w:bottom w:val="single" w:sz="4" w:space="0" w:color="auto"/>
              <w:right w:val="single" w:sz="4" w:space="0" w:color="auto"/>
            </w:tcBorders>
            <w:hideMark/>
          </w:tcPr>
          <w:p w14:paraId="494DF5A1"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0.19 (0.07–0.31)</w:t>
            </w:r>
          </w:p>
        </w:tc>
        <w:tc>
          <w:tcPr>
            <w:tcW w:w="3105" w:type="dxa"/>
            <w:tcBorders>
              <w:top w:val="single" w:sz="4" w:space="0" w:color="auto"/>
              <w:left w:val="single" w:sz="4" w:space="0" w:color="auto"/>
              <w:bottom w:val="single" w:sz="4" w:space="0" w:color="auto"/>
              <w:right w:val="single" w:sz="4" w:space="0" w:color="auto"/>
            </w:tcBorders>
            <w:hideMark/>
          </w:tcPr>
          <w:p w14:paraId="4ED4F0E9"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1.20 (1.08–1.36)</w:t>
            </w:r>
          </w:p>
        </w:tc>
      </w:tr>
      <w:tr w:rsidR="004017B3" w14:paraId="18ABFDC7" w14:textId="77777777" w:rsidTr="31F26954">
        <w:trPr>
          <w:trHeight w:val="300"/>
        </w:trPr>
        <w:tc>
          <w:tcPr>
            <w:tcW w:w="3105" w:type="dxa"/>
            <w:tcBorders>
              <w:top w:val="single" w:sz="4" w:space="0" w:color="auto"/>
              <w:left w:val="single" w:sz="4" w:space="0" w:color="auto"/>
              <w:bottom w:val="single" w:sz="4" w:space="0" w:color="auto"/>
              <w:right w:val="single" w:sz="4" w:space="0" w:color="auto"/>
            </w:tcBorders>
            <w:hideMark/>
          </w:tcPr>
          <w:p w14:paraId="400B6706"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LDI</w:t>
            </w:r>
          </w:p>
        </w:tc>
        <w:tc>
          <w:tcPr>
            <w:tcW w:w="3105" w:type="dxa"/>
            <w:tcBorders>
              <w:top w:val="single" w:sz="4" w:space="0" w:color="auto"/>
              <w:left w:val="single" w:sz="4" w:space="0" w:color="auto"/>
              <w:bottom w:val="single" w:sz="4" w:space="0" w:color="auto"/>
              <w:right w:val="single" w:sz="4" w:space="0" w:color="auto"/>
            </w:tcBorders>
            <w:hideMark/>
          </w:tcPr>
          <w:p w14:paraId="107C380F"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1.01e-07 (7.09e-08 to 1.36e-07)</w:t>
            </w:r>
          </w:p>
        </w:tc>
        <w:tc>
          <w:tcPr>
            <w:tcW w:w="3105" w:type="dxa"/>
            <w:tcBorders>
              <w:top w:val="single" w:sz="4" w:space="0" w:color="auto"/>
              <w:left w:val="single" w:sz="4" w:space="0" w:color="auto"/>
              <w:bottom w:val="single" w:sz="4" w:space="0" w:color="auto"/>
              <w:right w:val="single" w:sz="4" w:space="0" w:color="auto"/>
            </w:tcBorders>
            <w:hideMark/>
          </w:tcPr>
          <w:p w14:paraId="087F59FD" w14:textId="77777777" w:rsidR="004017B3" w:rsidRDefault="004017B3">
            <w:pPr>
              <w:rPr>
                <w:rFonts w:ascii="Calibri" w:eastAsia="Calibri" w:hAnsi="Calibri" w:cs="Calibri"/>
                <w:color w:val="000000" w:themeColor="text1"/>
                <w:sz w:val="20"/>
                <w:szCs w:val="20"/>
              </w:rPr>
            </w:pPr>
            <w:r w:rsidRPr="31F26954">
              <w:rPr>
                <w:rFonts w:ascii="Calibri" w:eastAsia="Calibri" w:hAnsi="Calibri" w:cs="Calibri"/>
                <w:color w:val="000000" w:themeColor="text1"/>
                <w:sz w:val="20"/>
                <w:szCs w:val="20"/>
              </w:rPr>
              <w:t>1.00 (1.00</w:t>
            </w:r>
            <w:r w:rsidRPr="31F26954">
              <w:rPr>
                <w:rFonts w:ascii="Calibri" w:hAnsi="Calibri" w:cs="Calibri"/>
              </w:rPr>
              <w:t>–</w:t>
            </w:r>
            <w:r w:rsidRPr="31F26954">
              <w:rPr>
                <w:rFonts w:ascii="Calibri" w:eastAsia="Calibri" w:hAnsi="Calibri" w:cs="Calibri"/>
                <w:color w:val="000000" w:themeColor="text1"/>
                <w:sz w:val="20"/>
                <w:szCs w:val="20"/>
              </w:rPr>
              <w:t>1.00)</w:t>
            </w:r>
          </w:p>
        </w:tc>
      </w:tr>
    </w:tbl>
    <w:p w14:paraId="19337DFB" w14:textId="77777777" w:rsidR="004017B3" w:rsidRDefault="004017B3" w:rsidP="004017B3">
      <w:pPr>
        <w:rPr>
          <w:rFonts w:ascii="Calibri" w:eastAsia="Calibri" w:hAnsi="Calibri" w:cs="Calibri"/>
        </w:rPr>
      </w:pPr>
    </w:p>
    <w:p w14:paraId="6774D2FC" w14:textId="77777777" w:rsidR="004017B3" w:rsidRDefault="004017B3" w:rsidP="004017B3">
      <w:pPr>
        <w:rPr>
          <w:rFonts w:ascii="Calibri" w:eastAsia="Calibri" w:hAnsi="Calibri" w:cs="Calibri"/>
          <w:color w:val="000000" w:themeColor="text1"/>
        </w:rPr>
      </w:pPr>
      <w:r w:rsidRPr="31F26954">
        <w:rPr>
          <w:rFonts w:ascii="Calibri" w:eastAsia="Calibri" w:hAnsi="Calibri" w:cs="Calibri"/>
          <w:color w:val="000000" w:themeColor="text1"/>
        </w:rPr>
        <w:t>To derive final predicted 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color w:val="000000" w:themeColor="text1"/>
        </w:rPr>
        <w:t>exposure values due to solid fuel usage, instead of using direct model outputs for males and children, we scaled 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color w:val="000000" w:themeColor="text1"/>
        </w:rPr>
        <w:t>exposure values for females to the other two groups. There are few studies of personal monitoring in men and children, so we derived ratios of female-male and female-child exposures using studies that reported PM exposure values for females and one or both of the other groups. To calculate these ratios, we first subtracted off the outdoor value from each PM measurement (using ambient PM</w:t>
      </w:r>
      <w:r w:rsidRPr="31F26954">
        <w:rPr>
          <w:rFonts w:ascii="Calibri" w:eastAsia="Calibri" w:hAnsi="Calibri" w:cs="Calibri"/>
          <w:color w:val="000000" w:themeColor="text1"/>
          <w:vertAlign w:val="subscript"/>
        </w:rPr>
        <w:t>2.5</w:t>
      </w:r>
      <w:r w:rsidRPr="31F26954">
        <w:rPr>
          <w:rFonts w:ascii="Calibri" w:eastAsia="Calibri" w:hAnsi="Calibri" w:cs="Calibri"/>
          <w:color w:val="000000" w:themeColor="text1"/>
        </w:rPr>
        <w:t xml:space="preserve"> predictions as above for 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color w:val="000000" w:themeColor="text1"/>
        </w:rPr>
        <w:t>studies and the studies’ published values for PM</w:t>
      </w:r>
      <w:r w:rsidRPr="31F26954">
        <w:rPr>
          <w:rFonts w:ascii="Calibri" w:eastAsia="Calibri" w:hAnsi="Calibri" w:cs="Calibri"/>
          <w:color w:val="000000" w:themeColor="text1"/>
          <w:vertAlign w:val="subscript"/>
        </w:rPr>
        <w:t>4</w:t>
      </w:r>
      <w:r w:rsidRPr="31F26954">
        <w:rPr>
          <w:rFonts w:ascii="Calibri" w:eastAsia="Calibri" w:hAnsi="Calibri" w:cs="Calibri"/>
          <w:color w:val="000000" w:themeColor="text1"/>
        </w:rPr>
        <w:t xml:space="preserve"> and PM</w:t>
      </w:r>
      <w:r w:rsidRPr="31F26954">
        <w:rPr>
          <w:rFonts w:ascii="Calibri" w:eastAsia="Calibri" w:hAnsi="Calibri" w:cs="Calibri"/>
          <w:color w:val="000000" w:themeColor="text1"/>
          <w:vertAlign w:val="subscript"/>
        </w:rPr>
        <w:t>10</w:t>
      </w:r>
      <w:r w:rsidRPr="31F26954">
        <w:rPr>
          <w:rFonts w:ascii="Calibri" w:eastAsia="Calibri" w:hAnsi="Calibri" w:cs="Calibri"/>
          <w:color w:val="000000" w:themeColor="text1"/>
        </w:rPr>
        <w:t xml:space="preserve"> studies) and then calculated ratios weighted by sample size. </w:t>
      </w:r>
    </w:p>
    <w:p w14:paraId="07CEEE5C" w14:textId="77777777" w:rsidR="004017B3" w:rsidRDefault="004017B3" w:rsidP="004017B3">
      <w:pPr>
        <w:rPr>
          <w:rFonts w:ascii="Calibri" w:eastAsia="Calibri" w:hAnsi="Calibri" w:cs="Calibri"/>
        </w:rPr>
      </w:pPr>
      <w:r w:rsidRPr="31F26954">
        <w:rPr>
          <w:rFonts w:ascii="Calibri" w:eastAsia="Calibri" w:hAnsi="Calibri" w:cs="Calibri"/>
          <w:color w:val="000000" w:themeColor="text1"/>
        </w:rPr>
        <w:t xml:space="preserve">The final ratios, updated with information from the 2020 PURE-AIR study, were 0.85 (95% UI 0.67–1.09) for children and 0.64 (0.52–0.79) for males compared to </w:t>
      </w:r>
      <w:r w:rsidRPr="31F26954">
        <w:rPr>
          <w:rFonts w:ascii="Calibri" w:eastAsia="Calibri" w:hAnsi="Calibri" w:cs="Calibri"/>
        </w:rPr>
        <w:t>0.85 (0.56</w:t>
      </w:r>
      <w:r w:rsidRPr="31F26954">
        <w:rPr>
          <w:rFonts w:ascii="Calibri" w:hAnsi="Calibri" w:cs="Calibri"/>
        </w:rPr>
        <w:t>–</w:t>
      </w:r>
      <w:r w:rsidRPr="31F26954">
        <w:rPr>
          <w:rFonts w:ascii="Calibri" w:eastAsia="Calibri" w:hAnsi="Calibri" w:cs="Calibri"/>
        </w:rPr>
        <w:t>1.31) for children and 0.64 (0.45</w:t>
      </w:r>
      <w:r w:rsidRPr="31F26954">
        <w:rPr>
          <w:rFonts w:ascii="Calibri" w:hAnsi="Calibri" w:cs="Calibri"/>
        </w:rPr>
        <w:t>–</w:t>
      </w:r>
      <w:r w:rsidRPr="31F26954">
        <w:rPr>
          <w:rFonts w:ascii="Calibri" w:eastAsia="Calibri" w:hAnsi="Calibri" w:cs="Calibri"/>
        </w:rPr>
        <w:t xml:space="preserve">0.91) for males in GBD 2019. These results were used to scale the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rPr>
        <w:t xml:space="preserve">mapping model fuel-type-specific predictions for these age and sex groups to calculate relative risks from the </w:t>
      </w:r>
      <w:r w:rsidRPr="31F26954">
        <w:rPr>
          <w:rFonts w:ascii="Calibri" w:eastAsia="Calibri" w:hAnsi="Calibri" w:cs="Calibri"/>
          <w:color w:val="000000" w:themeColor="text1"/>
        </w:rPr>
        <w:t>PM</w:t>
      </w:r>
      <w:r w:rsidRPr="31F26954">
        <w:rPr>
          <w:rFonts w:ascii="Calibri" w:eastAsia="Calibri" w:hAnsi="Calibri" w:cs="Calibri"/>
          <w:color w:val="000000" w:themeColor="text1"/>
          <w:vertAlign w:val="subscript"/>
        </w:rPr>
        <w:t xml:space="preserve">2.5 </w:t>
      </w:r>
      <w:r w:rsidRPr="31F26954">
        <w:rPr>
          <w:rFonts w:ascii="Calibri" w:eastAsia="Calibri" w:hAnsi="Calibri" w:cs="Calibri"/>
        </w:rPr>
        <w:t>risk curves.</w:t>
      </w:r>
    </w:p>
    <w:p w14:paraId="289AE69C" w14:textId="77777777" w:rsidR="004017B3" w:rsidRPr="00D856EF" w:rsidRDefault="004017B3" w:rsidP="31F26954">
      <w:pPr>
        <w:rPr>
          <w:b/>
          <w:bCs/>
        </w:rPr>
      </w:pPr>
      <w:r w:rsidRPr="00D856EF">
        <w:rPr>
          <w:b/>
          <w:bCs/>
        </w:rPr>
        <w:t>Population attributable fraction</w:t>
      </w:r>
    </w:p>
    <w:p w14:paraId="598DC86F" w14:textId="77777777" w:rsidR="004017B3" w:rsidRDefault="004017B3" w:rsidP="004017B3">
      <w:pPr>
        <w:rPr>
          <w:rFonts w:ascii="Calibri" w:eastAsia="Calibri" w:hAnsi="Calibri" w:cs="Calibri"/>
        </w:rPr>
      </w:pPr>
      <w:r w:rsidRPr="31F26954">
        <w:rPr>
          <w:rFonts w:ascii="Calibri" w:eastAsia="Calibri" w:hAnsi="Calibri" w:cs="Calibri"/>
        </w:rPr>
        <w:t>HAP population attributable fractions (PAFs) are calculated jointly with those for ambient particulate matter pollution. Details of PAF calculation, relative risks, and risk</w:t>
      </w:r>
      <w:r w:rsidRPr="31F26954">
        <w:rPr>
          <w:rFonts w:ascii="Calibri" w:eastAsia="Calibri" w:hAnsi="Calibri" w:cs="Calibri"/>
          <w:color w:val="000000" w:themeColor="text1"/>
          <w:sz w:val="20"/>
          <w:szCs w:val="20"/>
        </w:rPr>
        <w:t>–</w:t>
      </w:r>
      <w:r w:rsidRPr="31F26954">
        <w:rPr>
          <w:rFonts w:ascii="Calibri" w:eastAsia="Calibri" w:hAnsi="Calibri" w:cs="Calibri"/>
        </w:rPr>
        <w:t>outcome scores for all outcomes besides cataract are provided in the ambient particulate matter pollution appendix.</w:t>
      </w:r>
    </w:p>
    <w:p w14:paraId="2F4F3B64" w14:textId="77777777" w:rsidR="004017B3" w:rsidRPr="00D856EF" w:rsidRDefault="004017B3">
      <w:pPr>
        <w:rPr>
          <w:b/>
          <w:bCs/>
        </w:rPr>
      </w:pPr>
      <w:r w:rsidRPr="5677D41E">
        <w:rPr>
          <w:b/>
          <w:bCs/>
        </w:rPr>
        <w:t>References</w:t>
      </w:r>
    </w:p>
    <w:p w14:paraId="28CCEA20" w14:textId="07629C95" w:rsidR="00554B4D" w:rsidRPr="00C31303" w:rsidRDefault="003E011D" w:rsidP="5677D41E">
      <w:pPr>
        <w:pStyle w:val="ListParagraph"/>
        <w:rPr>
          <w:rFonts w:eastAsia="SimSun" w:cs="Times New Roman"/>
        </w:rPr>
      </w:pPr>
      <w:r w:rsidRPr="5677D41E">
        <w:rPr>
          <w:rFonts w:eastAsia="SimSun" w:cs="Times New Roman"/>
        </w:rPr>
        <w:t xml:space="preserve"> </w:t>
      </w:r>
    </w:p>
    <w:p w14:paraId="0DA648D8" w14:textId="77777777" w:rsidR="004017B3" w:rsidRDefault="004017B3" w:rsidP="31F26954">
      <w:pPr>
        <w:pStyle w:val="ListParagraph"/>
        <w:numPr>
          <w:ilvl w:val="0"/>
          <w:numId w:val="22"/>
        </w:numPr>
        <w:spacing w:after="0" w:line="240" w:lineRule="auto"/>
        <w:rPr>
          <w:rFonts w:eastAsiaTheme="minorEastAsia"/>
        </w:rPr>
      </w:pPr>
      <w:r>
        <w:t>World Health Organization (WHO). WHO Household Energy Database 1960-2017. Geneva, Switzerland: World Health Organization (WHO), 2019.</w:t>
      </w:r>
    </w:p>
    <w:p w14:paraId="3F452DF5" w14:textId="77777777" w:rsidR="004017B3" w:rsidRDefault="004017B3" w:rsidP="31F26954">
      <w:pPr>
        <w:pStyle w:val="ListParagraph"/>
        <w:numPr>
          <w:ilvl w:val="0"/>
          <w:numId w:val="22"/>
        </w:numPr>
        <w:spacing w:after="0" w:line="240" w:lineRule="auto"/>
        <w:rPr>
          <w:rFonts w:ascii="Calibri" w:eastAsia="Calibri" w:hAnsi="Calibri" w:cs="Calibri"/>
          <w:color w:val="000000" w:themeColor="text1"/>
        </w:rPr>
      </w:pPr>
      <w:r w:rsidRPr="31F26954">
        <w:rPr>
          <w:rFonts w:ascii="Calibri" w:eastAsia="Calibri" w:hAnsi="Calibri" w:cs="Calibri"/>
          <w:color w:val="000000" w:themeColor="text1"/>
        </w:rPr>
        <w:t xml:space="preserve">Zheng P, Barber R, Sorensen RJD, Murray CJL, Aravkin AY. Trimmed constrained mixed effects models: formulations and algorithms. </w:t>
      </w:r>
      <w:r w:rsidRPr="31F26954">
        <w:rPr>
          <w:rFonts w:ascii="Calibri" w:eastAsia="Calibri" w:hAnsi="Calibri" w:cs="Calibri"/>
          <w:i/>
          <w:iCs/>
          <w:color w:val="000000" w:themeColor="text1"/>
        </w:rPr>
        <w:t xml:space="preserve">J </w:t>
      </w:r>
      <w:proofErr w:type="spellStart"/>
      <w:r w:rsidRPr="31F26954">
        <w:rPr>
          <w:rFonts w:ascii="Calibri" w:eastAsia="Calibri" w:hAnsi="Calibri" w:cs="Calibri"/>
          <w:i/>
          <w:iCs/>
          <w:color w:val="000000" w:themeColor="text1"/>
        </w:rPr>
        <w:t>Comput</w:t>
      </w:r>
      <w:proofErr w:type="spellEnd"/>
      <w:r w:rsidRPr="31F26954">
        <w:rPr>
          <w:rFonts w:ascii="Calibri" w:eastAsia="Calibri" w:hAnsi="Calibri" w:cs="Calibri"/>
          <w:i/>
          <w:iCs/>
          <w:color w:val="000000" w:themeColor="text1"/>
        </w:rPr>
        <w:t xml:space="preserve"> Graph Stat</w:t>
      </w:r>
      <w:r w:rsidRPr="31F26954">
        <w:rPr>
          <w:rFonts w:ascii="Calibri" w:eastAsia="Calibri" w:hAnsi="Calibri" w:cs="Calibri"/>
          <w:color w:val="000000" w:themeColor="text1"/>
        </w:rPr>
        <w:t xml:space="preserve"> 2021; </w:t>
      </w:r>
      <w:r w:rsidRPr="31F26954">
        <w:rPr>
          <w:rFonts w:ascii="Calibri" w:eastAsia="Calibri" w:hAnsi="Calibri" w:cs="Calibri"/>
          <w:b/>
          <w:bCs/>
          <w:color w:val="000000" w:themeColor="text1"/>
        </w:rPr>
        <w:t>30</w:t>
      </w:r>
      <w:r w:rsidRPr="31F26954">
        <w:rPr>
          <w:rFonts w:ascii="Calibri" w:eastAsia="Calibri" w:hAnsi="Calibri" w:cs="Calibri"/>
          <w:color w:val="000000" w:themeColor="text1"/>
        </w:rPr>
        <w:t>: 544–56.</w:t>
      </w:r>
    </w:p>
    <w:p w14:paraId="5C00DF47" w14:textId="77777777" w:rsidR="004017B3" w:rsidRDefault="004017B3" w:rsidP="31F26954">
      <w:pPr>
        <w:pStyle w:val="ListParagraph"/>
        <w:numPr>
          <w:ilvl w:val="0"/>
          <w:numId w:val="22"/>
        </w:numPr>
        <w:spacing w:after="0" w:line="240" w:lineRule="auto"/>
        <w:rPr>
          <w:rFonts w:ascii="Calibri" w:eastAsia="Calibri" w:hAnsi="Calibri" w:cs="Calibri"/>
          <w:color w:val="000000" w:themeColor="text1"/>
        </w:rPr>
      </w:pPr>
      <w:r w:rsidRPr="5677D41E">
        <w:rPr>
          <w:rFonts w:ascii="Calibri" w:eastAsia="Calibri" w:hAnsi="Calibri" w:cs="Calibri"/>
          <w:color w:val="000000" w:themeColor="text1"/>
        </w:rPr>
        <w:t>GBD 2021 Risk Factors Collaborators. Global burden and strength of evidence for 88 risk factors in 204 countries and 811 subnational locations, 1990–2021: a systematic analysis for the Global Burden of Disease Study 2021. </w:t>
      </w:r>
      <w:r w:rsidRPr="5677D41E">
        <w:rPr>
          <w:rFonts w:ascii="Calibri" w:eastAsia="Calibri" w:hAnsi="Calibri" w:cs="Calibri"/>
          <w:i/>
          <w:iCs/>
          <w:color w:val="000000" w:themeColor="text1"/>
        </w:rPr>
        <w:t>Lancet</w:t>
      </w:r>
      <w:r w:rsidRPr="5677D41E">
        <w:rPr>
          <w:rFonts w:ascii="Calibri" w:eastAsia="Calibri" w:hAnsi="Calibri" w:cs="Calibri"/>
          <w:color w:val="000000" w:themeColor="text1"/>
        </w:rPr>
        <w:t> 2024; 403: 2162–203.</w:t>
      </w:r>
    </w:p>
    <w:p w14:paraId="64E2603A" w14:textId="77777777" w:rsidR="004017B3" w:rsidRDefault="004017B3" w:rsidP="31F26954">
      <w:pPr>
        <w:pStyle w:val="ListParagraph"/>
        <w:numPr>
          <w:ilvl w:val="0"/>
          <w:numId w:val="22"/>
        </w:numPr>
        <w:spacing w:after="0" w:line="240" w:lineRule="auto"/>
      </w:pPr>
      <w:r>
        <w:t xml:space="preserve">Zheng P, Afshin A, Biryukov S, </w:t>
      </w:r>
      <w:r w:rsidRPr="31F26954">
        <w:rPr>
          <w:i/>
          <w:iCs/>
        </w:rPr>
        <w:t>et al.</w:t>
      </w:r>
      <w:r>
        <w:t xml:space="preserve"> The Burden of Proof studies: assessing the evidence of risk. </w:t>
      </w:r>
      <w:r w:rsidRPr="31F26954">
        <w:rPr>
          <w:i/>
          <w:iCs/>
        </w:rPr>
        <w:t>Nat Med</w:t>
      </w:r>
      <w:r>
        <w:t xml:space="preserve"> 2022; </w:t>
      </w:r>
      <w:r w:rsidRPr="31F26954">
        <w:rPr>
          <w:b/>
          <w:bCs/>
        </w:rPr>
        <w:t>28</w:t>
      </w:r>
      <w:r>
        <w:t>: 2038–44.</w:t>
      </w:r>
    </w:p>
    <w:p w14:paraId="5B928103" w14:textId="77777777" w:rsidR="004017B3" w:rsidRDefault="004017B3" w:rsidP="31F26954">
      <w:pPr>
        <w:pStyle w:val="ListParagraph"/>
        <w:numPr>
          <w:ilvl w:val="0"/>
          <w:numId w:val="22"/>
        </w:numPr>
        <w:spacing w:after="0" w:line="240" w:lineRule="auto"/>
      </w:pPr>
      <w:proofErr w:type="spellStart"/>
      <w:r>
        <w:t>Shupler</w:t>
      </w:r>
      <w:proofErr w:type="spellEnd"/>
      <w:r>
        <w:t xml:space="preserve"> M, Balakrishnan K, Ghosh S, </w:t>
      </w:r>
      <w:r w:rsidRPr="31F26954">
        <w:rPr>
          <w:i/>
          <w:iCs/>
        </w:rPr>
        <w:t>et al</w:t>
      </w:r>
      <w:r>
        <w:t xml:space="preserve">. Global household air pollution database: Kitchen concentrations and personal exposures of particulate matter and carbon monoxide. </w:t>
      </w:r>
      <w:r w:rsidRPr="31F26954">
        <w:rPr>
          <w:i/>
          <w:iCs/>
        </w:rPr>
        <w:t>Data in Brief</w:t>
      </w:r>
      <w:r>
        <w:t xml:space="preserve"> 2018; </w:t>
      </w:r>
      <w:r w:rsidRPr="31F26954">
        <w:rPr>
          <w:b/>
          <w:bCs/>
        </w:rPr>
        <w:t>21</w:t>
      </w:r>
      <w:r>
        <w:t>: 1292–5.</w:t>
      </w:r>
    </w:p>
    <w:p w14:paraId="1E6C382B" w14:textId="77777777" w:rsidR="004017B3" w:rsidRDefault="004017B3" w:rsidP="31F26954">
      <w:pPr>
        <w:pStyle w:val="ListParagraph"/>
        <w:numPr>
          <w:ilvl w:val="0"/>
          <w:numId w:val="22"/>
        </w:numPr>
        <w:spacing w:after="0" w:line="240" w:lineRule="auto"/>
        <w:ind w:right="96"/>
        <w:rPr>
          <w:rFonts w:ascii="Calibri" w:eastAsia="Calibri" w:hAnsi="Calibri" w:cs="Calibri"/>
          <w:color w:val="000000" w:themeColor="text1"/>
        </w:rPr>
      </w:pPr>
      <w:proofErr w:type="spellStart"/>
      <w:r>
        <w:t>Shupler</w:t>
      </w:r>
      <w:proofErr w:type="spellEnd"/>
      <w:r>
        <w:t xml:space="preserve"> M, Hystad P, Birch A, Miller-</w:t>
      </w:r>
      <w:proofErr w:type="spellStart"/>
      <w:r>
        <w:t>Lionberg</w:t>
      </w:r>
      <w:proofErr w:type="spellEnd"/>
      <w:r>
        <w:t xml:space="preserve"> D, Jeronimo M, </w:t>
      </w:r>
      <w:proofErr w:type="spellStart"/>
      <w:r>
        <w:t>Arku</w:t>
      </w:r>
      <w:proofErr w:type="spellEnd"/>
      <w:r>
        <w:t xml:space="preserve"> R, </w:t>
      </w:r>
      <w:r w:rsidRPr="31F26954">
        <w:rPr>
          <w:i/>
          <w:iCs/>
        </w:rPr>
        <w:t>et al</w:t>
      </w:r>
      <w:r>
        <w:t xml:space="preserve">. Household and personal air pollution exposure measurements from 120 communities in eight countries: results from the PURE-AIR study. </w:t>
      </w:r>
      <w:r w:rsidRPr="31F26954">
        <w:rPr>
          <w:i/>
          <w:iCs/>
        </w:rPr>
        <w:t>Lancet Planetary Health</w:t>
      </w:r>
      <w:r>
        <w:t xml:space="preserve">. 2020; </w:t>
      </w:r>
      <w:r w:rsidRPr="31F26954">
        <w:rPr>
          <w:b/>
          <w:bCs/>
        </w:rPr>
        <w:t>4</w:t>
      </w:r>
      <w:r>
        <w:t>(10): E451-E462.</w:t>
      </w:r>
    </w:p>
    <w:p w14:paraId="6B097AF2" w14:textId="77777777" w:rsidR="004017B3" w:rsidRDefault="004017B3" w:rsidP="00A759B4"/>
    <w:p w14:paraId="4291669F" w14:textId="7C87399C" w:rsidR="00A759B4" w:rsidRPr="00A759B4" w:rsidRDefault="00A759B4" w:rsidP="31F26954">
      <w:pPr>
        <w:sectPr w:rsidR="00A759B4" w:rsidRPr="00A759B4" w:rsidSect="00C31303">
          <w:pgSz w:w="12240" w:h="15840"/>
          <w:pgMar w:top="1440" w:right="1440" w:bottom="1440" w:left="1440" w:header="720" w:footer="720" w:gutter="0"/>
          <w:cols w:space="720"/>
          <w:docGrid w:linePitch="299"/>
        </w:sectPr>
      </w:pPr>
      <w:bookmarkStart w:id="78" w:name="_Hlk152084510"/>
      <w:bookmarkEnd w:id="77"/>
      <w:bookmarkEnd w:id="78"/>
    </w:p>
    <w:p w14:paraId="73DD053A" w14:textId="0DC85807" w:rsidR="00D856EF" w:rsidRDefault="00A759B4" w:rsidP="00D856EF">
      <w:pPr>
        <w:pStyle w:val="Heading2"/>
      </w:pPr>
      <w:bookmarkStart w:id="79" w:name="_Toc164260264"/>
      <w:bookmarkStart w:id="80" w:name="_Toc213357093"/>
      <w:r w:rsidRPr="00A759B4">
        <w:t>Low birthweight and short gestation</w:t>
      </w:r>
      <w:bookmarkEnd w:id="79"/>
      <w:bookmarkEnd w:id="80"/>
    </w:p>
    <w:p w14:paraId="13FEAD4E" w14:textId="72C67C39" w:rsidR="00C665B7" w:rsidRDefault="00D856EF" w:rsidP="00D856EF">
      <w:r>
        <w:rPr>
          <w:noProof/>
        </w:rPr>
        <w:drawing>
          <wp:anchor distT="0" distB="0" distL="114300" distR="114300" simplePos="0" relativeHeight="251658241" behindDoc="0" locked="0" layoutInCell="1" allowOverlap="1" wp14:anchorId="66561EE8" wp14:editId="7D3FA85D">
            <wp:simplePos x="0" y="0"/>
            <wp:positionH relativeFrom="margin">
              <wp:posOffset>1266825</wp:posOffset>
            </wp:positionH>
            <wp:positionV relativeFrom="paragraph">
              <wp:posOffset>677545</wp:posOffset>
            </wp:positionV>
            <wp:extent cx="4324350" cy="7296150"/>
            <wp:effectExtent l="0" t="0" r="0" b="0"/>
            <wp:wrapTopAndBottom/>
            <wp:docPr id="1909425821" name="Picture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25821" name="Picture 3" descr="A diagram of a flowchart&#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4350" cy="7296150"/>
                    </a:xfrm>
                    <a:prstGeom prst="rect">
                      <a:avLst/>
                    </a:prstGeom>
                    <a:noFill/>
                  </pic:spPr>
                </pic:pic>
              </a:graphicData>
            </a:graphic>
            <wp14:sizeRelH relativeFrom="page">
              <wp14:pctWidth>0</wp14:pctWidth>
            </wp14:sizeRelH>
            <wp14:sizeRelV relativeFrom="page">
              <wp14:pctHeight>0</wp14:pctHeight>
            </wp14:sizeRelV>
          </wp:anchor>
        </w:drawing>
      </w:r>
      <w:r>
        <w:t>Flowchart</w:t>
      </w:r>
      <w:r w:rsidR="00C665B7">
        <w:t xml:space="preserve"> </w:t>
      </w:r>
    </w:p>
    <w:p w14:paraId="2C4B553D" w14:textId="77777777" w:rsidR="00C665B7" w:rsidRDefault="00C665B7" w:rsidP="00C665B7">
      <w:pPr>
        <w:spacing w:after="0"/>
        <w:sectPr w:rsidR="00C665B7" w:rsidSect="00C665B7">
          <w:pgSz w:w="12240" w:h="15840"/>
          <w:pgMar w:top="1440" w:right="1440" w:bottom="720" w:left="1440" w:header="720" w:footer="720" w:gutter="0"/>
          <w:cols w:space="720"/>
        </w:sectPr>
      </w:pPr>
    </w:p>
    <w:p w14:paraId="6111DF13" w14:textId="77777777" w:rsidR="00C665B7" w:rsidRPr="00D005C1" w:rsidRDefault="00C665B7" w:rsidP="00C31303">
      <w:pPr>
        <w:rPr>
          <w:b/>
          <w:bCs/>
        </w:rPr>
      </w:pPr>
      <w:r w:rsidRPr="00D005C1">
        <w:rPr>
          <w:b/>
          <w:bCs/>
        </w:rPr>
        <w:t>Input data and methodological summary</w:t>
      </w:r>
    </w:p>
    <w:p w14:paraId="05A7B48C" w14:textId="77777777" w:rsidR="00C665B7" w:rsidRDefault="00C665B7" w:rsidP="00C665B7">
      <w:pPr>
        <w:spacing w:line="240" w:lineRule="auto"/>
      </w:pPr>
      <w:r>
        <w:rPr>
          <w:rFonts w:ascii="Calibri" w:eastAsia="Calibri" w:hAnsi="Calibri" w:cs="Calibri"/>
        </w:rPr>
        <w:t xml:space="preserve">Low birthweight and preterm birth are highly correlated risk factors associated with poor child health outcomes. The “low birthweight and short gestation” (LBWSG) risk factor quantifies the burden of disease attributable to increased risk of death and disability due to 1) less than ideal birthweight (“low birthweight”) and 2) shorter than ideal length of gestation (“short gestation”).  </w:t>
      </w:r>
    </w:p>
    <w:p w14:paraId="0DC60DC5" w14:textId="77777777" w:rsidR="00C665B7" w:rsidRDefault="00C665B7" w:rsidP="00C665B7">
      <w:pPr>
        <w:spacing w:line="240" w:lineRule="auto"/>
      </w:pPr>
      <w:r>
        <w:rPr>
          <w:rFonts w:ascii="Calibri" w:eastAsia="Calibri" w:hAnsi="Calibri" w:cs="Calibri"/>
        </w:rPr>
        <w:t xml:space="preserve">Within GBD, attributable burden is generally estimated separately for each individual risk factor, but the combined burden attributable to multiple risk factors is of general interest. In GBD, attributable burden due to multiple risk factors is typically estimated through a “mediation analysis” that is applied after independent estimation of each risk factor’s exposure, relative risk, theoretical minimum risk exposure level (TMREL), and population attributable fraction (PAF). In the mediation analysis, a “mediation factor” adjusts the PAF of each risk factor by the amount of attributable burden mediated through the other GBD risk factors. While mediation may be common, direct quantification of the joint exposure, relative risk, and PAF of the combined risk factors is conceptually more straightforward. </w:t>
      </w:r>
    </w:p>
    <w:p w14:paraId="020AE6CF" w14:textId="77777777" w:rsidR="00C665B7" w:rsidRDefault="00C665B7" w:rsidP="00C665B7">
      <w:pPr>
        <w:spacing w:line="240" w:lineRule="auto"/>
        <w:rPr>
          <w:rFonts w:ascii="Calibri" w:eastAsia="Calibri" w:hAnsi="Calibri" w:cs="Calibri"/>
        </w:rPr>
      </w:pPr>
      <w:r>
        <w:rPr>
          <w:rFonts w:ascii="Calibri" w:eastAsia="Calibri" w:hAnsi="Calibri" w:cs="Calibri"/>
        </w:rPr>
        <w:t>In GBD 2016, LBWSG became the first group of GBD risk factors in which combined attributable burden is quantified by direct estimation of the joint exposure, relative risk, TMREL, and PAF of multiple risk factors. After first directly estimating the joint exposure, relative risk, TMREL, and PAF of birthweight and</w:t>
      </w:r>
      <w:r>
        <w:rPr>
          <w:rFonts w:ascii="Calibri" w:eastAsia="Calibri" w:hAnsi="Calibri" w:cs="Calibri"/>
          <w:i/>
          <w:iCs/>
        </w:rPr>
        <w:t xml:space="preserve"> </w:t>
      </w:r>
      <w:r>
        <w:rPr>
          <w:rFonts w:ascii="Calibri" w:eastAsia="Calibri" w:hAnsi="Calibri" w:cs="Calibri"/>
        </w:rPr>
        <w:t>gestational age together, we then separate out the independent PAFs due to birthweight only or gestational age only. Because of this modelling strategy, the joint GBD risk factor quantifying the burden of disease due to both less than ideal birthweight (“low birthweight”) and shorter than ideal gestational age (“short gestation”) is grouped into a single “parent” risk factor termed “low birthweight and short gestation.” LBWSG is disaggregated into two “child” risk factors: “low birthweight” and “short gestation”. Low birthweight quantifies the burden of disease attributable to less than ideal birthweight, after adjusting for the influence of gestational age. Likewise, short gestation quantifies the burden of disease attributable to shortened gestational age, after adjusting for the influence of birthweight.</w:t>
      </w:r>
    </w:p>
    <w:p w14:paraId="77453510" w14:textId="77777777" w:rsidR="00C665B7" w:rsidRDefault="00C665B7" w:rsidP="00C665B7">
      <w:pPr>
        <w:spacing w:line="240" w:lineRule="auto"/>
        <w:rPr>
          <w:rFonts w:ascii="Calibri" w:eastAsia="Calibri" w:hAnsi="Calibri" w:cs="Calibri"/>
        </w:rPr>
      </w:pPr>
      <w:r>
        <w:rPr>
          <w:rFonts w:ascii="Calibri" w:eastAsia="Calibri" w:hAnsi="Calibri" w:cs="Calibri"/>
        </w:rPr>
        <w:t>Ideally, the model for joint exposure and joint relative risk would be fully continuous. To simplify the computation for the analysis, a grid of 500-gram and two-week units (“bins”) is used as the birthweight and gestational age dimensions and to approximate a fully continuous joint distribution model (see Figure 1).</w:t>
      </w:r>
    </w:p>
    <w:p w14:paraId="3511AAEA" w14:textId="77777777" w:rsidR="00C665B7" w:rsidRDefault="00C665B7" w:rsidP="00C665B7">
      <w:pPr>
        <w:rPr>
          <w:b/>
          <w:bCs/>
        </w:rPr>
      </w:pPr>
      <w:r>
        <w:rPr>
          <w:b/>
          <w:bCs/>
        </w:rPr>
        <w:t xml:space="preserve">Figure </w:t>
      </w:r>
      <w:r>
        <w:rPr>
          <w:b/>
          <w:bCs/>
        </w:rPr>
        <w:fldChar w:fldCharType="begin"/>
      </w:r>
      <w:r>
        <w:rPr>
          <w:b/>
          <w:bCs/>
        </w:rPr>
        <w:instrText xml:space="preserve"> SEQ Figure \* ARABIC </w:instrText>
      </w:r>
      <w:r>
        <w:rPr>
          <w:b/>
          <w:bCs/>
        </w:rPr>
        <w:fldChar w:fldCharType="separate"/>
      </w:r>
      <w:r>
        <w:rPr>
          <w:b/>
          <w:bCs/>
          <w:noProof/>
        </w:rPr>
        <w:t>1</w:t>
      </w:r>
      <w:r>
        <w:rPr>
          <w:b/>
          <w:bCs/>
        </w:rPr>
        <w:fldChar w:fldCharType="end"/>
      </w:r>
      <w:r>
        <w:rPr>
          <w:b/>
          <w:bCs/>
        </w:rPr>
        <w:t>: Fully continuous analysis of joint gestational age and birthweight (left) is approximated with a grid of birthweight and gestational age with 500-gram and two-week “bins” (right)</w:t>
      </w:r>
    </w:p>
    <w:p w14:paraId="01D6A668" w14:textId="70617355" w:rsidR="00C665B7" w:rsidRDefault="00C665B7" w:rsidP="00C665B7">
      <w:pPr>
        <w:keepNext/>
      </w:pPr>
      <w:r>
        <w:rPr>
          <w:noProof/>
        </w:rPr>
        <w:drawing>
          <wp:inline distT="0" distB="0" distL="0" distR="0" wp14:anchorId="10EC9AAD" wp14:editId="53C9200C">
            <wp:extent cx="5295900" cy="2371725"/>
            <wp:effectExtent l="0" t="0" r="0" b="9525"/>
            <wp:docPr id="280324092" name="Picture 2" descr="A diagram of a graph showing a weight and gestational 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24092" name="Picture 2" descr="A diagram of a graph showing a weight and gestational ag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95900" cy="2371725"/>
                    </a:xfrm>
                    <a:prstGeom prst="rect">
                      <a:avLst/>
                    </a:prstGeom>
                    <a:noFill/>
                    <a:ln>
                      <a:noFill/>
                    </a:ln>
                  </pic:spPr>
                </pic:pic>
              </a:graphicData>
            </a:graphic>
          </wp:inline>
        </w:drawing>
      </w:r>
    </w:p>
    <w:p w14:paraId="22BA9DA1" w14:textId="77777777" w:rsidR="00C665B7" w:rsidRDefault="00C665B7" w:rsidP="00C665B7">
      <w:pPr>
        <w:spacing w:line="256" w:lineRule="auto"/>
        <w:rPr>
          <w:rFonts w:asciiTheme="majorHAnsi" w:eastAsiaTheme="majorEastAsia" w:hAnsiTheme="majorHAnsi" w:cstheme="majorBidi"/>
          <w:color w:val="2F5496" w:themeColor="accent1" w:themeShade="BF"/>
          <w:sz w:val="24"/>
          <w:szCs w:val="24"/>
        </w:rPr>
      </w:pPr>
      <w:r>
        <w:rPr>
          <w:color w:val="2F5496" w:themeColor="accent1" w:themeShade="BF"/>
        </w:rPr>
        <w:br w:type="page"/>
      </w:r>
    </w:p>
    <w:p w14:paraId="6C3DE5A8" w14:textId="77777777" w:rsidR="00C665B7" w:rsidRPr="00D005C1" w:rsidRDefault="00C665B7" w:rsidP="00C31303">
      <w:pPr>
        <w:rPr>
          <w:b/>
          <w:bCs/>
        </w:rPr>
      </w:pPr>
      <w:r w:rsidRPr="00D005C1">
        <w:rPr>
          <w:b/>
          <w:bCs/>
        </w:rPr>
        <w:t>Case definition</w:t>
      </w:r>
    </w:p>
    <w:p w14:paraId="1DA04968" w14:textId="77777777" w:rsidR="00C665B7" w:rsidRDefault="00C665B7" w:rsidP="00C665B7">
      <w:r>
        <w:t xml:space="preserve"> “Low birthweight” has historically referred to any birthweight less than 2500 grams, </w:t>
      </w:r>
      <w:proofErr w:type="spellStart"/>
      <w:r>
        <w:t>dichotomising</w:t>
      </w:r>
      <w:proofErr w:type="spellEnd"/>
      <w:r>
        <w:t xml:space="preserve"> birthweight into two categories: “normal” and “low”. In the context of the GBD LBWSG risk factor, low birthweight refers to any birthweight less than the birthweight TMREL (the birthweight that </w:t>
      </w:r>
      <w:proofErr w:type="spellStart"/>
      <w:r>
        <w:t>minimises</w:t>
      </w:r>
      <w:proofErr w:type="spellEnd"/>
      <w:r>
        <w:t xml:space="preserve"> risk at the population level). Because LBWSG is estimated in a grid of 500-gram and two-week bins, any 500-gram birthweight unit less than the TMREL, which was determined as [38, 40) weeks and [3500, 4000) g for the LBWSG parent risk factor, is considered “low birthweight”. This includes, for example, birthweight of [2500, 3000) grams, which the traditional, dichotomous definition of “low birthweight” would not include.  </w:t>
      </w:r>
    </w:p>
    <w:p w14:paraId="292CD97F" w14:textId="77777777" w:rsidR="00C665B7" w:rsidRDefault="00C665B7" w:rsidP="00C665B7">
      <w:r>
        <w:t xml:space="preserve">Like birthweight, gestational age is typically classified into broad categories. “Preterm” is used to describe any newborn baby born less than 37 completed weeks of gestation. In the GBD context, “short gestation” is used to refer to all gestational ages below the gestational age TMREL. </w:t>
      </w:r>
    </w:p>
    <w:p w14:paraId="38A0B840" w14:textId="77777777" w:rsidR="00C665B7" w:rsidRPr="00D005C1" w:rsidRDefault="00C665B7" w:rsidP="00C665B7">
      <w:pPr>
        <w:spacing w:after="0" w:line="240" w:lineRule="auto"/>
        <w:rPr>
          <w:rFonts w:asciiTheme="majorHAnsi" w:hAnsiTheme="majorHAnsi" w:cstheme="majorHAnsi"/>
          <w:b/>
          <w:bCs/>
          <w:sz w:val="24"/>
          <w:szCs w:val="24"/>
        </w:rPr>
      </w:pPr>
      <w:r w:rsidRPr="00D005C1">
        <w:rPr>
          <w:rFonts w:asciiTheme="majorHAnsi" w:hAnsiTheme="majorHAnsi" w:cstheme="majorHAnsi"/>
          <w:b/>
          <w:bCs/>
          <w:sz w:val="24"/>
          <w:szCs w:val="24"/>
        </w:rPr>
        <w:t>Exposure</w:t>
      </w:r>
    </w:p>
    <w:p w14:paraId="08C9444C" w14:textId="77777777" w:rsidR="00C665B7" w:rsidRDefault="00C665B7" w:rsidP="00C665B7">
      <w:pPr>
        <w:spacing w:line="240" w:lineRule="auto"/>
        <w:rPr>
          <w:rFonts w:cstheme="minorHAnsi"/>
        </w:rPr>
      </w:pPr>
      <w:r>
        <w:rPr>
          <w:rFonts w:cstheme="minorHAnsi"/>
        </w:rPr>
        <w:t xml:space="preserve">In LBWSG, exposure refers to the portion of the joint distribution of gestational age and birthweight less than the TMREL, by location/year/sex (l/y/s), from birth to the end of the neonatal period. Modelling LBWSG exposure can be </w:t>
      </w:r>
      <w:proofErr w:type="spellStart"/>
      <w:r>
        <w:rPr>
          <w:rFonts w:cstheme="minorHAnsi"/>
        </w:rPr>
        <w:t>summarised</w:t>
      </w:r>
      <w:proofErr w:type="spellEnd"/>
      <w:r>
        <w:rPr>
          <w:rFonts w:cstheme="minorHAnsi"/>
        </w:rPr>
        <w:t xml:space="preserve"> in three steps:</w:t>
      </w:r>
    </w:p>
    <w:p w14:paraId="2C4DD14E" w14:textId="77777777" w:rsidR="00C665B7" w:rsidRDefault="00C665B7" w:rsidP="00C665B7">
      <w:pPr>
        <w:pStyle w:val="ListParagraph"/>
        <w:numPr>
          <w:ilvl w:val="0"/>
          <w:numId w:val="6"/>
        </w:numPr>
        <w:spacing w:after="0" w:line="240" w:lineRule="auto"/>
        <w:contextualSpacing w:val="0"/>
        <w:rPr>
          <w:rFonts w:cstheme="minorHAnsi"/>
        </w:rPr>
      </w:pPr>
      <w:r>
        <w:rPr>
          <w:rFonts w:cstheme="minorHAnsi"/>
        </w:rPr>
        <w:t xml:space="preserve">Model univariate gestational age and birthweight distributions at birth, by l/y/s </w:t>
      </w:r>
    </w:p>
    <w:p w14:paraId="406371EE" w14:textId="77777777" w:rsidR="00C665B7" w:rsidRDefault="00C665B7" w:rsidP="00C665B7">
      <w:pPr>
        <w:pStyle w:val="ListParagraph"/>
        <w:numPr>
          <w:ilvl w:val="0"/>
          <w:numId w:val="6"/>
        </w:numPr>
        <w:spacing w:after="0" w:line="240" w:lineRule="auto"/>
        <w:contextualSpacing w:val="0"/>
        <w:rPr>
          <w:rFonts w:cstheme="minorHAnsi"/>
        </w:rPr>
      </w:pPr>
      <w:r>
        <w:rPr>
          <w:rFonts w:cstheme="minorHAnsi"/>
        </w:rPr>
        <w:t xml:space="preserve">Model joint distributions of gestational age and birthweight at birth, by l/y/s </w:t>
      </w:r>
    </w:p>
    <w:p w14:paraId="42169413" w14:textId="77777777" w:rsidR="00C665B7" w:rsidRDefault="00C665B7" w:rsidP="00C665B7">
      <w:pPr>
        <w:pStyle w:val="ListParagraph"/>
        <w:numPr>
          <w:ilvl w:val="0"/>
          <w:numId w:val="6"/>
        </w:numPr>
        <w:spacing w:after="0" w:line="240" w:lineRule="auto"/>
        <w:contextualSpacing w:val="0"/>
        <w:rPr>
          <w:rFonts w:cstheme="minorHAnsi"/>
        </w:rPr>
      </w:pPr>
      <w:r>
        <w:rPr>
          <w:rFonts w:cstheme="minorHAnsi"/>
        </w:rPr>
        <w:t>Model joint distributions from birth to the end of the neonatal period, by l/y/s</w:t>
      </w:r>
    </w:p>
    <w:p w14:paraId="773B63DB" w14:textId="77777777" w:rsidR="00C665B7" w:rsidRDefault="00C665B7" w:rsidP="00C665B7">
      <w:pPr>
        <w:pStyle w:val="ListParagraph"/>
        <w:rPr>
          <w:rFonts w:cstheme="minorHAnsi"/>
        </w:rPr>
      </w:pPr>
    </w:p>
    <w:p w14:paraId="3C72C949" w14:textId="77777777" w:rsidR="00C665B7" w:rsidRDefault="00C665B7" w:rsidP="00C665B7">
      <w:pPr>
        <w:spacing w:line="240" w:lineRule="auto"/>
        <w:rPr>
          <w:rFonts w:cstheme="minorHAnsi"/>
          <w:b/>
        </w:rPr>
      </w:pPr>
      <w:r>
        <w:rPr>
          <w:rFonts w:cstheme="minorHAnsi"/>
          <w:b/>
        </w:rPr>
        <w:t>Table 1: Analytic steps in estimation of YLDs due to preterm birth</w:t>
      </w:r>
    </w:p>
    <w:tbl>
      <w:tblPr>
        <w:tblStyle w:val="TableGrid"/>
        <w:tblW w:w="9895" w:type="dxa"/>
        <w:tblLook w:val="0620" w:firstRow="1" w:lastRow="0" w:firstColumn="0" w:lastColumn="0" w:noHBand="1" w:noVBand="1"/>
      </w:tblPr>
      <w:tblGrid>
        <w:gridCol w:w="2066"/>
        <w:gridCol w:w="7829"/>
      </w:tblGrid>
      <w:tr w:rsidR="00C665B7" w14:paraId="419F849C" w14:textId="77777777" w:rsidTr="00C665B7">
        <w:tc>
          <w:tcPr>
            <w:tcW w:w="0" w:type="auto"/>
            <w:tcBorders>
              <w:top w:val="single" w:sz="4" w:space="0" w:color="auto"/>
              <w:left w:val="single" w:sz="4" w:space="0" w:color="auto"/>
              <w:bottom w:val="single" w:sz="4" w:space="0" w:color="auto"/>
              <w:right w:val="single" w:sz="4" w:space="0" w:color="auto"/>
            </w:tcBorders>
          </w:tcPr>
          <w:p w14:paraId="1AA0D1C2" w14:textId="77777777" w:rsidR="00C665B7" w:rsidRDefault="00C665B7">
            <w:pPr>
              <w:jc w:val="center"/>
              <w:rPr>
                <w:rFonts w:cstheme="minorHAnsi"/>
              </w:rPr>
            </w:pPr>
          </w:p>
        </w:tc>
        <w:tc>
          <w:tcPr>
            <w:tcW w:w="7829" w:type="dxa"/>
            <w:tcBorders>
              <w:top w:val="single" w:sz="4" w:space="0" w:color="auto"/>
              <w:left w:val="single" w:sz="4" w:space="0" w:color="auto"/>
              <w:bottom w:val="single" w:sz="4" w:space="0" w:color="auto"/>
              <w:right w:val="single" w:sz="4" w:space="0" w:color="auto"/>
            </w:tcBorders>
            <w:hideMark/>
          </w:tcPr>
          <w:p w14:paraId="269BC9F5" w14:textId="77777777" w:rsidR="00C665B7" w:rsidRDefault="00C665B7">
            <w:pPr>
              <w:jc w:val="center"/>
              <w:rPr>
                <w:rFonts w:cstheme="minorHAnsi"/>
              </w:rPr>
            </w:pPr>
            <w:r>
              <w:rPr>
                <w:rFonts w:cstheme="minorHAnsi"/>
              </w:rPr>
              <w:t>Summary of exposure modelling strategy</w:t>
            </w:r>
          </w:p>
        </w:tc>
      </w:tr>
      <w:tr w:rsidR="00C665B7" w14:paraId="22BE66B0" w14:textId="77777777" w:rsidTr="00C665B7">
        <w:trPr>
          <w:trHeight w:val="917"/>
        </w:trPr>
        <w:tc>
          <w:tcPr>
            <w:tcW w:w="0" w:type="auto"/>
            <w:tcBorders>
              <w:top w:val="single" w:sz="4" w:space="0" w:color="auto"/>
              <w:left w:val="single" w:sz="4" w:space="0" w:color="auto"/>
              <w:bottom w:val="single" w:sz="4" w:space="0" w:color="auto"/>
              <w:right w:val="single" w:sz="4" w:space="0" w:color="auto"/>
            </w:tcBorders>
            <w:vAlign w:val="center"/>
            <w:hideMark/>
          </w:tcPr>
          <w:p w14:paraId="1FAF2EE3" w14:textId="77777777" w:rsidR="00C665B7" w:rsidRDefault="00C665B7">
            <w:pPr>
              <w:jc w:val="center"/>
              <w:rPr>
                <w:rFonts w:cstheme="minorHAnsi"/>
                <w:b/>
              </w:rPr>
            </w:pPr>
            <w:r>
              <w:rPr>
                <w:rFonts w:cstheme="minorHAnsi"/>
                <w:b/>
              </w:rPr>
              <w:t>Step A</w:t>
            </w:r>
          </w:p>
          <w:p w14:paraId="1EA6889E" w14:textId="77777777" w:rsidR="00C665B7" w:rsidRDefault="00C665B7">
            <w:pPr>
              <w:jc w:val="center"/>
              <w:rPr>
                <w:rFonts w:cstheme="minorHAnsi"/>
              </w:rPr>
            </w:pPr>
            <w:r>
              <w:rPr>
                <w:rFonts w:cstheme="minorHAnsi"/>
              </w:rPr>
              <w:t xml:space="preserve">Model univariate distributions at birth </w:t>
            </w:r>
          </w:p>
        </w:tc>
        <w:tc>
          <w:tcPr>
            <w:tcW w:w="7829" w:type="dxa"/>
            <w:tcBorders>
              <w:top w:val="single" w:sz="4" w:space="0" w:color="auto"/>
              <w:left w:val="single" w:sz="4" w:space="0" w:color="auto"/>
              <w:bottom w:val="single" w:sz="4" w:space="0" w:color="auto"/>
              <w:right w:val="single" w:sz="4" w:space="0" w:color="auto"/>
            </w:tcBorders>
            <w:hideMark/>
          </w:tcPr>
          <w:p w14:paraId="75D3DA2E" w14:textId="77777777" w:rsidR="00C665B7" w:rsidRDefault="00C665B7" w:rsidP="00C665B7">
            <w:pPr>
              <w:pStyle w:val="ListParagraph"/>
              <w:numPr>
                <w:ilvl w:val="0"/>
                <w:numId w:val="7"/>
              </w:numPr>
              <w:ind w:left="520"/>
              <w:contextualSpacing w:val="0"/>
              <w:rPr>
                <w:rFonts w:cstheme="minorHAnsi"/>
              </w:rPr>
            </w:pPr>
            <w:r>
              <w:rPr>
                <w:rFonts w:cstheme="minorHAnsi"/>
              </w:rPr>
              <w:t>Model mean gestational age, prevalence of gestational age &lt;28 weeks, and prevalence of gestational age &lt;37 weeks, by l/y/s</w:t>
            </w:r>
          </w:p>
          <w:p w14:paraId="5B660D2C" w14:textId="77777777" w:rsidR="00C665B7" w:rsidRDefault="00C665B7" w:rsidP="00C665B7">
            <w:pPr>
              <w:pStyle w:val="ListParagraph"/>
              <w:numPr>
                <w:ilvl w:val="0"/>
                <w:numId w:val="7"/>
              </w:numPr>
              <w:ind w:left="520"/>
              <w:contextualSpacing w:val="0"/>
              <w:rPr>
                <w:rFonts w:cstheme="minorHAnsi"/>
              </w:rPr>
            </w:pPr>
            <w:r>
              <w:rPr>
                <w:rFonts w:cstheme="minorHAnsi"/>
              </w:rPr>
              <w:t>Model mean birthweight and prevalence of birthweight &lt;2500 grams, by l/y/s</w:t>
            </w:r>
          </w:p>
          <w:p w14:paraId="75143190" w14:textId="77777777" w:rsidR="00C665B7" w:rsidRDefault="00C665B7" w:rsidP="00C665B7">
            <w:pPr>
              <w:pStyle w:val="ListParagraph"/>
              <w:numPr>
                <w:ilvl w:val="0"/>
                <w:numId w:val="7"/>
              </w:numPr>
              <w:ind w:left="520"/>
              <w:contextualSpacing w:val="0"/>
              <w:rPr>
                <w:rFonts w:cstheme="minorHAnsi"/>
              </w:rPr>
            </w:pPr>
            <w:r>
              <w:rPr>
                <w:rFonts w:cstheme="minorHAnsi"/>
              </w:rPr>
              <w:t>Model univariate gestational age and birthweight distributions separately at birth, by l/y/s</w:t>
            </w:r>
          </w:p>
        </w:tc>
      </w:tr>
      <w:tr w:rsidR="00C665B7" w14:paraId="030E088A" w14:textId="77777777" w:rsidTr="00C665B7">
        <w:trPr>
          <w:trHeight w:val="917"/>
        </w:trPr>
        <w:tc>
          <w:tcPr>
            <w:tcW w:w="0" w:type="auto"/>
            <w:tcBorders>
              <w:top w:val="single" w:sz="4" w:space="0" w:color="auto"/>
              <w:left w:val="single" w:sz="4" w:space="0" w:color="auto"/>
              <w:bottom w:val="single" w:sz="4" w:space="0" w:color="auto"/>
              <w:right w:val="single" w:sz="4" w:space="0" w:color="auto"/>
            </w:tcBorders>
            <w:vAlign w:val="center"/>
            <w:hideMark/>
          </w:tcPr>
          <w:p w14:paraId="7D762DB3" w14:textId="77777777" w:rsidR="00C665B7" w:rsidRDefault="00C665B7">
            <w:pPr>
              <w:jc w:val="center"/>
              <w:rPr>
                <w:rFonts w:cstheme="minorHAnsi"/>
                <w:b/>
              </w:rPr>
            </w:pPr>
            <w:r>
              <w:rPr>
                <w:rFonts w:cstheme="minorHAnsi"/>
                <w:b/>
              </w:rPr>
              <w:t>Step B</w:t>
            </w:r>
          </w:p>
          <w:p w14:paraId="39C41BF9" w14:textId="77777777" w:rsidR="00C665B7" w:rsidRDefault="00C665B7">
            <w:pPr>
              <w:jc w:val="center"/>
              <w:rPr>
                <w:rFonts w:cstheme="minorHAnsi"/>
              </w:rPr>
            </w:pPr>
            <w:r>
              <w:rPr>
                <w:rFonts w:cstheme="minorHAnsi"/>
              </w:rPr>
              <w:t>Model joint distributions at birth</w:t>
            </w:r>
          </w:p>
        </w:tc>
        <w:tc>
          <w:tcPr>
            <w:tcW w:w="7829" w:type="dxa"/>
            <w:tcBorders>
              <w:top w:val="single" w:sz="4" w:space="0" w:color="auto"/>
              <w:left w:val="single" w:sz="4" w:space="0" w:color="auto"/>
              <w:bottom w:val="single" w:sz="4" w:space="0" w:color="auto"/>
              <w:right w:val="single" w:sz="4" w:space="0" w:color="auto"/>
            </w:tcBorders>
            <w:hideMark/>
          </w:tcPr>
          <w:p w14:paraId="3371E152" w14:textId="77777777" w:rsidR="00C665B7" w:rsidRDefault="00C665B7" w:rsidP="00C665B7">
            <w:pPr>
              <w:pStyle w:val="ListParagraph"/>
              <w:numPr>
                <w:ilvl w:val="0"/>
                <w:numId w:val="8"/>
              </w:numPr>
              <w:ind w:left="520"/>
              <w:contextualSpacing w:val="0"/>
              <w:rPr>
                <w:rFonts w:cstheme="minorHAnsi"/>
              </w:rPr>
            </w:pPr>
            <w:r>
              <w:rPr>
                <w:rFonts w:cstheme="minorHAnsi"/>
              </w:rPr>
              <w:t xml:space="preserve">Use </w:t>
            </w:r>
            <w:proofErr w:type="spellStart"/>
            <w:r>
              <w:rPr>
                <w:rFonts w:cstheme="minorHAnsi"/>
              </w:rPr>
              <w:t>copulae</w:t>
            </w:r>
            <w:proofErr w:type="spellEnd"/>
            <w:r>
              <w:rPr>
                <w:rFonts w:cstheme="minorHAnsi"/>
              </w:rPr>
              <w:t xml:space="preserve"> to model the correlation structure of the joint distribution of gestational age and birthweight, globally</w:t>
            </w:r>
          </w:p>
          <w:p w14:paraId="32DDD3AB" w14:textId="77777777" w:rsidR="00C665B7" w:rsidRDefault="00C665B7" w:rsidP="00C665B7">
            <w:pPr>
              <w:pStyle w:val="ListParagraph"/>
              <w:numPr>
                <w:ilvl w:val="0"/>
                <w:numId w:val="8"/>
              </w:numPr>
              <w:ind w:left="520"/>
              <w:contextualSpacing w:val="0"/>
              <w:rPr>
                <w:rFonts w:cstheme="minorHAnsi"/>
              </w:rPr>
            </w:pPr>
            <w:r>
              <w:rPr>
                <w:rFonts w:cstheme="minorHAnsi"/>
              </w:rPr>
              <w:t xml:space="preserve">Model the joint distribution of gestational age and birthweight, by location/year/sex at birth, by applying the globally modelled correlation structure to the location/year/sex-specific univariate models of gestational age and birthweight distributions </w:t>
            </w:r>
          </w:p>
        </w:tc>
      </w:tr>
      <w:tr w:rsidR="00C665B7" w14:paraId="7B10E9AD" w14:textId="77777777" w:rsidTr="00C665B7">
        <w:trPr>
          <w:trHeight w:val="917"/>
        </w:trPr>
        <w:tc>
          <w:tcPr>
            <w:tcW w:w="0" w:type="auto"/>
            <w:tcBorders>
              <w:top w:val="single" w:sz="4" w:space="0" w:color="auto"/>
              <w:left w:val="single" w:sz="4" w:space="0" w:color="auto"/>
              <w:bottom w:val="single" w:sz="4" w:space="0" w:color="auto"/>
              <w:right w:val="single" w:sz="4" w:space="0" w:color="auto"/>
            </w:tcBorders>
            <w:vAlign w:val="center"/>
            <w:hideMark/>
          </w:tcPr>
          <w:p w14:paraId="4C6A3933" w14:textId="77777777" w:rsidR="00C665B7" w:rsidRDefault="00C665B7">
            <w:pPr>
              <w:jc w:val="center"/>
              <w:rPr>
                <w:rFonts w:cstheme="minorHAnsi"/>
                <w:b/>
              </w:rPr>
            </w:pPr>
            <w:r>
              <w:rPr>
                <w:rFonts w:cstheme="minorHAnsi"/>
                <w:b/>
              </w:rPr>
              <w:t>Step C</w:t>
            </w:r>
          </w:p>
          <w:p w14:paraId="222133AC" w14:textId="77777777" w:rsidR="00C665B7" w:rsidRDefault="00C665B7">
            <w:pPr>
              <w:jc w:val="center"/>
              <w:rPr>
                <w:rFonts w:cstheme="minorHAnsi"/>
              </w:rPr>
            </w:pPr>
            <w:r>
              <w:rPr>
                <w:rFonts w:cstheme="minorHAnsi"/>
              </w:rPr>
              <w:t>Model joint distributions from birth to 28 days</w:t>
            </w:r>
          </w:p>
        </w:tc>
        <w:tc>
          <w:tcPr>
            <w:tcW w:w="7829" w:type="dxa"/>
            <w:tcBorders>
              <w:top w:val="single" w:sz="4" w:space="0" w:color="auto"/>
              <w:left w:val="single" w:sz="4" w:space="0" w:color="auto"/>
              <w:bottom w:val="single" w:sz="4" w:space="0" w:color="auto"/>
              <w:right w:val="single" w:sz="4" w:space="0" w:color="auto"/>
            </w:tcBorders>
            <w:hideMark/>
          </w:tcPr>
          <w:p w14:paraId="6EC8054E" w14:textId="77777777" w:rsidR="00C665B7" w:rsidRDefault="00C665B7" w:rsidP="00C665B7">
            <w:pPr>
              <w:pStyle w:val="ListParagraph"/>
              <w:numPr>
                <w:ilvl w:val="0"/>
                <w:numId w:val="9"/>
              </w:numPr>
              <w:ind w:left="520"/>
              <w:contextualSpacing w:val="0"/>
              <w:rPr>
                <w:rFonts w:cstheme="minorHAnsi"/>
              </w:rPr>
            </w:pPr>
            <w:r>
              <w:rPr>
                <w:rFonts w:cstheme="minorHAnsi"/>
              </w:rPr>
              <w:t>Model all-cause mortality rates by gestational age and birthweight</w:t>
            </w:r>
          </w:p>
          <w:p w14:paraId="0A80678B" w14:textId="77777777" w:rsidR="00C665B7" w:rsidRDefault="00C665B7" w:rsidP="00C665B7">
            <w:pPr>
              <w:pStyle w:val="ListParagraph"/>
              <w:numPr>
                <w:ilvl w:val="0"/>
                <w:numId w:val="9"/>
              </w:numPr>
              <w:ind w:left="520"/>
              <w:contextualSpacing w:val="0"/>
              <w:rPr>
                <w:rFonts w:cstheme="minorHAnsi"/>
              </w:rPr>
            </w:pPr>
            <w:r>
              <w:rPr>
                <w:rFonts w:cstheme="minorHAnsi"/>
              </w:rPr>
              <w:t>Model gestational age and birthweight distributions of surviving neonates for all l/y/s from birth to end of the neonatal period, using all-cause mortality rates by gestational age and birthweight</w:t>
            </w:r>
          </w:p>
        </w:tc>
      </w:tr>
    </w:tbl>
    <w:p w14:paraId="52E19C2A" w14:textId="77777777" w:rsidR="00C665B7" w:rsidRDefault="00C665B7" w:rsidP="00C665B7">
      <w:pPr>
        <w:spacing w:line="240" w:lineRule="auto"/>
        <w:rPr>
          <w:rFonts w:cstheme="minorHAnsi"/>
          <w:sz w:val="20"/>
          <w:szCs w:val="20"/>
          <w:lang w:val="en-GB"/>
        </w:rPr>
      </w:pPr>
    </w:p>
    <w:p w14:paraId="3430DD16" w14:textId="77777777" w:rsidR="00C665B7" w:rsidRPr="00D005C1" w:rsidRDefault="00C665B7" w:rsidP="00C31303">
      <w:pPr>
        <w:rPr>
          <w:b/>
          <w:bCs/>
        </w:rPr>
      </w:pPr>
      <w:r w:rsidRPr="00D005C1">
        <w:rPr>
          <w:b/>
          <w:bCs/>
        </w:rPr>
        <w:t>Input data and data processing</w:t>
      </w:r>
    </w:p>
    <w:p w14:paraId="519E6910" w14:textId="77777777" w:rsidR="00C665B7" w:rsidRDefault="00C665B7" w:rsidP="00C665B7">
      <w:pPr>
        <w:spacing w:line="240" w:lineRule="auto"/>
        <w:rPr>
          <w:rFonts w:cstheme="minorHAnsi"/>
        </w:rPr>
      </w:pPr>
      <w:r>
        <w:rPr>
          <w:rFonts w:cstheme="minorHAnsi"/>
        </w:rPr>
        <w:t>Input data needed to model univariate gestational age and birthweight distributions at birth (Step A):</w:t>
      </w:r>
    </w:p>
    <w:p w14:paraId="45315D02"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Prevalence of preterm birth (&lt;37 weeks), by l/y/s</w:t>
      </w:r>
    </w:p>
    <w:p w14:paraId="11C9F989" w14:textId="77777777" w:rsidR="00C665B7" w:rsidRDefault="00C665B7" w:rsidP="00C665B7">
      <w:pPr>
        <w:pStyle w:val="ListParagraph"/>
        <w:numPr>
          <w:ilvl w:val="0"/>
          <w:numId w:val="23"/>
        </w:numPr>
        <w:spacing w:after="0" w:line="240" w:lineRule="auto"/>
        <w:contextualSpacing w:val="0"/>
      </w:pPr>
      <w:r>
        <w:t>Prevalence of extremely preterm birth (&lt;28 weeks), by l/y/s</w:t>
      </w:r>
    </w:p>
    <w:p w14:paraId="0C76AE27"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Mean gestational age, by l/y/s</w:t>
      </w:r>
    </w:p>
    <w:p w14:paraId="4003B62E"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Gestational age microdata</w:t>
      </w:r>
    </w:p>
    <w:p w14:paraId="6970DC66"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Prevalence of low birthweight (&lt;2500 grams), by l/y/s</w:t>
      </w:r>
    </w:p>
    <w:p w14:paraId="29C41F28"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Mean birthweight, by l/y/s</w:t>
      </w:r>
    </w:p>
    <w:p w14:paraId="63EBFCCC" w14:textId="77777777" w:rsidR="00C665B7" w:rsidRDefault="00C665B7" w:rsidP="00C665B7">
      <w:pPr>
        <w:pStyle w:val="ListParagraph"/>
        <w:numPr>
          <w:ilvl w:val="0"/>
          <w:numId w:val="23"/>
        </w:numPr>
        <w:spacing w:after="0" w:line="240" w:lineRule="auto"/>
        <w:contextualSpacing w:val="0"/>
        <w:rPr>
          <w:rFonts w:cstheme="minorHAnsi"/>
        </w:rPr>
      </w:pPr>
      <w:r>
        <w:rPr>
          <w:rFonts w:cstheme="minorHAnsi"/>
        </w:rPr>
        <w:t>Birthweight microdata</w:t>
      </w:r>
    </w:p>
    <w:p w14:paraId="6F4E11F2" w14:textId="77777777" w:rsidR="00C665B7" w:rsidRDefault="00C665B7" w:rsidP="00C665B7">
      <w:pPr>
        <w:pStyle w:val="ListParagraph"/>
        <w:rPr>
          <w:rFonts w:cstheme="minorHAnsi"/>
        </w:rPr>
      </w:pPr>
    </w:p>
    <w:p w14:paraId="21136A13" w14:textId="77777777" w:rsidR="00C665B7" w:rsidRDefault="00C665B7" w:rsidP="00C665B7">
      <w:pPr>
        <w:rPr>
          <w:rFonts w:cstheme="minorHAnsi"/>
        </w:rPr>
      </w:pPr>
      <w:r>
        <w:rPr>
          <w:rFonts w:cstheme="minorHAnsi"/>
        </w:rPr>
        <w:t xml:space="preserve">To model joint distributions of gestational age and birthweight (Step B), joint microdata of gestational age and birthweight are also required. Additional inputs to modelling joint distributions from birth to 28 days (Step C) are all-cause mortality by l/y/s and joint birthweight and gestational age microdata linked to mortality outcomes. </w:t>
      </w:r>
    </w:p>
    <w:p w14:paraId="00D929CE" w14:textId="77777777" w:rsidR="00C665B7" w:rsidRDefault="00C665B7" w:rsidP="00C665B7">
      <w:pPr>
        <w:spacing w:line="240" w:lineRule="auto"/>
        <w:rPr>
          <w:rFonts w:cstheme="minorHAnsi"/>
        </w:rPr>
      </w:pPr>
      <w:r>
        <w:rPr>
          <w:rFonts w:cstheme="minorHAnsi"/>
        </w:rPr>
        <w:t xml:space="preserve">Prevalence of extremely preterm birth (&lt;28 weeks) and preterm birth (&lt;37 weeks) were modelled using vital registration, survey, and clinical data. For the preterm models, only inpatient and insurance claims data were included from clinical informatics datasets; outpatient data were excluded because they were more likely to capture repeated visits by the same child rather than unique visits. Prevalence of low birthweight (&lt;2500 grams) was modelled using only vital registration and survey data. </w:t>
      </w:r>
    </w:p>
    <w:p w14:paraId="26258194" w14:textId="77777777" w:rsidR="00C665B7" w:rsidRPr="00D005C1" w:rsidRDefault="00C665B7" w:rsidP="00C665B7">
      <w:pPr>
        <w:spacing w:after="0" w:line="252" w:lineRule="auto"/>
        <w:rPr>
          <w:rFonts w:ascii="Calibri" w:eastAsia="Calibri" w:hAnsi="Calibri" w:cs="Calibri"/>
          <w:i/>
          <w:iCs/>
          <w:sz w:val="24"/>
          <w:szCs w:val="24"/>
        </w:rPr>
      </w:pPr>
      <w:r w:rsidRPr="00D005C1">
        <w:rPr>
          <w:rFonts w:ascii="Calibri" w:eastAsia="Calibri" w:hAnsi="Calibri" w:cs="Calibri"/>
          <w:i/>
          <w:iCs/>
          <w:sz w:val="24"/>
          <w:szCs w:val="24"/>
        </w:rPr>
        <w:t>Literature review</w:t>
      </w:r>
    </w:p>
    <w:p w14:paraId="07E8D806" w14:textId="77777777" w:rsidR="00C665B7" w:rsidRDefault="00C665B7" w:rsidP="00C665B7">
      <w:pPr>
        <w:spacing w:line="252" w:lineRule="auto"/>
      </w:pPr>
      <w:r>
        <w:rPr>
          <w:rFonts w:ascii="Calibri" w:eastAsia="Calibri" w:hAnsi="Calibri" w:cs="Calibri"/>
        </w:rPr>
        <w:t xml:space="preserve">Before GBD 2016, available preterm birth data were sourced by a technical working group. In GBD 2016 and GBD 2017, we conducted systematic reviews to identify additional sources beyond the data already used in the models. The PubMed database was searched using the following search string: </w:t>
      </w:r>
    </w:p>
    <w:p w14:paraId="0AB40136" w14:textId="77777777" w:rsidR="00C665B7" w:rsidRDefault="00C665B7" w:rsidP="00C665B7">
      <w:pPr>
        <w:ind w:left="720"/>
        <w:rPr>
          <w:sz w:val="20"/>
        </w:rPr>
      </w:pPr>
      <w:r>
        <w:rPr>
          <w:rFonts w:ascii="Calibri" w:eastAsia="Calibri" w:hAnsi="Calibri" w:cs="Calibri"/>
          <w:sz w:val="20"/>
        </w:rPr>
        <w:t>((("Infant, Premature"[Mesh] OR ("infant"[All Fields] AND "premature"[All Fields]) OR "premature infant"[All Fields] OR ("preterm"[All Fields] AND "infant"[All Fields]) OR "preterm infant"[All Fields] OR ("infant, newborn"[</w:t>
      </w:r>
      <w:proofErr w:type="spellStart"/>
      <w:r>
        <w:rPr>
          <w:rFonts w:ascii="Calibri" w:eastAsia="Calibri" w:hAnsi="Calibri" w:cs="Calibri"/>
          <w:sz w:val="20"/>
        </w:rPr>
        <w:t>MeSH</w:t>
      </w:r>
      <w:proofErr w:type="spellEnd"/>
      <w:r>
        <w:rPr>
          <w:rFonts w:ascii="Calibri" w:eastAsia="Calibri" w:hAnsi="Calibri" w:cs="Calibri"/>
          <w:sz w:val="20"/>
        </w:rPr>
        <w:t xml:space="preserve"> Terms] OR ("infant"[All Fields] AND "newborn"[All Fields]) OR "newborn infant"[All Fields] OR ("newborn"[All Fields] AND "infant"[All Fields])) AND (premature[All Fields] OR preterm[All Fields]) OR "premature birth"[</w:t>
      </w:r>
      <w:proofErr w:type="spellStart"/>
      <w:r>
        <w:rPr>
          <w:rFonts w:ascii="Calibri" w:eastAsia="Calibri" w:hAnsi="Calibri" w:cs="Calibri"/>
          <w:sz w:val="20"/>
        </w:rPr>
        <w:t>MeSH</w:t>
      </w:r>
      <w:proofErr w:type="spellEnd"/>
      <w:r>
        <w:rPr>
          <w:rFonts w:ascii="Calibri" w:eastAsia="Calibri" w:hAnsi="Calibri" w:cs="Calibri"/>
          <w:sz w:val="20"/>
        </w:rPr>
        <w:t xml:space="preserve"> Terms] OR ("premature"[All Fields] AND "birth"[All Fields]) OR "premature birth"[All Fields] OR ("preterm"[All Fields] AND "birth"[All Fields]) OR "preterm birth"[All Fields]) ((("Infant, Premature"[Mesh] OR ("infant"[All Fields] AND "premature"[All Fields]) OR "premature infant"[All Fields] OR ("preterm"[All Fields] AND "infant"[All Fields]) OR "preterm infant"[All Fields] OR ("infant, newborn"[</w:t>
      </w:r>
      <w:proofErr w:type="spellStart"/>
      <w:r>
        <w:rPr>
          <w:rFonts w:ascii="Calibri" w:eastAsia="Calibri" w:hAnsi="Calibri" w:cs="Calibri"/>
          <w:sz w:val="20"/>
        </w:rPr>
        <w:t>MeSH</w:t>
      </w:r>
      <w:proofErr w:type="spellEnd"/>
      <w:r>
        <w:rPr>
          <w:rFonts w:ascii="Calibri" w:eastAsia="Calibri" w:hAnsi="Calibri" w:cs="Calibri"/>
          <w:sz w:val="20"/>
        </w:rPr>
        <w:t xml:space="preserve"> Terms] OR ("infant"[All Fields] AND "newborn"[All Fields]) OR "newborn infant"[All Fields] OR ("newborn"[All Fields] AND "infant"[All Fields])) AND (premature[All Fields] OR preterm[All Fields]) OR "premature birth"[</w:t>
      </w:r>
      <w:proofErr w:type="spellStart"/>
      <w:r>
        <w:rPr>
          <w:rFonts w:ascii="Calibri" w:eastAsia="Calibri" w:hAnsi="Calibri" w:cs="Calibri"/>
          <w:sz w:val="20"/>
        </w:rPr>
        <w:t>MeSH</w:t>
      </w:r>
      <w:proofErr w:type="spellEnd"/>
      <w:r>
        <w:rPr>
          <w:rFonts w:ascii="Calibri" w:eastAsia="Calibri" w:hAnsi="Calibri" w:cs="Calibri"/>
          <w:sz w:val="20"/>
        </w:rPr>
        <w:t xml:space="preserve"> Terms] OR ("premature"[All Fields] AND "birth"[All Fields]) OR "premature birth"[All Fields] OR ("preterm"[All Fields] AND "birth"[All Fields]) OR "preterm birth"[All Fields]) AND ("1985"[PDAT] : "3000"[PDAT]) AND "humans"[</w:t>
      </w:r>
      <w:proofErr w:type="spellStart"/>
      <w:r>
        <w:rPr>
          <w:rFonts w:ascii="Calibri" w:eastAsia="Calibri" w:hAnsi="Calibri" w:cs="Calibri"/>
          <w:sz w:val="20"/>
        </w:rPr>
        <w:t>MeSH</w:t>
      </w:r>
      <w:proofErr w:type="spellEnd"/>
      <w:r>
        <w:rPr>
          <w:rFonts w:ascii="Calibri" w:eastAsia="Calibri" w:hAnsi="Calibri" w:cs="Calibri"/>
          <w:sz w:val="20"/>
        </w:rPr>
        <w:t xml:space="preserve"> Terms]. </w:t>
      </w:r>
    </w:p>
    <w:p w14:paraId="369F3817" w14:textId="77777777" w:rsidR="00C665B7" w:rsidRDefault="00C665B7" w:rsidP="00C665B7">
      <w:r>
        <w:rPr>
          <w:rFonts w:ascii="Calibri" w:eastAsia="Calibri" w:hAnsi="Calibri" w:cs="Calibri"/>
        </w:rPr>
        <w:t>The exclusion criteria were studies that did not provide primary data on epidemiological parameters, non-representative studies (</w:t>
      </w:r>
      <w:proofErr w:type="spellStart"/>
      <w:r>
        <w:rPr>
          <w:rFonts w:ascii="Calibri" w:eastAsia="Calibri" w:hAnsi="Calibri" w:cs="Calibri"/>
        </w:rPr>
        <w:t>eg</w:t>
      </w:r>
      <w:proofErr w:type="spellEnd"/>
      <w:r>
        <w:rPr>
          <w:rFonts w:ascii="Calibri" w:eastAsia="Calibri" w:hAnsi="Calibri" w:cs="Calibri"/>
        </w:rPr>
        <w:t>, only high-risk pregnancies), and reviews. Table 2 shows the search hits, number of full texts reviewed, and number of extracted sources.</w:t>
      </w:r>
    </w:p>
    <w:p w14:paraId="1537A6C8" w14:textId="77777777" w:rsidR="00C665B7" w:rsidRDefault="00C665B7" w:rsidP="00C665B7">
      <w:pPr>
        <w:rPr>
          <w:b/>
        </w:rPr>
      </w:pPr>
      <w:r>
        <w:rPr>
          <w:rFonts w:ascii="Calibri" w:eastAsia="Calibri" w:hAnsi="Calibri" w:cs="Calibri"/>
          <w:b/>
          <w:bCs/>
        </w:rPr>
        <w:t xml:space="preserve">Table 2. </w:t>
      </w:r>
      <w:r>
        <w:rPr>
          <w:rFonts w:ascii="Calibri" w:eastAsia="Calibri" w:hAnsi="Calibri" w:cs="Calibri"/>
          <w:b/>
        </w:rPr>
        <w:t>LBWSG</w:t>
      </w:r>
      <w:r>
        <w:rPr>
          <w:rFonts w:ascii="Calibri" w:eastAsia="Calibri" w:hAnsi="Calibri" w:cs="Calibri"/>
          <w:b/>
          <w:bCs/>
        </w:rPr>
        <w:t xml:space="preserve"> s</w:t>
      </w:r>
      <w:r>
        <w:rPr>
          <w:rFonts w:ascii="Calibri" w:eastAsia="Calibri" w:hAnsi="Calibri" w:cs="Calibri"/>
          <w:b/>
        </w:rPr>
        <w:t>earch hits, full-text review, extracted sources</w:t>
      </w:r>
    </w:p>
    <w:tbl>
      <w:tblPr>
        <w:tblStyle w:val="TableGrid"/>
        <w:tblW w:w="9090" w:type="dxa"/>
        <w:tblLayout w:type="fixed"/>
        <w:tblLook w:val="04A0" w:firstRow="1" w:lastRow="0" w:firstColumn="1" w:lastColumn="0" w:noHBand="0" w:noVBand="1"/>
      </w:tblPr>
      <w:tblGrid>
        <w:gridCol w:w="1873"/>
        <w:gridCol w:w="1873"/>
        <w:gridCol w:w="1873"/>
        <w:gridCol w:w="1873"/>
        <w:gridCol w:w="1598"/>
      </w:tblGrid>
      <w:tr w:rsidR="00C665B7" w14:paraId="0BBD7502" w14:textId="77777777" w:rsidTr="00C665B7">
        <w:tc>
          <w:tcPr>
            <w:tcW w:w="1872" w:type="dxa"/>
            <w:tcBorders>
              <w:top w:val="single" w:sz="4" w:space="0" w:color="auto"/>
              <w:left w:val="single" w:sz="4" w:space="0" w:color="auto"/>
              <w:bottom w:val="single" w:sz="4" w:space="0" w:color="auto"/>
              <w:right w:val="single" w:sz="4" w:space="0" w:color="auto"/>
            </w:tcBorders>
            <w:hideMark/>
          </w:tcPr>
          <w:p w14:paraId="13060F57" w14:textId="77777777" w:rsidR="00C665B7" w:rsidRDefault="00C665B7">
            <w:r>
              <w:rPr>
                <w:rFonts w:ascii="Calibri" w:eastAsia="Calibri" w:hAnsi="Calibri" w:cs="Calibri"/>
                <w:b/>
                <w:bCs/>
              </w:rPr>
              <w:t>GBD round</w:t>
            </w:r>
          </w:p>
        </w:tc>
        <w:tc>
          <w:tcPr>
            <w:tcW w:w="1872" w:type="dxa"/>
            <w:tcBorders>
              <w:top w:val="single" w:sz="4" w:space="0" w:color="auto"/>
              <w:left w:val="single" w:sz="4" w:space="0" w:color="auto"/>
              <w:bottom w:val="single" w:sz="4" w:space="0" w:color="auto"/>
              <w:right w:val="single" w:sz="4" w:space="0" w:color="auto"/>
            </w:tcBorders>
            <w:hideMark/>
          </w:tcPr>
          <w:p w14:paraId="6A87376C" w14:textId="77777777" w:rsidR="00C665B7" w:rsidRDefault="00C665B7">
            <w:pPr>
              <w:rPr>
                <w:rFonts w:ascii="Calibri" w:eastAsia="Calibri" w:hAnsi="Calibri" w:cs="Calibri"/>
                <w:b/>
                <w:bCs/>
              </w:rPr>
            </w:pPr>
            <w:r>
              <w:rPr>
                <w:rFonts w:ascii="Calibri" w:eastAsia="Calibri" w:hAnsi="Calibri" w:cs="Calibri"/>
                <w:b/>
                <w:bCs/>
              </w:rPr>
              <w:t>Search date</w:t>
            </w:r>
          </w:p>
        </w:tc>
        <w:tc>
          <w:tcPr>
            <w:tcW w:w="1872" w:type="dxa"/>
            <w:tcBorders>
              <w:top w:val="single" w:sz="4" w:space="0" w:color="auto"/>
              <w:left w:val="single" w:sz="4" w:space="0" w:color="auto"/>
              <w:bottom w:val="single" w:sz="4" w:space="0" w:color="auto"/>
              <w:right w:val="single" w:sz="4" w:space="0" w:color="auto"/>
            </w:tcBorders>
            <w:hideMark/>
          </w:tcPr>
          <w:p w14:paraId="60661AA0" w14:textId="77777777" w:rsidR="00C665B7" w:rsidRDefault="00C665B7">
            <w:r>
              <w:rPr>
                <w:rFonts w:ascii="Calibri" w:eastAsia="Calibri" w:hAnsi="Calibri" w:cs="Calibri"/>
                <w:b/>
                <w:bCs/>
              </w:rPr>
              <w:t>Hits</w:t>
            </w:r>
          </w:p>
        </w:tc>
        <w:tc>
          <w:tcPr>
            <w:tcW w:w="1872" w:type="dxa"/>
            <w:tcBorders>
              <w:top w:val="single" w:sz="4" w:space="0" w:color="auto"/>
              <w:left w:val="single" w:sz="4" w:space="0" w:color="auto"/>
              <w:bottom w:val="single" w:sz="4" w:space="0" w:color="auto"/>
              <w:right w:val="single" w:sz="4" w:space="0" w:color="auto"/>
            </w:tcBorders>
            <w:hideMark/>
          </w:tcPr>
          <w:p w14:paraId="481857A6" w14:textId="77777777" w:rsidR="00C665B7" w:rsidRDefault="00C665B7">
            <w:r>
              <w:rPr>
                <w:rFonts w:ascii="Calibri" w:eastAsia="Calibri" w:hAnsi="Calibri" w:cs="Calibri"/>
                <w:b/>
                <w:bCs/>
              </w:rPr>
              <w:t>Full-text review</w:t>
            </w:r>
          </w:p>
        </w:tc>
        <w:tc>
          <w:tcPr>
            <w:tcW w:w="1597" w:type="dxa"/>
            <w:tcBorders>
              <w:top w:val="single" w:sz="4" w:space="0" w:color="auto"/>
              <w:left w:val="single" w:sz="4" w:space="0" w:color="auto"/>
              <w:bottom w:val="single" w:sz="4" w:space="0" w:color="auto"/>
              <w:right w:val="single" w:sz="4" w:space="0" w:color="auto"/>
            </w:tcBorders>
            <w:hideMark/>
          </w:tcPr>
          <w:p w14:paraId="68E747E1" w14:textId="77777777" w:rsidR="00C665B7" w:rsidRDefault="00C665B7">
            <w:r>
              <w:rPr>
                <w:rFonts w:ascii="Calibri" w:eastAsia="Calibri" w:hAnsi="Calibri" w:cs="Calibri"/>
                <w:b/>
                <w:bCs/>
              </w:rPr>
              <w:t>Extracted</w:t>
            </w:r>
          </w:p>
        </w:tc>
      </w:tr>
      <w:tr w:rsidR="00C665B7" w14:paraId="752C14FE" w14:textId="77777777" w:rsidTr="00C665B7">
        <w:tc>
          <w:tcPr>
            <w:tcW w:w="1872" w:type="dxa"/>
            <w:tcBorders>
              <w:top w:val="single" w:sz="4" w:space="0" w:color="auto"/>
              <w:left w:val="single" w:sz="4" w:space="0" w:color="auto"/>
              <w:bottom w:val="single" w:sz="4" w:space="0" w:color="auto"/>
              <w:right w:val="single" w:sz="4" w:space="0" w:color="auto"/>
            </w:tcBorders>
            <w:hideMark/>
          </w:tcPr>
          <w:p w14:paraId="7E3E8146" w14:textId="77777777" w:rsidR="00C665B7" w:rsidRDefault="00C665B7">
            <w:r>
              <w:rPr>
                <w:rFonts w:ascii="Calibri" w:eastAsia="Calibri" w:hAnsi="Calibri" w:cs="Calibri"/>
              </w:rPr>
              <w:t xml:space="preserve">GBD 2017 </w:t>
            </w:r>
          </w:p>
        </w:tc>
        <w:tc>
          <w:tcPr>
            <w:tcW w:w="1872" w:type="dxa"/>
            <w:tcBorders>
              <w:top w:val="single" w:sz="4" w:space="0" w:color="auto"/>
              <w:left w:val="single" w:sz="4" w:space="0" w:color="auto"/>
              <w:bottom w:val="single" w:sz="4" w:space="0" w:color="auto"/>
              <w:right w:val="single" w:sz="4" w:space="0" w:color="auto"/>
            </w:tcBorders>
            <w:hideMark/>
          </w:tcPr>
          <w:p w14:paraId="3EF2596F" w14:textId="77777777" w:rsidR="00C665B7" w:rsidRDefault="00C665B7">
            <w:pPr>
              <w:rPr>
                <w:rFonts w:ascii="Calibri" w:eastAsia="Calibri" w:hAnsi="Calibri" w:cs="Calibri"/>
              </w:rPr>
            </w:pPr>
            <w:r>
              <w:rPr>
                <w:rFonts w:ascii="Calibri" w:eastAsia="Calibri" w:hAnsi="Calibri" w:cs="Calibri"/>
              </w:rPr>
              <w:t>6/6/2017</w:t>
            </w:r>
          </w:p>
        </w:tc>
        <w:tc>
          <w:tcPr>
            <w:tcW w:w="1872" w:type="dxa"/>
            <w:tcBorders>
              <w:top w:val="single" w:sz="4" w:space="0" w:color="auto"/>
              <w:left w:val="single" w:sz="4" w:space="0" w:color="auto"/>
              <w:bottom w:val="single" w:sz="4" w:space="0" w:color="auto"/>
              <w:right w:val="single" w:sz="4" w:space="0" w:color="auto"/>
            </w:tcBorders>
            <w:hideMark/>
          </w:tcPr>
          <w:p w14:paraId="725DCCAA" w14:textId="77777777" w:rsidR="00C665B7" w:rsidRDefault="00C665B7">
            <w:r>
              <w:rPr>
                <w:rFonts w:ascii="Calibri" w:eastAsia="Calibri" w:hAnsi="Calibri" w:cs="Calibri"/>
              </w:rPr>
              <w:t>16,174</w:t>
            </w:r>
          </w:p>
        </w:tc>
        <w:tc>
          <w:tcPr>
            <w:tcW w:w="1872" w:type="dxa"/>
            <w:tcBorders>
              <w:top w:val="single" w:sz="4" w:space="0" w:color="auto"/>
              <w:left w:val="single" w:sz="4" w:space="0" w:color="auto"/>
              <w:bottom w:val="single" w:sz="4" w:space="0" w:color="auto"/>
              <w:right w:val="single" w:sz="4" w:space="0" w:color="auto"/>
            </w:tcBorders>
            <w:hideMark/>
          </w:tcPr>
          <w:p w14:paraId="138191B1" w14:textId="77777777" w:rsidR="00C665B7" w:rsidRDefault="00C665B7">
            <w:r>
              <w:rPr>
                <w:rFonts w:ascii="Calibri" w:eastAsia="Calibri" w:hAnsi="Calibri" w:cs="Calibri"/>
              </w:rPr>
              <w:t>2200</w:t>
            </w:r>
          </w:p>
        </w:tc>
        <w:tc>
          <w:tcPr>
            <w:tcW w:w="1597" w:type="dxa"/>
            <w:tcBorders>
              <w:top w:val="single" w:sz="4" w:space="0" w:color="auto"/>
              <w:left w:val="single" w:sz="4" w:space="0" w:color="auto"/>
              <w:bottom w:val="single" w:sz="4" w:space="0" w:color="auto"/>
              <w:right w:val="single" w:sz="4" w:space="0" w:color="auto"/>
            </w:tcBorders>
            <w:hideMark/>
          </w:tcPr>
          <w:p w14:paraId="6CBEF78F" w14:textId="77777777" w:rsidR="00C665B7" w:rsidRDefault="00C665B7">
            <w:r>
              <w:rPr>
                <w:rFonts w:ascii="Calibri" w:eastAsia="Calibri" w:hAnsi="Calibri" w:cs="Calibri"/>
              </w:rPr>
              <w:t>154</w:t>
            </w:r>
          </w:p>
        </w:tc>
      </w:tr>
    </w:tbl>
    <w:p w14:paraId="372E51C7" w14:textId="77777777" w:rsidR="00C665B7" w:rsidRDefault="00C665B7" w:rsidP="00C31303">
      <w:pPr>
        <w:rPr>
          <w:lang w:val="en-GB"/>
        </w:rPr>
      </w:pPr>
    </w:p>
    <w:p w14:paraId="070422BA" w14:textId="77777777" w:rsidR="00C665B7" w:rsidRPr="00D005C1" w:rsidRDefault="00C665B7" w:rsidP="00C31303">
      <w:pPr>
        <w:rPr>
          <w:i/>
          <w:iCs/>
        </w:rPr>
      </w:pPr>
      <w:r w:rsidRPr="00D005C1">
        <w:rPr>
          <w:i/>
          <w:iCs/>
        </w:rPr>
        <w:t>Data processing</w:t>
      </w:r>
    </w:p>
    <w:p w14:paraId="44B4EE78" w14:textId="77777777" w:rsidR="00C665B7" w:rsidRDefault="00C665B7" w:rsidP="00C665B7">
      <w:pPr>
        <w:spacing w:line="240" w:lineRule="auto"/>
        <w:rPr>
          <w:rStyle w:val="eop"/>
        </w:rPr>
      </w:pPr>
      <w:r>
        <w:t xml:space="preserve">Any data that didn’t fit a GBD age group was split into GBD age groups using a model that was run using only age-specific data. </w:t>
      </w:r>
      <w:r>
        <w:rPr>
          <w:rFonts w:cstheme="minorHAnsi"/>
        </w:rPr>
        <w:t xml:space="preserve">Starting in GBD 2019, </w:t>
      </w:r>
      <w:r>
        <w:rPr>
          <w:rStyle w:val="eop"/>
          <w:rFonts w:cstheme="minorHAnsi"/>
          <w:color w:val="000000"/>
          <w:shd w:val="clear" w:color="auto" w:fill="FFFFFF"/>
        </w:rPr>
        <w:t xml:space="preserve">as was the case with all other non-fatal analyses, we applied empirical age and sex ratios from previous models to disaggregate observations that did not entirely fit in one GBD age category or sex. </w:t>
      </w:r>
      <w:r>
        <w:rPr>
          <w:rFonts w:cstheme="minorHAnsi"/>
        </w:rPr>
        <w:t>Ratios were determined by dividing the result for a specific age and sex by the result for the aggregate age and sex specified in a given observation.</w:t>
      </w:r>
      <w:r>
        <w:rPr>
          <w:rStyle w:val="eop"/>
          <w:rFonts w:cstheme="minorHAnsi"/>
          <w:color w:val="000000"/>
          <w:shd w:val="clear" w:color="auto" w:fill="FFFFFF"/>
        </w:rPr>
        <w:t xml:space="preserve"> </w:t>
      </w:r>
    </w:p>
    <w:p w14:paraId="6C2D5492" w14:textId="77777777" w:rsidR="00C665B7" w:rsidRDefault="00C665B7" w:rsidP="00C665B7">
      <w:pPr>
        <w:pStyle w:val="NoSpacing"/>
        <w:spacing w:after="160"/>
        <w:rPr>
          <w:lang w:val="en-GB"/>
        </w:rPr>
      </w:pPr>
      <w:r>
        <w:rPr>
          <w:lang w:val="en-GB"/>
        </w:rPr>
        <w:t xml:space="preserve">Low birthweight (&lt;2500 grams) data were extracted from literature, vital registration systems, and surveys. Survey data (most commonly from DHS and MICS) were observed to have high missingness of birthweight responses. We evaluated the patterns of missingness and found a number of distinct patterns that suggested non-random omission of birthweight observations. We therefore imputed missing birthweight values using the Amelia II (Version 1.7.6) package in R. Birthweight was predicted using the following variables also in the DHS surveys: urbanicity, sex, birthweight recorded on card, birth order, maternal education, paternal education, child age, child weight, child height, mother’s age at birth, mother’s weight, shared toilet facility, and household water treated. </w:t>
      </w:r>
    </w:p>
    <w:p w14:paraId="22126338" w14:textId="77777777" w:rsidR="00C665B7" w:rsidRDefault="00C665B7" w:rsidP="00C665B7">
      <w:pPr>
        <w:pStyle w:val="NoSpacing"/>
        <w:spacing w:after="160"/>
      </w:pPr>
      <w:r>
        <w:rPr>
          <w:lang w:val="en-GB"/>
        </w:rPr>
        <w:t>After imputation, we completed a number of additional steps to standardise the dataset by applying a series of crosswalks. “</w:t>
      </w:r>
      <w:proofErr w:type="spellStart"/>
      <w:r>
        <w:rPr>
          <w:lang w:val="en-GB"/>
        </w:rPr>
        <w:t>Crosswalking</w:t>
      </w:r>
      <w:proofErr w:type="spellEnd"/>
      <w:r>
        <w:rPr>
          <w:lang w:val="en-GB"/>
        </w:rPr>
        <w:t xml:space="preserve">” is a process of reducing non-random bias by adjusting non-standard data to the likely value had the data been collected using a reference definition, technique, or sample. Three crosswalks were applied for birthweight and gestational age data, all of the statistical models for which were developed using meta-regression—regularised, Bayesian, trimmed (MR-BRT). </w:t>
      </w:r>
    </w:p>
    <w:p w14:paraId="367530B0" w14:textId="77777777" w:rsidR="00C665B7" w:rsidRDefault="00C665B7" w:rsidP="00C665B7">
      <w:pPr>
        <w:pStyle w:val="NoSpacing"/>
        <w:spacing w:after="160"/>
      </w:pPr>
      <w:r>
        <w:rPr>
          <w:lang w:val="en-GB"/>
        </w:rPr>
        <w:t xml:space="preserve">First was a crosswalk for method of gestational age assessment that included three separate models. All microdata that reported GA and both obstetric estimate (OE) and last menstrual period were </w:t>
      </w:r>
      <w:proofErr w:type="spellStart"/>
      <w:r>
        <w:rPr>
          <w:lang w:val="en-GB"/>
        </w:rPr>
        <w:t>crosswalked</w:t>
      </w:r>
      <w:proofErr w:type="spellEnd"/>
      <w:r>
        <w:rPr>
          <w:lang w:val="en-GB"/>
        </w:rPr>
        <w:t xml:space="preserve"> to OE using the relationship derived from USA GA microdata (Figure 2). This crosswalk was developed with a spline on LMP in order to reliably match on the data that needed to be </w:t>
      </w:r>
      <w:proofErr w:type="spellStart"/>
      <w:r>
        <w:rPr>
          <w:lang w:val="en-GB"/>
        </w:rPr>
        <w:t>crosswalked</w:t>
      </w:r>
      <w:proofErr w:type="spellEnd"/>
      <w:r>
        <w:rPr>
          <w:lang w:val="en-GB"/>
        </w:rPr>
        <w:t>.</w:t>
      </w:r>
    </w:p>
    <w:p w14:paraId="48D9A581" w14:textId="77777777" w:rsidR="00C665B7" w:rsidRDefault="00C665B7" w:rsidP="00C665B7">
      <w:pPr>
        <w:pStyle w:val="NoSpacing"/>
        <w:spacing w:after="160"/>
      </w:pPr>
      <w:r>
        <w:rPr>
          <w:lang w:val="en-GB"/>
        </w:rPr>
        <w:t xml:space="preserve">Next, for all data that were only categorical, we adjusted all gestational age data to a reference definition of obstetric estimate (OE), which also included tabulations of the </w:t>
      </w:r>
      <w:proofErr w:type="spellStart"/>
      <w:r>
        <w:rPr>
          <w:lang w:val="en-GB"/>
        </w:rPr>
        <w:t>crosswalked</w:t>
      </w:r>
      <w:proofErr w:type="spellEnd"/>
      <w:r>
        <w:rPr>
          <w:lang w:val="en-GB"/>
        </w:rPr>
        <w:t xml:space="preserve"> microdata above. Two alternate definitions regularly appeared, and both were </w:t>
      </w:r>
      <w:proofErr w:type="spellStart"/>
      <w:r>
        <w:rPr>
          <w:lang w:val="en-GB"/>
        </w:rPr>
        <w:t>crosswalked</w:t>
      </w:r>
      <w:proofErr w:type="spellEnd"/>
      <w:r>
        <w:rPr>
          <w:lang w:val="en-GB"/>
        </w:rPr>
        <w:t xml:space="preserve"> separately. These were last menstrual period (LMP) for each of &lt;37 weeks’ and &lt;28 weeks’ gestation (Tables 3 and 4) and other measure of gestational age (Table 5 and 6). </w:t>
      </w:r>
    </w:p>
    <w:p w14:paraId="60AF3056" w14:textId="77777777" w:rsidR="00C665B7" w:rsidRDefault="00C665B7" w:rsidP="00C665B7">
      <w:pPr>
        <w:pStyle w:val="NoSpacing"/>
        <w:spacing w:before="120"/>
      </w:pPr>
      <w:r>
        <w:rPr>
          <w:lang w:val="en-GB"/>
        </w:rPr>
        <w:t>The second set of crosswalks adjusted data derived from clinical administrative sources (</w:t>
      </w:r>
      <w:proofErr w:type="spellStart"/>
      <w:r>
        <w:rPr>
          <w:lang w:val="en-GB"/>
        </w:rPr>
        <w:t>ie</w:t>
      </w:r>
      <w:proofErr w:type="spellEnd"/>
      <w:r>
        <w:rPr>
          <w:lang w:val="en-GB"/>
        </w:rPr>
        <w:t xml:space="preserve">, hospital discharges and insurance claims) to matched vital registration data using OE (Tables 7 and 8). </w:t>
      </w:r>
    </w:p>
    <w:p w14:paraId="3BDE315A" w14:textId="77777777" w:rsidR="00C665B7" w:rsidRDefault="00C665B7" w:rsidP="00C665B7">
      <w:pPr>
        <w:spacing w:before="120" w:after="120" w:line="240" w:lineRule="auto"/>
      </w:pPr>
      <w:r>
        <w:t xml:space="preserve">The third set of crosswalks served to “square the input dataset” to ensure that every location-year with data had an observation for each of &lt;2500g (birthweight), &lt;37 weeks, and &lt;28 weeks. This process </w:t>
      </w:r>
      <w:proofErr w:type="spellStart"/>
      <w:r>
        <w:t>utilised</w:t>
      </w:r>
      <w:proofErr w:type="spellEnd"/>
      <w:r>
        <w:t xml:space="preserve"> relationships between input data types to </w:t>
      </w:r>
      <w:proofErr w:type="spellStart"/>
      <w:r>
        <w:t>maximise</w:t>
      </w:r>
      <w:proofErr w:type="spellEnd"/>
      <w:r>
        <w:t xml:space="preserve"> the volume of data later input to models. Low birthweight data (&lt;2500g) were </w:t>
      </w:r>
      <w:proofErr w:type="spellStart"/>
      <w:r>
        <w:t>crosswalked</w:t>
      </w:r>
      <w:proofErr w:type="spellEnd"/>
      <w:r>
        <w:t xml:space="preserve"> to preterm (&lt;37 weeks) data (Table 9), preterm to extremely preterm (Table 10), and extremely preterm to preterm (Table 11). </w:t>
      </w:r>
    </w:p>
    <w:p w14:paraId="561828EE" w14:textId="77777777" w:rsidR="00C665B7" w:rsidRDefault="00C665B7" w:rsidP="00C665B7">
      <w:pPr>
        <w:spacing w:line="256" w:lineRule="auto"/>
        <w:rPr>
          <w:rFonts w:ascii="Calibri" w:hAnsi="Calibri" w:cs="Calibri"/>
          <w:b/>
        </w:rPr>
      </w:pPr>
      <w:r>
        <w:rPr>
          <w:rFonts w:ascii="Calibri" w:hAnsi="Calibri" w:cs="Calibri"/>
          <w:b/>
        </w:rPr>
        <w:br w:type="page"/>
      </w:r>
    </w:p>
    <w:p w14:paraId="77E70720" w14:textId="77777777" w:rsidR="00C665B7" w:rsidRDefault="00C665B7" w:rsidP="00C665B7">
      <w:pPr>
        <w:rPr>
          <w:rFonts w:ascii="Calibri" w:hAnsi="Calibri" w:cs="Calibri"/>
          <w:b/>
        </w:rPr>
      </w:pPr>
      <w:r>
        <w:rPr>
          <w:rFonts w:ascii="Calibri" w:hAnsi="Calibri" w:cs="Calibri"/>
          <w:b/>
        </w:rPr>
        <w:t>Figure 2. MR-BRT OE-LMP crosswalk adjustment factor by LMP-reported gestational age</w:t>
      </w:r>
    </w:p>
    <w:p w14:paraId="75096091" w14:textId="7EA852A1" w:rsidR="00C665B7" w:rsidRDefault="00C665B7" w:rsidP="00C665B7">
      <w:pPr>
        <w:pStyle w:val="NoSpacing"/>
        <w:spacing w:after="160"/>
        <w:jc w:val="center"/>
      </w:pPr>
      <w:r>
        <w:rPr>
          <w:noProof/>
        </w:rPr>
        <w:drawing>
          <wp:inline distT="0" distB="0" distL="0" distR="0" wp14:anchorId="5FF6A401" wp14:editId="189EEAE3">
            <wp:extent cx="5324475" cy="3990975"/>
            <wp:effectExtent l="0" t="0" r="9525" b="9525"/>
            <wp:docPr id="1157192455" name="Picture 1"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92455" name="Picture 1" descr="A graph on a white background&#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3CA83F4" w14:textId="77777777" w:rsidR="00C665B7" w:rsidRDefault="00C665B7" w:rsidP="00C665B7">
      <w:pPr>
        <w:rPr>
          <w:rFonts w:ascii="Calibri" w:hAnsi="Calibri" w:cs="Calibri"/>
          <w:b/>
        </w:rPr>
      </w:pPr>
    </w:p>
    <w:p w14:paraId="0B34E310" w14:textId="77777777" w:rsidR="00C665B7" w:rsidRDefault="00C665B7" w:rsidP="00C665B7">
      <w:pPr>
        <w:rPr>
          <w:rFonts w:ascii="Calibri" w:hAnsi="Calibri" w:cs="Calibri"/>
          <w:b/>
          <w:bCs/>
        </w:rPr>
      </w:pPr>
      <w:r>
        <w:rPr>
          <w:rFonts w:ascii="Calibri" w:hAnsi="Calibri" w:cs="Calibri"/>
          <w:b/>
          <w:bCs/>
        </w:rPr>
        <w:t>Table 3. MR-BRT OE-LMP crosswalk adjustment factor for preterm birth (&lt;37 weeks’ gestation)</w:t>
      </w:r>
    </w:p>
    <w:tbl>
      <w:tblPr>
        <w:tblStyle w:val="TableGrid"/>
        <w:tblW w:w="0" w:type="auto"/>
        <w:tblLook w:val="04A0" w:firstRow="1" w:lastRow="0" w:firstColumn="1" w:lastColumn="0" w:noHBand="0" w:noVBand="1"/>
      </w:tblPr>
      <w:tblGrid>
        <w:gridCol w:w="1885"/>
        <w:gridCol w:w="1980"/>
        <w:gridCol w:w="810"/>
        <w:gridCol w:w="2430"/>
        <w:gridCol w:w="2245"/>
      </w:tblGrid>
      <w:tr w:rsidR="00C665B7" w14:paraId="066202B8"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06F791DE"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2A395D6"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810" w:type="dxa"/>
            <w:tcBorders>
              <w:top w:val="single" w:sz="4" w:space="0" w:color="auto"/>
              <w:left w:val="single" w:sz="4" w:space="0" w:color="auto"/>
              <w:bottom w:val="single" w:sz="4" w:space="0" w:color="auto"/>
              <w:right w:val="single" w:sz="4" w:space="0" w:color="auto"/>
            </w:tcBorders>
            <w:vAlign w:val="center"/>
            <w:hideMark/>
          </w:tcPr>
          <w:p w14:paraId="38B828AE"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430" w:type="dxa"/>
            <w:tcBorders>
              <w:top w:val="single" w:sz="4" w:space="0" w:color="auto"/>
              <w:left w:val="single" w:sz="4" w:space="0" w:color="auto"/>
              <w:bottom w:val="single" w:sz="4" w:space="0" w:color="auto"/>
              <w:right w:val="single" w:sz="4" w:space="0" w:color="auto"/>
            </w:tcBorders>
            <w:vAlign w:val="center"/>
            <w:hideMark/>
          </w:tcPr>
          <w:p w14:paraId="0BFD714F"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14F08BDD"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B325E8C"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53266A78"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790F0902" w14:textId="77777777" w:rsidR="00C665B7" w:rsidRDefault="00C665B7">
            <w:pPr>
              <w:jc w:val="center"/>
              <w:rPr>
                <w:rFonts w:asciiTheme="majorHAnsi" w:hAnsiTheme="majorHAnsi" w:cstheme="majorHAnsi"/>
                <w:sz w:val="18"/>
              </w:rPr>
            </w:pPr>
            <w:r>
              <w:rPr>
                <w:rFonts w:asciiTheme="majorHAnsi" w:hAnsiTheme="majorHAnsi" w:cstheme="majorHAnsi"/>
                <w:sz w:val="18"/>
              </w:rPr>
              <w:t>Obstetric estimate</w:t>
            </w:r>
          </w:p>
        </w:tc>
        <w:tc>
          <w:tcPr>
            <w:tcW w:w="1980" w:type="dxa"/>
            <w:tcBorders>
              <w:top w:val="single" w:sz="4" w:space="0" w:color="auto"/>
              <w:left w:val="single" w:sz="4" w:space="0" w:color="auto"/>
              <w:bottom w:val="single" w:sz="4" w:space="0" w:color="auto"/>
              <w:right w:val="single" w:sz="4" w:space="0" w:color="auto"/>
            </w:tcBorders>
            <w:vAlign w:val="center"/>
            <w:hideMark/>
          </w:tcPr>
          <w:p w14:paraId="50D98C75"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44EE52B9" w14:textId="77777777" w:rsidR="00C665B7" w:rsidRDefault="00C665B7">
            <w:pPr>
              <w:jc w:val="center"/>
              <w:rPr>
                <w:rFonts w:asciiTheme="majorHAnsi" w:hAnsiTheme="majorHAnsi" w:cstheme="majorHAnsi"/>
                <w:sz w:val="18"/>
              </w:rPr>
            </w:pPr>
            <w:r>
              <w:rPr>
                <w:rFonts w:asciiTheme="majorHAnsi" w:hAnsiTheme="majorHAnsi" w:cstheme="majorHAnsi"/>
                <w:sz w:val="18"/>
              </w:rPr>
              <w:t>0.01</w:t>
            </w:r>
          </w:p>
        </w:tc>
        <w:tc>
          <w:tcPr>
            <w:tcW w:w="2430" w:type="dxa"/>
            <w:tcBorders>
              <w:top w:val="single" w:sz="4" w:space="0" w:color="auto"/>
              <w:left w:val="single" w:sz="4" w:space="0" w:color="auto"/>
              <w:bottom w:val="single" w:sz="4" w:space="0" w:color="auto"/>
              <w:right w:val="single" w:sz="4" w:space="0" w:color="auto"/>
            </w:tcBorders>
            <w:vAlign w:val="center"/>
            <w:hideMark/>
          </w:tcPr>
          <w:p w14:paraId="05E86478"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3F62FA3A"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6CC846F4"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03CF70EA" w14:textId="77777777" w:rsidR="00C665B7" w:rsidRDefault="00C665B7">
            <w:pPr>
              <w:jc w:val="center"/>
              <w:rPr>
                <w:rFonts w:asciiTheme="majorHAnsi" w:hAnsiTheme="majorHAnsi" w:cstheme="majorHAnsi"/>
                <w:sz w:val="18"/>
              </w:rPr>
            </w:pPr>
            <w:r>
              <w:rPr>
                <w:rFonts w:asciiTheme="majorHAnsi" w:hAnsiTheme="majorHAnsi" w:cstheme="majorHAnsi"/>
                <w:sz w:val="18"/>
              </w:rPr>
              <w:t>Last menstrual period</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82B6306"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2C8DA" w14:textId="77777777" w:rsidR="00C665B7" w:rsidRDefault="00C665B7">
            <w:pPr>
              <w:rPr>
                <w:rFonts w:asciiTheme="majorHAnsi" w:hAnsiTheme="majorHAnsi" w:cstheme="majorHAnsi"/>
                <w:sz w:val="18"/>
                <w:lang w:val="en-GB"/>
              </w:rPr>
            </w:pPr>
          </w:p>
        </w:tc>
        <w:tc>
          <w:tcPr>
            <w:tcW w:w="2430" w:type="dxa"/>
            <w:tcBorders>
              <w:top w:val="single" w:sz="4" w:space="0" w:color="auto"/>
              <w:left w:val="single" w:sz="4" w:space="0" w:color="auto"/>
              <w:bottom w:val="single" w:sz="4" w:space="0" w:color="auto"/>
              <w:right w:val="single" w:sz="4" w:space="0" w:color="auto"/>
            </w:tcBorders>
            <w:vAlign w:val="center"/>
            <w:hideMark/>
          </w:tcPr>
          <w:p w14:paraId="0B602DB6" w14:textId="77777777" w:rsidR="00C665B7" w:rsidRDefault="00C665B7">
            <w:pPr>
              <w:jc w:val="center"/>
              <w:rPr>
                <w:rFonts w:asciiTheme="majorHAnsi" w:hAnsiTheme="majorHAnsi" w:cstheme="majorHAnsi"/>
                <w:sz w:val="18"/>
              </w:rPr>
            </w:pPr>
            <w:r>
              <w:rPr>
                <w:rFonts w:asciiTheme="majorHAnsi" w:hAnsiTheme="majorHAnsi" w:cstheme="majorHAnsi"/>
                <w:sz w:val="18"/>
              </w:rPr>
              <w:t>0.187 (0.142,0.231)</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3C662C8" w14:textId="77777777" w:rsidR="00C665B7" w:rsidRDefault="00C665B7">
            <w:pPr>
              <w:jc w:val="center"/>
              <w:rPr>
                <w:rFonts w:asciiTheme="majorHAnsi" w:hAnsiTheme="majorHAnsi" w:cstheme="majorHAnsi"/>
                <w:sz w:val="18"/>
              </w:rPr>
            </w:pPr>
            <w:r>
              <w:rPr>
                <w:rFonts w:asciiTheme="majorHAnsi" w:hAnsiTheme="majorHAnsi" w:cstheme="majorHAnsi"/>
                <w:sz w:val="18"/>
              </w:rPr>
              <w:t>1.205 (1.153, 1.260)</w:t>
            </w:r>
          </w:p>
        </w:tc>
      </w:tr>
    </w:tbl>
    <w:p w14:paraId="5A56F699" w14:textId="77777777" w:rsidR="00C665B7" w:rsidRDefault="00C665B7" w:rsidP="00C665B7">
      <w:pPr>
        <w:rPr>
          <w:rFonts w:ascii="Calibri" w:hAnsi="Calibri" w:cs="Calibri"/>
          <w:b/>
          <w:lang w:val="en-GB"/>
        </w:rPr>
      </w:pPr>
    </w:p>
    <w:p w14:paraId="553F4471" w14:textId="77777777" w:rsidR="00C665B7" w:rsidRDefault="00C665B7" w:rsidP="00C665B7">
      <w:pPr>
        <w:rPr>
          <w:i/>
          <w:iCs/>
          <w:sz w:val="20"/>
          <w:szCs w:val="20"/>
        </w:rPr>
      </w:pPr>
      <w:r>
        <w:rPr>
          <w:rFonts w:ascii="Calibri" w:hAnsi="Calibri" w:cs="Calibri"/>
          <w:b/>
          <w:bCs/>
        </w:rPr>
        <w:t>Table 4. MR-BRT OE-LMP crosswalk adjustment factor for extremely preterm (&lt;28 weeks’ gestation)</w:t>
      </w:r>
    </w:p>
    <w:tbl>
      <w:tblPr>
        <w:tblStyle w:val="TableGrid"/>
        <w:tblW w:w="0" w:type="auto"/>
        <w:tblLook w:val="04A0" w:firstRow="1" w:lastRow="0" w:firstColumn="1" w:lastColumn="0" w:noHBand="0" w:noVBand="1"/>
      </w:tblPr>
      <w:tblGrid>
        <w:gridCol w:w="1885"/>
        <w:gridCol w:w="1980"/>
        <w:gridCol w:w="810"/>
        <w:gridCol w:w="2430"/>
        <w:gridCol w:w="2245"/>
      </w:tblGrid>
      <w:tr w:rsidR="00C665B7" w14:paraId="40A510CD"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77317C5D"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07CE968"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810" w:type="dxa"/>
            <w:tcBorders>
              <w:top w:val="single" w:sz="4" w:space="0" w:color="auto"/>
              <w:left w:val="single" w:sz="4" w:space="0" w:color="auto"/>
              <w:bottom w:val="single" w:sz="4" w:space="0" w:color="auto"/>
              <w:right w:val="single" w:sz="4" w:space="0" w:color="auto"/>
            </w:tcBorders>
            <w:vAlign w:val="center"/>
            <w:hideMark/>
          </w:tcPr>
          <w:p w14:paraId="13130ABC"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430" w:type="dxa"/>
            <w:tcBorders>
              <w:top w:val="single" w:sz="4" w:space="0" w:color="auto"/>
              <w:left w:val="single" w:sz="4" w:space="0" w:color="auto"/>
              <w:bottom w:val="single" w:sz="4" w:space="0" w:color="auto"/>
              <w:right w:val="single" w:sz="4" w:space="0" w:color="auto"/>
            </w:tcBorders>
            <w:vAlign w:val="center"/>
            <w:hideMark/>
          </w:tcPr>
          <w:p w14:paraId="5C8F7A81"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075B8726"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D5C7FF0"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7CF7C83D"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1782508E" w14:textId="77777777" w:rsidR="00C665B7" w:rsidRDefault="00C665B7">
            <w:pPr>
              <w:jc w:val="center"/>
              <w:rPr>
                <w:rFonts w:asciiTheme="majorHAnsi" w:hAnsiTheme="majorHAnsi" w:cstheme="majorHAnsi"/>
                <w:sz w:val="18"/>
              </w:rPr>
            </w:pPr>
            <w:r>
              <w:rPr>
                <w:rFonts w:asciiTheme="majorHAnsi" w:hAnsiTheme="majorHAnsi" w:cstheme="majorHAnsi"/>
                <w:sz w:val="18"/>
              </w:rPr>
              <w:t>Obstetric estimate</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D592762"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6048C599" w14:textId="77777777" w:rsidR="00C665B7" w:rsidRDefault="00C665B7">
            <w:pPr>
              <w:jc w:val="center"/>
              <w:rPr>
                <w:rFonts w:asciiTheme="majorHAnsi" w:hAnsiTheme="majorHAnsi" w:cstheme="majorHAnsi"/>
                <w:sz w:val="18"/>
              </w:rPr>
            </w:pPr>
            <w:r>
              <w:rPr>
                <w:rFonts w:asciiTheme="majorHAnsi" w:hAnsiTheme="majorHAnsi" w:cstheme="majorHAnsi"/>
                <w:sz w:val="18"/>
              </w:rPr>
              <w:t>0.00</w:t>
            </w:r>
          </w:p>
        </w:tc>
        <w:tc>
          <w:tcPr>
            <w:tcW w:w="2430" w:type="dxa"/>
            <w:tcBorders>
              <w:top w:val="single" w:sz="4" w:space="0" w:color="auto"/>
              <w:left w:val="single" w:sz="4" w:space="0" w:color="auto"/>
              <w:bottom w:val="single" w:sz="4" w:space="0" w:color="auto"/>
              <w:right w:val="single" w:sz="4" w:space="0" w:color="auto"/>
            </w:tcBorders>
            <w:vAlign w:val="center"/>
            <w:hideMark/>
          </w:tcPr>
          <w:p w14:paraId="62D1671B"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166D5F90"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0B874481"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48C9BD74" w14:textId="77777777" w:rsidR="00C665B7" w:rsidRDefault="00C665B7">
            <w:pPr>
              <w:jc w:val="center"/>
              <w:rPr>
                <w:rFonts w:asciiTheme="majorHAnsi" w:hAnsiTheme="majorHAnsi" w:cstheme="majorHAnsi"/>
                <w:sz w:val="18"/>
              </w:rPr>
            </w:pPr>
            <w:r>
              <w:rPr>
                <w:rFonts w:asciiTheme="majorHAnsi" w:hAnsiTheme="majorHAnsi" w:cstheme="majorHAnsi"/>
                <w:sz w:val="18"/>
              </w:rPr>
              <w:t>Last menstrual period</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E75D730"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D5AA8" w14:textId="77777777" w:rsidR="00C665B7" w:rsidRDefault="00C665B7">
            <w:pPr>
              <w:rPr>
                <w:rFonts w:asciiTheme="majorHAnsi" w:hAnsiTheme="majorHAnsi" w:cstheme="majorHAnsi"/>
                <w:sz w:val="18"/>
                <w:lang w:val="en-GB"/>
              </w:rPr>
            </w:pPr>
          </w:p>
        </w:tc>
        <w:tc>
          <w:tcPr>
            <w:tcW w:w="2430" w:type="dxa"/>
            <w:tcBorders>
              <w:top w:val="single" w:sz="4" w:space="0" w:color="auto"/>
              <w:left w:val="single" w:sz="4" w:space="0" w:color="auto"/>
              <w:bottom w:val="single" w:sz="4" w:space="0" w:color="auto"/>
              <w:right w:val="single" w:sz="4" w:space="0" w:color="auto"/>
            </w:tcBorders>
            <w:vAlign w:val="center"/>
            <w:hideMark/>
          </w:tcPr>
          <w:p w14:paraId="261B8938" w14:textId="77777777" w:rsidR="00C665B7" w:rsidRDefault="00C665B7">
            <w:pPr>
              <w:jc w:val="center"/>
              <w:rPr>
                <w:rFonts w:asciiTheme="majorHAnsi" w:hAnsiTheme="majorHAnsi" w:cstheme="majorHAnsi"/>
                <w:sz w:val="18"/>
              </w:rPr>
            </w:pPr>
            <w:r>
              <w:rPr>
                <w:rFonts w:asciiTheme="majorHAnsi" w:hAnsiTheme="majorHAnsi" w:cstheme="majorHAnsi"/>
                <w:sz w:val="18"/>
              </w:rPr>
              <w:t>0.0284 (0.268,0.300)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96BE6F0" w14:textId="77777777" w:rsidR="00C665B7" w:rsidRDefault="00C665B7">
            <w:pPr>
              <w:jc w:val="center"/>
              <w:rPr>
                <w:rFonts w:asciiTheme="majorHAnsi" w:hAnsiTheme="majorHAnsi" w:cstheme="majorHAnsi"/>
                <w:sz w:val="18"/>
              </w:rPr>
            </w:pPr>
            <w:r>
              <w:rPr>
                <w:rFonts w:asciiTheme="majorHAnsi" w:hAnsiTheme="majorHAnsi" w:cstheme="majorHAnsi"/>
                <w:sz w:val="18"/>
              </w:rPr>
              <w:t>1.328 (1.308, 1.349)</w:t>
            </w:r>
          </w:p>
        </w:tc>
      </w:tr>
    </w:tbl>
    <w:p w14:paraId="5F5BCEFF" w14:textId="77777777" w:rsidR="00C665B7" w:rsidRDefault="00C665B7" w:rsidP="00C665B7">
      <w:pPr>
        <w:rPr>
          <w:rFonts w:ascii="Calibri" w:hAnsi="Calibri" w:cs="Calibri"/>
          <w:b/>
          <w:lang w:val="en-GB"/>
        </w:rPr>
      </w:pPr>
    </w:p>
    <w:p w14:paraId="6020E713" w14:textId="77777777" w:rsidR="00C665B7" w:rsidRDefault="00C665B7" w:rsidP="00C665B7">
      <w:pPr>
        <w:rPr>
          <w:rFonts w:ascii="Calibri" w:hAnsi="Calibri" w:cs="Calibri"/>
          <w:b/>
          <w:bCs/>
        </w:rPr>
      </w:pPr>
      <w:r>
        <w:rPr>
          <w:rFonts w:ascii="Calibri" w:hAnsi="Calibri" w:cs="Calibri"/>
          <w:b/>
          <w:bCs/>
        </w:rPr>
        <w:t>Table 5. MR-BRT OE-other measure crosswalk adjustment factor for preterm birth (&lt;37 weeks’ gestation)</w:t>
      </w:r>
    </w:p>
    <w:tbl>
      <w:tblPr>
        <w:tblStyle w:val="TableGrid"/>
        <w:tblW w:w="0" w:type="auto"/>
        <w:tblLook w:val="04A0" w:firstRow="1" w:lastRow="0" w:firstColumn="1" w:lastColumn="0" w:noHBand="0" w:noVBand="1"/>
      </w:tblPr>
      <w:tblGrid>
        <w:gridCol w:w="1885"/>
        <w:gridCol w:w="1980"/>
        <w:gridCol w:w="900"/>
        <w:gridCol w:w="2340"/>
        <w:gridCol w:w="2245"/>
      </w:tblGrid>
      <w:tr w:rsidR="00C665B7" w14:paraId="034022CD"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694DA6F5"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30AE3C9"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33D18D9B"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324941"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69310333"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1854AB66"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587D35C2"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4E83D588" w14:textId="77777777" w:rsidR="00C665B7" w:rsidRDefault="00C665B7">
            <w:pPr>
              <w:jc w:val="center"/>
              <w:rPr>
                <w:rFonts w:asciiTheme="majorHAnsi" w:hAnsiTheme="majorHAnsi" w:cstheme="majorHAnsi"/>
                <w:sz w:val="18"/>
              </w:rPr>
            </w:pPr>
            <w:r>
              <w:rPr>
                <w:rFonts w:asciiTheme="majorHAnsi" w:hAnsiTheme="majorHAnsi" w:cstheme="majorHAnsi"/>
                <w:sz w:val="18"/>
              </w:rPr>
              <w:t>Obstetric estimate</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A3B20E"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4CF27FED" w14:textId="77777777" w:rsidR="00C665B7" w:rsidRDefault="00C665B7">
            <w:pPr>
              <w:jc w:val="center"/>
              <w:rPr>
                <w:rFonts w:asciiTheme="majorHAnsi" w:hAnsiTheme="majorHAnsi" w:cstheme="majorHAnsi"/>
                <w:sz w:val="18"/>
              </w:rPr>
            </w:pPr>
            <w:r>
              <w:rPr>
                <w:rFonts w:asciiTheme="majorHAnsi" w:hAnsiTheme="majorHAnsi" w:cstheme="majorHAnsi"/>
                <w:sz w:val="18"/>
              </w:rPr>
              <w:t>0.10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E2293D2"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F8DA845"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4D6A906A"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56843362" w14:textId="77777777" w:rsidR="00C665B7" w:rsidRDefault="00C665B7">
            <w:pPr>
              <w:jc w:val="center"/>
              <w:rPr>
                <w:rFonts w:asciiTheme="majorHAnsi" w:hAnsiTheme="majorHAnsi" w:cstheme="majorHAnsi"/>
                <w:sz w:val="18"/>
              </w:rPr>
            </w:pPr>
            <w:r>
              <w:rPr>
                <w:rFonts w:asciiTheme="majorHAnsi" w:hAnsiTheme="majorHAnsi" w:cstheme="majorHAnsi"/>
                <w:sz w:val="18"/>
              </w:rPr>
              <w:t>Other measurement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8B423A0" w14:textId="77777777" w:rsidR="00C665B7" w:rsidRDefault="00C665B7">
            <w:pPr>
              <w:jc w:val="center"/>
              <w:rPr>
                <w:rFonts w:asciiTheme="majorHAnsi" w:hAnsiTheme="majorHAnsi" w:cstheme="majorHAnsi"/>
                <w:b/>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76F9E" w14:textId="77777777" w:rsidR="00C665B7" w:rsidRDefault="00C665B7">
            <w:pPr>
              <w:rPr>
                <w:rFonts w:asciiTheme="majorHAnsi" w:hAnsiTheme="majorHAnsi" w:cstheme="majorHAnsi"/>
                <w:sz w:val="18"/>
                <w:lang w:val="en-GB"/>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7B11C69A"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–0.243 (–0.494, 0.009)</w:t>
            </w:r>
          </w:p>
        </w:tc>
        <w:tc>
          <w:tcPr>
            <w:tcW w:w="2245" w:type="dxa"/>
            <w:tcBorders>
              <w:top w:val="single" w:sz="4" w:space="0" w:color="auto"/>
              <w:left w:val="single" w:sz="4" w:space="0" w:color="auto"/>
              <w:bottom w:val="single" w:sz="4" w:space="0" w:color="auto"/>
              <w:right w:val="single" w:sz="4" w:space="0" w:color="auto"/>
            </w:tcBorders>
            <w:vAlign w:val="center"/>
            <w:hideMark/>
          </w:tcPr>
          <w:p w14:paraId="73FD09B6" w14:textId="77777777" w:rsidR="00C665B7" w:rsidRDefault="00C665B7">
            <w:pPr>
              <w:jc w:val="center"/>
              <w:rPr>
                <w:rFonts w:asciiTheme="majorHAnsi" w:hAnsiTheme="majorHAnsi" w:cstheme="majorHAnsi"/>
                <w:sz w:val="18"/>
              </w:rPr>
            </w:pPr>
            <w:r>
              <w:rPr>
                <w:rFonts w:asciiTheme="majorHAnsi" w:hAnsiTheme="majorHAnsi" w:cstheme="majorHAnsi"/>
                <w:sz w:val="18"/>
              </w:rPr>
              <w:t>0.785 (0.610, 1.01)</w:t>
            </w:r>
          </w:p>
        </w:tc>
      </w:tr>
    </w:tbl>
    <w:p w14:paraId="0C3311BF" w14:textId="77777777" w:rsidR="00C665B7" w:rsidRDefault="00C665B7" w:rsidP="00C665B7">
      <w:pPr>
        <w:rPr>
          <w:rFonts w:ascii="Calibri" w:hAnsi="Calibri" w:cs="Calibri"/>
          <w:b/>
          <w:lang w:val="en-GB"/>
        </w:rPr>
      </w:pPr>
    </w:p>
    <w:p w14:paraId="1E3C7AB2" w14:textId="77777777" w:rsidR="00C665B7" w:rsidRDefault="00C665B7" w:rsidP="00C665B7">
      <w:pPr>
        <w:rPr>
          <w:rFonts w:ascii="Calibri" w:hAnsi="Calibri" w:cs="Calibri"/>
          <w:b/>
          <w:bCs/>
        </w:rPr>
      </w:pPr>
      <w:r>
        <w:rPr>
          <w:rFonts w:ascii="Calibri" w:hAnsi="Calibri" w:cs="Calibri"/>
          <w:b/>
          <w:bCs/>
        </w:rPr>
        <w:t>Table 6. MR-BRT OE-other measure crosswalk adjustment factor for extremely preterm birth (&lt;28 weeks’ gestation)</w:t>
      </w:r>
    </w:p>
    <w:tbl>
      <w:tblPr>
        <w:tblStyle w:val="TableGrid"/>
        <w:tblW w:w="0" w:type="auto"/>
        <w:tblLook w:val="04A0" w:firstRow="1" w:lastRow="0" w:firstColumn="1" w:lastColumn="0" w:noHBand="0" w:noVBand="1"/>
      </w:tblPr>
      <w:tblGrid>
        <w:gridCol w:w="1885"/>
        <w:gridCol w:w="1980"/>
        <w:gridCol w:w="900"/>
        <w:gridCol w:w="2340"/>
        <w:gridCol w:w="2245"/>
      </w:tblGrid>
      <w:tr w:rsidR="00C665B7" w14:paraId="18A521B7"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113BBBE2"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BA38FF0"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0CD5C4EE"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FF090A9"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4AEA980F"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24D84A3F"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10032FB5"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120B2042" w14:textId="77777777" w:rsidR="00C665B7" w:rsidRDefault="00C665B7">
            <w:pPr>
              <w:jc w:val="center"/>
              <w:rPr>
                <w:rFonts w:asciiTheme="majorHAnsi" w:hAnsiTheme="majorHAnsi" w:cstheme="majorHAnsi"/>
                <w:sz w:val="18"/>
              </w:rPr>
            </w:pPr>
            <w:r>
              <w:rPr>
                <w:rFonts w:asciiTheme="majorHAnsi" w:hAnsiTheme="majorHAnsi" w:cstheme="majorHAnsi"/>
                <w:sz w:val="18"/>
              </w:rPr>
              <w:t>Obstetric estimate</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FE12EFC"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0CD45D6E" w14:textId="77777777" w:rsidR="00C665B7" w:rsidRDefault="00C665B7">
            <w:pPr>
              <w:jc w:val="center"/>
              <w:rPr>
                <w:rFonts w:asciiTheme="majorHAnsi" w:hAnsiTheme="majorHAnsi" w:cstheme="majorHAnsi"/>
                <w:sz w:val="18"/>
              </w:rPr>
            </w:pPr>
            <w:r>
              <w:rPr>
                <w:rFonts w:asciiTheme="majorHAnsi" w:hAnsiTheme="majorHAnsi" w:cstheme="majorHAnsi"/>
                <w:sz w:val="18"/>
              </w:rPr>
              <w:t>0.37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10FD4F"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8D289F5"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72DBDBB8"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6549F2F7" w14:textId="77777777" w:rsidR="00C665B7" w:rsidRDefault="00C665B7">
            <w:pPr>
              <w:jc w:val="center"/>
              <w:rPr>
                <w:rFonts w:asciiTheme="majorHAnsi" w:hAnsiTheme="majorHAnsi" w:cstheme="majorHAnsi"/>
                <w:sz w:val="18"/>
              </w:rPr>
            </w:pPr>
            <w:r>
              <w:rPr>
                <w:rFonts w:asciiTheme="majorHAnsi" w:hAnsiTheme="majorHAnsi" w:cstheme="majorHAnsi"/>
                <w:sz w:val="18"/>
              </w:rPr>
              <w:t>Other measurement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60FAE11E"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9B319D" w14:textId="77777777" w:rsidR="00C665B7" w:rsidRDefault="00C665B7">
            <w:pPr>
              <w:rPr>
                <w:rFonts w:asciiTheme="majorHAnsi" w:hAnsiTheme="majorHAnsi" w:cstheme="majorHAnsi"/>
                <w:sz w:val="18"/>
                <w:lang w:val="en-GB"/>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43CB1539"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0.154 (–0.486, 0.793)</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0FA0698" w14:textId="77777777" w:rsidR="00C665B7" w:rsidRDefault="00C665B7">
            <w:pPr>
              <w:jc w:val="center"/>
              <w:rPr>
                <w:rFonts w:asciiTheme="majorHAnsi" w:hAnsiTheme="majorHAnsi" w:cstheme="majorHAnsi"/>
                <w:sz w:val="18"/>
              </w:rPr>
            </w:pPr>
            <w:r>
              <w:rPr>
                <w:rFonts w:asciiTheme="majorHAnsi" w:hAnsiTheme="majorHAnsi" w:cstheme="majorHAnsi"/>
                <w:sz w:val="18"/>
              </w:rPr>
              <w:t>1.166 (0.615, 2.210)</w:t>
            </w:r>
          </w:p>
        </w:tc>
      </w:tr>
    </w:tbl>
    <w:p w14:paraId="77890E43" w14:textId="77777777" w:rsidR="00C665B7" w:rsidRDefault="00C665B7" w:rsidP="00C665B7">
      <w:pPr>
        <w:pStyle w:val="CapstoneCaption"/>
      </w:pPr>
    </w:p>
    <w:p w14:paraId="5FF51A3F" w14:textId="77777777" w:rsidR="00C665B7" w:rsidRDefault="00C665B7" w:rsidP="00C665B7">
      <w:pPr>
        <w:pStyle w:val="CapstoneCaption"/>
      </w:pPr>
      <w:r>
        <w:t>Table 7. MR-BRT VR-claims crosswalk adjustment factor for preterm birth (&lt;37 weeks’ gestation)</w:t>
      </w:r>
    </w:p>
    <w:tbl>
      <w:tblPr>
        <w:tblStyle w:val="TableGrid"/>
        <w:tblW w:w="0" w:type="auto"/>
        <w:tblLook w:val="04A0" w:firstRow="1" w:lastRow="0" w:firstColumn="1" w:lastColumn="0" w:noHBand="0" w:noVBand="1"/>
      </w:tblPr>
      <w:tblGrid>
        <w:gridCol w:w="1885"/>
        <w:gridCol w:w="1980"/>
        <w:gridCol w:w="900"/>
        <w:gridCol w:w="2340"/>
        <w:gridCol w:w="2245"/>
      </w:tblGrid>
      <w:tr w:rsidR="00C665B7" w14:paraId="43D310A0"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58FCD11B"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EDA10"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67308F2C"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CF17276"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65C0ECC9"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3548C5A5"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6EB4A01E"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1331A11F" w14:textId="77777777" w:rsidR="00C665B7" w:rsidRDefault="00C665B7">
            <w:pPr>
              <w:jc w:val="center"/>
              <w:rPr>
                <w:rFonts w:asciiTheme="majorHAnsi" w:hAnsiTheme="majorHAnsi" w:cstheme="majorHAnsi"/>
                <w:sz w:val="18"/>
              </w:rPr>
            </w:pPr>
            <w:r>
              <w:rPr>
                <w:rFonts w:asciiTheme="majorHAnsi" w:hAnsiTheme="majorHAnsi" w:cstheme="majorHAnsi"/>
                <w:sz w:val="18"/>
              </w:rPr>
              <w:t>Vital registration</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1FED150"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57B0ECF6" w14:textId="77777777" w:rsidR="00C665B7" w:rsidRDefault="00C665B7">
            <w:pPr>
              <w:jc w:val="center"/>
              <w:rPr>
                <w:rFonts w:asciiTheme="majorHAnsi" w:hAnsiTheme="majorHAnsi" w:cstheme="majorHAnsi"/>
                <w:sz w:val="18"/>
              </w:rPr>
            </w:pPr>
            <w:r>
              <w:rPr>
                <w:rFonts w:asciiTheme="majorHAnsi" w:hAnsiTheme="majorHAnsi" w:cstheme="majorHAnsi"/>
                <w:sz w:val="18"/>
              </w:rPr>
              <w:t>0.07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397F7FCB"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B567432"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64D1D911"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226F85C7" w14:textId="77777777" w:rsidR="00C665B7" w:rsidRDefault="00C665B7">
            <w:pPr>
              <w:jc w:val="center"/>
              <w:rPr>
                <w:rFonts w:asciiTheme="majorHAnsi" w:hAnsiTheme="majorHAnsi" w:cstheme="majorHAnsi"/>
                <w:sz w:val="18"/>
              </w:rPr>
            </w:pPr>
            <w:r>
              <w:rPr>
                <w:rFonts w:asciiTheme="majorHAnsi" w:hAnsiTheme="majorHAnsi" w:cstheme="majorHAnsi"/>
                <w:sz w:val="18"/>
              </w:rPr>
              <w:t>Insurance claims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B6BE5E8"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FBB1D" w14:textId="77777777" w:rsidR="00C665B7" w:rsidRDefault="00C665B7">
            <w:pPr>
              <w:rPr>
                <w:rFonts w:asciiTheme="majorHAnsi" w:hAnsiTheme="majorHAnsi" w:cstheme="majorHAnsi"/>
                <w:sz w:val="18"/>
                <w:lang w:val="en-GB"/>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249A2C77"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–0.712 (–0.909, –0.515)</w:t>
            </w:r>
          </w:p>
        </w:tc>
        <w:tc>
          <w:tcPr>
            <w:tcW w:w="2245" w:type="dxa"/>
            <w:tcBorders>
              <w:top w:val="single" w:sz="4" w:space="0" w:color="auto"/>
              <w:left w:val="single" w:sz="4" w:space="0" w:color="auto"/>
              <w:bottom w:val="single" w:sz="4" w:space="0" w:color="auto"/>
              <w:right w:val="single" w:sz="4" w:space="0" w:color="auto"/>
            </w:tcBorders>
            <w:vAlign w:val="center"/>
            <w:hideMark/>
          </w:tcPr>
          <w:p w14:paraId="49A89E68" w14:textId="77777777" w:rsidR="00C665B7" w:rsidRDefault="00C665B7">
            <w:pPr>
              <w:jc w:val="center"/>
              <w:rPr>
                <w:rFonts w:asciiTheme="majorHAnsi" w:hAnsiTheme="majorHAnsi" w:cstheme="majorHAnsi"/>
                <w:sz w:val="18"/>
              </w:rPr>
            </w:pPr>
            <w:r>
              <w:rPr>
                <w:rFonts w:asciiTheme="majorHAnsi" w:hAnsiTheme="majorHAnsi" w:cstheme="majorHAnsi"/>
                <w:sz w:val="18"/>
              </w:rPr>
              <w:t>0.491 (0.403, 0.597)</w:t>
            </w:r>
          </w:p>
        </w:tc>
      </w:tr>
    </w:tbl>
    <w:p w14:paraId="6181407C" w14:textId="77777777" w:rsidR="00C665B7" w:rsidRDefault="00C665B7" w:rsidP="00C665B7">
      <w:pPr>
        <w:rPr>
          <w:rFonts w:ascii="Calibri" w:hAnsi="Calibri" w:cs="Calibri"/>
          <w:b/>
          <w:lang w:val="en-GB"/>
        </w:rPr>
      </w:pPr>
    </w:p>
    <w:p w14:paraId="3693B0AF" w14:textId="77777777" w:rsidR="00C665B7" w:rsidRDefault="00C665B7" w:rsidP="00C665B7">
      <w:pPr>
        <w:rPr>
          <w:rFonts w:ascii="Calibri" w:hAnsi="Calibri" w:cs="Calibri"/>
          <w:b/>
          <w:bCs/>
        </w:rPr>
      </w:pPr>
      <w:r>
        <w:rPr>
          <w:rFonts w:ascii="Calibri" w:hAnsi="Calibri" w:cs="Calibri"/>
          <w:b/>
          <w:bCs/>
        </w:rPr>
        <w:t>Table 8. MR-BRT VR-insurance claims crosswalk adjustment factor for extremely preterm birth (&lt;28 weeks’ gestation)</w:t>
      </w:r>
    </w:p>
    <w:tbl>
      <w:tblPr>
        <w:tblStyle w:val="TableGrid"/>
        <w:tblW w:w="0" w:type="auto"/>
        <w:tblLook w:val="04A0" w:firstRow="1" w:lastRow="0" w:firstColumn="1" w:lastColumn="0" w:noHBand="0" w:noVBand="1"/>
      </w:tblPr>
      <w:tblGrid>
        <w:gridCol w:w="1885"/>
        <w:gridCol w:w="1980"/>
        <w:gridCol w:w="900"/>
        <w:gridCol w:w="2340"/>
        <w:gridCol w:w="2245"/>
      </w:tblGrid>
      <w:tr w:rsidR="00C665B7" w14:paraId="3CFDC92F"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5AEE0908"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8DD617A"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F182E6"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F379BE1"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2363D6EA"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4838901F"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3494B5FD"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6F1BD455" w14:textId="77777777" w:rsidR="00C665B7" w:rsidRDefault="00C665B7">
            <w:pPr>
              <w:jc w:val="center"/>
              <w:rPr>
                <w:rFonts w:asciiTheme="majorHAnsi" w:hAnsiTheme="majorHAnsi" w:cstheme="majorHAnsi"/>
                <w:sz w:val="18"/>
              </w:rPr>
            </w:pPr>
            <w:r>
              <w:rPr>
                <w:rFonts w:asciiTheme="majorHAnsi" w:hAnsiTheme="majorHAnsi" w:cstheme="majorHAnsi"/>
                <w:sz w:val="18"/>
              </w:rPr>
              <w:t>Vital registration</w:t>
            </w:r>
          </w:p>
        </w:tc>
        <w:tc>
          <w:tcPr>
            <w:tcW w:w="1980" w:type="dxa"/>
            <w:tcBorders>
              <w:top w:val="single" w:sz="4" w:space="0" w:color="auto"/>
              <w:left w:val="single" w:sz="4" w:space="0" w:color="auto"/>
              <w:bottom w:val="single" w:sz="4" w:space="0" w:color="auto"/>
              <w:right w:val="single" w:sz="4" w:space="0" w:color="auto"/>
            </w:tcBorders>
            <w:vAlign w:val="center"/>
            <w:hideMark/>
          </w:tcPr>
          <w:p w14:paraId="19ADACEE"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36CFD73D" w14:textId="77777777" w:rsidR="00C665B7" w:rsidRDefault="00C665B7">
            <w:pPr>
              <w:jc w:val="center"/>
              <w:rPr>
                <w:rFonts w:asciiTheme="majorHAnsi" w:hAnsiTheme="majorHAnsi" w:cstheme="majorHAnsi"/>
                <w:sz w:val="18"/>
              </w:rPr>
            </w:pPr>
            <w:r>
              <w:rPr>
                <w:rFonts w:asciiTheme="majorHAnsi" w:hAnsiTheme="majorHAnsi" w:cstheme="majorHAnsi"/>
                <w:sz w:val="18"/>
              </w:rPr>
              <w:t>0.02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E812283"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1B15F640"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11697DC0"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4816825A" w14:textId="77777777" w:rsidR="00C665B7" w:rsidRDefault="00C665B7">
            <w:pPr>
              <w:jc w:val="center"/>
              <w:rPr>
                <w:rFonts w:asciiTheme="majorHAnsi" w:hAnsiTheme="majorHAnsi" w:cstheme="majorHAnsi"/>
                <w:sz w:val="18"/>
              </w:rPr>
            </w:pPr>
            <w:r>
              <w:rPr>
                <w:rFonts w:asciiTheme="majorHAnsi" w:hAnsiTheme="majorHAnsi" w:cstheme="majorHAnsi"/>
                <w:sz w:val="18"/>
              </w:rPr>
              <w:t>Insurance claims</w:t>
            </w:r>
          </w:p>
        </w:tc>
        <w:tc>
          <w:tcPr>
            <w:tcW w:w="1980" w:type="dxa"/>
            <w:tcBorders>
              <w:top w:val="single" w:sz="4" w:space="0" w:color="auto"/>
              <w:left w:val="single" w:sz="4" w:space="0" w:color="auto"/>
              <w:bottom w:val="single" w:sz="4" w:space="0" w:color="auto"/>
              <w:right w:val="single" w:sz="4" w:space="0" w:color="auto"/>
            </w:tcBorders>
            <w:vAlign w:val="center"/>
            <w:hideMark/>
          </w:tcPr>
          <w:p w14:paraId="22938F90"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74B20" w14:textId="77777777" w:rsidR="00C665B7" w:rsidRDefault="00C665B7">
            <w:pPr>
              <w:rPr>
                <w:rFonts w:asciiTheme="majorHAnsi" w:hAnsiTheme="majorHAnsi" w:cstheme="majorHAnsi"/>
                <w:sz w:val="18"/>
                <w:lang w:val="en-GB"/>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5709CCDC"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–1.258 (–1.447, –1.07)</w:t>
            </w:r>
          </w:p>
        </w:tc>
        <w:tc>
          <w:tcPr>
            <w:tcW w:w="2245" w:type="dxa"/>
            <w:tcBorders>
              <w:top w:val="single" w:sz="4" w:space="0" w:color="auto"/>
              <w:left w:val="single" w:sz="4" w:space="0" w:color="auto"/>
              <w:bottom w:val="single" w:sz="4" w:space="0" w:color="auto"/>
              <w:right w:val="single" w:sz="4" w:space="0" w:color="auto"/>
            </w:tcBorders>
            <w:vAlign w:val="center"/>
            <w:hideMark/>
          </w:tcPr>
          <w:p w14:paraId="2E0503A4" w14:textId="77777777" w:rsidR="00C665B7" w:rsidRDefault="00C665B7">
            <w:pPr>
              <w:jc w:val="center"/>
              <w:rPr>
                <w:rFonts w:asciiTheme="majorHAnsi" w:hAnsiTheme="majorHAnsi" w:cstheme="majorHAnsi"/>
                <w:sz w:val="18"/>
              </w:rPr>
            </w:pPr>
            <w:r>
              <w:rPr>
                <w:rFonts w:asciiTheme="majorHAnsi" w:hAnsiTheme="majorHAnsi" w:cstheme="majorHAnsi"/>
                <w:sz w:val="18"/>
              </w:rPr>
              <w:t>0.284 (0.235, 0.344)</w:t>
            </w:r>
          </w:p>
        </w:tc>
      </w:tr>
    </w:tbl>
    <w:p w14:paraId="1709FA0E" w14:textId="77777777" w:rsidR="00C665B7" w:rsidRDefault="00C665B7" w:rsidP="00C665B7">
      <w:pPr>
        <w:pStyle w:val="CapstoneCaption"/>
      </w:pPr>
    </w:p>
    <w:p w14:paraId="74CAB39D" w14:textId="77777777" w:rsidR="00C665B7" w:rsidRDefault="00C665B7" w:rsidP="00C665B7">
      <w:pPr>
        <w:pStyle w:val="CapstoneCaption"/>
      </w:pPr>
      <w:r>
        <w:t>Table 9.</w:t>
      </w:r>
      <w:r>
        <w:rPr>
          <w:rFonts w:asciiTheme="majorHAnsi" w:hAnsiTheme="majorHAnsi" w:cstheme="majorBidi"/>
        </w:rPr>
        <w:t xml:space="preserve"> MR-BRT low birthweight to preterm birth (&lt;37 weeks’ gestation)</w:t>
      </w:r>
    </w:p>
    <w:tbl>
      <w:tblPr>
        <w:tblStyle w:val="TableGrid"/>
        <w:tblW w:w="0" w:type="auto"/>
        <w:tblLook w:val="04A0" w:firstRow="1" w:lastRow="0" w:firstColumn="1" w:lastColumn="0" w:noHBand="0" w:noVBand="1"/>
      </w:tblPr>
      <w:tblGrid>
        <w:gridCol w:w="1885"/>
        <w:gridCol w:w="2091"/>
        <w:gridCol w:w="879"/>
        <w:gridCol w:w="2250"/>
        <w:gridCol w:w="2245"/>
      </w:tblGrid>
      <w:tr w:rsidR="00C665B7" w14:paraId="685F1B68"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1F5987A5"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2091" w:type="dxa"/>
            <w:tcBorders>
              <w:top w:val="single" w:sz="4" w:space="0" w:color="auto"/>
              <w:left w:val="single" w:sz="4" w:space="0" w:color="auto"/>
              <w:bottom w:val="single" w:sz="4" w:space="0" w:color="auto"/>
              <w:right w:val="single" w:sz="4" w:space="0" w:color="auto"/>
            </w:tcBorders>
            <w:vAlign w:val="center"/>
            <w:hideMark/>
          </w:tcPr>
          <w:p w14:paraId="48B5974A"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7979BD42"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E5E82D7"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1ACE414F"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75AC26F2"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4223ED20"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23AB4A9C" w14:textId="77777777" w:rsidR="00C665B7" w:rsidRDefault="00C665B7">
            <w:pPr>
              <w:jc w:val="center"/>
              <w:rPr>
                <w:rFonts w:asciiTheme="majorHAnsi" w:hAnsiTheme="majorHAnsi" w:cstheme="majorHAnsi"/>
                <w:sz w:val="18"/>
              </w:rPr>
            </w:pPr>
            <w:r>
              <w:rPr>
                <w:rFonts w:asciiTheme="majorHAnsi" w:hAnsiTheme="majorHAnsi" w:cstheme="majorHAnsi"/>
                <w:sz w:val="18"/>
              </w:rPr>
              <w:t>Preterm birth</w:t>
            </w:r>
          </w:p>
        </w:tc>
        <w:tc>
          <w:tcPr>
            <w:tcW w:w="2091" w:type="dxa"/>
            <w:tcBorders>
              <w:top w:val="single" w:sz="4" w:space="0" w:color="auto"/>
              <w:left w:val="single" w:sz="4" w:space="0" w:color="auto"/>
              <w:bottom w:val="single" w:sz="4" w:space="0" w:color="auto"/>
              <w:right w:val="single" w:sz="4" w:space="0" w:color="auto"/>
            </w:tcBorders>
            <w:vAlign w:val="center"/>
            <w:hideMark/>
          </w:tcPr>
          <w:p w14:paraId="7D5A16BD"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879" w:type="dxa"/>
            <w:vMerge w:val="restart"/>
            <w:tcBorders>
              <w:top w:val="single" w:sz="4" w:space="0" w:color="auto"/>
              <w:left w:val="single" w:sz="4" w:space="0" w:color="auto"/>
              <w:bottom w:val="single" w:sz="4" w:space="0" w:color="auto"/>
              <w:right w:val="single" w:sz="4" w:space="0" w:color="auto"/>
            </w:tcBorders>
            <w:vAlign w:val="center"/>
            <w:hideMark/>
          </w:tcPr>
          <w:p w14:paraId="04274939" w14:textId="77777777" w:rsidR="00C665B7" w:rsidRDefault="00C665B7">
            <w:pPr>
              <w:jc w:val="center"/>
              <w:rPr>
                <w:rFonts w:asciiTheme="majorHAnsi" w:hAnsiTheme="majorHAnsi" w:cstheme="majorHAnsi"/>
                <w:sz w:val="18"/>
              </w:rPr>
            </w:pPr>
            <w:r>
              <w:rPr>
                <w:rFonts w:asciiTheme="majorHAnsi" w:hAnsiTheme="majorHAnsi" w:cstheme="majorHAnsi"/>
                <w:sz w:val="18"/>
              </w:rPr>
              <w:t>0.08</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230CD38"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53DE26A"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33A8C619"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774CBEB0" w14:textId="77777777" w:rsidR="00C665B7" w:rsidRDefault="00C665B7">
            <w:pPr>
              <w:jc w:val="center"/>
              <w:rPr>
                <w:rFonts w:asciiTheme="majorHAnsi" w:hAnsiTheme="majorHAnsi" w:cstheme="majorHAnsi"/>
                <w:sz w:val="18"/>
              </w:rPr>
            </w:pPr>
            <w:r>
              <w:rPr>
                <w:rFonts w:asciiTheme="majorHAnsi" w:hAnsiTheme="majorHAnsi" w:cstheme="majorHAnsi"/>
                <w:sz w:val="18"/>
              </w:rPr>
              <w:t>Low birthweight</w:t>
            </w:r>
          </w:p>
        </w:tc>
        <w:tc>
          <w:tcPr>
            <w:tcW w:w="2091" w:type="dxa"/>
            <w:tcBorders>
              <w:top w:val="single" w:sz="4" w:space="0" w:color="auto"/>
              <w:left w:val="single" w:sz="4" w:space="0" w:color="auto"/>
              <w:bottom w:val="single" w:sz="4" w:space="0" w:color="auto"/>
              <w:right w:val="single" w:sz="4" w:space="0" w:color="auto"/>
            </w:tcBorders>
            <w:vAlign w:val="center"/>
            <w:hideMark/>
          </w:tcPr>
          <w:p w14:paraId="563C4C83"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50310D" w14:textId="77777777" w:rsidR="00C665B7" w:rsidRDefault="00C665B7">
            <w:pPr>
              <w:rPr>
                <w:rFonts w:asciiTheme="majorHAnsi" w:hAnsiTheme="majorHAnsi" w:cstheme="majorHAnsi"/>
                <w:sz w:val="18"/>
                <w:lang w:val="en-GB"/>
              </w:rPr>
            </w:pPr>
          </w:p>
        </w:tc>
        <w:tc>
          <w:tcPr>
            <w:tcW w:w="2250" w:type="dxa"/>
            <w:tcBorders>
              <w:top w:val="single" w:sz="4" w:space="0" w:color="auto"/>
              <w:left w:val="single" w:sz="4" w:space="0" w:color="auto"/>
              <w:bottom w:val="single" w:sz="4" w:space="0" w:color="auto"/>
              <w:right w:val="single" w:sz="4" w:space="0" w:color="auto"/>
            </w:tcBorders>
            <w:vAlign w:val="center"/>
            <w:hideMark/>
          </w:tcPr>
          <w:p w14:paraId="3976BC67"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–0.479 (–0.518, –0.440)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1B269EDA" w14:textId="77777777" w:rsidR="00C665B7" w:rsidRDefault="00C665B7">
            <w:pPr>
              <w:jc w:val="center"/>
              <w:rPr>
                <w:rFonts w:asciiTheme="majorHAnsi" w:hAnsiTheme="majorHAnsi" w:cstheme="majorHAnsi"/>
                <w:sz w:val="18"/>
              </w:rPr>
            </w:pPr>
            <w:r>
              <w:rPr>
                <w:rFonts w:asciiTheme="majorHAnsi" w:hAnsiTheme="majorHAnsi" w:cstheme="majorHAnsi"/>
                <w:sz w:val="18"/>
              </w:rPr>
              <w:t>0.620 (0.596, 0.644)</w:t>
            </w:r>
          </w:p>
        </w:tc>
      </w:tr>
    </w:tbl>
    <w:p w14:paraId="6CC469B2" w14:textId="77777777" w:rsidR="00C665B7" w:rsidRDefault="00C665B7" w:rsidP="00C665B7">
      <w:pPr>
        <w:pStyle w:val="CapstoneCaption"/>
      </w:pPr>
    </w:p>
    <w:p w14:paraId="4617CFD8" w14:textId="77777777" w:rsidR="00C665B7" w:rsidRDefault="00C665B7" w:rsidP="00C665B7">
      <w:pPr>
        <w:pStyle w:val="CapstoneCaption"/>
      </w:pPr>
      <w:r>
        <w:t>Table 10.</w:t>
      </w:r>
      <w:r>
        <w:rPr>
          <w:rFonts w:asciiTheme="majorHAnsi" w:hAnsiTheme="majorHAnsi" w:cstheme="majorBidi"/>
        </w:rPr>
        <w:t xml:space="preserve"> MR-BRT preterm (&lt;37 weeks’ gestation) to extremely preterm (&lt;28 weeks’ gestation)</w:t>
      </w:r>
    </w:p>
    <w:tbl>
      <w:tblPr>
        <w:tblStyle w:val="TableGrid"/>
        <w:tblW w:w="0" w:type="auto"/>
        <w:tblLook w:val="04A0" w:firstRow="1" w:lastRow="0" w:firstColumn="1" w:lastColumn="0" w:noHBand="0" w:noVBand="1"/>
      </w:tblPr>
      <w:tblGrid>
        <w:gridCol w:w="1885"/>
        <w:gridCol w:w="2091"/>
        <w:gridCol w:w="879"/>
        <w:gridCol w:w="2250"/>
        <w:gridCol w:w="2245"/>
      </w:tblGrid>
      <w:tr w:rsidR="00C665B7" w14:paraId="0600A9B2" w14:textId="77777777" w:rsidTr="00C665B7">
        <w:trPr>
          <w:trHeight w:val="300"/>
        </w:trPr>
        <w:tc>
          <w:tcPr>
            <w:tcW w:w="1885" w:type="dxa"/>
            <w:tcBorders>
              <w:top w:val="single" w:sz="4" w:space="0" w:color="auto"/>
              <w:left w:val="single" w:sz="4" w:space="0" w:color="auto"/>
              <w:bottom w:val="single" w:sz="4" w:space="0" w:color="auto"/>
              <w:right w:val="single" w:sz="4" w:space="0" w:color="auto"/>
            </w:tcBorders>
            <w:vAlign w:val="center"/>
            <w:hideMark/>
          </w:tcPr>
          <w:p w14:paraId="1A8D66D1"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2091" w:type="dxa"/>
            <w:tcBorders>
              <w:top w:val="single" w:sz="4" w:space="0" w:color="auto"/>
              <w:left w:val="single" w:sz="4" w:space="0" w:color="auto"/>
              <w:bottom w:val="single" w:sz="4" w:space="0" w:color="auto"/>
              <w:right w:val="single" w:sz="4" w:space="0" w:color="auto"/>
            </w:tcBorders>
            <w:vAlign w:val="center"/>
            <w:hideMark/>
          </w:tcPr>
          <w:p w14:paraId="3DAE0F22"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59874F76"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7003FFA"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1FA3390E"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3D0A2C1"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4E267B27" w14:textId="77777777" w:rsidTr="00C665B7">
        <w:trPr>
          <w:trHeight w:val="300"/>
        </w:trPr>
        <w:tc>
          <w:tcPr>
            <w:tcW w:w="1885" w:type="dxa"/>
            <w:tcBorders>
              <w:top w:val="single" w:sz="4" w:space="0" w:color="auto"/>
              <w:left w:val="single" w:sz="4" w:space="0" w:color="auto"/>
              <w:bottom w:val="single" w:sz="4" w:space="0" w:color="auto"/>
              <w:right w:val="single" w:sz="4" w:space="0" w:color="auto"/>
            </w:tcBorders>
            <w:vAlign w:val="center"/>
            <w:hideMark/>
          </w:tcPr>
          <w:p w14:paraId="627AD480" w14:textId="77777777" w:rsidR="00C665B7" w:rsidRDefault="00C665B7">
            <w:pPr>
              <w:jc w:val="center"/>
              <w:rPr>
                <w:rFonts w:asciiTheme="majorHAnsi" w:hAnsiTheme="majorHAnsi" w:cstheme="majorHAnsi"/>
                <w:sz w:val="18"/>
              </w:rPr>
            </w:pPr>
            <w:r>
              <w:rPr>
                <w:rFonts w:asciiTheme="majorHAnsi" w:hAnsiTheme="majorHAnsi" w:cstheme="majorHAnsi"/>
                <w:sz w:val="18"/>
              </w:rPr>
              <w:t>28 weeks</w:t>
            </w:r>
          </w:p>
        </w:tc>
        <w:tc>
          <w:tcPr>
            <w:tcW w:w="2091" w:type="dxa"/>
            <w:tcBorders>
              <w:top w:val="single" w:sz="4" w:space="0" w:color="auto"/>
              <w:left w:val="single" w:sz="4" w:space="0" w:color="auto"/>
              <w:bottom w:val="single" w:sz="4" w:space="0" w:color="auto"/>
              <w:right w:val="single" w:sz="4" w:space="0" w:color="auto"/>
            </w:tcBorders>
            <w:vAlign w:val="center"/>
            <w:hideMark/>
          </w:tcPr>
          <w:p w14:paraId="1D370D3E"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879" w:type="dxa"/>
            <w:vMerge w:val="restart"/>
            <w:tcBorders>
              <w:top w:val="single" w:sz="4" w:space="0" w:color="auto"/>
              <w:left w:val="single" w:sz="4" w:space="0" w:color="auto"/>
              <w:bottom w:val="single" w:sz="4" w:space="0" w:color="auto"/>
              <w:right w:val="single" w:sz="4" w:space="0" w:color="auto"/>
            </w:tcBorders>
            <w:vAlign w:val="center"/>
            <w:hideMark/>
          </w:tcPr>
          <w:p w14:paraId="6403B5B9" w14:textId="77777777" w:rsidR="00C665B7" w:rsidRDefault="00C665B7">
            <w:pPr>
              <w:jc w:val="center"/>
              <w:rPr>
                <w:rFonts w:asciiTheme="majorHAnsi" w:hAnsiTheme="majorHAnsi" w:cstheme="majorHAnsi"/>
                <w:sz w:val="18"/>
              </w:rPr>
            </w:pPr>
            <w:r>
              <w:rPr>
                <w:rFonts w:asciiTheme="majorHAnsi" w:hAnsiTheme="majorHAnsi" w:cstheme="majorHAnsi"/>
                <w:sz w:val="18"/>
              </w:rPr>
              <w:t>0.06</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D5F6EDE"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512D33BB"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73FE1B97" w14:textId="77777777" w:rsidTr="00C665B7">
        <w:trPr>
          <w:trHeight w:val="300"/>
        </w:trPr>
        <w:tc>
          <w:tcPr>
            <w:tcW w:w="1885" w:type="dxa"/>
            <w:tcBorders>
              <w:top w:val="single" w:sz="4" w:space="0" w:color="auto"/>
              <w:left w:val="single" w:sz="4" w:space="0" w:color="auto"/>
              <w:bottom w:val="single" w:sz="4" w:space="0" w:color="auto"/>
              <w:right w:val="single" w:sz="4" w:space="0" w:color="auto"/>
            </w:tcBorders>
            <w:vAlign w:val="center"/>
            <w:hideMark/>
          </w:tcPr>
          <w:p w14:paraId="354F686D" w14:textId="77777777" w:rsidR="00C665B7" w:rsidRDefault="00C665B7">
            <w:pPr>
              <w:jc w:val="center"/>
              <w:rPr>
                <w:rFonts w:asciiTheme="majorHAnsi" w:hAnsiTheme="majorHAnsi" w:cstheme="majorHAnsi"/>
                <w:sz w:val="18"/>
              </w:rPr>
            </w:pPr>
            <w:r>
              <w:rPr>
                <w:rFonts w:asciiTheme="majorHAnsi" w:hAnsiTheme="majorHAnsi" w:cstheme="majorHAnsi"/>
                <w:sz w:val="18"/>
              </w:rPr>
              <w:t>37 weeks</w:t>
            </w:r>
          </w:p>
        </w:tc>
        <w:tc>
          <w:tcPr>
            <w:tcW w:w="2091" w:type="dxa"/>
            <w:tcBorders>
              <w:top w:val="single" w:sz="4" w:space="0" w:color="auto"/>
              <w:left w:val="single" w:sz="4" w:space="0" w:color="auto"/>
              <w:bottom w:val="single" w:sz="4" w:space="0" w:color="auto"/>
              <w:right w:val="single" w:sz="4" w:space="0" w:color="auto"/>
            </w:tcBorders>
            <w:vAlign w:val="center"/>
            <w:hideMark/>
          </w:tcPr>
          <w:p w14:paraId="4265EE98"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7F249E" w14:textId="77777777" w:rsidR="00C665B7" w:rsidRDefault="00C665B7">
            <w:pPr>
              <w:rPr>
                <w:rFonts w:asciiTheme="majorHAnsi" w:hAnsiTheme="majorHAnsi" w:cstheme="majorHAnsi"/>
                <w:sz w:val="18"/>
                <w:lang w:val="en-GB"/>
              </w:rPr>
            </w:pPr>
          </w:p>
        </w:tc>
        <w:tc>
          <w:tcPr>
            <w:tcW w:w="2250" w:type="dxa"/>
            <w:tcBorders>
              <w:top w:val="single" w:sz="4" w:space="0" w:color="auto"/>
              <w:left w:val="single" w:sz="4" w:space="0" w:color="auto"/>
              <w:bottom w:val="single" w:sz="4" w:space="0" w:color="auto"/>
              <w:right w:val="single" w:sz="4" w:space="0" w:color="auto"/>
            </w:tcBorders>
            <w:vAlign w:val="center"/>
            <w:hideMark/>
          </w:tcPr>
          <w:p w14:paraId="37ACB4B7" w14:textId="77777777" w:rsidR="00C665B7" w:rsidRDefault="00C665B7">
            <w:pPr>
              <w:jc w:val="center"/>
              <w:rPr>
                <w:rFonts w:asciiTheme="majorHAnsi" w:hAnsiTheme="majorHAnsi" w:cstheme="majorHAnsi"/>
                <w:sz w:val="18"/>
              </w:rPr>
            </w:pPr>
            <w:r>
              <w:rPr>
                <w:rFonts w:asciiTheme="majorHAnsi" w:hAnsiTheme="majorHAnsi" w:cstheme="majorHAnsi"/>
                <w:sz w:val="18"/>
              </w:rPr>
              <w:t>3.221 (3.161, 3.281)</w:t>
            </w:r>
          </w:p>
        </w:tc>
        <w:tc>
          <w:tcPr>
            <w:tcW w:w="2245" w:type="dxa"/>
            <w:tcBorders>
              <w:top w:val="single" w:sz="4" w:space="0" w:color="auto"/>
              <w:left w:val="single" w:sz="4" w:space="0" w:color="auto"/>
              <w:bottom w:val="single" w:sz="4" w:space="0" w:color="auto"/>
              <w:right w:val="single" w:sz="4" w:space="0" w:color="auto"/>
            </w:tcBorders>
            <w:vAlign w:val="center"/>
            <w:hideMark/>
          </w:tcPr>
          <w:p w14:paraId="779D98DC" w14:textId="77777777" w:rsidR="00C665B7" w:rsidRDefault="00C665B7">
            <w:pPr>
              <w:jc w:val="center"/>
              <w:rPr>
                <w:rFonts w:asciiTheme="majorHAnsi" w:hAnsiTheme="majorHAnsi" w:cstheme="majorHAnsi"/>
                <w:sz w:val="18"/>
              </w:rPr>
            </w:pPr>
            <w:r>
              <w:rPr>
                <w:rFonts w:asciiTheme="majorHAnsi" w:hAnsiTheme="majorHAnsi" w:cstheme="majorHAnsi"/>
                <w:sz w:val="18"/>
              </w:rPr>
              <w:t>25.053 (23.600, 26.604)</w:t>
            </w:r>
          </w:p>
        </w:tc>
      </w:tr>
    </w:tbl>
    <w:p w14:paraId="767570CE" w14:textId="77777777" w:rsidR="00C665B7" w:rsidRDefault="00C665B7" w:rsidP="00C665B7">
      <w:pPr>
        <w:pStyle w:val="CapstoneCaption"/>
      </w:pPr>
    </w:p>
    <w:p w14:paraId="12757FE8" w14:textId="77777777" w:rsidR="00C665B7" w:rsidRDefault="00C665B7" w:rsidP="00C665B7">
      <w:pPr>
        <w:pStyle w:val="CapstoneCaption"/>
      </w:pPr>
      <w:r>
        <w:t>Table 11.</w:t>
      </w:r>
      <w:r>
        <w:rPr>
          <w:rFonts w:asciiTheme="majorHAnsi" w:hAnsiTheme="majorHAnsi" w:cstheme="majorBidi"/>
        </w:rPr>
        <w:t xml:space="preserve"> MR-BRT extremely preterm (&lt;28 weeks’ gestation) to preterm (&lt;37 weeks’ gestation) </w:t>
      </w:r>
    </w:p>
    <w:tbl>
      <w:tblPr>
        <w:tblStyle w:val="TableGrid"/>
        <w:tblW w:w="0" w:type="auto"/>
        <w:tblLook w:val="04A0" w:firstRow="1" w:lastRow="0" w:firstColumn="1" w:lastColumn="0" w:noHBand="0" w:noVBand="1"/>
      </w:tblPr>
      <w:tblGrid>
        <w:gridCol w:w="1885"/>
        <w:gridCol w:w="2091"/>
        <w:gridCol w:w="879"/>
        <w:gridCol w:w="2250"/>
        <w:gridCol w:w="2245"/>
      </w:tblGrid>
      <w:tr w:rsidR="00C665B7" w14:paraId="046F4CEB"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40B89E81" w14:textId="77777777" w:rsidR="00C665B7" w:rsidRDefault="00C665B7">
            <w:pPr>
              <w:jc w:val="center"/>
              <w:rPr>
                <w:rFonts w:asciiTheme="majorHAnsi" w:hAnsiTheme="majorHAnsi" w:cstheme="majorHAnsi"/>
                <w:sz w:val="18"/>
              </w:rPr>
            </w:pPr>
            <w:r>
              <w:rPr>
                <w:rFonts w:asciiTheme="majorHAnsi" w:hAnsiTheme="majorHAnsi" w:cstheme="majorHAnsi"/>
                <w:sz w:val="18"/>
              </w:rPr>
              <w:t>Data input</w:t>
            </w:r>
          </w:p>
        </w:tc>
        <w:tc>
          <w:tcPr>
            <w:tcW w:w="2091" w:type="dxa"/>
            <w:tcBorders>
              <w:top w:val="single" w:sz="4" w:space="0" w:color="auto"/>
              <w:left w:val="single" w:sz="4" w:space="0" w:color="auto"/>
              <w:bottom w:val="single" w:sz="4" w:space="0" w:color="auto"/>
              <w:right w:val="single" w:sz="4" w:space="0" w:color="auto"/>
            </w:tcBorders>
            <w:vAlign w:val="center"/>
            <w:hideMark/>
          </w:tcPr>
          <w:p w14:paraId="05A58FB0" w14:textId="77777777" w:rsidR="00C665B7" w:rsidRDefault="00C665B7">
            <w:pPr>
              <w:jc w:val="center"/>
              <w:rPr>
                <w:rFonts w:asciiTheme="majorHAnsi" w:hAnsiTheme="majorHAnsi" w:cstheme="majorHAnsi"/>
                <w:sz w:val="18"/>
              </w:rPr>
            </w:pPr>
            <w:r>
              <w:rPr>
                <w:rFonts w:asciiTheme="majorHAnsi" w:hAnsiTheme="majorHAnsi" w:cstheme="majorHAnsi"/>
                <w:sz w:val="18"/>
              </w:rPr>
              <w:t>Reference or alternative case definition</w:t>
            </w:r>
          </w:p>
        </w:tc>
        <w:tc>
          <w:tcPr>
            <w:tcW w:w="879" w:type="dxa"/>
            <w:tcBorders>
              <w:top w:val="single" w:sz="4" w:space="0" w:color="auto"/>
              <w:left w:val="single" w:sz="4" w:space="0" w:color="auto"/>
              <w:bottom w:val="single" w:sz="4" w:space="0" w:color="auto"/>
              <w:right w:val="single" w:sz="4" w:space="0" w:color="auto"/>
            </w:tcBorders>
            <w:vAlign w:val="center"/>
            <w:hideMark/>
          </w:tcPr>
          <w:p w14:paraId="3B85F7BA" w14:textId="77777777" w:rsidR="00C665B7" w:rsidRDefault="00C665B7">
            <w:pPr>
              <w:jc w:val="center"/>
              <w:rPr>
                <w:rFonts w:asciiTheme="majorHAnsi" w:hAnsiTheme="majorHAnsi" w:cstheme="majorHAnsi"/>
                <w:sz w:val="18"/>
              </w:rPr>
            </w:pPr>
            <w:r>
              <w:rPr>
                <w:rFonts w:asciiTheme="majorHAnsi" w:hAnsiTheme="majorHAnsi" w:cstheme="majorHAnsi"/>
                <w:sz w:val="18"/>
              </w:rPr>
              <w:t>Gamma</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D7D7B88" w14:textId="77777777" w:rsidR="00C665B7" w:rsidRDefault="00C665B7">
            <w:pPr>
              <w:jc w:val="center"/>
              <w:rPr>
                <w:rFonts w:asciiTheme="majorHAnsi" w:hAnsiTheme="majorHAnsi" w:cstheme="majorHAnsi"/>
                <w:sz w:val="18"/>
              </w:rPr>
            </w:pPr>
            <w:r>
              <w:rPr>
                <w:rFonts w:asciiTheme="majorHAnsi" w:hAnsiTheme="majorHAnsi" w:cstheme="majorHAnsi"/>
                <w:sz w:val="18"/>
              </w:rPr>
              <w:t>Beta coefficient, log</w:t>
            </w:r>
          </w:p>
          <w:p w14:paraId="71F8C587" w14:textId="77777777" w:rsidR="00C665B7" w:rsidRDefault="00C665B7">
            <w:pPr>
              <w:jc w:val="center"/>
              <w:rPr>
                <w:rFonts w:asciiTheme="majorHAnsi" w:hAnsiTheme="majorHAnsi" w:cstheme="majorHAnsi"/>
                <w:sz w:val="18"/>
              </w:rPr>
            </w:pPr>
            <w:r>
              <w:rPr>
                <w:rFonts w:asciiTheme="majorHAnsi" w:hAnsiTheme="majorHAnsi" w:cstheme="majorHAnsi"/>
                <w:sz w:val="18"/>
              </w:rPr>
              <w:t>(95% CI)</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FBEC3ED" w14:textId="77777777" w:rsidR="00C665B7" w:rsidRDefault="00C665B7">
            <w:pPr>
              <w:jc w:val="center"/>
              <w:rPr>
                <w:rFonts w:asciiTheme="majorHAnsi" w:hAnsiTheme="majorHAnsi" w:cstheme="majorHAnsi"/>
                <w:sz w:val="18"/>
              </w:rPr>
            </w:pPr>
            <w:r>
              <w:rPr>
                <w:rFonts w:asciiTheme="majorHAnsi" w:hAnsiTheme="majorHAnsi" w:cstheme="majorHAnsi"/>
                <w:sz w:val="18"/>
              </w:rPr>
              <w:t>Adjustment factor*</w:t>
            </w:r>
          </w:p>
        </w:tc>
      </w:tr>
      <w:tr w:rsidR="00C665B7" w14:paraId="46FF11E8"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3CE6838D" w14:textId="77777777" w:rsidR="00C665B7" w:rsidRDefault="00C665B7">
            <w:pPr>
              <w:jc w:val="center"/>
              <w:rPr>
                <w:rFonts w:asciiTheme="majorHAnsi" w:hAnsiTheme="majorHAnsi" w:cstheme="majorHAnsi"/>
                <w:sz w:val="18"/>
              </w:rPr>
            </w:pPr>
            <w:r>
              <w:rPr>
                <w:rFonts w:asciiTheme="majorHAnsi" w:hAnsiTheme="majorHAnsi" w:cstheme="majorHAnsi"/>
                <w:sz w:val="18"/>
              </w:rPr>
              <w:t>37 weeks</w:t>
            </w:r>
          </w:p>
        </w:tc>
        <w:tc>
          <w:tcPr>
            <w:tcW w:w="2091" w:type="dxa"/>
            <w:tcBorders>
              <w:top w:val="single" w:sz="4" w:space="0" w:color="auto"/>
              <w:left w:val="single" w:sz="4" w:space="0" w:color="auto"/>
              <w:bottom w:val="single" w:sz="4" w:space="0" w:color="auto"/>
              <w:right w:val="single" w:sz="4" w:space="0" w:color="auto"/>
            </w:tcBorders>
            <w:vAlign w:val="center"/>
            <w:hideMark/>
          </w:tcPr>
          <w:p w14:paraId="72518A31" w14:textId="77777777" w:rsidR="00C665B7" w:rsidRDefault="00C665B7">
            <w:pPr>
              <w:jc w:val="center"/>
              <w:rPr>
                <w:rFonts w:asciiTheme="majorHAnsi" w:hAnsiTheme="majorHAnsi" w:cstheme="majorHAnsi"/>
                <w:sz w:val="18"/>
              </w:rPr>
            </w:pPr>
            <w:r>
              <w:rPr>
                <w:rFonts w:asciiTheme="majorHAnsi" w:hAnsiTheme="majorHAnsi" w:cstheme="majorHAnsi"/>
                <w:sz w:val="18"/>
              </w:rPr>
              <w:t>Reference</w:t>
            </w:r>
          </w:p>
        </w:tc>
        <w:tc>
          <w:tcPr>
            <w:tcW w:w="879" w:type="dxa"/>
            <w:vMerge w:val="restart"/>
            <w:tcBorders>
              <w:top w:val="single" w:sz="4" w:space="0" w:color="auto"/>
              <w:left w:val="single" w:sz="4" w:space="0" w:color="auto"/>
              <w:bottom w:val="single" w:sz="4" w:space="0" w:color="auto"/>
              <w:right w:val="single" w:sz="4" w:space="0" w:color="auto"/>
            </w:tcBorders>
            <w:vAlign w:val="center"/>
            <w:hideMark/>
          </w:tcPr>
          <w:p w14:paraId="3D2F6F10" w14:textId="77777777" w:rsidR="00C665B7" w:rsidRDefault="00C665B7">
            <w:pPr>
              <w:jc w:val="center"/>
              <w:rPr>
                <w:rFonts w:asciiTheme="majorHAnsi" w:hAnsiTheme="majorHAnsi" w:cstheme="majorHAnsi"/>
                <w:sz w:val="18"/>
              </w:rPr>
            </w:pPr>
            <w:r>
              <w:rPr>
                <w:rFonts w:asciiTheme="majorHAnsi" w:hAnsiTheme="majorHAnsi" w:cstheme="majorHAnsi"/>
                <w:sz w:val="18"/>
              </w:rPr>
              <w:t>0.05</w:t>
            </w:r>
          </w:p>
        </w:tc>
        <w:tc>
          <w:tcPr>
            <w:tcW w:w="2250" w:type="dxa"/>
            <w:tcBorders>
              <w:top w:val="single" w:sz="4" w:space="0" w:color="auto"/>
              <w:left w:val="single" w:sz="4" w:space="0" w:color="auto"/>
              <w:bottom w:val="single" w:sz="4" w:space="0" w:color="auto"/>
              <w:right w:val="single" w:sz="4" w:space="0" w:color="auto"/>
            </w:tcBorders>
            <w:vAlign w:val="center"/>
            <w:hideMark/>
          </w:tcPr>
          <w:p w14:paraId="5FC49CFD"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c>
          <w:tcPr>
            <w:tcW w:w="2245" w:type="dxa"/>
            <w:tcBorders>
              <w:top w:val="single" w:sz="4" w:space="0" w:color="auto"/>
              <w:left w:val="single" w:sz="4" w:space="0" w:color="auto"/>
              <w:bottom w:val="single" w:sz="4" w:space="0" w:color="auto"/>
              <w:right w:val="single" w:sz="4" w:space="0" w:color="auto"/>
            </w:tcBorders>
            <w:vAlign w:val="center"/>
            <w:hideMark/>
          </w:tcPr>
          <w:p w14:paraId="14C7907F" w14:textId="77777777" w:rsidR="00C665B7" w:rsidRDefault="00C665B7">
            <w:pPr>
              <w:jc w:val="center"/>
              <w:rPr>
                <w:rFonts w:asciiTheme="majorHAnsi" w:hAnsiTheme="majorHAnsi" w:cstheme="majorHAnsi"/>
                <w:sz w:val="18"/>
              </w:rPr>
            </w:pPr>
            <w:r>
              <w:rPr>
                <w:rFonts w:asciiTheme="majorHAnsi" w:hAnsiTheme="majorHAnsi" w:cstheme="majorHAnsi"/>
                <w:sz w:val="18"/>
              </w:rPr>
              <w:t>---</w:t>
            </w:r>
          </w:p>
        </w:tc>
      </w:tr>
      <w:tr w:rsidR="00C665B7" w14:paraId="5B8DA76C" w14:textId="77777777" w:rsidTr="00C665B7">
        <w:tc>
          <w:tcPr>
            <w:tcW w:w="1885" w:type="dxa"/>
            <w:tcBorders>
              <w:top w:val="single" w:sz="4" w:space="0" w:color="auto"/>
              <w:left w:val="single" w:sz="4" w:space="0" w:color="auto"/>
              <w:bottom w:val="single" w:sz="4" w:space="0" w:color="auto"/>
              <w:right w:val="single" w:sz="4" w:space="0" w:color="auto"/>
            </w:tcBorders>
            <w:vAlign w:val="center"/>
            <w:hideMark/>
          </w:tcPr>
          <w:p w14:paraId="425ECCD8" w14:textId="77777777" w:rsidR="00C665B7" w:rsidRDefault="00C665B7">
            <w:pPr>
              <w:jc w:val="center"/>
              <w:rPr>
                <w:rFonts w:asciiTheme="majorHAnsi" w:hAnsiTheme="majorHAnsi" w:cstheme="majorHAnsi"/>
                <w:sz w:val="18"/>
              </w:rPr>
            </w:pPr>
            <w:r>
              <w:rPr>
                <w:rFonts w:asciiTheme="majorHAnsi" w:hAnsiTheme="majorHAnsi" w:cstheme="majorHAnsi"/>
                <w:sz w:val="18"/>
              </w:rPr>
              <w:t>28 weeks</w:t>
            </w:r>
          </w:p>
        </w:tc>
        <w:tc>
          <w:tcPr>
            <w:tcW w:w="2091" w:type="dxa"/>
            <w:tcBorders>
              <w:top w:val="single" w:sz="4" w:space="0" w:color="auto"/>
              <w:left w:val="single" w:sz="4" w:space="0" w:color="auto"/>
              <w:bottom w:val="single" w:sz="4" w:space="0" w:color="auto"/>
              <w:right w:val="single" w:sz="4" w:space="0" w:color="auto"/>
            </w:tcBorders>
            <w:vAlign w:val="center"/>
            <w:hideMark/>
          </w:tcPr>
          <w:p w14:paraId="49E552F5" w14:textId="77777777" w:rsidR="00C665B7" w:rsidRDefault="00C665B7">
            <w:pPr>
              <w:jc w:val="center"/>
              <w:rPr>
                <w:rFonts w:asciiTheme="majorHAnsi" w:hAnsiTheme="majorHAnsi" w:cstheme="majorHAnsi"/>
                <w:sz w:val="18"/>
              </w:rPr>
            </w:pPr>
            <w:r>
              <w:rPr>
                <w:rFonts w:asciiTheme="majorHAnsi" w:hAnsiTheme="majorHAnsi" w:cstheme="majorHAnsi"/>
                <w:sz w:val="18"/>
              </w:rPr>
              <w:t>Alternative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AC6EB2" w14:textId="77777777" w:rsidR="00C665B7" w:rsidRDefault="00C665B7">
            <w:pPr>
              <w:rPr>
                <w:rFonts w:asciiTheme="majorHAnsi" w:hAnsiTheme="majorHAnsi" w:cstheme="majorHAnsi"/>
                <w:sz w:val="18"/>
                <w:lang w:val="en-GB"/>
              </w:rPr>
            </w:pPr>
          </w:p>
        </w:tc>
        <w:tc>
          <w:tcPr>
            <w:tcW w:w="2250" w:type="dxa"/>
            <w:tcBorders>
              <w:top w:val="single" w:sz="4" w:space="0" w:color="auto"/>
              <w:left w:val="single" w:sz="4" w:space="0" w:color="auto"/>
              <w:bottom w:val="single" w:sz="4" w:space="0" w:color="auto"/>
              <w:right w:val="single" w:sz="4" w:space="0" w:color="auto"/>
            </w:tcBorders>
            <w:vAlign w:val="center"/>
            <w:hideMark/>
          </w:tcPr>
          <w:p w14:paraId="5B1F9FDE" w14:textId="77777777" w:rsidR="00C665B7" w:rsidRDefault="00C665B7">
            <w:pPr>
              <w:jc w:val="center"/>
              <w:rPr>
                <w:rFonts w:asciiTheme="majorHAnsi" w:hAnsiTheme="majorHAnsi" w:cstheme="majorBidi"/>
                <w:sz w:val="18"/>
                <w:szCs w:val="18"/>
              </w:rPr>
            </w:pPr>
            <w:r>
              <w:rPr>
                <w:rFonts w:asciiTheme="majorHAnsi" w:hAnsiTheme="majorHAnsi" w:cstheme="majorBidi"/>
                <w:sz w:val="18"/>
                <w:szCs w:val="18"/>
              </w:rPr>
              <w:t>–3.208 (–3.266, –3.150)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744F591" w14:textId="77777777" w:rsidR="00C665B7" w:rsidRDefault="00C665B7">
            <w:pPr>
              <w:jc w:val="center"/>
              <w:rPr>
                <w:rFonts w:asciiTheme="majorHAnsi" w:hAnsiTheme="majorHAnsi" w:cstheme="majorHAnsi"/>
                <w:sz w:val="18"/>
              </w:rPr>
            </w:pPr>
            <w:r>
              <w:rPr>
                <w:rFonts w:asciiTheme="majorHAnsi" w:hAnsiTheme="majorHAnsi" w:cstheme="majorHAnsi"/>
                <w:sz w:val="18"/>
              </w:rPr>
              <w:t>0.0404 (0.0381, 0.0428)</w:t>
            </w:r>
          </w:p>
        </w:tc>
      </w:tr>
    </w:tbl>
    <w:p w14:paraId="645CBBB7" w14:textId="77777777" w:rsidR="00C665B7" w:rsidRDefault="00C665B7" w:rsidP="00C665B7">
      <w:pPr>
        <w:shd w:val="clear" w:color="auto" w:fill="FFFFFF"/>
        <w:spacing w:before="150" w:after="0" w:line="240" w:lineRule="auto"/>
        <w:rPr>
          <w:rFonts w:eastAsia="Times New Roman" w:cstheme="minorHAnsi"/>
          <w:color w:val="172B4D"/>
          <w:sz w:val="18"/>
          <w:szCs w:val="18"/>
        </w:rPr>
      </w:pPr>
      <w:r>
        <w:rPr>
          <w:rFonts w:eastAsia="Times New Roman" w:cstheme="minorHAnsi"/>
          <w:i/>
          <w:iCs/>
          <w:color w:val="172B4D"/>
          <w:sz w:val="18"/>
          <w:szCs w:val="18"/>
        </w:rPr>
        <w:t>*MR-BRT crosswalk adjustments can be interpreted as the factor the alternative case definition is adjusted by to reflect what it would have been had it been measured using the reference case definition. If the log/logit beta coefficient is negative, then the alternative is adjusted up to the reference. If the log/logit beta coefficient is positive, then the alternative is adjusted down to the reference.</w:t>
      </w:r>
    </w:p>
    <w:p w14:paraId="549A4162" w14:textId="77777777" w:rsidR="00C665B7" w:rsidRDefault="00C665B7" w:rsidP="00C665B7">
      <w:pPr>
        <w:shd w:val="clear" w:color="auto" w:fill="FFFFFF"/>
        <w:spacing w:before="150" w:after="0" w:line="240" w:lineRule="auto"/>
        <w:rPr>
          <w:rFonts w:eastAsia="Times New Roman" w:cstheme="minorHAnsi"/>
          <w:color w:val="172B4D"/>
          <w:sz w:val="18"/>
          <w:szCs w:val="18"/>
        </w:rPr>
      </w:pPr>
      <w:r>
        <w:rPr>
          <w:rFonts w:eastAsia="Times New Roman" w:cstheme="minorHAnsi"/>
          <w:i/>
          <w:iCs/>
          <w:color w:val="172B4D"/>
          <w:sz w:val="18"/>
          <w:szCs w:val="18"/>
        </w:rPr>
        <w:t>**The adjustment factor column is the exponentiated beta coefficient. For log beta coefficients, this is the relative rate between the two case definitions. For logit beta coefficients, this is the relative odds between the two case definitions.</w:t>
      </w:r>
    </w:p>
    <w:p w14:paraId="3CCB27A4" w14:textId="77777777" w:rsidR="00C665B7" w:rsidRDefault="00C665B7" w:rsidP="00C665B7">
      <w:pPr>
        <w:spacing w:line="240" w:lineRule="auto"/>
        <w:rPr>
          <w:lang w:val="en-GB"/>
        </w:rPr>
      </w:pPr>
    </w:p>
    <w:p w14:paraId="58BC8CA7" w14:textId="77777777" w:rsidR="00C665B7" w:rsidRDefault="00C665B7" w:rsidP="00C665B7">
      <w:pPr>
        <w:spacing w:line="240" w:lineRule="auto"/>
      </w:pPr>
      <w:r>
        <w:t xml:space="preserve">These data adjustments had the effect of dramatically increasing the size of each of the modelling datasets and are primarily responsible for most changes in preterm estimates between GBD 2019 and subsequent rounds. After all crosswalks, we performed a deduplication step on GA models. Namely, if low birthweight data in countries that were 1) </w:t>
      </w:r>
      <w:proofErr w:type="spellStart"/>
      <w:r>
        <w:t>categorised</w:t>
      </w:r>
      <w:proofErr w:type="spellEnd"/>
      <w:r>
        <w:t xml:space="preserve"> as “data-rich” locations in cause-of-death modelling or had at least ten consecutive years of vital registration data recording gestational age, and 2) had both preterm birth and low birthweight data, then </w:t>
      </w:r>
      <w:proofErr w:type="spellStart"/>
      <w:r>
        <w:t>crosswalked</w:t>
      </w:r>
      <w:proofErr w:type="spellEnd"/>
      <w:r>
        <w:t xml:space="preserve"> low birthweight data were </w:t>
      </w:r>
      <w:proofErr w:type="spellStart"/>
      <w:r>
        <w:t>outliered</w:t>
      </w:r>
      <w:proofErr w:type="spellEnd"/>
      <w:r>
        <w:t xml:space="preserve"> so that the model was informed only by the gestational age data. </w:t>
      </w:r>
    </w:p>
    <w:p w14:paraId="546CC6D9" w14:textId="77777777" w:rsidR="00C665B7" w:rsidRPr="00D005C1" w:rsidRDefault="00C665B7" w:rsidP="00C31303">
      <w:pPr>
        <w:rPr>
          <w:b/>
          <w:bCs/>
        </w:rPr>
      </w:pPr>
      <w:r w:rsidRPr="00D005C1">
        <w:rPr>
          <w:b/>
          <w:bCs/>
        </w:rPr>
        <w:t xml:space="preserve">Modelling strategy </w:t>
      </w:r>
    </w:p>
    <w:p w14:paraId="6C15470D" w14:textId="77777777" w:rsidR="00C665B7" w:rsidRPr="00D005C1" w:rsidRDefault="00C665B7" w:rsidP="00C31303">
      <w:pPr>
        <w:rPr>
          <w:b/>
          <w:bCs/>
          <w:lang w:val="en-GB"/>
        </w:rPr>
      </w:pPr>
      <w:r w:rsidRPr="00D005C1">
        <w:rPr>
          <w:b/>
          <w:bCs/>
        </w:rPr>
        <w:t>Step A: Model univariate birthweight and gestational age distributions at birth, by l/y/s</w:t>
      </w:r>
    </w:p>
    <w:p w14:paraId="07539DDC" w14:textId="77777777" w:rsidR="00C665B7" w:rsidRDefault="00C665B7" w:rsidP="00C665B7">
      <w:pPr>
        <w:spacing w:line="240" w:lineRule="auto"/>
      </w:pPr>
      <w:r>
        <w:rPr>
          <w:rFonts w:ascii="Calibri" w:eastAsia="Calibri" w:hAnsi="Calibri" w:cs="Calibri"/>
        </w:rPr>
        <w:t>Microdata are the ideal data source for modelling distributions; however, microdata are not widely available for birthweight and are scarcer for gestational age. Categorical prevalence data are more readily available from a wider range of locations and years for low birthweight (&lt;2500 g), extremely preterm (&lt;28 weeks of gestation), and preterm birth (&lt;37 weeks of gestation). Because categorical prevalence has wider availability than microdata, we use prevalence data to assist in modelling birthweight and gestational age ensemble distributions.</w:t>
      </w:r>
    </w:p>
    <w:p w14:paraId="2DDBB633" w14:textId="77777777" w:rsidR="00C665B7" w:rsidRDefault="00C665B7" w:rsidP="00C665B7">
      <w:pPr>
        <w:spacing w:line="240" w:lineRule="auto"/>
      </w:pPr>
      <w:r>
        <w:rPr>
          <w:rFonts w:ascii="Calibri" w:eastAsia="Calibri" w:hAnsi="Calibri" w:cs="Calibri"/>
        </w:rPr>
        <w:t xml:space="preserve">Ensemble distribution models can be constructed with three pieces of information: mean of the distribution, variance of the distribution, and the weights of the distributions being used in the ensemble. To model mean and variance for all l/y/s for birthweight and gestational age, we first used spatiotemporal Gaussian process regression (ST-GPR) models to model prevalence of low birthweight, extremely preterm, and preterm birth for all l/y/s at birth. To model mean birthweight for all l/y/s, OLS linear regression was used to regress mean birthweight on log-transformed low birthweight prevalence. This model was then used to predict mean birthweight for all l/y/s, using the prevalence of low birthweight (&lt;2500 grams) modelled for all l/y/s in ST-GPR. Similarly, to model gestational age mean for all l/y/s, OLS linear regression model was used to regress mean gestational age on log-transformed preterm prevalence. Mean gestational age for all l/y/s was predicted using the preterm birth (&lt;37 weeks) estimates modelled in ST-GPR. </w:t>
      </w:r>
    </w:p>
    <w:p w14:paraId="60E97B9F" w14:textId="77777777" w:rsidR="00C665B7" w:rsidRDefault="00C665B7" w:rsidP="00C665B7">
      <w:pPr>
        <w:spacing w:line="240" w:lineRule="auto"/>
      </w:pPr>
      <w:r>
        <w:rPr>
          <w:rFonts w:ascii="Calibri" w:eastAsia="Calibri" w:hAnsi="Calibri" w:cs="Calibri"/>
        </w:rPr>
        <w:t xml:space="preserve">Global ensemble weights for gestational age were derived by using all available gestational age and birthweight microdata in Table 12 to select the ensemble weights. The distribution families included in the </w:t>
      </w:r>
      <w:proofErr w:type="spellStart"/>
      <w:r>
        <w:rPr>
          <w:rFonts w:ascii="Calibri" w:eastAsia="Calibri" w:hAnsi="Calibri" w:cs="Calibri"/>
        </w:rPr>
        <w:t>optimisation</w:t>
      </w:r>
      <w:proofErr w:type="spellEnd"/>
      <w:r>
        <w:rPr>
          <w:rFonts w:ascii="Calibri" w:eastAsia="Calibri" w:hAnsi="Calibri" w:cs="Calibri"/>
        </w:rPr>
        <w:t xml:space="preserve"> process were exponential, gamma, </w:t>
      </w:r>
      <w:proofErr w:type="spellStart"/>
      <w:r>
        <w:rPr>
          <w:rFonts w:ascii="Calibri" w:eastAsia="Calibri" w:hAnsi="Calibri" w:cs="Calibri"/>
        </w:rPr>
        <w:t>gumbel</w:t>
      </w:r>
      <w:proofErr w:type="spellEnd"/>
      <w:r>
        <w:rPr>
          <w:rFonts w:ascii="Calibri" w:eastAsia="Calibri" w:hAnsi="Calibri" w:cs="Calibri"/>
        </w:rPr>
        <w:t xml:space="preserve">, Weibull, log-normal, normal, mirrored gamma, and mirrored </w:t>
      </w:r>
      <w:proofErr w:type="spellStart"/>
      <w:r>
        <w:rPr>
          <w:rFonts w:ascii="Calibri" w:eastAsia="Calibri" w:hAnsi="Calibri" w:cs="Calibri"/>
        </w:rPr>
        <w:t>gumbel</w:t>
      </w:r>
      <w:proofErr w:type="spellEnd"/>
      <w:r>
        <w:rPr>
          <w:rFonts w:ascii="Calibri" w:eastAsia="Calibri" w:hAnsi="Calibri" w:cs="Calibri"/>
        </w:rPr>
        <w:t xml:space="preserve">. As an advancement starting in GBD 2021, ensemble weights were fit that specifically targeted the fit at 28 weeks and 37 weeks for gestational age and 1500 grams and 2500 grams for low birthweight. In GBD cycles prior to GBD 2021, the fit of these models had been </w:t>
      </w:r>
      <w:proofErr w:type="spellStart"/>
      <w:r>
        <w:rPr>
          <w:rFonts w:ascii="Calibri" w:eastAsia="Calibri" w:hAnsi="Calibri" w:cs="Calibri"/>
        </w:rPr>
        <w:t>optimised</w:t>
      </w:r>
      <w:proofErr w:type="spellEnd"/>
      <w:r>
        <w:rPr>
          <w:rFonts w:ascii="Calibri" w:eastAsia="Calibri" w:hAnsi="Calibri" w:cs="Calibri"/>
        </w:rPr>
        <w:t xml:space="preserve"> to reduce error across the entire distribution. Additionally, as an improvement starting in GBD 2021, this ensemble weight fitting strategy </w:t>
      </w:r>
      <w:proofErr w:type="spellStart"/>
      <w:r>
        <w:rPr>
          <w:rFonts w:ascii="Calibri" w:eastAsia="Calibri" w:hAnsi="Calibri" w:cs="Calibri"/>
        </w:rPr>
        <w:t>optimised</w:t>
      </w:r>
      <w:proofErr w:type="spellEnd"/>
      <w:r>
        <w:rPr>
          <w:rFonts w:ascii="Calibri" w:eastAsia="Calibri" w:hAnsi="Calibri" w:cs="Calibri"/>
        </w:rPr>
        <w:t xml:space="preserve"> on all microdata sources simultaneously, as opposed to separately.</w:t>
      </w:r>
    </w:p>
    <w:p w14:paraId="78386C55" w14:textId="77777777" w:rsidR="00C665B7" w:rsidRDefault="00C665B7" w:rsidP="00C665B7">
      <w:pPr>
        <w:spacing w:line="240" w:lineRule="auto"/>
      </w:pPr>
      <w:r>
        <w:rPr>
          <w:rFonts w:ascii="Calibri" w:eastAsia="Calibri" w:hAnsi="Calibri" w:cs="Calibri"/>
        </w:rPr>
        <w:t xml:space="preserve">For each l/y/s, given the mean and ensemble weights, the variance was </w:t>
      </w:r>
      <w:proofErr w:type="spellStart"/>
      <w:r>
        <w:rPr>
          <w:rFonts w:ascii="Calibri" w:eastAsia="Calibri" w:hAnsi="Calibri" w:cs="Calibri"/>
        </w:rPr>
        <w:t>optimised</w:t>
      </w:r>
      <w:proofErr w:type="spellEnd"/>
      <w:r>
        <w:rPr>
          <w:rFonts w:ascii="Calibri" w:eastAsia="Calibri" w:hAnsi="Calibri" w:cs="Calibri"/>
        </w:rPr>
        <w:t xml:space="preserve"> to </w:t>
      </w:r>
      <w:proofErr w:type="spellStart"/>
      <w:r>
        <w:rPr>
          <w:rFonts w:ascii="Calibri" w:eastAsia="Calibri" w:hAnsi="Calibri" w:cs="Calibri"/>
        </w:rPr>
        <w:t>minimise</w:t>
      </w:r>
      <w:proofErr w:type="spellEnd"/>
      <w:r>
        <w:rPr>
          <w:rFonts w:ascii="Calibri" w:eastAsia="Calibri" w:hAnsi="Calibri" w:cs="Calibri"/>
        </w:rPr>
        <w:t xml:space="preserve"> error on the prevalence of preterm birth (&lt;37 weeks) for the gestational age distribution and prevalence of low birthweight (&lt;2500 grams) for the birthweight distribution.   </w:t>
      </w:r>
    </w:p>
    <w:p w14:paraId="27A0F676" w14:textId="77777777" w:rsidR="00C665B7" w:rsidRPr="00D005C1" w:rsidRDefault="00C665B7" w:rsidP="00C31303">
      <w:pPr>
        <w:rPr>
          <w:b/>
          <w:bCs/>
        </w:rPr>
      </w:pPr>
      <w:r w:rsidRPr="00D005C1">
        <w:rPr>
          <w:b/>
          <w:bCs/>
        </w:rPr>
        <w:t>Step B: Model joint birthweight and gestational age distributions at birth, by l/y/s</w:t>
      </w:r>
    </w:p>
    <w:p w14:paraId="651BD0D3" w14:textId="77777777" w:rsidR="00C665B7" w:rsidRDefault="00C665B7" w:rsidP="00C665B7">
      <w:pPr>
        <w:keepNext/>
        <w:spacing w:line="252" w:lineRule="auto"/>
      </w:pPr>
      <w:r>
        <w:rPr>
          <w:rFonts w:ascii="Calibri" w:eastAsia="Calibri" w:hAnsi="Calibri" w:cs="Calibri"/>
        </w:rPr>
        <w:t xml:space="preserve">To model the joint distribution of gestational age and birthweight from separate distributions, information was needed about the correlation between the two distributions. Distributions of gestational age and birthweight are not independent; the Spearman correlation for each country where joint microdata were available (Table 12), pooling across all years of data available, ranged from 0.25 to 0.49. The overall Spearman correlation was 0.38, pooling across all countries in the dataset. </w:t>
      </w:r>
    </w:p>
    <w:p w14:paraId="77272530" w14:textId="77777777" w:rsidR="00C665B7" w:rsidRDefault="00C665B7" w:rsidP="00C665B7">
      <w:pPr>
        <w:keepNext/>
        <w:spacing w:line="252" w:lineRule="auto"/>
        <w:rPr>
          <w:b/>
        </w:rPr>
      </w:pPr>
      <w:r>
        <w:rPr>
          <w:rFonts w:ascii="Calibri" w:eastAsia="Calibri" w:hAnsi="Calibri" w:cs="Calibri"/>
          <w:b/>
          <w:bCs/>
        </w:rPr>
        <w:t xml:space="preserve">Table 12. </w:t>
      </w:r>
      <w:r>
        <w:rPr>
          <w:rFonts w:ascii="Calibri" w:eastAsia="Calibri" w:hAnsi="Calibri" w:cs="Calibri"/>
          <w:b/>
        </w:rPr>
        <w:t>Summary of microdata inputs</w:t>
      </w:r>
    </w:p>
    <w:tbl>
      <w:tblPr>
        <w:tblStyle w:val="GridTable3-Accent1"/>
        <w:tblW w:w="0" w:type="auto"/>
        <w:tblLayout w:type="fixed"/>
        <w:tblLook w:val="04A0" w:firstRow="1" w:lastRow="0" w:firstColumn="1" w:lastColumn="0" w:noHBand="0" w:noVBand="1"/>
      </w:tblPr>
      <w:tblGrid>
        <w:gridCol w:w="1170"/>
        <w:gridCol w:w="1170"/>
        <w:gridCol w:w="1170"/>
        <w:gridCol w:w="1170"/>
        <w:gridCol w:w="1170"/>
        <w:gridCol w:w="1170"/>
        <w:gridCol w:w="1170"/>
        <w:gridCol w:w="1170"/>
      </w:tblGrid>
      <w:tr w:rsidR="00C665B7" w14:paraId="2736A35C" w14:textId="77777777" w:rsidTr="00C665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70" w:type="dxa"/>
            <w:hideMark/>
          </w:tcPr>
          <w:p w14:paraId="33CA89EA" w14:textId="77777777" w:rsidR="00C665B7" w:rsidRDefault="00C665B7">
            <w:r>
              <w:rPr>
                <w:rFonts w:ascii="Calibri Light" w:eastAsia="Calibri Light" w:hAnsi="Calibri Light" w:cs="Calibri Light"/>
                <w:sz w:val="20"/>
                <w:szCs w:val="20"/>
              </w:rPr>
              <w:t>Location</w:t>
            </w:r>
          </w:p>
        </w:tc>
        <w:tc>
          <w:tcPr>
            <w:tcW w:w="1170" w:type="dxa"/>
            <w:tcBorders>
              <w:bottom w:val="single" w:sz="4" w:space="0" w:color="8EAADB" w:themeColor="accent1" w:themeTint="99"/>
            </w:tcBorders>
            <w:hideMark/>
          </w:tcPr>
          <w:p w14:paraId="7C19AA00"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Years of data</w:t>
            </w:r>
          </w:p>
        </w:tc>
        <w:tc>
          <w:tcPr>
            <w:tcW w:w="1170" w:type="dxa"/>
            <w:tcBorders>
              <w:bottom w:val="single" w:sz="4" w:space="0" w:color="8EAADB" w:themeColor="accent1" w:themeTint="99"/>
            </w:tcBorders>
            <w:hideMark/>
          </w:tcPr>
          <w:p w14:paraId="7F9BB396"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 xml:space="preserve">Total births* </w:t>
            </w:r>
          </w:p>
        </w:tc>
        <w:tc>
          <w:tcPr>
            <w:tcW w:w="1170" w:type="dxa"/>
            <w:tcBorders>
              <w:bottom w:val="single" w:sz="4" w:space="0" w:color="8EAADB" w:themeColor="accent1" w:themeTint="99"/>
            </w:tcBorders>
            <w:hideMark/>
          </w:tcPr>
          <w:p w14:paraId="13458FC9"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Format of data</w:t>
            </w:r>
          </w:p>
        </w:tc>
        <w:tc>
          <w:tcPr>
            <w:tcW w:w="1170" w:type="dxa"/>
            <w:tcBorders>
              <w:bottom w:val="single" w:sz="4" w:space="0" w:color="8EAADB" w:themeColor="accent1" w:themeTint="99"/>
            </w:tcBorders>
            <w:hideMark/>
          </w:tcPr>
          <w:p w14:paraId="6EA9C318"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Spearman correlation</w:t>
            </w:r>
          </w:p>
        </w:tc>
        <w:tc>
          <w:tcPr>
            <w:tcW w:w="1170" w:type="dxa"/>
            <w:tcBorders>
              <w:bottom w:val="single" w:sz="4" w:space="0" w:color="8EAADB" w:themeColor="accent1" w:themeTint="99"/>
            </w:tcBorders>
            <w:hideMark/>
          </w:tcPr>
          <w:p w14:paraId="01AE6EF3"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Used in ensemble weight selection</w:t>
            </w:r>
          </w:p>
        </w:tc>
        <w:tc>
          <w:tcPr>
            <w:tcW w:w="1170" w:type="dxa"/>
            <w:tcBorders>
              <w:bottom w:val="single" w:sz="4" w:space="0" w:color="8EAADB" w:themeColor="accent1" w:themeTint="99"/>
            </w:tcBorders>
            <w:hideMark/>
          </w:tcPr>
          <w:p w14:paraId="1BE3243D"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 xml:space="preserve">Used in copula parameter selection  </w:t>
            </w:r>
          </w:p>
        </w:tc>
        <w:tc>
          <w:tcPr>
            <w:tcW w:w="1170" w:type="dxa"/>
            <w:tcBorders>
              <w:bottom w:val="single" w:sz="4" w:space="0" w:color="8EAADB" w:themeColor="accent1" w:themeTint="99"/>
            </w:tcBorders>
            <w:hideMark/>
          </w:tcPr>
          <w:p w14:paraId="73F20855" w14:textId="77777777" w:rsidR="00C665B7" w:rsidRDefault="00C665B7">
            <w:pPr>
              <w:cnfStyle w:val="100000000000" w:firstRow="1"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Used in relative risk models</w:t>
            </w:r>
          </w:p>
        </w:tc>
      </w:tr>
      <w:tr w:rsidR="00C665B7" w14:paraId="17E2894F"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7625CB46" w14:textId="77777777" w:rsidR="00C665B7" w:rsidRDefault="00C665B7">
            <w:r>
              <w:rPr>
                <w:rFonts w:ascii="Calibri Light" w:eastAsia="Calibri Light" w:hAnsi="Calibri Light" w:cs="Calibri Light"/>
                <w:sz w:val="20"/>
                <w:szCs w:val="20"/>
              </w:rPr>
              <w:t>BRA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2F427E1"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2016</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BAAA880"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2,854,380</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D0EEE19"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0D10661"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0.37</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DEE942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4B658A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2732F19"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r>
      <w:tr w:rsidR="00C665B7" w14:paraId="1E983AF6"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68BA4A28" w14:textId="77777777" w:rsidR="00C665B7" w:rsidRDefault="00C665B7">
            <w:r>
              <w:rPr>
                <w:rFonts w:ascii="Calibri Light" w:eastAsia="Calibri Light" w:hAnsi="Calibri Light" w:cs="Calibri Light"/>
                <w:sz w:val="20"/>
                <w:szCs w:val="20"/>
              </w:rPr>
              <w:t>ECU</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DBBC2B0"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2003–2015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728B1D4"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2,473,039</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F3AEE54"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2D5DDF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0.34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1B1113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0EE4592"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FEFD3AC"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r>
      <w:tr w:rsidR="00C665B7" w14:paraId="0686A4B4"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511AC22A" w14:textId="77777777" w:rsidR="00C665B7" w:rsidRDefault="00C665B7">
            <w:r>
              <w:rPr>
                <w:rFonts w:ascii="Calibri Light" w:eastAsia="Calibri Light" w:hAnsi="Calibri Light" w:cs="Calibri Light"/>
                <w:sz w:val="20"/>
                <w:szCs w:val="20"/>
              </w:rPr>
              <w:t>ESP</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A97941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1990–2014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418C6C3"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8,537,220</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58E1E9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837D16E"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0.42</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06A55AF"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A65E38E"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1D7954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r>
      <w:tr w:rsidR="00C665B7" w14:paraId="77352CBE"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7669540C" w14:textId="77777777" w:rsidR="00C665B7" w:rsidRDefault="00C665B7">
            <w:r>
              <w:rPr>
                <w:rFonts w:ascii="Calibri Light" w:eastAsia="Calibri Light" w:hAnsi="Calibri Light" w:cs="Calibri Light"/>
                <w:sz w:val="20"/>
                <w:szCs w:val="20"/>
              </w:rPr>
              <w:t>JPN</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1CA353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1995–2015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5684558"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23,644,506</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C38E39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Tabulations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D7FC82E"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0.41</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A2F92FC"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E26943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91073BF"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r w:rsidR="00C665B7" w14:paraId="0422CF3D"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4E02645E" w14:textId="77777777" w:rsidR="00C665B7" w:rsidRDefault="00C665B7">
            <w:r>
              <w:rPr>
                <w:rFonts w:ascii="Calibri Light" w:eastAsia="Calibri Light" w:hAnsi="Calibri Light" w:cs="Calibri Light"/>
                <w:sz w:val="20"/>
                <w:szCs w:val="20"/>
              </w:rPr>
              <w:t>MEX</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CD140F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2008–2012</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2B717C2"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10,256,117</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5172BE5"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4FBAF6F"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0.35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685F47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C013DF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6B335C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r>
      <w:tr w:rsidR="00C665B7" w14:paraId="285A9C97"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467516A0" w14:textId="77777777" w:rsidR="00C665B7" w:rsidRDefault="00C665B7">
            <w:r>
              <w:rPr>
                <w:rFonts w:ascii="Calibri Light" w:eastAsia="Calibri Light" w:hAnsi="Calibri Light" w:cs="Calibri Light"/>
                <w:sz w:val="20"/>
                <w:szCs w:val="20"/>
              </w:rPr>
              <w:t>NOR</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4F1CC3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1990–2014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B336C5D"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1,489,210</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ED0E93B"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F902DD0"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0.44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93A52EF"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D8C9AE0"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61E6D7A"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r w:rsidR="00C665B7" w14:paraId="2C620519"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37361A55" w14:textId="77777777" w:rsidR="00C665B7" w:rsidRDefault="00C665B7">
            <w:r>
              <w:rPr>
                <w:rFonts w:ascii="Calibri Light" w:eastAsia="Calibri Light" w:hAnsi="Calibri Light" w:cs="Calibri Light"/>
                <w:sz w:val="20"/>
                <w:szCs w:val="20"/>
              </w:rPr>
              <w:t>NZL</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19D01A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1990–2016</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F5618AB"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1,600,501</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4FD5B9F"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6B0B43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0.25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3FE401B"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BEE0009"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48423E7"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r w:rsidR="00C665B7" w14:paraId="0A484114"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476A620E" w14:textId="77777777" w:rsidR="00C665B7" w:rsidRDefault="00C665B7">
            <w:r>
              <w:rPr>
                <w:rFonts w:ascii="Calibri Light" w:eastAsia="Calibri Light" w:hAnsi="Calibri Light" w:cs="Calibri Light"/>
                <w:sz w:val="20"/>
                <w:szCs w:val="20"/>
              </w:rPr>
              <w:t>SGP</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74081FC"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1993–2015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0C784A6"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972,775</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6138C7EB"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Tabulations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A5A66A0"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0.41</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91FE350"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760501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04ECC4D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r w:rsidR="00C665B7" w14:paraId="5B0740F0"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10F54EFF" w14:textId="77777777" w:rsidR="00C665B7" w:rsidRDefault="00C665B7">
            <w:r>
              <w:rPr>
                <w:rFonts w:ascii="Calibri Light" w:eastAsia="Calibri Light" w:hAnsi="Calibri Light" w:cs="Calibri Light"/>
                <w:sz w:val="20"/>
                <w:szCs w:val="20"/>
              </w:rPr>
              <w:t>TWN</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DE43EF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1998–2002</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8514C26"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1,331,760</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1E3184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Tabulations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0277121"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0.38</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42BB2D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B78B042"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00E98C3"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r w:rsidR="00C665B7" w14:paraId="35670593"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405317B2" w14:textId="77777777" w:rsidR="00C665B7" w:rsidRDefault="00C665B7">
            <w:r>
              <w:rPr>
                <w:rFonts w:ascii="Calibri Light" w:eastAsia="Calibri Light" w:hAnsi="Calibri Light" w:cs="Calibri Light"/>
                <w:sz w:val="20"/>
                <w:szCs w:val="20"/>
              </w:rPr>
              <w:t>URY</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4EC0DFB4"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1996–2014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852E6A3"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698,622</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F66EAC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A49E641"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0.49</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0131F2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89F2FA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DF4DA48"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No</w:t>
            </w:r>
          </w:p>
        </w:tc>
      </w:tr>
      <w:tr w:rsidR="00C665B7" w14:paraId="6B8737AB" w14:textId="77777777" w:rsidTr="00C665B7">
        <w:tc>
          <w:tcPr>
            <w:cnfStyle w:val="001000000000" w:firstRow="0" w:lastRow="0" w:firstColumn="1" w:lastColumn="0" w:oddVBand="0" w:evenVBand="0" w:oddHBand="0" w:evenHBand="0" w:firstRowFirstColumn="0" w:firstRowLastColumn="0" w:lastRowFirstColumn="0" w:lastRowLastColumn="0"/>
            <w:tcW w:w="1170" w:type="dxa"/>
            <w:tcBorders>
              <w:right w:val="single" w:sz="4" w:space="0" w:color="8EAADB" w:themeColor="accent1" w:themeTint="99"/>
            </w:tcBorders>
            <w:hideMark/>
          </w:tcPr>
          <w:p w14:paraId="4C4DB756" w14:textId="77777777" w:rsidR="00C665B7" w:rsidRDefault="00C665B7">
            <w:r>
              <w:rPr>
                <w:rFonts w:ascii="Calibri Light" w:eastAsia="Calibri Light" w:hAnsi="Calibri Light" w:cs="Calibri Light"/>
                <w:sz w:val="20"/>
                <w:szCs w:val="20"/>
              </w:rPr>
              <w:t>USA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5C7F3D66"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1990–2014</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863661F" w14:textId="77777777" w:rsidR="00C665B7" w:rsidRDefault="00C665B7">
            <w:pPr>
              <w:jc w:val="right"/>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81,929,879</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3851749A"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Microdata</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7F2FA69"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0.38</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2F7D460B"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73F4DACD"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c>
          <w:tcPr>
            <w:tcW w:w="1170"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hideMark/>
          </w:tcPr>
          <w:p w14:paraId="137ADD44" w14:textId="77777777" w:rsidR="00C665B7" w:rsidRDefault="00C665B7">
            <w:pPr>
              <w:cnfStyle w:val="000000000000" w:firstRow="0" w:lastRow="0" w:firstColumn="0" w:lastColumn="0" w:oddVBand="0" w:evenVBand="0" w:oddHBand="0" w:evenHBand="0" w:firstRowFirstColumn="0" w:firstRowLastColumn="0" w:lastRowFirstColumn="0" w:lastRowLastColumn="0"/>
            </w:pPr>
            <w:r>
              <w:rPr>
                <w:rFonts w:ascii="Calibri Light" w:eastAsia="Calibri Light" w:hAnsi="Calibri Light" w:cs="Calibri Light"/>
                <w:sz w:val="20"/>
                <w:szCs w:val="20"/>
              </w:rPr>
              <w:t>Yes</w:t>
            </w:r>
          </w:p>
        </w:tc>
      </w:tr>
    </w:tbl>
    <w:p w14:paraId="3D6F7D47" w14:textId="77777777" w:rsidR="00C665B7" w:rsidRDefault="00C665B7" w:rsidP="00C665B7">
      <w:pPr>
        <w:keepNext/>
        <w:spacing w:line="252" w:lineRule="auto"/>
        <w:rPr>
          <w:lang w:val="en-GB"/>
        </w:rPr>
      </w:pPr>
      <w:r>
        <w:rPr>
          <w:rFonts w:ascii="Calibri" w:eastAsia="Calibri" w:hAnsi="Calibri" w:cs="Calibri"/>
          <w:i/>
          <w:iCs/>
          <w:color w:val="000000" w:themeColor="text1"/>
        </w:rPr>
        <w:t>* Pooled across all years and sexes, excluding data missing year of birth, gestational age, or birthweight</w:t>
      </w:r>
    </w:p>
    <w:p w14:paraId="7925E4D5" w14:textId="77777777" w:rsidR="00C665B7" w:rsidRDefault="00C665B7" w:rsidP="00C665B7">
      <w:pPr>
        <w:keepNext/>
        <w:spacing w:line="252" w:lineRule="auto"/>
        <w:rPr>
          <w:rFonts w:ascii="Calibri" w:eastAsia="Calibri" w:hAnsi="Calibri" w:cs="Calibri"/>
        </w:rPr>
      </w:pPr>
      <w:r>
        <w:rPr>
          <w:rFonts w:ascii="Calibri" w:eastAsia="Calibri" w:hAnsi="Calibri" w:cs="Calibri"/>
        </w:rPr>
        <w:t xml:space="preserve">Joint distributions between the birthweight and gestational age marginal distributions were modelled with </w:t>
      </w:r>
      <w:proofErr w:type="spellStart"/>
      <w:r>
        <w:rPr>
          <w:rFonts w:ascii="Calibri" w:eastAsia="Calibri" w:hAnsi="Calibri" w:cs="Calibri"/>
        </w:rPr>
        <w:t>copulae</w:t>
      </w:r>
      <w:proofErr w:type="spellEnd"/>
      <w:r>
        <w:rPr>
          <w:rFonts w:ascii="Calibri" w:eastAsia="Calibri" w:hAnsi="Calibri" w:cs="Calibri"/>
        </w:rPr>
        <w:t xml:space="preserve">. The Copula and </w:t>
      </w:r>
      <w:proofErr w:type="spellStart"/>
      <w:r>
        <w:rPr>
          <w:rFonts w:ascii="Calibri" w:eastAsia="Calibri" w:hAnsi="Calibri" w:cs="Calibri"/>
        </w:rPr>
        <w:t>VineCopula</w:t>
      </w:r>
      <w:proofErr w:type="spellEnd"/>
      <w:r>
        <w:rPr>
          <w:rFonts w:ascii="Calibri" w:eastAsia="Calibri" w:hAnsi="Calibri" w:cs="Calibri"/>
        </w:rPr>
        <w:t xml:space="preserve"> packages in R were used to select the optimal copula family and copula parameters to model the joint distribution, using joint microdata from the country-years in Table 12. The copula family selected from the microdata was “Survival BB8”, with theta parameter set to 1.75 and delta parameter set to 1.  </w:t>
      </w:r>
    </w:p>
    <w:p w14:paraId="3DC8A9A1" w14:textId="77777777" w:rsidR="00C665B7" w:rsidRDefault="00C665B7" w:rsidP="00C665B7">
      <w:pPr>
        <w:keepNext/>
        <w:spacing w:line="252" w:lineRule="auto"/>
      </w:pPr>
      <w:r>
        <w:rPr>
          <w:rFonts w:ascii="Calibri" w:eastAsia="Calibri" w:hAnsi="Calibri" w:cs="Calibri"/>
        </w:rPr>
        <w:t>The joint distribution of birthweight and gestational age per location-year-sex was modelled using the global copula family and parameters selected and the location-year-sex gestational age and birthweight distributions. The joint distribution was simulated 100 times to capture uncertainty. Each simulation consisted of 10,000 simulated joint birthweight and gestational age datapoints. Each joint distribution was divided into 500-gram by two-week bins to match the categorical bins of the relative risk surface. Birth prevalence was then calculated for each 500-gram by two-week bin.</w:t>
      </w:r>
    </w:p>
    <w:p w14:paraId="56204ED8" w14:textId="77777777" w:rsidR="00C665B7" w:rsidRPr="00D005C1" w:rsidRDefault="00C665B7" w:rsidP="00C31303">
      <w:pPr>
        <w:rPr>
          <w:b/>
          <w:bCs/>
        </w:rPr>
      </w:pPr>
      <w:r w:rsidRPr="00D005C1">
        <w:rPr>
          <w:b/>
          <w:bCs/>
        </w:rPr>
        <w:t>Step C: Model joint distributions from birth to the end of the neonatal period, by l/y/s</w:t>
      </w:r>
    </w:p>
    <w:p w14:paraId="307D87A4" w14:textId="77777777" w:rsidR="00C665B7" w:rsidRDefault="00C665B7" w:rsidP="00C665B7">
      <w:pPr>
        <w:spacing w:line="252" w:lineRule="auto"/>
      </w:pPr>
      <w:r>
        <w:rPr>
          <w:rFonts w:ascii="Calibri" w:eastAsia="Calibri" w:hAnsi="Calibri" w:cs="Calibri"/>
        </w:rPr>
        <w:t>Early neonatal prevalence and late neonatal prevalence were estimated using life table approaches for each 500-gram and two-week bin. Using the all-cause early neonatal mortality rate for each location-year-sex, births per location-year-sex-bin, and the relative risks for each location-year-sex-bin in the early neonatal period, the all-cause early neonatal mortality rate was calculated for each location-year-sex</w:t>
      </w:r>
      <w:r>
        <w:rPr>
          <w:rFonts w:ascii="Calibri" w:eastAsia="Calibri" w:hAnsi="Calibri" w:cs="Calibri"/>
          <w:i/>
          <w:iCs/>
        </w:rPr>
        <w:t>-</w:t>
      </w:r>
      <w:r>
        <w:rPr>
          <w:rFonts w:ascii="Calibri" w:eastAsia="Calibri" w:hAnsi="Calibri" w:cs="Calibri"/>
        </w:rPr>
        <w:t>bin. The early neonatal mortality rate per bin was used to calculate the number of survivors at 7 days of age and prevalence in the early neonatal period. Using the same process, the all-cause late neonatal mortality rate for each location-year-sex was paired with the number of survivors at 7 days and late neonatal relative risks per bin to calculate late neonatal prevalence and survivors at 28 days of age.</w:t>
      </w:r>
    </w:p>
    <w:p w14:paraId="5AC969E1" w14:textId="77777777" w:rsidR="00C665B7" w:rsidRPr="00D005C1" w:rsidRDefault="00C665B7" w:rsidP="00C31303">
      <w:pPr>
        <w:rPr>
          <w:b/>
          <w:bCs/>
        </w:rPr>
      </w:pPr>
      <w:r w:rsidRPr="00D005C1">
        <w:rPr>
          <w:b/>
          <w:bCs/>
        </w:rPr>
        <w:t>Relative risks and theoretical minimum risk exposure level</w:t>
      </w:r>
    </w:p>
    <w:p w14:paraId="7BEFCBA1" w14:textId="77777777" w:rsidR="00C665B7" w:rsidRDefault="00C665B7" w:rsidP="00C665B7">
      <w:r>
        <w:t xml:space="preserve">LBWSG is paired with the outcomes listed in the table below and is only attributed to burden in the early and late neonatal period. </w:t>
      </w:r>
    </w:p>
    <w:p w14:paraId="3963D919" w14:textId="77777777" w:rsidR="00C665B7" w:rsidRDefault="00C665B7" w:rsidP="00C665B7">
      <w:pPr>
        <w:rPr>
          <w:b/>
          <w:bCs/>
        </w:rPr>
      </w:pPr>
      <w:r>
        <w:rPr>
          <w:b/>
          <w:bCs/>
        </w:rPr>
        <w:t>Table 13: Cause list of outcomes for low birthweight and short gestation</w:t>
      </w:r>
    </w:p>
    <w:tbl>
      <w:tblPr>
        <w:tblStyle w:val="GridTable4"/>
        <w:tblW w:w="0" w:type="auto"/>
        <w:tblLook w:val="0420" w:firstRow="1" w:lastRow="0" w:firstColumn="0" w:lastColumn="0" w:noHBand="0" w:noVBand="1"/>
      </w:tblPr>
      <w:tblGrid>
        <w:gridCol w:w="5840"/>
      </w:tblGrid>
      <w:tr w:rsidR="00C665B7" w14:paraId="13425558" w14:textId="77777777" w:rsidTr="00C665B7">
        <w:trPr>
          <w:cnfStyle w:val="100000000000" w:firstRow="1" w:lastRow="0" w:firstColumn="0" w:lastColumn="0" w:oddVBand="0" w:evenVBand="0" w:oddHBand="0" w:evenHBand="0" w:firstRowFirstColumn="0" w:firstRowLastColumn="0" w:lastRowFirstColumn="0" w:lastRowLastColumn="0"/>
          <w:trHeight w:val="300"/>
        </w:trPr>
        <w:tc>
          <w:tcPr>
            <w:tcW w:w="5840" w:type="dxa"/>
            <w:noWrap/>
            <w:hideMark/>
          </w:tcPr>
          <w:p w14:paraId="468C666E" w14:textId="77777777" w:rsidR="00C665B7" w:rsidRDefault="00C665B7">
            <w:pPr>
              <w:pStyle w:val="NoSpacing"/>
              <w:rPr>
                <w:b w:val="0"/>
                <w:sz w:val="20"/>
                <w:szCs w:val="20"/>
              </w:rPr>
            </w:pPr>
            <w:r>
              <w:rPr>
                <w:sz w:val="20"/>
                <w:szCs w:val="20"/>
              </w:rPr>
              <w:t>Cause name</w:t>
            </w:r>
          </w:p>
        </w:tc>
      </w:tr>
      <w:tr w:rsidR="00C665B7" w14:paraId="4C806CEF"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72D0BA1A" w14:textId="77777777" w:rsidR="00C665B7" w:rsidRDefault="00C665B7">
            <w:pPr>
              <w:pStyle w:val="NoSpacing"/>
              <w:rPr>
                <w:sz w:val="20"/>
                <w:szCs w:val="20"/>
              </w:rPr>
            </w:pPr>
            <w:proofErr w:type="spellStart"/>
            <w:r>
              <w:rPr>
                <w:sz w:val="20"/>
                <w:szCs w:val="20"/>
              </w:rPr>
              <w:t>Diarrhoeal</w:t>
            </w:r>
            <w:proofErr w:type="spellEnd"/>
            <w:r>
              <w:rPr>
                <w:sz w:val="20"/>
                <w:szCs w:val="20"/>
              </w:rPr>
              <w:t xml:space="preserve"> diseases</w:t>
            </w:r>
          </w:p>
        </w:tc>
      </w:tr>
      <w:tr w:rsidR="00C665B7" w14:paraId="288CE5D9"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75DFDF78" w14:textId="77777777" w:rsidR="00C665B7" w:rsidRDefault="00C665B7">
            <w:pPr>
              <w:pStyle w:val="NoSpacing"/>
              <w:rPr>
                <w:sz w:val="20"/>
                <w:szCs w:val="20"/>
              </w:rPr>
            </w:pPr>
            <w:r>
              <w:rPr>
                <w:sz w:val="20"/>
                <w:szCs w:val="20"/>
              </w:rPr>
              <w:t>Lower respiratory infections</w:t>
            </w:r>
          </w:p>
        </w:tc>
      </w:tr>
      <w:tr w:rsidR="00C665B7" w14:paraId="69473932"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405A74FF" w14:textId="77777777" w:rsidR="00C665B7" w:rsidRDefault="00C665B7">
            <w:pPr>
              <w:pStyle w:val="NoSpacing"/>
              <w:rPr>
                <w:sz w:val="20"/>
                <w:szCs w:val="20"/>
              </w:rPr>
            </w:pPr>
            <w:r>
              <w:rPr>
                <w:sz w:val="20"/>
                <w:szCs w:val="20"/>
              </w:rPr>
              <w:t>Upper respiratory infections</w:t>
            </w:r>
          </w:p>
        </w:tc>
      </w:tr>
      <w:tr w:rsidR="00C665B7" w14:paraId="3CD4E1C6"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6C6A15D8" w14:textId="77777777" w:rsidR="00C665B7" w:rsidRDefault="00C665B7">
            <w:pPr>
              <w:pStyle w:val="NoSpacing"/>
              <w:rPr>
                <w:sz w:val="20"/>
                <w:szCs w:val="20"/>
              </w:rPr>
            </w:pPr>
            <w:r>
              <w:rPr>
                <w:sz w:val="20"/>
                <w:szCs w:val="20"/>
              </w:rPr>
              <w:t>Otitis media</w:t>
            </w:r>
          </w:p>
        </w:tc>
      </w:tr>
      <w:tr w:rsidR="00C665B7" w14:paraId="17683C8D"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4DE64EC2" w14:textId="77777777" w:rsidR="00C665B7" w:rsidRDefault="00C665B7">
            <w:pPr>
              <w:pStyle w:val="NoSpacing"/>
              <w:rPr>
                <w:sz w:val="20"/>
                <w:szCs w:val="20"/>
                <w:lang w:val="en-GB"/>
              </w:rPr>
            </w:pPr>
            <w:r>
              <w:rPr>
                <w:sz w:val="20"/>
                <w:szCs w:val="20"/>
                <w:lang w:val="en-GB"/>
              </w:rPr>
              <w:t>Meningitis</w:t>
            </w:r>
          </w:p>
        </w:tc>
      </w:tr>
      <w:tr w:rsidR="00C665B7" w14:paraId="13E791E5"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14E7990F" w14:textId="77777777" w:rsidR="00C665B7" w:rsidRDefault="00C665B7">
            <w:pPr>
              <w:pStyle w:val="NoSpacing"/>
              <w:rPr>
                <w:sz w:val="20"/>
                <w:szCs w:val="20"/>
              </w:rPr>
            </w:pPr>
            <w:r>
              <w:rPr>
                <w:sz w:val="20"/>
                <w:szCs w:val="20"/>
              </w:rPr>
              <w:t>Encephalitis</w:t>
            </w:r>
          </w:p>
        </w:tc>
      </w:tr>
      <w:tr w:rsidR="00C665B7" w14:paraId="3B60426A"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35D4AF92" w14:textId="77777777" w:rsidR="00C665B7" w:rsidRDefault="00C665B7">
            <w:pPr>
              <w:pStyle w:val="NoSpacing"/>
              <w:rPr>
                <w:sz w:val="20"/>
                <w:szCs w:val="20"/>
              </w:rPr>
            </w:pPr>
            <w:r>
              <w:rPr>
                <w:sz w:val="20"/>
                <w:szCs w:val="20"/>
              </w:rPr>
              <w:t>Neonatal preterm birth complications</w:t>
            </w:r>
          </w:p>
        </w:tc>
      </w:tr>
      <w:tr w:rsidR="00C665B7" w14:paraId="25BA8644"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76E0B632" w14:textId="77777777" w:rsidR="00C665B7" w:rsidRDefault="00C665B7">
            <w:pPr>
              <w:pStyle w:val="NoSpacing"/>
              <w:rPr>
                <w:sz w:val="20"/>
                <w:szCs w:val="20"/>
              </w:rPr>
            </w:pPr>
            <w:r>
              <w:rPr>
                <w:sz w:val="20"/>
                <w:szCs w:val="20"/>
              </w:rPr>
              <w:t>Neonatal encephalopathy due to birth asphyxia and trauma</w:t>
            </w:r>
          </w:p>
        </w:tc>
      </w:tr>
      <w:tr w:rsidR="00C665B7" w14:paraId="27C8B2EF"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7FBD99F8" w14:textId="77777777" w:rsidR="00C665B7" w:rsidRDefault="00C665B7">
            <w:pPr>
              <w:pStyle w:val="NoSpacing"/>
              <w:rPr>
                <w:sz w:val="20"/>
                <w:szCs w:val="20"/>
              </w:rPr>
            </w:pPr>
            <w:r>
              <w:rPr>
                <w:sz w:val="20"/>
                <w:szCs w:val="20"/>
              </w:rPr>
              <w:t>Neonatal sepsis and other neonatal infections</w:t>
            </w:r>
          </w:p>
        </w:tc>
      </w:tr>
      <w:tr w:rsidR="00C665B7" w14:paraId="6A055B53"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59854DC5" w14:textId="77777777" w:rsidR="00C665B7" w:rsidRDefault="00C665B7">
            <w:pPr>
              <w:pStyle w:val="NoSpacing"/>
              <w:rPr>
                <w:sz w:val="20"/>
                <w:szCs w:val="20"/>
              </w:rPr>
            </w:pPr>
            <w:proofErr w:type="spellStart"/>
            <w:r>
              <w:rPr>
                <w:sz w:val="20"/>
                <w:szCs w:val="20"/>
              </w:rPr>
              <w:t>Haemolytic</w:t>
            </w:r>
            <w:proofErr w:type="spellEnd"/>
            <w:r>
              <w:rPr>
                <w:sz w:val="20"/>
                <w:szCs w:val="20"/>
              </w:rPr>
              <w:t xml:space="preserve"> disease and other neonatal jaundice</w:t>
            </w:r>
          </w:p>
        </w:tc>
      </w:tr>
      <w:tr w:rsidR="00C665B7" w14:paraId="509DE044"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6A8D7A68" w14:textId="77777777" w:rsidR="00C665B7" w:rsidRDefault="00C665B7">
            <w:pPr>
              <w:pStyle w:val="NoSpacing"/>
              <w:rPr>
                <w:sz w:val="20"/>
                <w:szCs w:val="20"/>
              </w:rPr>
            </w:pPr>
            <w:r>
              <w:rPr>
                <w:sz w:val="20"/>
                <w:szCs w:val="20"/>
              </w:rPr>
              <w:t>Other neonatal disorders</w:t>
            </w:r>
          </w:p>
        </w:tc>
      </w:tr>
      <w:tr w:rsidR="00C665B7" w14:paraId="58C422FE" w14:textId="77777777" w:rsidTr="00C665B7">
        <w:trPr>
          <w:trHeight w:val="300"/>
        </w:trPr>
        <w:tc>
          <w:tcPr>
            <w:tcW w:w="5840"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noWrap/>
            <w:hideMark/>
          </w:tcPr>
          <w:p w14:paraId="53B16D8A" w14:textId="77777777" w:rsidR="00C665B7" w:rsidRDefault="00C665B7">
            <w:pPr>
              <w:pStyle w:val="NoSpacing"/>
              <w:rPr>
                <w:sz w:val="20"/>
                <w:szCs w:val="20"/>
              </w:rPr>
            </w:pPr>
            <w:r>
              <w:rPr>
                <w:sz w:val="20"/>
                <w:szCs w:val="20"/>
              </w:rPr>
              <w:t>Sudden infant death syndrome</w:t>
            </w:r>
          </w:p>
        </w:tc>
      </w:tr>
    </w:tbl>
    <w:p w14:paraId="777F5EA2" w14:textId="77777777" w:rsidR="00C665B7" w:rsidRDefault="00C665B7" w:rsidP="00C665B7">
      <w:pPr>
        <w:rPr>
          <w:lang w:val="en-GB"/>
        </w:rPr>
      </w:pPr>
    </w:p>
    <w:p w14:paraId="6C5E706C" w14:textId="77777777" w:rsidR="00C665B7" w:rsidRPr="00D005C1" w:rsidRDefault="00C665B7" w:rsidP="00C31303">
      <w:pPr>
        <w:rPr>
          <w:b/>
          <w:bCs/>
        </w:rPr>
      </w:pPr>
      <w:r w:rsidRPr="00D005C1">
        <w:rPr>
          <w:b/>
          <w:bCs/>
        </w:rPr>
        <w:t>Causes</w:t>
      </w:r>
    </w:p>
    <w:p w14:paraId="7E0BDDEF" w14:textId="2AF95041" w:rsidR="00C665B7" w:rsidRDefault="00C665B7" w:rsidP="00C665B7">
      <w:r>
        <w:t xml:space="preserve">The available data for deriving relative risk was only for all-cause mortality. The exception was the USA linked infant birth-death cohort data, which contained three-digit ICD causes of death, but also had nearly 30% of deaths coded to causes that are ill-defined, or intermediate causes of death, in the GBD cause classification system. We </w:t>
      </w:r>
      <w:proofErr w:type="spellStart"/>
      <w:r>
        <w:t>analysed</w:t>
      </w:r>
      <w:proofErr w:type="spellEnd"/>
      <w:r>
        <w:t xml:space="preserve"> the relative risk of all-cause mortality across all available sources and selected outcomes based on criteria of biological plausibility. </w:t>
      </w:r>
    </w:p>
    <w:p w14:paraId="284E2006" w14:textId="77777777" w:rsidR="00C665B7" w:rsidRPr="00D005C1" w:rsidRDefault="00C665B7" w:rsidP="00C31303">
      <w:pPr>
        <w:rPr>
          <w:b/>
          <w:bCs/>
        </w:rPr>
      </w:pPr>
      <w:r w:rsidRPr="00D005C1">
        <w:rPr>
          <w:b/>
          <w:bCs/>
        </w:rPr>
        <w:t>Input data</w:t>
      </w:r>
    </w:p>
    <w:p w14:paraId="582F45F1" w14:textId="77777777" w:rsidR="00C665B7" w:rsidRDefault="00C665B7" w:rsidP="00C665B7">
      <w:r>
        <w:t xml:space="preserve">In the Norway, New Zealand, and USA linked birth/death cohort microdata datasets, livebirths are reported with gestational age, birthweight, and an indicator of death at 7 days and 28 days. For this analysis, gestational age was grouped into two-week categories, and birthweight was grouped into 500-gram categories. The Taiwan, Japan, and Singapore datasets were prepared in tabulations of joint 500-gram and two-week categories. A pooled country analysis of mortality risk in the early neonatal period and late neonatal period by gestational age category in developing countries in Asia and sub-Saharan Africa were also used to inform the relative risk analysis. </w:t>
      </w:r>
    </w:p>
    <w:p w14:paraId="289B1E7F" w14:textId="77777777" w:rsidR="00C665B7" w:rsidRPr="00D005C1" w:rsidRDefault="00C665B7" w:rsidP="00C31303">
      <w:pPr>
        <w:rPr>
          <w:b/>
          <w:bCs/>
        </w:rPr>
      </w:pPr>
      <w:r w:rsidRPr="00D005C1">
        <w:rPr>
          <w:b/>
          <w:bCs/>
        </w:rPr>
        <w:t xml:space="preserve">Modelling strategy </w:t>
      </w:r>
    </w:p>
    <w:p w14:paraId="61EDAFD9" w14:textId="77777777" w:rsidR="00C665B7" w:rsidRDefault="00C665B7" w:rsidP="00C665B7">
      <w:r>
        <w:t xml:space="preserve">For each location, data were pooled across years, and the risk of all-cause mortality at the early neonatal period and late neonatal period at joint birthweight and gestational age combinations was calculated. In all datasets except from the USA, sex-specific data were combined to </w:t>
      </w:r>
      <w:proofErr w:type="spellStart"/>
      <w:r>
        <w:t>maximise</w:t>
      </w:r>
      <w:proofErr w:type="spellEnd"/>
      <w:r>
        <w:t xml:space="preserve"> sample size. The USA analyses were sex-specific. To calculate relative risk at each 500-gram and two-week combination, logistic regression was first used to calculate mortality odds for each joint two-week gestational age and 500-gram birthweight category. Mortality odds were smoothed with Gaussian process regression, with the independent distributions of mortality odds by birthweight and mortality odds by gestational age serving as priors in the regression. </w:t>
      </w:r>
    </w:p>
    <w:p w14:paraId="767FFD22" w14:textId="77777777" w:rsidR="00C665B7" w:rsidRDefault="00C665B7" w:rsidP="00C665B7">
      <w:r>
        <w:t>A pooled country analysis of mortality risk in the early neonatal period and late neonatal period by gestational age category in developing countries in Asia and sub-Saharan Africa were also converted into 500-gram and two-week bin mortality odds surfaces. The relative risk surfaces produced from microdata and the Asia and Africa surfaces produced from the pooled country analysis were meta-</w:t>
      </w:r>
      <w:proofErr w:type="spellStart"/>
      <w:r>
        <w:t>analysed</w:t>
      </w:r>
      <w:proofErr w:type="spellEnd"/>
      <w:r>
        <w:t>, resulting in a meta-</w:t>
      </w:r>
      <w:proofErr w:type="spellStart"/>
      <w:r>
        <w:t>analysed</w:t>
      </w:r>
      <w:proofErr w:type="spellEnd"/>
      <w:r>
        <w:t xml:space="preserve"> mortality odds surface for each location. The meta-</w:t>
      </w:r>
      <w:proofErr w:type="spellStart"/>
      <w:r>
        <w:t>analysed</w:t>
      </w:r>
      <w:proofErr w:type="spellEnd"/>
      <w:r>
        <w:t xml:space="preserve"> mortality odds surface for each location was smoothed using Gaussian process regression and then converted into mortality risk. To calculate mortality relative risks, the risk of each joint two-week gestational age and 500-gram birthweight category were divided by the risk of mortality in the joint gestational age and birthweight category with the lowest mortality risk.</w:t>
      </w:r>
    </w:p>
    <w:p w14:paraId="271EF15F" w14:textId="77777777" w:rsidR="00C665B7" w:rsidRDefault="00C665B7" w:rsidP="00C665B7">
      <w:r>
        <w:t xml:space="preserve">For each of the country-derived relative risk surfaces, the 500-gram and two-week gestational age joint bin with the lowest risk was identified. This bin differed within each country dataset. To identify the universal 500-gram and two-week gestational age category that would serve as the universal TMREL for our analysis, we chose the bins that were identified to be the TMREL in each country dataset to contribute to the universal TMREL, and these bins were assigned to a relative risk equal to 1.  </w:t>
      </w:r>
    </w:p>
    <w:p w14:paraId="691E9244" w14:textId="77777777" w:rsidR="00C665B7" w:rsidRPr="00D005C1" w:rsidRDefault="00C665B7" w:rsidP="00C31303">
      <w:pPr>
        <w:rPr>
          <w:b/>
          <w:bCs/>
        </w:rPr>
      </w:pPr>
      <w:r w:rsidRPr="00D005C1">
        <w:rPr>
          <w:b/>
          <w:bCs/>
        </w:rPr>
        <w:t>Population attributable fraction</w:t>
      </w:r>
    </w:p>
    <w:p w14:paraId="54DE22DA" w14:textId="77777777" w:rsidR="00C665B7" w:rsidRDefault="00C665B7" w:rsidP="00C665B7">
      <w:r>
        <w:t xml:space="preserve">The total PAF for the low birthweight and short gestation joint risk factor was calculated using the categorical PAF formula, summing the PAF calculated from each 500-gram x two-week category, with the lowest risk category among all the 500-gram x two-week categories serving as the TMREL. </w:t>
      </w:r>
    </w:p>
    <w:p w14:paraId="68EBF177" w14:textId="77777777" w:rsidR="00C665B7" w:rsidRDefault="00C665B7" w:rsidP="00C665B7">
      <w:r>
        <w:t xml:space="preserve">To calculate the PAFs for the univariate risks (“short gestation” and “low birthweight”), relative risks are first weighted by global exposure in the final year in the GBD estimation time series, summed across one of the dimensions (gestational age or birthweight), and then rescaled by the maximum relative risk in the TMREL block (38–42 weeks of gestation and 3500–4500 grams). Any relative risk less than 1 was set to 1. Exposure was also summed across the same dimension, and the univariate PAF </w:t>
      </w:r>
      <w:proofErr w:type="spellStart"/>
      <w:r>
        <w:t>equalled</w:t>
      </w:r>
      <w:proofErr w:type="spellEnd"/>
      <w:r>
        <w:t xml:space="preserve"> the sum of the product of the weighted relative risks and exposures. </w:t>
      </w:r>
    </w:p>
    <w:p w14:paraId="3E9B4E21" w14:textId="77777777" w:rsidR="00C665B7" w:rsidRPr="00D005C1" w:rsidRDefault="00C665B7" w:rsidP="00C31303">
      <w:pPr>
        <w:rPr>
          <w:b/>
          <w:bCs/>
        </w:rPr>
      </w:pPr>
      <w:r w:rsidRPr="00D005C1">
        <w:rPr>
          <w:b/>
          <w:bCs/>
        </w:rPr>
        <w:t>Citation</w:t>
      </w:r>
    </w:p>
    <w:p w14:paraId="6711110B" w14:textId="77777777" w:rsidR="00C665B7" w:rsidRDefault="00C665B7" w:rsidP="00C665B7">
      <w:pPr>
        <w:pStyle w:val="ListParagraph"/>
        <w:numPr>
          <w:ilvl w:val="0"/>
          <w:numId w:val="24"/>
        </w:numPr>
        <w:spacing w:after="0" w:line="240" w:lineRule="auto"/>
        <w:contextualSpacing w:val="0"/>
      </w:pPr>
      <w:r>
        <w:t xml:space="preserve">Katz J, Lee AC, Kozuki N, Lawn JE, Cousens S, Blencowe H, et al. Mortality risk in preterm and small-for-gestational-age infants in low-income and middle-income countries: a pooled country analysis. </w:t>
      </w:r>
      <w:r>
        <w:rPr>
          <w:i/>
          <w:iCs/>
        </w:rPr>
        <w:t>The Lancet</w:t>
      </w:r>
      <w:r>
        <w:t>. 2013;382(9890):417–25.</w:t>
      </w:r>
    </w:p>
    <w:p w14:paraId="578A11B6" w14:textId="77777777" w:rsidR="00C665B7" w:rsidRPr="00A759B4" w:rsidRDefault="00C665B7" w:rsidP="00A759B4"/>
    <w:p w14:paraId="3EBC65FC" w14:textId="77777777" w:rsidR="00F20237" w:rsidRDefault="00F20237" w:rsidP="00A759B4">
      <w:bookmarkStart w:id="81" w:name="_Toc164260268"/>
    </w:p>
    <w:p w14:paraId="2DB8E488" w14:textId="77777777" w:rsidR="00D005C1" w:rsidRDefault="00D005C1" w:rsidP="00A759B4"/>
    <w:p w14:paraId="7472F9B2" w14:textId="77777777" w:rsidR="00D005C1" w:rsidRDefault="00D005C1" w:rsidP="00A759B4"/>
    <w:p w14:paraId="055C7661" w14:textId="77777777" w:rsidR="00D005C1" w:rsidRPr="00A759B4" w:rsidRDefault="00D005C1" w:rsidP="00A759B4"/>
    <w:p w14:paraId="2D5CA00A" w14:textId="77777777" w:rsidR="00A759B4" w:rsidRPr="00A759B4" w:rsidRDefault="00A759B4" w:rsidP="00A11D8F">
      <w:pPr>
        <w:pStyle w:val="Heading1"/>
      </w:pPr>
      <w:bookmarkStart w:id="82" w:name="_Toc213357094"/>
      <w:r w:rsidRPr="00A759B4">
        <w:t>Statement of GATHER Compliance</w:t>
      </w:r>
      <w:bookmarkEnd w:id="81"/>
      <w:bookmarkEnd w:id="82"/>
      <w:r w:rsidRPr="00A759B4">
        <w:t> </w:t>
      </w:r>
    </w:p>
    <w:p w14:paraId="63F7EECA" w14:textId="2566E391" w:rsidR="00336042" w:rsidRPr="00A759B4" w:rsidRDefault="00A759B4" w:rsidP="00A759B4">
      <w:r w:rsidRPr="00A759B4">
        <w:rPr>
          <w:i/>
          <w:iCs/>
        </w:rPr>
        <w:t>Checklist of information that should be included in reports of global health estimates, with description of compliance and location of information the current study</w:t>
      </w:r>
      <w:r w:rsidR="00336042">
        <w:t>.</w:t>
      </w:r>
    </w:p>
    <w:tbl>
      <w:tblPr>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854"/>
        <w:gridCol w:w="47"/>
        <w:gridCol w:w="4390"/>
        <w:gridCol w:w="110"/>
        <w:gridCol w:w="3929"/>
      </w:tblGrid>
      <w:tr w:rsidR="00336042" w:rsidRPr="00513069" w14:paraId="1850FD3D" w14:textId="77777777">
        <w:trPr>
          <w:trHeight w:val="298"/>
        </w:trPr>
        <w:tc>
          <w:tcPr>
            <w:tcW w:w="854" w:type="dxa"/>
            <w:tcBorders>
              <w:bottom w:val="single" w:sz="18" w:space="0" w:color="000000"/>
            </w:tcBorders>
          </w:tcPr>
          <w:p w14:paraId="3990A6C1" w14:textId="77777777" w:rsidR="00336042" w:rsidRPr="00513069" w:rsidRDefault="00336042">
            <w:pPr>
              <w:pStyle w:val="TableParagraph"/>
              <w:spacing w:before="16"/>
              <w:ind w:left="6"/>
              <w:rPr>
                <w:rFonts w:asciiTheme="minorHAnsi" w:hAnsiTheme="minorHAnsi" w:cstheme="minorHAnsi"/>
                <w:b/>
              </w:rPr>
            </w:pPr>
            <w:r w:rsidRPr="00513069">
              <w:rPr>
                <w:rFonts w:asciiTheme="minorHAnsi" w:hAnsiTheme="minorHAnsi" w:cstheme="minorHAnsi"/>
                <w:b/>
              </w:rPr>
              <w:t>Item</w:t>
            </w:r>
            <w:r w:rsidRPr="00513069">
              <w:rPr>
                <w:rFonts w:asciiTheme="minorHAnsi" w:hAnsiTheme="minorHAnsi" w:cstheme="minorHAnsi"/>
                <w:b/>
                <w:spacing w:val="-10"/>
              </w:rPr>
              <w:t xml:space="preserve"> #</w:t>
            </w:r>
          </w:p>
        </w:tc>
        <w:tc>
          <w:tcPr>
            <w:tcW w:w="4437" w:type="dxa"/>
            <w:gridSpan w:val="2"/>
            <w:tcBorders>
              <w:bottom w:val="single" w:sz="18" w:space="0" w:color="000000"/>
            </w:tcBorders>
          </w:tcPr>
          <w:p w14:paraId="7D5A1F1D" w14:textId="77777777" w:rsidR="00336042" w:rsidRPr="00513069" w:rsidRDefault="00336042">
            <w:pPr>
              <w:pStyle w:val="TableParagraph"/>
              <w:spacing w:before="16"/>
              <w:ind w:left="7"/>
              <w:rPr>
                <w:rFonts w:asciiTheme="minorHAnsi" w:hAnsiTheme="minorHAnsi" w:cstheme="minorHAnsi"/>
                <w:b/>
              </w:rPr>
            </w:pPr>
            <w:r w:rsidRPr="00513069">
              <w:rPr>
                <w:rFonts w:asciiTheme="minorHAnsi" w:hAnsiTheme="minorHAnsi" w:cstheme="minorHAnsi"/>
                <w:b/>
                <w:spacing w:val="-4"/>
              </w:rPr>
              <w:t>Checklist</w:t>
            </w:r>
            <w:r w:rsidRPr="00513069">
              <w:rPr>
                <w:rFonts w:asciiTheme="minorHAnsi" w:hAnsiTheme="minorHAnsi" w:cstheme="minorHAnsi"/>
                <w:b/>
                <w:spacing w:val="-7"/>
              </w:rPr>
              <w:t xml:space="preserve"> </w:t>
            </w:r>
            <w:r w:rsidRPr="00513069">
              <w:rPr>
                <w:rFonts w:asciiTheme="minorHAnsi" w:hAnsiTheme="minorHAnsi" w:cstheme="minorHAnsi"/>
                <w:b/>
                <w:spacing w:val="-4"/>
              </w:rPr>
              <w:t>item</w:t>
            </w:r>
          </w:p>
        </w:tc>
        <w:tc>
          <w:tcPr>
            <w:tcW w:w="4039" w:type="dxa"/>
            <w:gridSpan w:val="2"/>
            <w:tcBorders>
              <w:bottom w:val="single" w:sz="18" w:space="0" w:color="000000"/>
            </w:tcBorders>
          </w:tcPr>
          <w:p w14:paraId="0568960C" w14:textId="77777777" w:rsidR="00336042" w:rsidRPr="00513069" w:rsidRDefault="00336042">
            <w:pPr>
              <w:pStyle w:val="TableParagraph"/>
              <w:spacing w:line="253" w:lineRule="exact"/>
              <w:ind w:left="7"/>
              <w:rPr>
                <w:rFonts w:asciiTheme="minorHAnsi" w:hAnsiTheme="minorHAnsi" w:cstheme="minorHAnsi"/>
                <w:b/>
              </w:rPr>
            </w:pPr>
            <w:r w:rsidRPr="00513069">
              <w:rPr>
                <w:rFonts w:asciiTheme="minorHAnsi" w:hAnsiTheme="minorHAnsi" w:cstheme="minorHAnsi"/>
                <w:b/>
                <w:w w:val="90"/>
              </w:rPr>
              <w:t>Reporting</w:t>
            </w:r>
            <w:r w:rsidRPr="00513069">
              <w:rPr>
                <w:rFonts w:asciiTheme="minorHAnsi" w:hAnsiTheme="minorHAnsi" w:cstheme="minorHAnsi"/>
                <w:b/>
                <w:spacing w:val="19"/>
              </w:rPr>
              <w:t xml:space="preserve"> </w:t>
            </w:r>
            <w:r w:rsidRPr="00513069">
              <w:rPr>
                <w:rFonts w:asciiTheme="minorHAnsi" w:hAnsiTheme="minorHAnsi" w:cstheme="minorHAnsi"/>
                <w:b/>
                <w:spacing w:val="-2"/>
                <w:w w:val="95"/>
              </w:rPr>
              <w:t>location</w:t>
            </w:r>
          </w:p>
        </w:tc>
      </w:tr>
      <w:tr w:rsidR="00336042" w:rsidRPr="00513069" w14:paraId="574988C5" w14:textId="77777777">
        <w:trPr>
          <w:trHeight w:val="301"/>
        </w:trPr>
        <w:tc>
          <w:tcPr>
            <w:tcW w:w="9330" w:type="dxa"/>
            <w:gridSpan w:val="5"/>
            <w:tcBorders>
              <w:top w:val="single" w:sz="18" w:space="0" w:color="000000"/>
            </w:tcBorders>
            <w:shd w:val="clear" w:color="auto" w:fill="C0C0C0"/>
          </w:tcPr>
          <w:p w14:paraId="760FCD72" w14:textId="77777777" w:rsidR="00336042" w:rsidRPr="00513069" w:rsidRDefault="00336042">
            <w:pPr>
              <w:pStyle w:val="TableParagraph"/>
              <w:spacing w:before="1"/>
              <w:ind w:left="6"/>
              <w:rPr>
                <w:rFonts w:asciiTheme="minorHAnsi" w:hAnsiTheme="minorHAnsi" w:cstheme="minorHAnsi"/>
                <w:b/>
              </w:rPr>
            </w:pPr>
            <w:r w:rsidRPr="00513069">
              <w:rPr>
                <w:rFonts w:asciiTheme="minorHAnsi" w:hAnsiTheme="minorHAnsi" w:cstheme="minorHAnsi"/>
                <w:b/>
                <w:spacing w:val="-6"/>
              </w:rPr>
              <w:t>Objectives</w:t>
            </w:r>
            <w:r w:rsidRPr="00513069">
              <w:rPr>
                <w:rFonts w:asciiTheme="minorHAnsi" w:hAnsiTheme="minorHAnsi" w:cstheme="minorHAnsi"/>
                <w:b/>
                <w:spacing w:val="-7"/>
              </w:rPr>
              <w:t xml:space="preserve"> </w:t>
            </w:r>
            <w:r w:rsidRPr="00513069">
              <w:rPr>
                <w:rFonts w:asciiTheme="minorHAnsi" w:hAnsiTheme="minorHAnsi" w:cstheme="minorHAnsi"/>
                <w:b/>
                <w:spacing w:val="-6"/>
              </w:rPr>
              <w:t>and</w:t>
            </w:r>
            <w:r w:rsidRPr="00513069">
              <w:rPr>
                <w:rFonts w:asciiTheme="minorHAnsi" w:hAnsiTheme="minorHAnsi" w:cstheme="minorHAnsi"/>
                <w:b/>
                <w:spacing w:val="-8"/>
              </w:rPr>
              <w:t xml:space="preserve"> </w:t>
            </w:r>
            <w:r w:rsidRPr="00513069">
              <w:rPr>
                <w:rFonts w:asciiTheme="minorHAnsi" w:hAnsiTheme="minorHAnsi" w:cstheme="minorHAnsi"/>
                <w:b/>
                <w:spacing w:val="-6"/>
              </w:rPr>
              <w:t>funding</w:t>
            </w:r>
          </w:p>
        </w:tc>
      </w:tr>
      <w:tr w:rsidR="00336042" w:rsidRPr="00513069" w14:paraId="3E0C0C9C" w14:textId="77777777">
        <w:trPr>
          <w:trHeight w:val="1314"/>
        </w:trPr>
        <w:tc>
          <w:tcPr>
            <w:tcW w:w="854" w:type="dxa"/>
          </w:tcPr>
          <w:p w14:paraId="3B10DF3C" w14:textId="77777777" w:rsidR="00336042" w:rsidRPr="00513069" w:rsidRDefault="00336042">
            <w:pPr>
              <w:pStyle w:val="TableParagraph"/>
              <w:rPr>
                <w:rFonts w:asciiTheme="minorHAnsi" w:hAnsiTheme="minorHAnsi" w:cstheme="minorHAnsi"/>
                <w:i/>
              </w:rPr>
            </w:pPr>
          </w:p>
          <w:p w14:paraId="1150C955" w14:textId="77777777" w:rsidR="00336042" w:rsidRPr="00513069" w:rsidRDefault="00336042">
            <w:pPr>
              <w:pStyle w:val="TableParagraph"/>
              <w:spacing w:before="16"/>
              <w:rPr>
                <w:rFonts w:asciiTheme="minorHAnsi" w:hAnsiTheme="minorHAnsi" w:cstheme="minorHAnsi"/>
                <w:i/>
              </w:rPr>
            </w:pPr>
          </w:p>
          <w:p w14:paraId="63486EC2" w14:textId="77777777" w:rsidR="00336042" w:rsidRPr="00513069" w:rsidRDefault="00336042">
            <w:pPr>
              <w:pStyle w:val="TableParagraph"/>
              <w:spacing w:before="1"/>
              <w:ind w:left="15" w:right="3"/>
              <w:jc w:val="center"/>
              <w:rPr>
                <w:rFonts w:asciiTheme="minorHAnsi" w:hAnsiTheme="minorHAnsi" w:cstheme="minorHAnsi"/>
              </w:rPr>
            </w:pPr>
            <w:r w:rsidRPr="00513069">
              <w:rPr>
                <w:rFonts w:asciiTheme="minorHAnsi" w:hAnsiTheme="minorHAnsi" w:cstheme="minorHAnsi"/>
                <w:spacing w:val="-10"/>
              </w:rPr>
              <w:t>1</w:t>
            </w:r>
          </w:p>
        </w:tc>
        <w:tc>
          <w:tcPr>
            <w:tcW w:w="4437" w:type="dxa"/>
            <w:gridSpan w:val="2"/>
          </w:tcPr>
          <w:p w14:paraId="6CCE011C" w14:textId="77777777" w:rsidR="00336042" w:rsidRPr="00513069" w:rsidRDefault="00336042">
            <w:pPr>
              <w:pStyle w:val="TableParagraph"/>
              <w:spacing w:before="119" w:line="254" w:lineRule="auto"/>
              <w:ind w:left="151" w:right="101"/>
              <w:rPr>
                <w:rFonts w:asciiTheme="minorHAnsi" w:hAnsiTheme="minorHAnsi" w:cstheme="minorHAnsi"/>
              </w:rPr>
            </w:pPr>
            <w:r w:rsidRPr="00513069">
              <w:rPr>
                <w:rFonts w:asciiTheme="minorHAnsi" w:hAnsiTheme="minorHAnsi" w:cstheme="minorHAnsi"/>
              </w:rPr>
              <w:t>Define the indicator(s), populations (including age,</w:t>
            </w:r>
            <w:r w:rsidRPr="00513069">
              <w:rPr>
                <w:rFonts w:asciiTheme="minorHAnsi" w:hAnsiTheme="minorHAnsi" w:cstheme="minorHAnsi"/>
                <w:spacing w:val="-3"/>
              </w:rPr>
              <w:t xml:space="preserve"> </w:t>
            </w:r>
            <w:r w:rsidRPr="00513069">
              <w:rPr>
                <w:rFonts w:asciiTheme="minorHAnsi" w:hAnsiTheme="minorHAnsi" w:cstheme="minorHAnsi"/>
              </w:rPr>
              <w:t>sex,</w:t>
            </w:r>
            <w:r w:rsidRPr="00513069">
              <w:rPr>
                <w:rFonts w:asciiTheme="minorHAnsi" w:hAnsiTheme="minorHAnsi" w:cstheme="minorHAnsi"/>
                <w:spacing w:val="-3"/>
              </w:rPr>
              <w:t xml:space="preserve"> </w:t>
            </w:r>
            <w:r w:rsidRPr="00513069">
              <w:rPr>
                <w:rFonts w:asciiTheme="minorHAnsi" w:hAnsiTheme="minorHAnsi" w:cstheme="minorHAnsi"/>
              </w:rPr>
              <w:t xml:space="preserve">and geographic </w:t>
            </w:r>
            <w:r w:rsidRPr="00513069">
              <w:rPr>
                <w:rFonts w:asciiTheme="minorHAnsi" w:hAnsiTheme="minorHAnsi" w:cstheme="minorHAnsi"/>
                <w:spacing w:val="-2"/>
              </w:rPr>
              <w:t>entities),</w:t>
            </w:r>
            <w:r w:rsidRPr="00513069">
              <w:rPr>
                <w:rFonts w:asciiTheme="minorHAnsi" w:hAnsiTheme="minorHAnsi" w:cstheme="minorHAnsi"/>
                <w:spacing w:val="-13"/>
              </w:rPr>
              <w:t xml:space="preserve"> </w:t>
            </w:r>
            <w:r w:rsidRPr="00513069">
              <w:rPr>
                <w:rFonts w:asciiTheme="minorHAnsi" w:hAnsiTheme="minorHAnsi" w:cstheme="minorHAnsi"/>
                <w:spacing w:val="-2"/>
              </w:rPr>
              <w:t>and</w:t>
            </w:r>
            <w:r w:rsidRPr="00513069">
              <w:rPr>
                <w:rFonts w:asciiTheme="minorHAnsi" w:hAnsiTheme="minorHAnsi" w:cstheme="minorHAnsi"/>
                <w:spacing w:val="-11"/>
              </w:rPr>
              <w:t xml:space="preserve"> </w:t>
            </w:r>
            <w:r w:rsidRPr="00513069">
              <w:rPr>
                <w:rFonts w:asciiTheme="minorHAnsi" w:hAnsiTheme="minorHAnsi" w:cstheme="minorHAnsi"/>
                <w:spacing w:val="-2"/>
              </w:rPr>
              <w:t>time</w:t>
            </w:r>
            <w:r w:rsidRPr="00513069">
              <w:rPr>
                <w:rFonts w:asciiTheme="minorHAnsi" w:hAnsiTheme="minorHAnsi" w:cstheme="minorHAnsi"/>
                <w:spacing w:val="-11"/>
              </w:rPr>
              <w:t xml:space="preserve"> </w:t>
            </w:r>
            <w:r w:rsidRPr="00513069">
              <w:rPr>
                <w:rFonts w:asciiTheme="minorHAnsi" w:hAnsiTheme="minorHAnsi" w:cstheme="minorHAnsi"/>
                <w:spacing w:val="-2"/>
              </w:rPr>
              <w:t>period(s)</w:t>
            </w:r>
            <w:r w:rsidRPr="00513069">
              <w:rPr>
                <w:rFonts w:asciiTheme="minorHAnsi" w:hAnsiTheme="minorHAnsi" w:cstheme="minorHAnsi"/>
                <w:spacing w:val="-10"/>
              </w:rPr>
              <w:t xml:space="preserve"> </w:t>
            </w:r>
            <w:r w:rsidRPr="00513069">
              <w:rPr>
                <w:rFonts w:asciiTheme="minorHAnsi" w:hAnsiTheme="minorHAnsi" w:cstheme="minorHAnsi"/>
                <w:spacing w:val="-2"/>
              </w:rPr>
              <w:t>for</w:t>
            </w:r>
            <w:r w:rsidRPr="00513069">
              <w:rPr>
                <w:rFonts w:asciiTheme="minorHAnsi" w:hAnsiTheme="minorHAnsi" w:cstheme="minorHAnsi"/>
                <w:spacing w:val="-10"/>
              </w:rPr>
              <w:t xml:space="preserve"> </w:t>
            </w:r>
            <w:r w:rsidRPr="00513069">
              <w:rPr>
                <w:rFonts w:asciiTheme="minorHAnsi" w:hAnsiTheme="minorHAnsi" w:cstheme="minorHAnsi"/>
                <w:spacing w:val="-2"/>
              </w:rPr>
              <w:t xml:space="preserve">which </w:t>
            </w:r>
            <w:r w:rsidRPr="00513069">
              <w:rPr>
                <w:rFonts w:asciiTheme="minorHAnsi" w:hAnsiTheme="minorHAnsi" w:cstheme="minorHAnsi"/>
              </w:rPr>
              <w:t>estimates were made.</w:t>
            </w:r>
          </w:p>
        </w:tc>
        <w:tc>
          <w:tcPr>
            <w:tcW w:w="4039" w:type="dxa"/>
            <w:gridSpan w:val="2"/>
          </w:tcPr>
          <w:p w14:paraId="360D79F2" w14:textId="77777777" w:rsidR="00336042" w:rsidRPr="00513069" w:rsidRDefault="00336042">
            <w:pPr>
              <w:pStyle w:val="TableParagraph"/>
              <w:spacing w:before="119" w:line="254" w:lineRule="auto"/>
              <w:ind w:left="151" w:right="138"/>
              <w:rPr>
                <w:rFonts w:asciiTheme="minorHAnsi" w:hAnsiTheme="minorHAnsi" w:cstheme="minorHAnsi"/>
              </w:rPr>
            </w:pPr>
            <w:r w:rsidRPr="00513069">
              <w:rPr>
                <w:rFonts w:asciiTheme="minorHAnsi" w:hAnsiTheme="minorHAnsi" w:cstheme="minorHAnsi"/>
              </w:rPr>
              <w:t>Main text (Methods) and methods appendix </w:t>
            </w:r>
          </w:p>
        </w:tc>
      </w:tr>
      <w:tr w:rsidR="00336042" w:rsidRPr="00513069" w14:paraId="54D928E0" w14:textId="77777777">
        <w:trPr>
          <w:trHeight w:val="508"/>
        </w:trPr>
        <w:tc>
          <w:tcPr>
            <w:tcW w:w="854" w:type="dxa"/>
          </w:tcPr>
          <w:p w14:paraId="6F4C9263" w14:textId="77777777" w:rsidR="00336042" w:rsidRPr="00513069" w:rsidRDefault="00336042">
            <w:pPr>
              <w:pStyle w:val="TableParagraph"/>
              <w:spacing w:before="119"/>
              <w:ind w:left="15" w:right="3"/>
              <w:jc w:val="center"/>
              <w:rPr>
                <w:rFonts w:asciiTheme="minorHAnsi" w:hAnsiTheme="minorHAnsi" w:cstheme="minorHAnsi"/>
              </w:rPr>
            </w:pPr>
            <w:r w:rsidRPr="00513069">
              <w:rPr>
                <w:rFonts w:asciiTheme="minorHAnsi" w:hAnsiTheme="minorHAnsi" w:cstheme="minorHAnsi"/>
                <w:spacing w:val="-10"/>
              </w:rPr>
              <w:t>2</w:t>
            </w:r>
          </w:p>
        </w:tc>
        <w:tc>
          <w:tcPr>
            <w:tcW w:w="4437" w:type="dxa"/>
            <w:gridSpan w:val="2"/>
          </w:tcPr>
          <w:p w14:paraId="6798D85F" w14:textId="77777777" w:rsidR="00336042" w:rsidRPr="00513069" w:rsidRDefault="00336042">
            <w:pPr>
              <w:pStyle w:val="TableParagraph"/>
              <w:spacing w:before="119"/>
              <w:ind w:left="151"/>
              <w:rPr>
                <w:rFonts w:asciiTheme="minorHAnsi" w:hAnsiTheme="minorHAnsi" w:cstheme="minorHAnsi"/>
              </w:rPr>
            </w:pPr>
            <w:r w:rsidRPr="00513069">
              <w:rPr>
                <w:rFonts w:asciiTheme="minorHAnsi" w:hAnsiTheme="minorHAnsi" w:cstheme="minorHAnsi"/>
                <w:spacing w:val="-2"/>
              </w:rPr>
              <w:t>List</w:t>
            </w:r>
            <w:r w:rsidRPr="00513069">
              <w:rPr>
                <w:rFonts w:asciiTheme="minorHAnsi" w:hAnsiTheme="minorHAnsi" w:cstheme="minorHAnsi"/>
                <w:spacing w:val="-13"/>
              </w:rPr>
              <w:t xml:space="preserve"> </w:t>
            </w:r>
            <w:r w:rsidRPr="00513069">
              <w:rPr>
                <w:rFonts w:asciiTheme="minorHAnsi" w:hAnsiTheme="minorHAnsi" w:cstheme="minorHAnsi"/>
                <w:spacing w:val="-2"/>
              </w:rPr>
              <w:t>the</w:t>
            </w:r>
            <w:r w:rsidRPr="00513069">
              <w:rPr>
                <w:rFonts w:asciiTheme="minorHAnsi" w:hAnsiTheme="minorHAnsi" w:cstheme="minorHAnsi"/>
                <w:spacing w:val="-12"/>
              </w:rPr>
              <w:t xml:space="preserve"> </w:t>
            </w:r>
            <w:r w:rsidRPr="00513069">
              <w:rPr>
                <w:rFonts w:asciiTheme="minorHAnsi" w:hAnsiTheme="minorHAnsi" w:cstheme="minorHAnsi"/>
                <w:spacing w:val="-2"/>
              </w:rPr>
              <w:t>funding</w:t>
            </w:r>
            <w:r w:rsidRPr="00513069">
              <w:rPr>
                <w:rFonts w:asciiTheme="minorHAnsi" w:hAnsiTheme="minorHAnsi" w:cstheme="minorHAnsi"/>
                <w:spacing w:val="-12"/>
              </w:rPr>
              <w:t xml:space="preserve"> </w:t>
            </w:r>
            <w:r w:rsidRPr="00513069">
              <w:rPr>
                <w:rFonts w:asciiTheme="minorHAnsi" w:hAnsiTheme="minorHAnsi" w:cstheme="minorHAnsi"/>
                <w:spacing w:val="-2"/>
              </w:rPr>
              <w:t>sources</w:t>
            </w:r>
            <w:r w:rsidRPr="00513069">
              <w:rPr>
                <w:rFonts w:asciiTheme="minorHAnsi" w:hAnsiTheme="minorHAnsi" w:cstheme="minorHAnsi"/>
                <w:spacing w:val="-13"/>
              </w:rPr>
              <w:t xml:space="preserve"> </w:t>
            </w:r>
            <w:r w:rsidRPr="00513069">
              <w:rPr>
                <w:rFonts w:asciiTheme="minorHAnsi" w:hAnsiTheme="minorHAnsi" w:cstheme="minorHAnsi"/>
                <w:spacing w:val="-2"/>
              </w:rPr>
              <w:t>for</w:t>
            </w:r>
            <w:r w:rsidRPr="00513069">
              <w:rPr>
                <w:rFonts w:asciiTheme="minorHAnsi" w:hAnsiTheme="minorHAnsi" w:cstheme="minorHAnsi"/>
                <w:spacing w:val="-13"/>
              </w:rPr>
              <w:t xml:space="preserve"> </w:t>
            </w:r>
            <w:r w:rsidRPr="00513069">
              <w:rPr>
                <w:rFonts w:asciiTheme="minorHAnsi" w:hAnsiTheme="minorHAnsi" w:cstheme="minorHAnsi"/>
                <w:spacing w:val="-2"/>
              </w:rPr>
              <w:t>the</w:t>
            </w:r>
            <w:r w:rsidRPr="00513069">
              <w:rPr>
                <w:rFonts w:asciiTheme="minorHAnsi" w:hAnsiTheme="minorHAnsi" w:cstheme="minorHAnsi"/>
                <w:spacing w:val="-9"/>
              </w:rPr>
              <w:t xml:space="preserve"> </w:t>
            </w:r>
            <w:r w:rsidRPr="00513069">
              <w:rPr>
                <w:rFonts w:asciiTheme="minorHAnsi" w:hAnsiTheme="minorHAnsi" w:cstheme="minorHAnsi"/>
                <w:spacing w:val="-4"/>
              </w:rPr>
              <w:t>work.</w:t>
            </w:r>
          </w:p>
        </w:tc>
        <w:tc>
          <w:tcPr>
            <w:tcW w:w="4039" w:type="dxa"/>
            <w:gridSpan w:val="2"/>
          </w:tcPr>
          <w:p w14:paraId="6DB1B0D1" w14:textId="77777777" w:rsidR="00336042" w:rsidRPr="00513069" w:rsidRDefault="00336042">
            <w:pPr>
              <w:pStyle w:val="TableParagraph"/>
              <w:spacing w:before="119"/>
              <w:ind w:left="151"/>
              <w:rPr>
                <w:rFonts w:asciiTheme="minorHAnsi" w:hAnsiTheme="minorHAnsi" w:cstheme="minorHAnsi"/>
              </w:rPr>
            </w:pPr>
            <w:r w:rsidRPr="00513069">
              <w:rPr>
                <w:rFonts w:asciiTheme="minorHAnsi" w:hAnsiTheme="minorHAnsi" w:cstheme="minorHAnsi"/>
              </w:rPr>
              <w:t>Summary (Funding) </w:t>
            </w:r>
          </w:p>
        </w:tc>
      </w:tr>
      <w:tr w:rsidR="00336042" w:rsidRPr="00513069" w14:paraId="2B2970A2" w14:textId="77777777">
        <w:trPr>
          <w:trHeight w:val="299"/>
        </w:trPr>
        <w:tc>
          <w:tcPr>
            <w:tcW w:w="9330" w:type="dxa"/>
            <w:gridSpan w:val="5"/>
            <w:shd w:val="clear" w:color="auto" w:fill="BEBEBE"/>
          </w:tcPr>
          <w:p w14:paraId="2A02093F" w14:textId="77777777" w:rsidR="00336042" w:rsidRPr="00513069" w:rsidRDefault="00336042">
            <w:pPr>
              <w:pStyle w:val="TableParagraph"/>
              <w:spacing w:line="253" w:lineRule="exact"/>
              <w:ind w:left="6"/>
              <w:rPr>
                <w:rFonts w:asciiTheme="minorHAnsi" w:hAnsiTheme="minorHAnsi" w:cstheme="minorHAnsi"/>
                <w:b/>
              </w:rPr>
            </w:pPr>
            <w:r w:rsidRPr="00513069">
              <w:rPr>
                <w:rFonts w:asciiTheme="minorHAnsi" w:hAnsiTheme="minorHAnsi" w:cstheme="minorHAnsi"/>
                <w:b/>
                <w:spacing w:val="-2"/>
              </w:rPr>
              <w:t>Data</w:t>
            </w:r>
            <w:r w:rsidRPr="00513069">
              <w:rPr>
                <w:rFonts w:asciiTheme="minorHAnsi" w:hAnsiTheme="minorHAnsi" w:cstheme="minorHAnsi"/>
                <w:b/>
                <w:spacing w:val="-12"/>
              </w:rPr>
              <w:t xml:space="preserve"> </w:t>
            </w:r>
            <w:r w:rsidRPr="00513069">
              <w:rPr>
                <w:rFonts w:asciiTheme="minorHAnsi" w:hAnsiTheme="minorHAnsi" w:cstheme="minorHAnsi"/>
                <w:b/>
                <w:spacing w:val="-2"/>
              </w:rPr>
              <w:t>Inputs</w:t>
            </w:r>
          </w:p>
        </w:tc>
      </w:tr>
      <w:tr w:rsidR="00336042" w:rsidRPr="00513069" w14:paraId="02330F4B" w14:textId="77777777">
        <w:trPr>
          <w:trHeight w:val="299"/>
        </w:trPr>
        <w:tc>
          <w:tcPr>
            <w:tcW w:w="9330" w:type="dxa"/>
            <w:gridSpan w:val="5"/>
            <w:shd w:val="clear" w:color="auto" w:fill="D9D9D9"/>
          </w:tcPr>
          <w:p w14:paraId="6FD2B9E9" w14:textId="77777777" w:rsidR="00336042" w:rsidRPr="00513069" w:rsidRDefault="00336042">
            <w:pPr>
              <w:pStyle w:val="TableParagraph"/>
              <w:spacing w:line="253" w:lineRule="exact"/>
              <w:ind w:left="143"/>
              <w:rPr>
                <w:rFonts w:asciiTheme="minorHAnsi" w:hAnsiTheme="minorHAnsi" w:cstheme="minorHAnsi"/>
                <w:i/>
              </w:rPr>
            </w:pPr>
            <w:r w:rsidRPr="00513069">
              <w:rPr>
                <w:rFonts w:asciiTheme="minorHAnsi" w:hAnsiTheme="minorHAnsi" w:cstheme="minorHAnsi"/>
                <w:i/>
                <w:spacing w:val="-2"/>
              </w:rPr>
              <w:t>For</w:t>
            </w:r>
            <w:r w:rsidRPr="00513069">
              <w:rPr>
                <w:rFonts w:asciiTheme="minorHAnsi" w:hAnsiTheme="minorHAnsi" w:cstheme="minorHAnsi"/>
                <w:i/>
                <w:spacing w:val="-15"/>
              </w:rPr>
              <w:t xml:space="preserve"> </w:t>
            </w:r>
            <w:r w:rsidRPr="00513069">
              <w:rPr>
                <w:rFonts w:asciiTheme="minorHAnsi" w:hAnsiTheme="minorHAnsi" w:cstheme="minorHAnsi"/>
                <w:i/>
                <w:spacing w:val="-2"/>
              </w:rPr>
              <w:t>all</w:t>
            </w:r>
            <w:r w:rsidRPr="00513069">
              <w:rPr>
                <w:rFonts w:asciiTheme="minorHAnsi" w:hAnsiTheme="minorHAnsi" w:cstheme="minorHAnsi"/>
                <w:i/>
                <w:spacing w:val="-14"/>
              </w:rPr>
              <w:t xml:space="preserve"> </w:t>
            </w:r>
            <w:r w:rsidRPr="00513069">
              <w:rPr>
                <w:rFonts w:asciiTheme="minorHAnsi" w:hAnsiTheme="minorHAnsi" w:cstheme="minorHAnsi"/>
                <w:i/>
                <w:spacing w:val="-2"/>
              </w:rPr>
              <w:t>data</w:t>
            </w:r>
            <w:r w:rsidRPr="00513069">
              <w:rPr>
                <w:rFonts w:asciiTheme="minorHAnsi" w:hAnsiTheme="minorHAnsi" w:cstheme="minorHAnsi"/>
                <w:i/>
                <w:spacing w:val="-12"/>
              </w:rPr>
              <w:t xml:space="preserve"> </w:t>
            </w:r>
            <w:r w:rsidRPr="00513069">
              <w:rPr>
                <w:rFonts w:asciiTheme="minorHAnsi" w:hAnsiTheme="minorHAnsi" w:cstheme="minorHAnsi"/>
                <w:i/>
                <w:spacing w:val="-2"/>
              </w:rPr>
              <w:t>inputs</w:t>
            </w:r>
            <w:r w:rsidRPr="00513069">
              <w:rPr>
                <w:rFonts w:asciiTheme="minorHAnsi" w:hAnsiTheme="minorHAnsi" w:cstheme="minorHAnsi"/>
                <w:i/>
                <w:spacing w:val="-14"/>
              </w:rPr>
              <w:t xml:space="preserve"> </w:t>
            </w:r>
            <w:r w:rsidRPr="00513069">
              <w:rPr>
                <w:rFonts w:asciiTheme="minorHAnsi" w:hAnsiTheme="minorHAnsi" w:cstheme="minorHAnsi"/>
                <w:i/>
                <w:spacing w:val="-2"/>
              </w:rPr>
              <w:t>from</w:t>
            </w:r>
            <w:r w:rsidRPr="00513069">
              <w:rPr>
                <w:rFonts w:asciiTheme="minorHAnsi" w:hAnsiTheme="minorHAnsi" w:cstheme="minorHAnsi"/>
                <w:i/>
                <w:spacing w:val="-13"/>
              </w:rPr>
              <w:t xml:space="preserve"> </w:t>
            </w:r>
            <w:r w:rsidRPr="00513069">
              <w:rPr>
                <w:rFonts w:asciiTheme="minorHAnsi" w:hAnsiTheme="minorHAnsi" w:cstheme="minorHAnsi"/>
                <w:i/>
                <w:spacing w:val="-2"/>
              </w:rPr>
              <w:t>multiple</w:t>
            </w:r>
            <w:r w:rsidRPr="00513069">
              <w:rPr>
                <w:rFonts w:asciiTheme="minorHAnsi" w:hAnsiTheme="minorHAnsi" w:cstheme="minorHAnsi"/>
                <w:i/>
                <w:spacing w:val="-14"/>
              </w:rPr>
              <w:t xml:space="preserve"> </w:t>
            </w:r>
            <w:r w:rsidRPr="00513069">
              <w:rPr>
                <w:rFonts w:asciiTheme="minorHAnsi" w:hAnsiTheme="minorHAnsi" w:cstheme="minorHAnsi"/>
                <w:i/>
                <w:spacing w:val="-2"/>
              </w:rPr>
              <w:t>sources</w:t>
            </w:r>
            <w:r w:rsidRPr="00513069">
              <w:rPr>
                <w:rFonts w:asciiTheme="minorHAnsi" w:hAnsiTheme="minorHAnsi" w:cstheme="minorHAnsi"/>
                <w:i/>
                <w:spacing w:val="-14"/>
              </w:rPr>
              <w:t xml:space="preserve"> </w:t>
            </w:r>
            <w:r w:rsidRPr="00513069">
              <w:rPr>
                <w:rFonts w:asciiTheme="minorHAnsi" w:hAnsiTheme="minorHAnsi" w:cstheme="minorHAnsi"/>
                <w:i/>
                <w:spacing w:val="-2"/>
              </w:rPr>
              <w:t>that</w:t>
            </w:r>
            <w:r w:rsidRPr="00513069">
              <w:rPr>
                <w:rFonts w:asciiTheme="minorHAnsi" w:hAnsiTheme="minorHAnsi" w:cstheme="minorHAnsi"/>
                <w:i/>
                <w:spacing w:val="-12"/>
              </w:rPr>
              <w:t xml:space="preserve"> </w:t>
            </w:r>
            <w:r w:rsidRPr="00513069">
              <w:rPr>
                <w:rFonts w:asciiTheme="minorHAnsi" w:hAnsiTheme="minorHAnsi" w:cstheme="minorHAnsi"/>
                <w:i/>
                <w:spacing w:val="-2"/>
              </w:rPr>
              <w:t>are</w:t>
            </w:r>
            <w:r w:rsidRPr="00513069">
              <w:rPr>
                <w:rFonts w:asciiTheme="minorHAnsi" w:hAnsiTheme="minorHAnsi" w:cstheme="minorHAnsi"/>
                <w:i/>
                <w:spacing w:val="-16"/>
              </w:rPr>
              <w:t xml:space="preserve"> </w:t>
            </w:r>
            <w:r w:rsidRPr="00513069">
              <w:rPr>
                <w:rFonts w:asciiTheme="minorHAnsi" w:hAnsiTheme="minorHAnsi" w:cstheme="minorHAnsi"/>
                <w:i/>
                <w:spacing w:val="-2"/>
              </w:rPr>
              <w:t>synthesized</w:t>
            </w:r>
            <w:r w:rsidRPr="00513069">
              <w:rPr>
                <w:rFonts w:asciiTheme="minorHAnsi" w:hAnsiTheme="minorHAnsi" w:cstheme="minorHAnsi"/>
                <w:i/>
                <w:spacing w:val="-11"/>
              </w:rPr>
              <w:t xml:space="preserve"> </w:t>
            </w:r>
            <w:r w:rsidRPr="00513069">
              <w:rPr>
                <w:rFonts w:asciiTheme="minorHAnsi" w:hAnsiTheme="minorHAnsi" w:cstheme="minorHAnsi"/>
                <w:i/>
                <w:spacing w:val="-2"/>
              </w:rPr>
              <w:t>as</w:t>
            </w:r>
            <w:r w:rsidRPr="00513069">
              <w:rPr>
                <w:rFonts w:asciiTheme="minorHAnsi" w:hAnsiTheme="minorHAnsi" w:cstheme="minorHAnsi"/>
                <w:i/>
                <w:spacing w:val="-14"/>
              </w:rPr>
              <w:t xml:space="preserve"> </w:t>
            </w:r>
            <w:r w:rsidRPr="00513069">
              <w:rPr>
                <w:rFonts w:asciiTheme="minorHAnsi" w:hAnsiTheme="minorHAnsi" w:cstheme="minorHAnsi"/>
                <w:i/>
                <w:spacing w:val="-2"/>
              </w:rPr>
              <w:t>part</w:t>
            </w:r>
            <w:r w:rsidRPr="00513069">
              <w:rPr>
                <w:rFonts w:asciiTheme="minorHAnsi" w:hAnsiTheme="minorHAnsi" w:cstheme="minorHAnsi"/>
                <w:i/>
                <w:spacing w:val="-14"/>
              </w:rPr>
              <w:t xml:space="preserve"> </w:t>
            </w:r>
            <w:r w:rsidRPr="00513069">
              <w:rPr>
                <w:rFonts w:asciiTheme="minorHAnsi" w:hAnsiTheme="minorHAnsi" w:cstheme="minorHAnsi"/>
                <w:i/>
                <w:spacing w:val="-2"/>
              </w:rPr>
              <w:t>of</w:t>
            </w:r>
            <w:r w:rsidRPr="00513069">
              <w:rPr>
                <w:rFonts w:asciiTheme="minorHAnsi" w:hAnsiTheme="minorHAnsi" w:cstheme="minorHAnsi"/>
                <w:i/>
                <w:spacing w:val="-13"/>
              </w:rPr>
              <w:t xml:space="preserve"> </w:t>
            </w:r>
            <w:r w:rsidRPr="00513069">
              <w:rPr>
                <w:rFonts w:asciiTheme="minorHAnsi" w:hAnsiTheme="minorHAnsi" w:cstheme="minorHAnsi"/>
                <w:i/>
                <w:spacing w:val="-2"/>
              </w:rPr>
              <w:t>the</w:t>
            </w:r>
            <w:r w:rsidRPr="00513069">
              <w:rPr>
                <w:rFonts w:asciiTheme="minorHAnsi" w:hAnsiTheme="minorHAnsi" w:cstheme="minorHAnsi"/>
                <w:i/>
                <w:spacing w:val="-14"/>
              </w:rPr>
              <w:t xml:space="preserve"> </w:t>
            </w:r>
            <w:r w:rsidRPr="00513069">
              <w:rPr>
                <w:rFonts w:asciiTheme="minorHAnsi" w:hAnsiTheme="minorHAnsi" w:cstheme="minorHAnsi"/>
                <w:i/>
                <w:spacing w:val="-2"/>
              </w:rPr>
              <w:t>study:</w:t>
            </w:r>
          </w:p>
        </w:tc>
      </w:tr>
      <w:tr w:rsidR="00336042" w:rsidRPr="00513069" w14:paraId="00749D1F" w14:textId="77777777">
        <w:trPr>
          <w:trHeight w:val="1045"/>
        </w:trPr>
        <w:tc>
          <w:tcPr>
            <w:tcW w:w="854" w:type="dxa"/>
          </w:tcPr>
          <w:p w14:paraId="7BDE5615" w14:textId="77777777" w:rsidR="00336042" w:rsidRPr="00513069" w:rsidRDefault="00336042">
            <w:pPr>
              <w:pStyle w:val="TableParagraph"/>
              <w:spacing w:before="135"/>
              <w:rPr>
                <w:rFonts w:asciiTheme="minorHAnsi" w:hAnsiTheme="minorHAnsi" w:cstheme="minorHAnsi"/>
                <w:i/>
              </w:rPr>
            </w:pPr>
          </w:p>
          <w:p w14:paraId="1B99596C" w14:textId="77777777" w:rsidR="00336042" w:rsidRPr="00513069" w:rsidRDefault="00336042">
            <w:pPr>
              <w:pStyle w:val="TableParagraph"/>
              <w:ind w:left="15" w:right="3"/>
              <w:jc w:val="center"/>
              <w:rPr>
                <w:rFonts w:asciiTheme="minorHAnsi" w:hAnsiTheme="minorHAnsi" w:cstheme="minorHAnsi"/>
              </w:rPr>
            </w:pPr>
            <w:r w:rsidRPr="00513069">
              <w:rPr>
                <w:rFonts w:asciiTheme="minorHAnsi" w:hAnsiTheme="minorHAnsi" w:cstheme="minorHAnsi"/>
                <w:spacing w:val="-10"/>
              </w:rPr>
              <w:t>3</w:t>
            </w:r>
          </w:p>
        </w:tc>
        <w:tc>
          <w:tcPr>
            <w:tcW w:w="4437" w:type="dxa"/>
            <w:gridSpan w:val="2"/>
          </w:tcPr>
          <w:p w14:paraId="65083CF4" w14:textId="77777777" w:rsidR="00336042" w:rsidRPr="00513069" w:rsidRDefault="00336042">
            <w:pPr>
              <w:pStyle w:val="TableParagraph"/>
              <w:spacing w:before="122" w:line="254" w:lineRule="auto"/>
              <w:ind w:left="151"/>
              <w:rPr>
                <w:rFonts w:asciiTheme="minorHAnsi" w:hAnsiTheme="minorHAnsi" w:cstheme="minorHAnsi"/>
              </w:rPr>
            </w:pPr>
            <w:r w:rsidRPr="00513069">
              <w:rPr>
                <w:rFonts w:asciiTheme="minorHAnsi" w:hAnsiTheme="minorHAnsi" w:cstheme="minorHAnsi"/>
                <w:spacing w:val="-2"/>
              </w:rPr>
              <w:t>Describe</w:t>
            </w:r>
            <w:r w:rsidRPr="00513069">
              <w:rPr>
                <w:rFonts w:asciiTheme="minorHAnsi" w:hAnsiTheme="minorHAnsi" w:cstheme="minorHAnsi"/>
                <w:spacing w:val="-14"/>
              </w:rPr>
              <w:t xml:space="preserve"> </w:t>
            </w:r>
            <w:r w:rsidRPr="00513069">
              <w:rPr>
                <w:rFonts w:asciiTheme="minorHAnsi" w:hAnsiTheme="minorHAnsi" w:cstheme="minorHAnsi"/>
                <w:spacing w:val="-2"/>
              </w:rPr>
              <w:t>how</w:t>
            </w:r>
            <w:r w:rsidRPr="00513069">
              <w:rPr>
                <w:rFonts w:asciiTheme="minorHAnsi" w:hAnsiTheme="minorHAnsi" w:cstheme="minorHAnsi"/>
                <w:spacing w:val="-16"/>
              </w:rPr>
              <w:t xml:space="preserve"> </w:t>
            </w:r>
            <w:r w:rsidRPr="00513069">
              <w:rPr>
                <w:rFonts w:asciiTheme="minorHAnsi" w:hAnsiTheme="minorHAnsi" w:cstheme="minorHAnsi"/>
                <w:spacing w:val="-2"/>
              </w:rPr>
              <w:t>the</w:t>
            </w:r>
            <w:r w:rsidRPr="00513069">
              <w:rPr>
                <w:rFonts w:asciiTheme="minorHAnsi" w:hAnsiTheme="minorHAnsi" w:cstheme="minorHAnsi"/>
                <w:spacing w:val="-14"/>
              </w:rPr>
              <w:t xml:space="preserve"> </w:t>
            </w:r>
            <w:r w:rsidRPr="00513069">
              <w:rPr>
                <w:rFonts w:asciiTheme="minorHAnsi" w:hAnsiTheme="minorHAnsi" w:cstheme="minorHAnsi"/>
                <w:spacing w:val="-2"/>
              </w:rPr>
              <w:t>data</w:t>
            </w:r>
            <w:r w:rsidRPr="00513069">
              <w:rPr>
                <w:rFonts w:asciiTheme="minorHAnsi" w:hAnsiTheme="minorHAnsi" w:cstheme="minorHAnsi"/>
                <w:spacing w:val="-13"/>
              </w:rPr>
              <w:t xml:space="preserve"> </w:t>
            </w:r>
            <w:r w:rsidRPr="00513069">
              <w:rPr>
                <w:rFonts w:asciiTheme="minorHAnsi" w:hAnsiTheme="minorHAnsi" w:cstheme="minorHAnsi"/>
                <w:spacing w:val="-2"/>
              </w:rPr>
              <w:t>were</w:t>
            </w:r>
            <w:r w:rsidRPr="00513069">
              <w:rPr>
                <w:rFonts w:asciiTheme="minorHAnsi" w:hAnsiTheme="minorHAnsi" w:cstheme="minorHAnsi"/>
                <w:spacing w:val="-14"/>
              </w:rPr>
              <w:t xml:space="preserve"> </w:t>
            </w:r>
            <w:r w:rsidRPr="00513069">
              <w:rPr>
                <w:rFonts w:asciiTheme="minorHAnsi" w:hAnsiTheme="minorHAnsi" w:cstheme="minorHAnsi"/>
                <w:spacing w:val="-2"/>
              </w:rPr>
              <w:t>identified</w:t>
            </w:r>
            <w:r w:rsidRPr="00513069">
              <w:rPr>
                <w:rFonts w:asciiTheme="minorHAnsi" w:hAnsiTheme="minorHAnsi" w:cstheme="minorHAnsi"/>
                <w:spacing w:val="-12"/>
              </w:rPr>
              <w:t xml:space="preserve"> </w:t>
            </w:r>
            <w:r w:rsidRPr="00513069">
              <w:rPr>
                <w:rFonts w:asciiTheme="minorHAnsi" w:hAnsiTheme="minorHAnsi" w:cstheme="minorHAnsi"/>
                <w:spacing w:val="-2"/>
              </w:rPr>
              <w:t xml:space="preserve">and </w:t>
            </w:r>
            <w:r w:rsidRPr="00513069">
              <w:rPr>
                <w:rFonts w:asciiTheme="minorHAnsi" w:hAnsiTheme="minorHAnsi" w:cstheme="minorHAnsi"/>
              </w:rPr>
              <w:t>how the data were accessed.</w:t>
            </w:r>
          </w:p>
        </w:tc>
        <w:tc>
          <w:tcPr>
            <w:tcW w:w="4039" w:type="dxa"/>
            <w:gridSpan w:val="2"/>
          </w:tcPr>
          <w:p w14:paraId="081749BD" w14:textId="77777777" w:rsidR="00336042" w:rsidRPr="00513069" w:rsidRDefault="00336042">
            <w:pPr>
              <w:pStyle w:val="TableParagraph"/>
              <w:spacing w:before="4"/>
              <w:ind w:left="152"/>
              <w:rPr>
                <w:rFonts w:asciiTheme="minorHAnsi" w:hAnsiTheme="minorHAnsi" w:cstheme="minorHAnsi"/>
              </w:rPr>
            </w:pPr>
            <w:r w:rsidRPr="00513069">
              <w:rPr>
                <w:rFonts w:asciiTheme="minorHAnsi" w:hAnsiTheme="minorHAnsi" w:cstheme="minorHAnsi"/>
              </w:rPr>
              <w:t>Main text (Methods) and methods appendix </w:t>
            </w:r>
          </w:p>
        </w:tc>
      </w:tr>
      <w:tr w:rsidR="00336042" w:rsidRPr="00513069" w14:paraId="2AF58328" w14:textId="77777777">
        <w:trPr>
          <w:trHeight w:val="2389"/>
        </w:trPr>
        <w:tc>
          <w:tcPr>
            <w:tcW w:w="854" w:type="dxa"/>
          </w:tcPr>
          <w:p w14:paraId="14BC705A" w14:textId="77777777" w:rsidR="00336042" w:rsidRPr="00513069" w:rsidRDefault="00336042">
            <w:pPr>
              <w:pStyle w:val="TableParagraph"/>
              <w:rPr>
                <w:rFonts w:asciiTheme="minorHAnsi" w:hAnsiTheme="minorHAnsi" w:cstheme="minorHAnsi"/>
                <w:i/>
              </w:rPr>
            </w:pPr>
          </w:p>
          <w:p w14:paraId="1C2EE81E" w14:textId="77777777" w:rsidR="00336042" w:rsidRPr="00513069" w:rsidRDefault="00336042">
            <w:pPr>
              <w:pStyle w:val="TableParagraph"/>
              <w:rPr>
                <w:rFonts w:asciiTheme="minorHAnsi" w:hAnsiTheme="minorHAnsi" w:cstheme="minorHAnsi"/>
                <w:i/>
              </w:rPr>
            </w:pPr>
          </w:p>
          <w:p w14:paraId="4E8B8773" w14:textId="77777777" w:rsidR="00336042" w:rsidRPr="00513069" w:rsidRDefault="00336042">
            <w:pPr>
              <w:pStyle w:val="TableParagraph"/>
              <w:rPr>
                <w:rFonts w:asciiTheme="minorHAnsi" w:hAnsiTheme="minorHAnsi" w:cstheme="minorHAnsi"/>
                <w:i/>
              </w:rPr>
            </w:pPr>
          </w:p>
          <w:p w14:paraId="59D81FFA" w14:textId="77777777" w:rsidR="00336042" w:rsidRPr="00513069" w:rsidRDefault="00336042">
            <w:pPr>
              <w:pStyle w:val="TableParagraph"/>
              <w:spacing w:before="48"/>
              <w:rPr>
                <w:rFonts w:asciiTheme="minorHAnsi" w:hAnsiTheme="minorHAnsi" w:cstheme="minorHAnsi"/>
                <w:i/>
              </w:rPr>
            </w:pPr>
          </w:p>
          <w:p w14:paraId="534FB035" w14:textId="77777777" w:rsidR="00336042" w:rsidRPr="00513069" w:rsidRDefault="00336042">
            <w:pPr>
              <w:pStyle w:val="TableParagraph"/>
              <w:ind w:left="15" w:right="3"/>
              <w:jc w:val="center"/>
              <w:rPr>
                <w:rFonts w:asciiTheme="minorHAnsi" w:hAnsiTheme="minorHAnsi" w:cstheme="minorHAnsi"/>
              </w:rPr>
            </w:pPr>
            <w:r w:rsidRPr="00513069">
              <w:rPr>
                <w:rFonts w:asciiTheme="minorHAnsi" w:hAnsiTheme="minorHAnsi" w:cstheme="minorHAnsi"/>
                <w:spacing w:val="-10"/>
              </w:rPr>
              <w:t>4</w:t>
            </w:r>
          </w:p>
        </w:tc>
        <w:tc>
          <w:tcPr>
            <w:tcW w:w="4437" w:type="dxa"/>
            <w:gridSpan w:val="2"/>
          </w:tcPr>
          <w:p w14:paraId="3327BACB" w14:textId="77777777" w:rsidR="00336042" w:rsidRPr="00513069" w:rsidRDefault="00336042">
            <w:pPr>
              <w:pStyle w:val="TableParagraph"/>
              <w:spacing w:before="122" w:line="254" w:lineRule="auto"/>
              <w:ind w:left="151"/>
              <w:rPr>
                <w:rFonts w:asciiTheme="minorHAnsi" w:hAnsiTheme="minorHAnsi" w:cstheme="minorHAnsi"/>
              </w:rPr>
            </w:pPr>
            <w:r w:rsidRPr="00513069">
              <w:rPr>
                <w:rFonts w:asciiTheme="minorHAnsi" w:hAnsiTheme="minorHAnsi" w:cstheme="minorHAnsi"/>
                <w:spacing w:val="-2"/>
              </w:rPr>
              <w:t>Specify</w:t>
            </w:r>
            <w:r w:rsidRPr="00513069">
              <w:rPr>
                <w:rFonts w:asciiTheme="minorHAnsi" w:hAnsiTheme="minorHAnsi" w:cstheme="minorHAnsi"/>
                <w:spacing w:val="-9"/>
              </w:rPr>
              <w:t xml:space="preserve"> </w:t>
            </w:r>
            <w:r w:rsidRPr="00513069">
              <w:rPr>
                <w:rFonts w:asciiTheme="minorHAnsi" w:hAnsiTheme="minorHAnsi" w:cstheme="minorHAnsi"/>
                <w:spacing w:val="-2"/>
              </w:rPr>
              <w:t>the</w:t>
            </w:r>
            <w:r w:rsidRPr="00513069">
              <w:rPr>
                <w:rFonts w:asciiTheme="minorHAnsi" w:hAnsiTheme="minorHAnsi" w:cstheme="minorHAnsi"/>
                <w:spacing w:val="-8"/>
              </w:rPr>
              <w:t xml:space="preserve"> </w:t>
            </w:r>
            <w:r w:rsidRPr="00513069">
              <w:rPr>
                <w:rFonts w:asciiTheme="minorHAnsi" w:hAnsiTheme="minorHAnsi" w:cstheme="minorHAnsi"/>
                <w:spacing w:val="-2"/>
              </w:rPr>
              <w:t>inclusion</w:t>
            </w:r>
            <w:r w:rsidRPr="00513069">
              <w:rPr>
                <w:rFonts w:asciiTheme="minorHAnsi" w:hAnsiTheme="minorHAnsi" w:cstheme="minorHAnsi"/>
                <w:spacing w:val="-9"/>
              </w:rPr>
              <w:t xml:space="preserve"> </w:t>
            </w:r>
            <w:r w:rsidRPr="00513069">
              <w:rPr>
                <w:rFonts w:asciiTheme="minorHAnsi" w:hAnsiTheme="minorHAnsi" w:cstheme="minorHAnsi"/>
                <w:spacing w:val="-2"/>
              </w:rPr>
              <w:t>and</w:t>
            </w:r>
            <w:r w:rsidRPr="00513069">
              <w:rPr>
                <w:rFonts w:asciiTheme="minorHAnsi" w:hAnsiTheme="minorHAnsi" w:cstheme="minorHAnsi"/>
                <w:spacing w:val="-11"/>
              </w:rPr>
              <w:t xml:space="preserve"> </w:t>
            </w:r>
            <w:r w:rsidRPr="00513069">
              <w:rPr>
                <w:rFonts w:asciiTheme="minorHAnsi" w:hAnsiTheme="minorHAnsi" w:cstheme="minorHAnsi"/>
                <w:spacing w:val="-2"/>
              </w:rPr>
              <w:t>exclusion</w:t>
            </w:r>
            <w:r w:rsidRPr="00513069">
              <w:rPr>
                <w:rFonts w:asciiTheme="minorHAnsi" w:hAnsiTheme="minorHAnsi" w:cstheme="minorHAnsi"/>
                <w:spacing w:val="-9"/>
              </w:rPr>
              <w:t xml:space="preserve"> </w:t>
            </w:r>
            <w:r w:rsidRPr="00513069">
              <w:rPr>
                <w:rFonts w:asciiTheme="minorHAnsi" w:hAnsiTheme="minorHAnsi" w:cstheme="minorHAnsi"/>
                <w:spacing w:val="-2"/>
              </w:rPr>
              <w:t xml:space="preserve">criteria. </w:t>
            </w:r>
            <w:r w:rsidRPr="00513069">
              <w:rPr>
                <w:rFonts w:asciiTheme="minorHAnsi" w:hAnsiTheme="minorHAnsi" w:cstheme="minorHAnsi"/>
              </w:rPr>
              <w:t>Identify all ad-hoc exclusions.</w:t>
            </w:r>
          </w:p>
        </w:tc>
        <w:tc>
          <w:tcPr>
            <w:tcW w:w="4039" w:type="dxa"/>
            <w:gridSpan w:val="2"/>
          </w:tcPr>
          <w:p w14:paraId="1635D9E9" w14:textId="77777777" w:rsidR="00336042" w:rsidRPr="00513069" w:rsidRDefault="00336042">
            <w:pPr>
              <w:pStyle w:val="TableParagraph"/>
              <w:spacing w:before="122" w:line="254" w:lineRule="auto"/>
              <w:ind w:left="152" w:right="210"/>
              <w:rPr>
                <w:rFonts w:asciiTheme="minorHAnsi" w:hAnsiTheme="minorHAnsi" w:cstheme="minorHAnsi"/>
              </w:rPr>
            </w:pPr>
            <w:r w:rsidRPr="00513069">
              <w:rPr>
                <w:rFonts w:asciiTheme="minorHAnsi" w:hAnsiTheme="minorHAnsi" w:cstheme="minorHAnsi"/>
              </w:rPr>
              <w:t>Main text (Methods) and methods appendix </w:t>
            </w:r>
          </w:p>
        </w:tc>
      </w:tr>
      <w:tr w:rsidR="00336042" w:rsidRPr="00513069" w14:paraId="0EA3E08E" w14:textId="77777777">
        <w:trPr>
          <w:trHeight w:val="2656"/>
        </w:trPr>
        <w:tc>
          <w:tcPr>
            <w:tcW w:w="854" w:type="dxa"/>
          </w:tcPr>
          <w:p w14:paraId="27B56242" w14:textId="77777777" w:rsidR="00336042" w:rsidRPr="00513069" w:rsidRDefault="00336042">
            <w:pPr>
              <w:pStyle w:val="TableParagraph"/>
              <w:rPr>
                <w:rFonts w:asciiTheme="minorHAnsi" w:hAnsiTheme="minorHAnsi" w:cstheme="minorHAnsi"/>
                <w:i/>
              </w:rPr>
            </w:pPr>
          </w:p>
          <w:p w14:paraId="748757D0" w14:textId="77777777" w:rsidR="00336042" w:rsidRPr="00513069" w:rsidRDefault="00336042">
            <w:pPr>
              <w:pStyle w:val="TableParagraph"/>
              <w:rPr>
                <w:rFonts w:asciiTheme="minorHAnsi" w:hAnsiTheme="minorHAnsi" w:cstheme="minorHAnsi"/>
                <w:i/>
              </w:rPr>
            </w:pPr>
          </w:p>
          <w:p w14:paraId="0740BE9A" w14:textId="77777777" w:rsidR="00336042" w:rsidRPr="00513069" w:rsidRDefault="00336042">
            <w:pPr>
              <w:pStyle w:val="TableParagraph"/>
              <w:rPr>
                <w:rFonts w:asciiTheme="minorHAnsi" w:hAnsiTheme="minorHAnsi" w:cstheme="minorHAnsi"/>
                <w:i/>
              </w:rPr>
            </w:pPr>
          </w:p>
          <w:p w14:paraId="59DCCCF8" w14:textId="77777777" w:rsidR="00336042" w:rsidRPr="00513069" w:rsidRDefault="00336042">
            <w:pPr>
              <w:pStyle w:val="TableParagraph"/>
              <w:spacing w:before="183"/>
              <w:rPr>
                <w:rFonts w:asciiTheme="minorHAnsi" w:hAnsiTheme="minorHAnsi" w:cstheme="minorHAnsi"/>
                <w:i/>
              </w:rPr>
            </w:pPr>
          </w:p>
          <w:p w14:paraId="06B03AB0" w14:textId="77777777" w:rsidR="00336042" w:rsidRPr="00513069" w:rsidRDefault="00336042">
            <w:pPr>
              <w:pStyle w:val="TableParagraph"/>
              <w:ind w:left="15" w:right="3"/>
              <w:jc w:val="center"/>
              <w:rPr>
                <w:rFonts w:asciiTheme="minorHAnsi" w:hAnsiTheme="minorHAnsi" w:cstheme="minorHAnsi"/>
              </w:rPr>
            </w:pPr>
            <w:r w:rsidRPr="00513069">
              <w:rPr>
                <w:rFonts w:asciiTheme="minorHAnsi" w:hAnsiTheme="minorHAnsi" w:cstheme="minorHAnsi"/>
                <w:spacing w:val="-10"/>
              </w:rPr>
              <w:t>5</w:t>
            </w:r>
          </w:p>
        </w:tc>
        <w:tc>
          <w:tcPr>
            <w:tcW w:w="4437" w:type="dxa"/>
            <w:gridSpan w:val="2"/>
          </w:tcPr>
          <w:p w14:paraId="31C81754" w14:textId="77777777" w:rsidR="00336042" w:rsidRPr="00513069" w:rsidRDefault="00336042">
            <w:pPr>
              <w:pStyle w:val="TableParagraph"/>
              <w:spacing w:before="119" w:line="254" w:lineRule="auto"/>
              <w:ind w:left="151"/>
              <w:rPr>
                <w:rFonts w:asciiTheme="minorHAnsi" w:hAnsiTheme="minorHAnsi" w:cstheme="minorHAnsi"/>
              </w:rPr>
            </w:pPr>
            <w:r w:rsidRPr="00513069">
              <w:rPr>
                <w:rFonts w:asciiTheme="minorHAnsi" w:hAnsiTheme="minorHAnsi" w:cstheme="minorHAnsi"/>
                <w:w w:val="105"/>
              </w:rPr>
              <w:t>Provide</w:t>
            </w:r>
            <w:r w:rsidRPr="00513069">
              <w:rPr>
                <w:rFonts w:asciiTheme="minorHAnsi" w:hAnsiTheme="minorHAnsi" w:cstheme="minorHAnsi"/>
                <w:spacing w:val="-19"/>
                <w:w w:val="105"/>
              </w:rPr>
              <w:t xml:space="preserve"> </w:t>
            </w:r>
            <w:r w:rsidRPr="00513069">
              <w:rPr>
                <w:rFonts w:asciiTheme="minorHAnsi" w:hAnsiTheme="minorHAnsi" w:cstheme="minorHAnsi"/>
                <w:w w:val="105"/>
              </w:rPr>
              <w:t>information</w:t>
            </w:r>
            <w:r w:rsidRPr="00513069">
              <w:rPr>
                <w:rFonts w:asciiTheme="minorHAnsi" w:hAnsiTheme="minorHAnsi" w:cstheme="minorHAnsi"/>
                <w:spacing w:val="-21"/>
                <w:w w:val="105"/>
              </w:rPr>
              <w:t xml:space="preserve"> </w:t>
            </w:r>
            <w:r w:rsidRPr="00513069">
              <w:rPr>
                <w:rFonts w:asciiTheme="minorHAnsi" w:hAnsiTheme="minorHAnsi" w:cstheme="minorHAnsi"/>
                <w:w w:val="105"/>
              </w:rPr>
              <w:t>on</w:t>
            </w:r>
            <w:r w:rsidRPr="00513069">
              <w:rPr>
                <w:rFonts w:asciiTheme="minorHAnsi" w:hAnsiTheme="minorHAnsi" w:cstheme="minorHAnsi"/>
                <w:spacing w:val="-19"/>
                <w:w w:val="105"/>
              </w:rPr>
              <w:t xml:space="preserve"> </w:t>
            </w:r>
            <w:r w:rsidRPr="00513069">
              <w:rPr>
                <w:rFonts w:asciiTheme="minorHAnsi" w:hAnsiTheme="minorHAnsi" w:cstheme="minorHAnsi"/>
                <w:w w:val="105"/>
              </w:rPr>
              <w:t>all</w:t>
            </w:r>
            <w:r w:rsidRPr="00513069">
              <w:rPr>
                <w:rFonts w:asciiTheme="minorHAnsi" w:hAnsiTheme="minorHAnsi" w:cstheme="minorHAnsi"/>
                <w:spacing w:val="-21"/>
                <w:w w:val="105"/>
              </w:rPr>
              <w:t xml:space="preserve"> </w:t>
            </w:r>
            <w:r w:rsidRPr="00513069">
              <w:rPr>
                <w:rFonts w:asciiTheme="minorHAnsi" w:hAnsiTheme="minorHAnsi" w:cstheme="minorHAnsi"/>
                <w:w w:val="105"/>
              </w:rPr>
              <w:t>included</w:t>
            </w:r>
            <w:r w:rsidRPr="00513069">
              <w:rPr>
                <w:rFonts w:asciiTheme="minorHAnsi" w:hAnsiTheme="minorHAnsi" w:cstheme="minorHAnsi"/>
                <w:spacing w:val="-20"/>
                <w:w w:val="105"/>
              </w:rPr>
              <w:t xml:space="preserve"> </w:t>
            </w:r>
            <w:r w:rsidRPr="00513069">
              <w:rPr>
                <w:rFonts w:asciiTheme="minorHAnsi" w:hAnsiTheme="minorHAnsi" w:cstheme="minorHAnsi"/>
                <w:w w:val="105"/>
              </w:rPr>
              <w:t xml:space="preserve">data </w:t>
            </w:r>
            <w:r w:rsidRPr="00513069">
              <w:rPr>
                <w:rFonts w:asciiTheme="minorHAnsi" w:hAnsiTheme="minorHAnsi" w:cstheme="minorHAnsi"/>
              </w:rPr>
              <w:t>sources</w:t>
            </w:r>
            <w:r w:rsidRPr="00513069">
              <w:rPr>
                <w:rFonts w:asciiTheme="minorHAnsi" w:hAnsiTheme="minorHAnsi" w:cstheme="minorHAnsi"/>
                <w:spacing w:val="-18"/>
              </w:rPr>
              <w:t xml:space="preserve"> </w:t>
            </w:r>
            <w:r w:rsidRPr="00513069">
              <w:rPr>
                <w:rFonts w:asciiTheme="minorHAnsi" w:hAnsiTheme="minorHAnsi" w:cstheme="minorHAnsi"/>
              </w:rPr>
              <w:t>and</w:t>
            </w:r>
            <w:r w:rsidRPr="00513069">
              <w:rPr>
                <w:rFonts w:asciiTheme="minorHAnsi" w:hAnsiTheme="minorHAnsi" w:cstheme="minorHAnsi"/>
                <w:spacing w:val="-17"/>
              </w:rPr>
              <w:t xml:space="preserve"> </w:t>
            </w:r>
            <w:r w:rsidRPr="00513069">
              <w:rPr>
                <w:rFonts w:asciiTheme="minorHAnsi" w:hAnsiTheme="minorHAnsi" w:cstheme="minorHAnsi"/>
              </w:rPr>
              <w:t>their</w:t>
            </w:r>
            <w:r w:rsidRPr="00513069">
              <w:rPr>
                <w:rFonts w:asciiTheme="minorHAnsi" w:hAnsiTheme="minorHAnsi" w:cstheme="minorHAnsi"/>
                <w:spacing w:val="-18"/>
              </w:rPr>
              <w:t xml:space="preserve"> </w:t>
            </w:r>
            <w:r w:rsidRPr="00513069">
              <w:rPr>
                <w:rFonts w:asciiTheme="minorHAnsi" w:hAnsiTheme="minorHAnsi" w:cstheme="minorHAnsi"/>
              </w:rPr>
              <w:t>main</w:t>
            </w:r>
            <w:r w:rsidRPr="00513069">
              <w:rPr>
                <w:rFonts w:asciiTheme="minorHAnsi" w:hAnsiTheme="minorHAnsi" w:cstheme="minorHAnsi"/>
                <w:spacing w:val="-18"/>
              </w:rPr>
              <w:t xml:space="preserve"> </w:t>
            </w:r>
            <w:r w:rsidRPr="00513069">
              <w:rPr>
                <w:rFonts w:asciiTheme="minorHAnsi" w:hAnsiTheme="minorHAnsi" w:cstheme="minorHAnsi"/>
              </w:rPr>
              <w:t>characteristics.</w:t>
            </w:r>
            <w:r w:rsidRPr="00513069">
              <w:rPr>
                <w:rFonts w:asciiTheme="minorHAnsi" w:hAnsiTheme="minorHAnsi" w:cstheme="minorHAnsi"/>
                <w:spacing w:val="-17"/>
              </w:rPr>
              <w:t xml:space="preserve"> </w:t>
            </w:r>
            <w:r w:rsidRPr="00513069">
              <w:rPr>
                <w:rFonts w:asciiTheme="minorHAnsi" w:hAnsiTheme="minorHAnsi" w:cstheme="minorHAnsi"/>
              </w:rPr>
              <w:t xml:space="preserve">For </w:t>
            </w:r>
            <w:r w:rsidRPr="00513069">
              <w:rPr>
                <w:rFonts w:asciiTheme="minorHAnsi" w:hAnsiTheme="minorHAnsi" w:cstheme="minorHAnsi"/>
                <w:spacing w:val="-2"/>
                <w:w w:val="105"/>
              </w:rPr>
              <w:t>each</w:t>
            </w:r>
            <w:r w:rsidRPr="00513069">
              <w:rPr>
                <w:rFonts w:asciiTheme="minorHAnsi" w:hAnsiTheme="minorHAnsi" w:cstheme="minorHAnsi"/>
                <w:spacing w:val="-19"/>
                <w:w w:val="105"/>
              </w:rPr>
              <w:t xml:space="preserve"> </w:t>
            </w:r>
            <w:r w:rsidRPr="00513069">
              <w:rPr>
                <w:rFonts w:asciiTheme="minorHAnsi" w:hAnsiTheme="minorHAnsi" w:cstheme="minorHAnsi"/>
                <w:spacing w:val="-2"/>
                <w:w w:val="105"/>
              </w:rPr>
              <w:t>data</w:t>
            </w:r>
            <w:r w:rsidRPr="00513069">
              <w:rPr>
                <w:rFonts w:asciiTheme="minorHAnsi" w:hAnsiTheme="minorHAnsi" w:cstheme="minorHAnsi"/>
                <w:spacing w:val="-19"/>
                <w:w w:val="105"/>
              </w:rPr>
              <w:t xml:space="preserve"> </w:t>
            </w:r>
            <w:r w:rsidRPr="00513069">
              <w:rPr>
                <w:rFonts w:asciiTheme="minorHAnsi" w:hAnsiTheme="minorHAnsi" w:cstheme="minorHAnsi"/>
                <w:spacing w:val="-2"/>
                <w:w w:val="105"/>
              </w:rPr>
              <w:t>source</w:t>
            </w:r>
            <w:r w:rsidRPr="00513069">
              <w:rPr>
                <w:rFonts w:asciiTheme="minorHAnsi" w:hAnsiTheme="minorHAnsi" w:cstheme="minorHAnsi"/>
                <w:spacing w:val="-18"/>
                <w:w w:val="105"/>
              </w:rPr>
              <w:t xml:space="preserve"> </w:t>
            </w:r>
            <w:r w:rsidRPr="00513069">
              <w:rPr>
                <w:rFonts w:asciiTheme="minorHAnsi" w:hAnsiTheme="minorHAnsi" w:cstheme="minorHAnsi"/>
                <w:spacing w:val="-2"/>
                <w:w w:val="105"/>
              </w:rPr>
              <w:t>used,</w:t>
            </w:r>
            <w:r w:rsidRPr="00513069">
              <w:rPr>
                <w:rFonts w:asciiTheme="minorHAnsi" w:hAnsiTheme="minorHAnsi" w:cstheme="minorHAnsi"/>
                <w:spacing w:val="-20"/>
                <w:w w:val="105"/>
              </w:rPr>
              <w:t xml:space="preserve"> </w:t>
            </w:r>
            <w:r w:rsidRPr="00513069">
              <w:rPr>
                <w:rFonts w:asciiTheme="minorHAnsi" w:hAnsiTheme="minorHAnsi" w:cstheme="minorHAnsi"/>
                <w:spacing w:val="-2"/>
                <w:w w:val="105"/>
              </w:rPr>
              <w:t>report</w:t>
            </w:r>
            <w:r w:rsidRPr="00513069">
              <w:rPr>
                <w:rFonts w:asciiTheme="minorHAnsi" w:hAnsiTheme="minorHAnsi" w:cstheme="minorHAnsi"/>
                <w:spacing w:val="-16"/>
                <w:w w:val="105"/>
              </w:rPr>
              <w:t xml:space="preserve"> </w:t>
            </w:r>
            <w:r w:rsidRPr="00513069">
              <w:rPr>
                <w:rFonts w:asciiTheme="minorHAnsi" w:hAnsiTheme="minorHAnsi" w:cstheme="minorHAnsi"/>
                <w:spacing w:val="-2"/>
                <w:w w:val="105"/>
              </w:rPr>
              <w:t xml:space="preserve">reference </w:t>
            </w:r>
            <w:r w:rsidRPr="00513069">
              <w:rPr>
                <w:rFonts w:asciiTheme="minorHAnsi" w:hAnsiTheme="minorHAnsi" w:cstheme="minorHAnsi"/>
                <w:w w:val="105"/>
              </w:rPr>
              <w:t>information</w:t>
            </w:r>
            <w:r w:rsidRPr="00513069">
              <w:rPr>
                <w:rFonts w:asciiTheme="minorHAnsi" w:hAnsiTheme="minorHAnsi" w:cstheme="minorHAnsi"/>
                <w:spacing w:val="-3"/>
                <w:w w:val="105"/>
              </w:rPr>
              <w:t xml:space="preserve"> </w:t>
            </w:r>
            <w:r w:rsidRPr="00513069">
              <w:rPr>
                <w:rFonts w:asciiTheme="minorHAnsi" w:hAnsiTheme="minorHAnsi" w:cstheme="minorHAnsi"/>
                <w:w w:val="105"/>
              </w:rPr>
              <w:t>or</w:t>
            </w:r>
            <w:r w:rsidRPr="00513069">
              <w:rPr>
                <w:rFonts w:asciiTheme="minorHAnsi" w:hAnsiTheme="minorHAnsi" w:cstheme="minorHAnsi"/>
                <w:spacing w:val="-3"/>
                <w:w w:val="105"/>
              </w:rPr>
              <w:t xml:space="preserve"> </w:t>
            </w:r>
            <w:r w:rsidRPr="00513069">
              <w:rPr>
                <w:rFonts w:asciiTheme="minorHAnsi" w:hAnsiTheme="minorHAnsi" w:cstheme="minorHAnsi"/>
                <w:w w:val="105"/>
              </w:rPr>
              <w:t>contact</w:t>
            </w:r>
            <w:r w:rsidRPr="00513069">
              <w:rPr>
                <w:rFonts w:asciiTheme="minorHAnsi" w:hAnsiTheme="minorHAnsi" w:cstheme="minorHAnsi"/>
                <w:spacing w:val="-3"/>
                <w:w w:val="105"/>
              </w:rPr>
              <w:t xml:space="preserve"> </w:t>
            </w:r>
            <w:r w:rsidRPr="00513069">
              <w:rPr>
                <w:rFonts w:asciiTheme="minorHAnsi" w:hAnsiTheme="minorHAnsi" w:cstheme="minorHAnsi"/>
                <w:w w:val="105"/>
              </w:rPr>
              <w:t>name/institution, population</w:t>
            </w:r>
            <w:r w:rsidRPr="00513069">
              <w:rPr>
                <w:rFonts w:asciiTheme="minorHAnsi" w:hAnsiTheme="minorHAnsi" w:cstheme="minorHAnsi"/>
                <w:spacing w:val="-20"/>
                <w:w w:val="105"/>
              </w:rPr>
              <w:t xml:space="preserve"> </w:t>
            </w:r>
            <w:r w:rsidRPr="00513069">
              <w:rPr>
                <w:rFonts w:asciiTheme="minorHAnsi" w:hAnsiTheme="minorHAnsi" w:cstheme="minorHAnsi"/>
                <w:w w:val="105"/>
              </w:rPr>
              <w:t>represented,</w:t>
            </w:r>
            <w:r w:rsidRPr="00513069">
              <w:rPr>
                <w:rFonts w:asciiTheme="minorHAnsi" w:hAnsiTheme="minorHAnsi" w:cstheme="minorHAnsi"/>
                <w:spacing w:val="-23"/>
                <w:w w:val="105"/>
              </w:rPr>
              <w:t xml:space="preserve"> </w:t>
            </w:r>
            <w:r w:rsidRPr="00513069">
              <w:rPr>
                <w:rFonts w:asciiTheme="minorHAnsi" w:hAnsiTheme="minorHAnsi" w:cstheme="minorHAnsi"/>
                <w:w w:val="105"/>
              </w:rPr>
              <w:t>data</w:t>
            </w:r>
            <w:r w:rsidRPr="00513069">
              <w:rPr>
                <w:rFonts w:asciiTheme="minorHAnsi" w:hAnsiTheme="minorHAnsi" w:cstheme="minorHAnsi"/>
                <w:spacing w:val="-18"/>
                <w:w w:val="105"/>
              </w:rPr>
              <w:t xml:space="preserve"> </w:t>
            </w:r>
            <w:r w:rsidRPr="00513069">
              <w:rPr>
                <w:rFonts w:asciiTheme="minorHAnsi" w:hAnsiTheme="minorHAnsi" w:cstheme="minorHAnsi"/>
                <w:w w:val="105"/>
              </w:rPr>
              <w:t xml:space="preserve">collection </w:t>
            </w:r>
            <w:r w:rsidRPr="00513069">
              <w:rPr>
                <w:rFonts w:asciiTheme="minorHAnsi" w:hAnsiTheme="minorHAnsi" w:cstheme="minorHAnsi"/>
              </w:rPr>
              <w:t>method,</w:t>
            </w:r>
            <w:r w:rsidRPr="00513069">
              <w:rPr>
                <w:rFonts w:asciiTheme="minorHAnsi" w:hAnsiTheme="minorHAnsi" w:cstheme="minorHAnsi"/>
                <w:spacing w:val="-17"/>
              </w:rPr>
              <w:t xml:space="preserve"> </w:t>
            </w:r>
            <w:r w:rsidRPr="00513069">
              <w:rPr>
                <w:rFonts w:asciiTheme="minorHAnsi" w:hAnsiTheme="minorHAnsi" w:cstheme="minorHAnsi"/>
              </w:rPr>
              <w:t>year(s)</w:t>
            </w:r>
            <w:r w:rsidRPr="00513069">
              <w:rPr>
                <w:rFonts w:asciiTheme="minorHAnsi" w:hAnsiTheme="minorHAnsi" w:cstheme="minorHAnsi"/>
                <w:spacing w:val="-16"/>
              </w:rPr>
              <w:t xml:space="preserve"> </w:t>
            </w:r>
            <w:r w:rsidRPr="00513069">
              <w:rPr>
                <w:rFonts w:asciiTheme="minorHAnsi" w:hAnsiTheme="minorHAnsi" w:cstheme="minorHAnsi"/>
              </w:rPr>
              <w:t>of</w:t>
            </w:r>
            <w:r w:rsidRPr="00513069">
              <w:rPr>
                <w:rFonts w:asciiTheme="minorHAnsi" w:hAnsiTheme="minorHAnsi" w:cstheme="minorHAnsi"/>
                <w:spacing w:val="-16"/>
              </w:rPr>
              <w:t xml:space="preserve"> </w:t>
            </w:r>
            <w:r w:rsidRPr="00513069">
              <w:rPr>
                <w:rFonts w:asciiTheme="minorHAnsi" w:hAnsiTheme="minorHAnsi" w:cstheme="minorHAnsi"/>
              </w:rPr>
              <w:t>data</w:t>
            </w:r>
            <w:r w:rsidRPr="00513069">
              <w:rPr>
                <w:rFonts w:asciiTheme="minorHAnsi" w:hAnsiTheme="minorHAnsi" w:cstheme="minorHAnsi"/>
                <w:spacing w:val="-16"/>
              </w:rPr>
              <w:t xml:space="preserve"> </w:t>
            </w:r>
            <w:r w:rsidRPr="00513069">
              <w:rPr>
                <w:rFonts w:asciiTheme="minorHAnsi" w:hAnsiTheme="minorHAnsi" w:cstheme="minorHAnsi"/>
              </w:rPr>
              <w:t>collection,</w:t>
            </w:r>
            <w:r w:rsidRPr="00513069">
              <w:rPr>
                <w:rFonts w:asciiTheme="minorHAnsi" w:hAnsiTheme="minorHAnsi" w:cstheme="minorHAnsi"/>
                <w:spacing w:val="-15"/>
              </w:rPr>
              <w:t xml:space="preserve"> </w:t>
            </w:r>
            <w:r w:rsidRPr="00513069">
              <w:rPr>
                <w:rFonts w:asciiTheme="minorHAnsi" w:hAnsiTheme="minorHAnsi" w:cstheme="minorHAnsi"/>
              </w:rPr>
              <w:t>sex</w:t>
            </w:r>
            <w:r w:rsidRPr="00513069">
              <w:rPr>
                <w:rFonts w:asciiTheme="minorHAnsi" w:hAnsiTheme="minorHAnsi" w:cstheme="minorHAnsi"/>
                <w:spacing w:val="-16"/>
              </w:rPr>
              <w:t xml:space="preserve"> </w:t>
            </w:r>
            <w:r w:rsidRPr="00513069">
              <w:rPr>
                <w:rFonts w:asciiTheme="minorHAnsi" w:hAnsiTheme="minorHAnsi" w:cstheme="minorHAnsi"/>
              </w:rPr>
              <w:t xml:space="preserve">and </w:t>
            </w:r>
            <w:r w:rsidRPr="00513069">
              <w:rPr>
                <w:rFonts w:asciiTheme="minorHAnsi" w:hAnsiTheme="minorHAnsi" w:cstheme="minorHAnsi"/>
                <w:spacing w:val="-2"/>
                <w:w w:val="105"/>
              </w:rPr>
              <w:t>age</w:t>
            </w:r>
            <w:r w:rsidRPr="00513069">
              <w:rPr>
                <w:rFonts w:asciiTheme="minorHAnsi" w:hAnsiTheme="minorHAnsi" w:cstheme="minorHAnsi"/>
                <w:spacing w:val="-12"/>
                <w:w w:val="105"/>
              </w:rPr>
              <w:t xml:space="preserve"> </w:t>
            </w:r>
            <w:r w:rsidRPr="00513069">
              <w:rPr>
                <w:rFonts w:asciiTheme="minorHAnsi" w:hAnsiTheme="minorHAnsi" w:cstheme="minorHAnsi"/>
                <w:spacing w:val="-2"/>
                <w:w w:val="105"/>
              </w:rPr>
              <w:t>range,</w:t>
            </w:r>
            <w:r w:rsidRPr="00513069">
              <w:rPr>
                <w:rFonts w:asciiTheme="minorHAnsi" w:hAnsiTheme="minorHAnsi" w:cstheme="minorHAnsi"/>
                <w:spacing w:val="-17"/>
                <w:w w:val="105"/>
              </w:rPr>
              <w:t xml:space="preserve"> </w:t>
            </w:r>
            <w:r w:rsidRPr="00513069">
              <w:rPr>
                <w:rFonts w:asciiTheme="minorHAnsi" w:hAnsiTheme="minorHAnsi" w:cstheme="minorHAnsi"/>
                <w:spacing w:val="-2"/>
                <w:w w:val="105"/>
              </w:rPr>
              <w:t>diagnostic</w:t>
            </w:r>
            <w:r w:rsidRPr="00513069">
              <w:rPr>
                <w:rFonts w:asciiTheme="minorHAnsi" w:hAnsiTheme="minorHAnsi" w:cstheme="minorHAnsi"/>
                <w:spacing w:val="-15"/>
                <w:w w:val="105"/>
              </w:rPr>
              <w:t xml:space="preserve"> </w:t>
            </w:r>
            <w:r w:rsidRPr="00513069">
              <w:rPr>
                <w:rFonts w:asciiTheme="minorHAnsi" w:hAnsiTheme="minorHAnsi" w:cstheme="minorHAnsi"/>
                <w:spacing w:val="-2"/>
                <w:w w:val="105"/>
              </w:rPr>
              <w:t>criteria</w:t>
            </w:r>
            <w:r w:rsidRPr="00513069">
              <w:rPr>
                <w:rFonts w:asciiTheme="minorHAnsi" w:hAnsiTheme="minorHAnsi" w:cstheme="minorHAnsi"/>
                <w:spacing w:val="-16"/>
                <w:w w:val="105"/>
              </w:rPr>
              <w:t xml:space="preserve"> </w:t>
            </w:r>
            <w:r w:rsidRPr="00513069">
              <w:rPr>
                <w:rFonts w:asciiTheme="minorHAnsi" w:hAnsiTheme="minorHAnsi" w:cstheme="minorHAnsi"/>
                <w:spacing w:val="-2"/>
                <w:w w:val="105"/>
              </w:rPr>
              <w:t xml:space="preserve">or </w:t>
            </w:r>
            <w:r w:rsidRPr="00513069">
              <w:rPr>
                <w:rFonts w:asciiTheme="minorHAnsi" w:hAnsiTheme="minorHAnsi" w:cstheme="minorHAnsi"/>
                <w:spacing w:val="-2"/>
              </w:rPr>
              <w:t>measurement</w:t>
            </w:r>
            <w:r w:rsidRPr="00513069">
              <w:rPr>
                <w:rFonts w:asciiTheme="minorHAnsi" w:hAnsiTheme="minorHAnsi" w:cstheme="minorHAnsi"/>
                <w:spacing w:val="-20"/>
              </w:rPr>
              <w:t xml:space="preserve"> </w:t>
            </w:r>
            <w:r w:rsidRPr="00513069">
              <w:rPr>
                <w:rFonts w:asciiTheme="minorHAnsi" w:hAnsiTheme="minorHAnsi" w:cstheme="minorHAnsi"/>
                <w:spacing w:val="-2"/>
              </w:rPr>
              <w:t>method,</w:t>
            </w:r>
            <w:r w:rsidRPr="00513069">
              <w:rPr>
                <w:rFonts w:asciiTheme="minorHAnsi" w:hAnsiTheme="minorHAnsi" w:cstheme="minorHAnsi"/>
                <w:spacing w:val="-19"/>
              </w:rPr>
              <w:t xml:space="preserve"> </w:t>
            </w:r>
            <w:r w:rsidRPr="00513069">
              <w:rPr>
                <w:rFonts w:asciiTheme="minorHAnsi" w:hAnsiTheme="minorHAnsi" w:cstheme="minorHAnsi"/>
                <w:spacing w:val="-2"/>
              </w:rPr>
              <w:t>and</w:t>
            </w:r>
            <w:r w:rsidRPr="00513069">
              <w:rPr>
                <w:rFonts w:asciiTheme="minorHAnsi" w:hAnsiTheme="minorHAnsi" w:cstheme="minorHAnsi"/>
                <w:spacing w:val="-17"/>
              </w:rPr>
              <w:t xml:space="preserve"> </w:t>
            </w:r>
            <w:r w:rsidRPr="00513069">
              <w:rPr>
                <w:rFonts w:asciiTheme="minorHAnsi" w:hAnsiTheme="minorHAnsi" w:cstheme="minorHAnsi"/>
                <w:spacing w:val="-2"/>
              </w:rPr>
              <w:t>sample</w:t>
            </w:r>
            <w:r w:rsidRPr="00513069">
              <w:rPr>
                <w:rFonts w:asciiTheme="minorHAnsi" w:hAnsiTheme="minorHAnsi" w:cstheme="minorHAnsi"/>
                <w:spacing w:val="-17"/>
              </w:rPr>
              <w:t xml:space="preserve"> </w:t>
            </w:r>
            <w:r w:rsidRPr="00513069">
              <w:rPr>
                <w:rFonts w:asciiTheme="minorHAnsi" w:hAnsiTheme="minorHAnsi" w:cstheme="minorHAnsi"/>
                <w:spacing w:val="-2"/>
              </w:rPr>
              <w:t>size,</w:t>
            </w:r>
            <w:r w:rsidRPr="00513069">
              <w:rPr>
                <w:rFonts w:asciiTheme="minorHAnsi" w:hAnsiTheme="minorHAnsi" w:cstheme="minorHAnsi"/>
                <w:spacing w:val="-17"/>
              </w:rPr>
              <w:t xml:space="preserve"> </w:t>
            </w:r>
            <w:r w:rsidRPr="00513069">
              <w:rPr>
                <w:rFonts w:asciiTheme="minorHAnsi" w:hAnsiTheme="minorHAnsi" w:cstheme="minorHAnsi"/>
                <w:spacing w:val="-2"/>
              </w:rPr>
              <w:t xml:space="preserve">as </w:t>
            </w:r>
            <w:r w:rsidRPr="00513069">
              <w:rPr>
                <w:rFonts w:asciiTheme="minorHAnsi" w:hAnsiTheme="minorHAnsi" w:cstheme="minorHAnsi"/>
                <w:spacing w:val="-2"/>
                <w:w w:val="105"/>
              </w:rPr>
              <w:t>relevant.</w:t>
            </w:r>
          </w:p>
        </w:tc>
        <w:tc>
          <w:tcPr>
            <w:tcW w:w="4039" w:type="dxa"/>
            <w:gridSpan w:val="2"/>
          </w:tcPr>
          <w:p w14:paraId="6433BD7E" w14:textId="77777777" w:rsidR="00336042" w:rsidRPr="00513069" w:rsidRDefault="00336042">
            <w:pPr>
              <w:rPr>
                <w:rFonts w:cstheme="minorHAnsi"/>
              </w:rPr>
            </w:pPr>
            <w:r w:rsidRPr="00513069">
              <w:rPr>
                <w:rFonts w:cstheme="minorHAnsi"/>
              </w:rPr>
              <w:t>Online data citation tool,  </w:t>
            </w:r>
          </w:p>
          <w:p w14:paraId="2FF96BA8" w14:textId="77777777" w:rsidR="00336042" w:rsidRPr="00513069" w:rsidRDefault="00336042">
            <w:pPr>
              <w:pStyle w:val="TableParagraph"/>
              <w:spacing w:before="119" w:line="254" w:lineRule="auto"/>
              <w:ind w:left="152" w:right="208"/>
              <w:rPr>
                <w:rFonts w:asciiTheme="minorHAnsi" w:hAnsiTheme="minorHAnsi" w:cstheme="minorHAnsi"/>
              </w:rPr>
            </w:pPr>
            <w:hyperlink r:id="rId27" w:history="1">
              <w:r w:rsidRPr="00513069">
                <w:rPr>
                  <w:rStyle w:val="Hyperlink"/>
                  <w:rFonts w:asciiTheme="minorHAnsi" w:eastAsia="Aptos" w:hAnsiTheme="minorHAnsi" w:cstheme="minorHAnsi"/>
                </w:rPr>
                <w:t>https://ghdx.healthdata.org/gbd-2023/sources</w:t>
              </w:r>
            </w:hyperlink>
          </w:p>
        </w:tc>
      </w:tr>
      <w:tr w:rsidR="00336042" w:rsidRPr="00513069" w14:paraId="42B3600E" w14:textId="77777777">
        <w:trPr>
          <w:trHeight w:val="1583"/>
        </w:trPr>
        <w:tc>
          <w:tcPr>
            <w:tcW w:w="854" w:type="dxa"/>
          </w:tcPr>
          <w:p w14:paraId="3FEA56DE" w14:textId="77777777" w:rsidR="00336042" w:rsidRPr="00513069" w:rsidRDefault="00336042">
            <w:pPr>
              <w:pStyle w:val="TableParagraph"/>
              <w:rPr>
                <w:rFonts w:asciiTheme="minorHAnsi" w:hAnsiTheme="minorHAnsi" w:cstheme="minorHAnsi"/>
                <w:i/>
              </w:rPr>
            </w:pPr>
          </w:p>
          <w:p w14:paraId="1C134DBB" w14:textId="77777777" w:rsidR="00336042" w:rsidRPr="00513069" w:rsidRDefault="00336042">
            <w:pPr>
              <w:pStyle w:val="TableParagraph"/>
              <w:spacing w:before="151"/>
              <w:rPr>
                <w:rFonts w:asciiTheme="minorHAnsi" w:hAnsiTheme="minorHAnsi" w:cstheme="minorHAnsi"/>
                <w:i/>
              </w:rPr>
            </w:pPr>
          </w:p>
          <w:p w14:paraId="2B99B290" w14:textId="77777777" w:rsidR="00336042" w:rsidRPr="00513069" w:rsidRDefault="00336042">
            <w:pPr>
              <w:pStyle w:val="TableParagraph"/>
              <w:ind w:left="15" w:right="3"/>
              <w:jc w:val="center"/>
              <w:rPr>
                <w:rFonts w:asciiTheme="minorHAnsi" w:hAnsiTheme="minorHAnsi" w:cstheme="minorHAnsi"/>
              </w:rPr>
            </w:pPr>
            <w:r w:rsidRPr="00513069">
              <w:rPr>
                <w:rFonts w:asciiTheme="minorHAnsi" w:hAnsiTheme="minorHAnsi" w:cstheme="minorHAnsi"/>
                <w:spacing w:val="-10"/>
              </w:rPr>
              <w:t>6</w:t>
            </w:r>
          </w:p>
        </w:tc>
        <w:tc>
          <w:tcPr>
            <w:tcW w:w="4437" w:type="dxa"/>
            <w:gridSpan w:val="2"/>
          </w:tcPr>
          <w:p w14:paraId="4263F78F" w14:textId="77777777" w:rsidR="00336042" w:rsidRPr="00513069" w:rsidRDefault="00336042">
            <w:pPr>
              <w:pStyle w:val="TableParagraph"/>
              <w:spacing w:before="119" w:line="254" w:lineRule="auto"/>
              <w:ind w:left="151" w:right="101"/>
              <w:rPr>
                <w:rFonts w:asciiTheme="minorHAnsi" w:hAnsiTheme="minorHAnsi" w:cstheme="minorHAnsi"/>
              </w:rPr>
            </w:pPr>
            <w:r w:rsidRPr="00513069">
              <w:rPr>
                <w:rFonts w:asciiTheme="minorHAnsi" w:hAnsiTheme="minorHAnsi" w:cstheme="minorHAnsi"/>
              </w:rPr>
              <w:t xml:space="preserve">Identify and describe any categories of input data that have potentially important </w:t>
            </w:r>
            <w:r w:rsidRPr="00513069">
              <w:rPr>
                <w:rFonts w:asciiTheme="minorHAnsi" w:hAnsiTheme="minorHAnsi" w:cstheme="minorHAnsi"/>
                <w:spacing w:val="-2"/>
              </w:rPr>
              <w:t>biases</w:t>
            </w:r>
            <w:r w:rsidRPr="00513069">
              <w:rPr>
                <w:rFonts w:asciiTheme="minorHAnsi" w:hAnsiTheme="minorHAnsi" w:cstheme="minorHAnsi"/>
                <w:spacing w:val="-10"/>
              </w:rPr>
              <w:t xml:space="preserve"> </w:t>
            </w:r>
            <w:r w:rsidRPr="00513069">
              <w:rPr>
                <w:rFonts w:asciiTheme="minorHAnsi" w:hAnsiTheme="minorHAnsi" w:cstheme="minorHAnsi"/>
                <w:spacing w:val="-2"/>
              </w:rPr>
              <w:t>(e.g.,</w:t>
            </w:r>
            <w:r w:rsidRPr="00513069">
              <w:rPr>
                <w:rFonts w:asciiTheme="minorHAnsi" w:hAnsiTheme="minorHAnsi" w:cstheme="minorHAnsi"/>
                <w:spacing w:val="-15"/>
              </w:rPr>
              <w:t xml:space="preserve"> </w:t>
            </w:r>
            <w:r w:rsidRPr="00513069">
              <w:rPr>
                <w:rFonts w:asciiTheme="minorHAnsi" w:hAnsiTheme="minorHAnsi" w:cstheme="minorHAnsi"/>
                <w:spacing w:val="-2"/>
              </w:rPr>
              <w:t>based</w:t>
            </w:r>
            <w:r w:rsidRPr="00513069">
              <w:rPr>
                <w:rFonts w:asciiTheme="minorHAnsi" w:hAnsiTheme="minorHAnsi" w:cstheme="minorHAnsi"/>
                <w:spacing w:val="-12"/>
              </w:rPr>
              <w:t xml:space="preserve"> </w:t>
            </w:r>
            <w:r w:rsidRPr="00513069">
              <w:rPr>
                <w:rFonts w:asciiTheme="minorHAnsi" w:hAnsiTheme="minorHAnsi" w:cstheme="minorHAnsi"/>
                <w:spacing w:val="-2"/>
              </w:rPr>
              <w:t>on</w:t>
            </w:r>
            <w:r w:rsidRPr="00513069">
              <w:rPr>
                <w:rFonts w:asciiTheme="minorHAnsi" w:hAnsiTheme="minorHAnsi" w:cstheme="minorHAnsi"/>
                <w:spacing w:val="-14"/>
              </w:rPr>
              <w:t xml:space="preserve"> </w:t>
            </w:r>
            <w:r w:rsidRPr="00513069">
              <w:rPr>
                <w:rFonts w:asciiTheme="minorHAnsi" w:hAnsiTheme="minorHAnsi" w:cstheme="minorHAnsi"/>
                <w:spacing w:val="-2"/>
              </w:rPr>
              <w:t>characteristics</w:t>
            </w:r>
            <w:r w:rsidRPr="00513069">
              <w:rPr>
                <w:rFonts w:asciiTheme="minorHAnsi" w:hAnsiTheme="minorHAnsi" w:cstheme="minorHAnsi"/>
                <w:spacing w:val="-10"/>
              </w:rPr>
              <w:t xml:space="preserve"> </w:t>
            </w:r>
            <w:r w:rsidRPr="00513069">
              <w:rPr>
                <w:rFonts w:asciiTheme="minorHAnsi" w:hAnsiTheme="minorHAnsi" w:cstheme="minorHAnsi"/>
                <w:spacing w:val="-2"/>
              </w:rPr>
              <w:t xml:space="preserve">listed </w:t>
            </w:r>
            <w:r w:rsidRPr="00513069">
              <w:rPr>
                <w:rFonts w:asciiTheme="minorHAnsi" w:hAnsiTheme="minorHAnsi" w:cstheme="minorHAnsi"/>
              </w:rPr>
              <w:t>in item 5).</w:t>
            </w:r>
          </w:p>
        </w:tc>
        <w:tc>
          <w:tcPr>
            <w:tcW w:w="4039" w:type="dxa"/>
            <w:gridSpan w:val="2"/>
          </w:tcPr>
          <w:p w14:paraId="101CFA1A" w14:textId="77777777" w:rsidR="00336042" w:rsidRPr="00513069" w:rsidRDefault="00336042">
            <w:pPr>
              <w:pStyle w:val="TableParagraph"/>
              <w:spacing w:before="119" w:line="254" w:lineRule="auto"/>
              <w:ind w:left="152"/>
              <w:rPr>
                <w:rFonts w:asciiTheme="minorHAnsi" w:hAnsiTheme="minorHAnsi" w:cstheme="minorHAnsi"/>
              </w:rPr>
            </w:pPr>
            <w:r w:rsidRPr="00513069">
              <w:rPr>
                <w:rFonts w:asciiTheme="minorHAnsi" w:hAnsiTheme="minorHAnsi" w:cstheme="minorHAnsi"/>
              </w:rPr>
              <w:t>Main text (Methods) and Methods appendix </w:t>
            </w:r>
          </w:p>
        </w:tc>
      </w:tr>
      <w:tr w:rsidR="00336042" w:rsidRPr="00513069" w14:paraId="16D5C207" w14:textId="77777777">
        <w:trPr>
          <w:trHeight w:val="299"/>
        </w:trPr>
        <w:tc>
          <w:tcPr>
            <w:tcW w:w="9330" w:type="dxa"/>
            <w:gridSpan w:val="5"/>
            <w:shd w:val="clear" w:color="auto" w:fill="D9D9D9"/>
          </w:tcPr>
          <w:p w14:paraId="7678E428" w14:textId="77777777" w:rsidR="00336042" w:rsidRPr="00513069" w:rsidRDefault="00336042">
            <w:pPr>
              <w:pStyle w:val="TableParagraph"/>
              <w:spacing w:line="253" w:lineRule="exact"/>
              <w:ind w:left="143"/>
              <w:rPr>
                <w:rFonts w:asciiTheme="minorHAnsi" w:hAnsiTheme="minorHAnsi" w:cstheme="minorHAnsi"/>
                <w:i/>
              </w:rPr>
            </w:pPr>
            <w:r w:rsidRPr="00513069">
              <w:rPr>
                <w:rFonts w:asciiTheme="minorHAnsi" w:hAnsiTheme="minorHAnsi" w:cstheme="minorHAnsi"/>
                <w:i/>
                <w:spacing w:val="-2"/>
              </w:rPr>
              <w:t>For</w:t>
            </w:r>
            <w:r w:rsidRPr="00513069">
              <w:rPr>
                <w:rFonts w:asciiTheme="minorHAnsi" w:hAnsiTheme="minorHAnsi" w:cstheme="minorHAnsi"/>
                <w:i/>
                <w:spacing w:val="-15"/>
              </w:rPr>
              <w:t xml:space="preserve"> </w:t>
            </w:r>
            <w:r w:rsidRPr="00513069">
              <w:rPr>
                <w:rFonts w:asciiTheme="minorHAnsi" w:hAnsiTheme="minorHAnsi" w:cstheme="minorHAnsi"/>
                <w:i/>
                <w:spacing w:val="-2"/>
              </w:rPr>
              <w:t>data</w:t>
            </w:r>
            <w:r w:rsidRPr="00513069">
              <w:rPr>
                <w:rFonts w:asciiTheme="minorHAnsi" w:hAnsiTheme="minorHAnsi" w:cstheme="minorHAnsi"/>
                <w:i/>
                <w:spacing w:val="-12"/>
              </w:rPr>
              <w:t xml:space="preserve"> </w:t>
            </w:r>
            <w:r w:rsidRPr="00513069">
              <w:rPr>
                <w:rFonts w:asciiTheme="minorHAnsi" w:hAnsiTheme="minorHAnsi" w:cstheme="minorHAnsi"/>
                <w:i/>
                <w:spacing w:val="-2"/>
              </w:rPr>
              <w:t>inputs</w:t>
            </w:r>
            <w:r w:rsidRPr="00513069">
              <w:rPr>
                <w:rFonts w:asciiTheme="minorHAnsi" w:hAnsiTheme="minorHAnsi" w:cstheme="minorHAnsi"/>
                <w:i/>
                <w:spacing w:val="-15"/>
              </w:rPr>
              <w:t xml:space="preserve"> </w:t>
            </w:r>
            <w:r w:rsidRPr="00513069">
              <w:rPr>
                <w:rFonts w:asciiTheme="minorHAnsi" w:hAnsiTheme="minorHAnsi" w:cstheme="minorHAnsi"/>
                <w:i/>
                <w:spacing w:val="-2"/>
              </w:rPr>
              <w:t>that</w:t>
            </w:r>
            <w:r w:rsidRPr="00513069">
              <w:rPr>
                <w:rFonts w:asciiTheme="minorHAnsi" w:hAnsiTheme="minorHAnsi" w:cstheme="minorHAnsi"/>
                <w:i/>
                <w:spacing w:val="-14"/>
              </w:rPr>
              <w:t xml:space="preserve"> </w:t>
            </w:r>
            <w:r w:rsidRPr="00513069">
              <w:rPr>
                <w:rFonts w:asciiTheme="minorHAnsi" w:hAnsiTheme="minorHAnsi" w:cstheme="minorHAnsi"/>
                <w:i/>
                <w:spacing w:val="-2"/>
              </w:rPr>
              <w:t>contribute</w:t>
            </w:r>
            <w:r w:rsidRPr="00513069">
              <w:rPr>
                <w:rFonts w:asciiTheme="minorHAnsi" w:hAnsiTheme="minorHAnsi" w:cstheme="minorHAnsi"/>
                <w:i/>
                <w:spacing w:val="-14"/>
              </w:rPr>
              <w:t xml:space="preserve"> </w:t>
            </w:r>
            <w:r w:rsidRPr="00513069">
              <w:rPr>
                <w:rFonts w:asciiTheme="minorHAnsi" w:hAnsiTheme="minorHAnsi" w:cstheme="minorHAnsi"/>
                <w:i/>
                <w:spacing w:val="-2"/>
              </w:rPr>
              <w:t>to</w:t>
            </w:r>
            <w:r w:rsidRPr="00513069">
              <w:rPr>
                <w:rFonts w:asciiTheme="minorHAnsi" w:hAnsiTheme="minorHAnsi" w:cstheme="minorHAnsi"/>
                <w:i/>
                <w:spacing w:val="-15"/>
              </w:rPr>
              <w:t xml:space="preserve"> </w:t>
            </w:r>
            <w:r w:rsidRPr="00513069">
              <w:rPr>
                <w:rFonts w:asciiTheme="minorHAnsi" w:hAnsiTheme="minorHAnsi" w:cstheme="minorHAnsi"/>
                <w:i/>
                <w:spacing w:val="-2"/>
              </w:rPr>
              <w:t>the</w:t>
            </w:r>
            <w:r w:rsidRPr="00513069">
              <w:rPr>
                <w:rFonts w:asciiTheme="minorHAnsi" w:hAnsiTheme="minorHAnsi" w:cstheme="minorHAnsi"/>
                <w:i/>
                <w:spacing w:val="-12"/>
              </w:rPr>
              <w:t xml:space="preserve"> </w:t>
            </w:r>
            <w:r w:rsidRPr="00513069">
              <w:rPr>
                <w:rFonts w:asciiTheme="minorHAnsi" w:hAnsiTheme="minorHAnsi" w:cstheme="minorHAnsi"/>
                <w:i/>
                <w:spacing w:val="-2"/>
              </w:rPr>
              <w:t>analysis</w:t>
            </w:r>
            <w:r w:rsidRPr="00513069">
              <w:rPr>
                <w:rFonts w:asciiTheme="minorHAnsi" w:hAnsiTheme="minorHAnsi" w:cstheme="minorHAnsi"/>
                <w:i/>
                <w:spacing w:val="-15"/>
              </w:rPr>
              <w:t xml:space="preserve"> </w:t>
            </w:r>
            <w:r w:rsidRPr="00513069">
              <w:rPr>
                <w:rFonts w:asciiTheme="minorHAnsi" w:hAnsiTheme="minorHAnsi" w:cstheme="minorHAnsi"/>
                <w:i/>
                <w:spacing w:val="-2"/>
              </w:rPr>
              <w:t>but</w:t>
            </w:r>
            <w:r w:rsidRPr="00513069">
              <w:rPr>
                <w:rFonts w:asciiTheme="minorHAnsi" w:hAnsiTheme="minorHAnsi" w:cstheme="minorHAnsi"/>
                <w:i/>
                <w:spacing w:val="-16"/>
              </w:rPr>
              <w:t xml:space="preserve"> </w:t>
            </w:r>
            <w:r w:rsidRPr="00513069">
              <w:rPr>
                <w:rFonts w:asciiTheme="minorHAnsi" w:hAnsiTheme="minorHAnsi" w:cstheme="minorHAnsi"/>
                <w:i/>
                <w:spacing w:val="-2"/>
              </w:rPr>
              <w:t>were</w:t>
            </w:r>
            <w:r w:rsidRPr="00513069">
              <w:rPr>
                <w:rFonts w:asciiTheme="minorHAnsi" w:hAnsiTheme="minorHAnsi" w:cstheme="minorHAnsi"/>
                <w:i/>
                <w:spacing w:val="-15"/>
              </w:rPr>
              <w:t xml:space="preserve"> </w:t>
            </w:r>
            <w:r w:rsidRPr="00513069">
              <w:rPr>
                <w:rFonts w:asciiTheme="minorHAnsi" w:hAnsiTheme="minorHAnsi" w:cstheme="minorHAnsi"/>
                <w:i/>
                <w:spacing w:val="-2"/>
              </w:rPr>
              <w:t>not</w:t>
            </w:r>
            <w:r w:rsidRPr="00513069">
              <w:rPr>
                <w:rFonts w:asciiTheme="minorHAnsi" w:hAnsiTheme="minorHAnsi" w:cstheme="minorHAnsi"/>
                <w:i/>
                <w:spacing w:val="-14"/>
              </w:rPr>
              <w:t xml:space="preserve"> </w:t>
            </w:r>
            <w:r w:rsidRPr="00513069">
              <w:rPr>
                <w:rFonts w:asciiTheme="minorHAnsi" w:hAnsiTheme="minorHAnsi" w:cstheme="minorHAnsi"/>
                <w:i/>
                <w:spacing w:val="-2"/>
              </w:rPr>
              <w:t>synthesized</w:t>
            </w:r>
            <w:r w:rsidRPr="00513069">
              <w:rPr>
                <w:rFonts w:asciiTheme="minorHAnsi" w:hAnsiTheme="minorHAnsi" w:cstheme="minorHAnsi"/>
                <w:i/>
                <w:spacing w:val="-13"/>
              </w:rPr>
              <w:t xml:space="preserve"> </w:t>
            </w:r>
            <w:r w:rsidRPr="00513069">
              <w:rPr>
                <w:rFonts w:asciiTheme="minorHAnsi" w:hAnsiTheme="minorHAnsi" w:cstheme="minorHAnsi"/>
                <w:i/>
                <w:spacing w:val="-2"/>
              </w:rPr>
              <w:t>as</w:t>
            </w:r>
            <w:r w:rsidRPr="00513069">
              <w:rPr>
                <w:rFonts w:asciiTheme="minorHAnsi" w:hAnsiTheme="minorHAnsi" w:cstheme="minorHAnsi"/>
                <w:i/>
                <w:spacing w:val="-15"/>
              </w:rPr>
              <w:t xml:space="preserve"> </w:t>
            </w:r>
            <w:r w:rsidRPr="00513069">
              <w:rPr>
                <w:rFonts w:asciiTheme="minorHAnsi" w:hAnsiTheme="minorHAnsi" w:cstheme="minorHAnsi"/>
                <w:i/>
                <w:spacing w:val="-2"/>
              </w:rPr>
              <w:t>part</w:t>
            </w:r>
            <w:r w:rsidRPr="00513069">
              <w:rPr>
                <w:rFonts w:asciiTheme="minorHAnsi" w:hAnsiTheme="minorHAnsi" w:cstheme="minorHAnsi"/>
                <w:i/>
                <w:spacing w:val="-14"/>
              </w:rPr>
              <w:t xml:space="preserve"> </w:t>
            </w:r>
            <w:r w:rsidRPr="00513069">
              <w:rPr>
                <w:rFonts w:asciiTheme="minorHAnsi" w:hAnsiTheme="minorHAnsi" w:cstheme="minorHAnsi"/>
                <w:i/>
                <w:spacing w:val="-2"/>
              </w:rPr>
              <w:t>of</w:t>
            </w:r>
            <w:r w:rsidRPr="00513069">
              <w:rPr>
                <w:rFonts w:asciiTheme="minorHAnsi" w:hAnsiTheme="minorHAnsi" w:cstheme="minorHAnsi"/>
                <w:i/>
                <w:spacing w:val="-13"/>
              </w:rPr>
              <w:t xml:space="preserve"> </w:t>
            </w:r>
            <w:r w:rsidRPr="00513069">
              <w:rPr>
                <w:rFonts w:asciiTheme="minorHAnsi" w:hAnsiTheme="minorHAnsi" w:cstheme="minorHAnsi"/>
                <w:i/>
                <w:spacing w:val="-2"/>
              </w:rPr>
              <w:t>the</w:t>
            </w:r>
            <w:r w:rsidRPr="00513069">
              <w:rPr>
                <w:rFonts w:asciiTheme="minorHAnsi" w:hAnsiTheme="minorHAnsi" w:cstheme="minorHAnsi"/>
                <w:i/>
                <w:spacing w:val="-15"/>
              </w:rPr>
              <w:t xml:space="preserve"> </w:t>
            </w:r>
            <w:r w:rsidRPr="00513069">
              <w:rPr>
                <w:rFonts w:asciiTheme="minorHAnsi" w:hAnsiTheme="minorHAnsi" w:cstheme="minorHAnsi"/>
                <w:i/>
                <w:spacing w:val="-2"/>
              </w:rPr>
              <w:t>study:</w:t>
            </w:r>
          </w:p>
        </w:tc>
      </w:tr>
      <w:tr w:rsidR="00336042" w:rsidRPr="00513069" w14:paraId="6EC8B4DC" w14:textId="77777777">
        <w:trPr>
          <w:trHeight w:val="299"/>
        </w:trPr>
        <w:tc>
          <w:tcPr>
            <w:tcW w:w="901" w:type="dxa"/>
            <w:gridSpan w:val="2"/>
          </w:tcPr>
          <w:p w14:paraId="218144D0" w14:textId="77777777" w:rsidR="00336042" w:rsidRPr="00513069" w:rsidRDefault="00336042">
            <w:pPr>
              <w:pStyle w:val="TableParagraph"/>
              <w:spacing w:before="1"/>
              <w:rPr>
                <w:rFonts w:asciiTheme="minorHAnsi" w:hAnsiTheme="minorHAnsi" w:cstheme="minorHAnsi"/>
                <w:i/>
              </w:rPr>
            </w:pPr>
          </w:p>
          <w:p w14:paraId="773990DD" w14:textId="77777777" w:rsidR="00336042" w:rsidRPr="00513069" w:rsidRDefault="00336042">
            <w:pPr>
              <w:pStyle w:val="TableParagraph"/>
              <w:spacing w:line="253" w:lineRule="exact"/>
              <w:ind w:left="143"/>
              <w:rPr>
                <w:rFonts w:asciiTheme="minorHAnsi" w:hAnsiTheme="minorHAnsi" w:cstheme="minorHAnsi"/>
                <w:i/>
                <w:spacing w:val="-2"/>
              </w:rPr>
            </w:pPr>
            <w:r w:rsidRPr="00513069">
              <w:rPr>
                <w:rFonts w:asciiTheme="minorHAnsi" w:hAnsiTheme="minorHAnsi" w:cstheme="minorHAnsi"/>
                <w:spacing w:val="-10"/>
              </w:rPr>
              <w:t>7</w:t>
            </w:r>
          </w:p>
        </w:tc>
        <w:tc>
          <w:tcPr>
            <w:tcW w:w="4500" w:type="dxa"/>
            <w:gridSpan w:val="2"/>
          </w:tcPr>
          <w:p w14:paraId="76775C0D" w14:textId="77777777" w:rsidR="00336042" w:rsidRPr="00513069" w:rsidRDefault="00336042">
            <w:pPr>
              <w:pStyle w:val="TableParagraph"/>
              <w:spacing w:line="253" w:lineRule="exact"/>
              <w:ind w:left="143"/>
              <w:rPr>
                <w:rFonts w:asciiTheme="minorHAnsi" w:hAnsiTheme="minorHAnsi" w:cstheme="minorHAnsi"/>
                <w:i/>
                <w:spacing w:val="-2"/>
              </w:rPr>
            </w:pPr>
            <w:r w:rsidRPr="00513069">
              <w:rPr>
                <w:rFonts w:asciiTheme="minorHAnsi" w:hAnsiTheme="minorHAnsi" w:cstheme="minorHAnsi"/>
                <w:spacing w:val="-4"/>
              </w:rPr>
              <w:t>Describe</w:t>
            </w:r>
            <w:r w:rsidRPr="00513069">
              <w:rPr>
                <w:rFonts w:asciiTheme="minorHAnsi" w:hAnsiTheme="minorHAnsi" w:cstheme="minorHAnsi"/>
                <w:spacing w:val="-12"/>
              </w:rPr>
              <w:t xml:space="preserve"> </w:t>
            </w:r>
            <w:r w:rsidRPr="00513069">
              <w:rPr>
                <w:rFonts w:asciiTheme="minorHAnsi" w:hAnsiTheme="minorHAnsi" w:cstheme="minorHAnsi"/>
                <w:spacing w:val="-4"/>
              </w:rPr>
              <w:t>and</w:t>
            </w:r>
            <w:r w:rsidRPr="00513069">
              <w:rPr>
                <w:rFonts w:asciiTheme="minorHAnsi" w:hAnsiTheme="minorHAnsi" w:cstheme="minorHAnsi"/>
                <w:spacing w:val="-12"/>
              </w:rPr>
              <w:t xml:space="preserve"> </w:t>
            </w:r>
            <w:r w:rsidRPr="00513069">
              <w:rPr>
                <w:rFonts w:asciiTheme="minorHAnsi" w:hAnsiTheme="minorHAnsi" w:cstheme="minorHAnsi"/>
                <w:spacing w:val="-4"/>
              </w:rPr>
              <w:t>give</w:t>
            </w:r>
            <w:r w:rsidRPr="00513069">
              <w:rPr>
                <w:rFonts w:asciiTheme="minorHAnsi" w:hAnsiTheme="minorHAnsi" w:cstheme="minorHAnsi"/>
                <w:spacing w:val="-12"/>
              </w:rPr>
              <w:t xml:space="preserve"> </w:t>
            </w:r>
            <w:r w:rsidRPr="00513069">
              <w:rPr>
                <w:rFonts w:asciiTheme="minorHAnsi" w:hAnsiTheme="minorHAnsi" w:cstheme="minorHAnsi"/>
                <w:spacing w:val="-4"/>
              </w:rPr>
              <w:t>sources</w:t>
            </w:r>
            <w:r w:rsidRPr="00513069">
              <w:rPr>
                <w:rFonts w:asciiTheme="minorHAnsi" w:hAnsiTheme="minorHAnsi" w:cstheme="minorHAnsi"/>
                <w:spacing w:val="-10"/>
              </w:rPr>
              <w:t xml:space="preserve"> </w:t>
            </w:r>
            <w:r w:rsidRPr="00513069">
              <w:rPr>
                <w:rFonts w:asciiTheme="minorHAnsi" w:hAnsiTheme="minorHAnsi" w:cstheme="minorHAnsi"/>
                <w:spacing w:val="-4"/>
              </w:rPr>
              <w:t>for</w:t>
            </w:r>
            <w:r w:rsidRPr="00513069">
              <w:rPr>
                <w:rFonts w:asciiTheme="minorHAnsi" w:hAnsiTheme="minorHAnsi" w:cstheme="minorHAnsi"/>
                <w:spacing w:val="-13"/>
              </w:rPr>
              <w:t xml:space="preserve"> </w:t>
            </w:r>
            <w:r w:rsidRPr="00513069">
              <w:rPr>
                <w:rFonts w:asciiTheme="minorHAnsi" w:hAnsiTheme="minorHAnsi" w:cstheme="minorHAnsi"/>
                <w:spacing w:val="-4"/>
              </w:rPr>
              <w:t>any</w:t>
            </w:r>
            <w:r w:rsidRPr="00513069">
              <w:rPr>
                <w:rFonts w:asciiTheme="minorHAnsi" w:hAnsiTheme="minorHAnsi" w:cstheme="minorHAnsi"/>
                <w:spacing w:val="-10"/>
              </w:rPr>
              <w:t xml:space="preserve"> </w:t>
            </w:r>
            <w:r w:rsidRPr="00513069">
              <w:rPr>
                <w:rFonts w:asciiTheme="minorHAnsi" w:hAnsiTheme="minorHAnsi" w:cstheme="minorHAnsi"/>
                <w:spacing w:val="-4"/>
              </w:rPr>
              <w:t xml:space="preserve">other </w:t>
            </w:r>
            <w:r w:rsidRPr="00513069">
              <w:rPr>
                <w:rFonts w:asciiTheme="minorHAnsi" w:hAnsiTheme="minorHAnsi" w:cstheme="minorHAnsi"/>
              </w:rPr>
              <w:t>data</w:t>
            </w:r>
            <w:r w:rsidRPr="00513069">
              <w:rPr>
                <w:rFonts w:asciiTheme="minorHAnsi" w:hAnsiTheme="minorHAnsi" w:cstheme="minorHAnsi"/>
                <w:spacing w:val="-12"/>
              </w:rPr>
              <w:t xml:space="preserve"> </w:t>
            </w:r>
            <w:r w:rsidRPr="00513069">
              <w:rPr>
                <w:rFonts w:asciiTheme="minorHAnsi" w:hAnsiTheme="minorHAnsi" w:cstheme="minorHAnsi"/>
              </w:rPr>
              <w:t>inputs.</w:t>
            </w:r>
          </w:p>
        </w:tc>
        <w:tc>
          <w:tcPr>
            <w:tcW w:w="3929" w:type="dxa"/>
          </w:tcPr>
          <w:p w14:paraId="5C1362F8" w14:textId="77777777" w:rsidR="00336042" w:rsidRPr="00513069" w:rsidRDefault="00336042">
            <w:pPr>
              <w:pStyle w:val="TableParagraph"/>
              <w:spacing w:line="253" w:lineRule="exact"/>
              <w:ind w:left="143"/>
              <w:rPr>
                <w:rFonts w:asciiTheme="minorHAnsi" w:hAnsiTheme="minorHAnsi" w:cstheme="minorHAnsi"/>
                <w:i/>
                <w:spacing w:val="-2"/>
              </w:rPr>
            </w:pPr>
            <w:r w:rsidRPr="00513069">
              <w:rPr>
                <w:rFonts w:asciiTheme="minorHAnsi" w:hAnsiTheme="minorHAnsi" w:cstheme="minorHAnsi"/>
                <w:spacing w:val="-5"/>
              </w:rPr>
              <w:t>N/A</w:t>
            </w:r>
          </w:p>
        </w:tc>
      </w:tr>
      <w:tr w:rsidR="00336042" w:rsidRPr="00513069" w14:paraId="3E6D9312" w14:textId="77777777">
        <w:trPr>
          <w:trHeight w:val="299"/>
        </w:trPr>
        <w:tc>
          <w:tcPr>
            <w:tcW w:w="9330" w:type="dxa"/>
            <w:gridSpan w:val="5"/>
            <w:shd w:val="clear" w:color="auto" w:fill="D9D9D9"/>
          </w:tcPr>
          <w:p w14:paraId="24CF43ED" w14:textId="77777777" w:rsidR="00336042" w:rsidRPr="00513069" w:rsidRDefault="00336042">
            <w:pPr>
              <w:pStyle w:val="TableParagraph"/>
              <w:spacing w:line="253" w:lineRule="exact"/>
              <w:ind w:left="143"/>
              <w:rPr>
                <w:rFonts w:asciiTheme="minorHAnsi" w:hAnsiTheme="minorHAnsi" w:cstheme="minorHAnsi"/>
                <w:spacing w:val="-5"/>
              </w:rPr>
            </w:pPr>
            <w:r w:rsidRPr="00513069">
              <w:rPr>
                <w:rFonts w:asciiTheme="minorHAnsi" w:hAnsiTheme="minorHAnsi" w:cstheme="minorHAnsi"/>
                <w:i/>
                <w:spacing w:val="-2"/>
              </w:rPr>
              <w:t>For</w:t>
            </w:r>
            <w:r w:rsidRPr="00513069">
              <w:rPr>
                <w:rFonts w:asciiTheme="minorHAnsi" w:hAnsiTheme="minorHAnsi" w:cstheme="minorHAnsi"/>
                <w:i/>
                <w:spacing w:val="-16"/>
              </w:rPr>
              <w:t xml:space="preserve"> </w:t>
            </w:r>
            <w:r w:rsidRPr="00513069">
              <w:rPr>
                <w:rFonts w:asciiTheme="minorHAnsi" w:hAnsiTheme="minorHAnsi" w:cstheme="minorHAnsi"/>
                <w:i/>
                <w:spacing w:val="-2"/>
              </w:rPr>
              <w:t>all</w:t>
            </w:r>
            <w:r w:rsidRPr="00513069">
              <w:rPr>
                <w:rFonts w:asciiTheme="minorHAnsi" w:hAnsiTheme="minorHAnsi" w:cstheme="minorHAnsi"/>
                <w:i/>
                <w:spacing w:val="-16"/>
              </w:rPr>
              <w:t xml:space="preserve"> </w:t>
            </w:r>
            <w:r w:rsidRPr="00513069">
              <w:rPr>
                <w:rFonts w:asciiTheme="minorHAnsi" w:hAnsiTheme="minorHAnsi" w:cstheme="minorHAnsi"/>
                <w:i/>
                <w:spacing w:val="-2"/>
              </w:rPr>
              <w:t>data</w:t>
            </w:r>
            <w:r w:rsidRPr="00513069">
              <w:rPr>
                <w:rFonts w:asciiTheme="minorHAnsi" w:hAnsiTheme="minorHAnsi" w:cstheme="minorHAnsi"/>
                <w:i/>
                <w:spacing w:val="-14"/>
              </w:rPr>
              <w:t xml:space="preserve"> </w:t>
            </w:r>
            <w:r w:rsidRPr="00513069">
              <w:rPr>
                <w:rFonts w:asciiTheme="minorHAnsi" w:hAnsiTheme="minorHAnsi" w:cstheme="minorHAnsi"/>
                <w:i/>
                <w:spacing w:val="-2"/>
              </w:rPr>
              <w:t>inputs:</w:t>
            </w:r>
          </w:p>
        </w:tc>
      </w:tr>
      <w:tr w:rsidR="00336042" w:rsidRPr="00513069" w14:paraId="351E52BF" w14:textId="77777777">
        <w:trPr>
          <w:trHeight w:val="299"/>
        </w:trPr>
        <w:tc>
          <w:tcPr>
            <w:tcW w:w="901" w:type="dxa"/>
            <w:gridSpan w:val="2"/>
          </w:tcPr>
          <w:p w14:paraId="0CAFE751" w14:textId="77777777" w:rsidR="00336042" w:rsidRPr="00513069" w:rsidRDefault="00336042">
            <w:pPr>
              <w:pStyle w:val="TableParagraph"/>
              <w:rPr>
                <w:rFonts w:asciiTheme="minorHAnsi" w:hAnsiTheme="minorHAnsi" w:cstheme="minorHAnsi"/>
                <w:i/>
              </w:rPr>
            </w:pPr>
          </w:p>
          <w:p w14:paraId="5349D6BB" w14:textId="77777777" w:rsidR="00336042" w:rsidRPr="00513069" w:rsidRDefault="00336042">
            <w:pPr>
              <w:pStyle w:val="TableParagraph"/>
              <w:rPr>
                <w:rFonts w:asciiTheme="minorHAnsi" w:hAnsiTheme="minorHAnsi" w:cstheme="minorHAnsi"/>
                <w:i/>
              </w:rPr>
            </w:pPr>
          </w:p>
          <w:p w14:paraId="52BFA8A3" w14:textId="77777777" w:rsidR="00336042" w:rsidRPr="00513069" w:rsidRDefault="00336042">
            <w:pPr>
              <w:pStyle w:val="TableParagraph"/>
              <w:rPr>
                <w:rFonts w:asciiTheme="minorHAnsi" w:hAnsiTheme="minorHAnsi" w:cstheme="minorHAnsi"/>
                <w:i/>
              </w:rPr>
            </w:pPr>
          </w:p>
          <w:p w14:paraId="1DB553DA" w14:textId="77777777" w:rsidR="00336042" w:rsidRPr="00513069" w:rsidRDefault="00336042">
            <w:pPr>
              <w:pStyle w:val="TableParagraph"/>
              <w:spacing w:before="183"/>
              <w:rPr>
                <w:rFonts w:asciiTheme="minorHAnsi" w:hAnsiTheme="minorHAnsi" w:cstheme="minorHAnsi"/>
                <w:i/>
              </w:rPr>
            </w:pPr>
          </w:p>
          <w:p w14:paraId="505E957B" w14:textId="77777777" w:rsidR="00336042" w:rsidRPr="00513069" w:rsidRDefault="00336042">
            <w:pPr>
              <w:pStyle w:val="TableParagraph"/>
              <w:spacing w:before="1"/>
              <w:rPr>
                <w:rFonts w:asciiTheme="minorHAnsi" w:hAnsiTheme="minorHAnsi" w:cstheme="minorHAnsi"/>
                <w:i/>
                <w:spacing w:val="-2"/>
              </w:rPr>
            </w:pPr>
            <w:r w:rsidRPr="00513069">
              <w:rPr>
                <w:rFonts w:asciiTheme="minorHAnsi" w:hAnsiTheme="minorHAnsi" w:cstheme="minorHAnsi"/>
                <w:spacing w:val="-10"/>
              </w:rPr>
              <w:t>8</w:t>
            </w:r>
          </w:p>
        </w:tc>
        <w:tc>
          <w:tcPr>
            <w:tcW w:w="4500" w:type="dxa"/>
            <w:gridSpan w:val="2"/>
          </w:tcPr>
          <w:p w14:paraId="57996DDE" w14:textId="77777777" w:rsidR="00336042" w:rsidRPr="00513069" w:rsidRDefault="00336042">
            <w:pPr>
              <w:pStyle w:val="TableParagraph"/>
              <w:spacing w:line="253" w:lineRule="exact"/>
              <w:ind w:left="143"/>
              <w:rPr>
                <w:rFonts w:asciiTheme="minorHAnsi" w:hAnsiTheme="minorHAnsi" w:cstheme="minorHAnsi"/>
                <w:spacing w:val="-4"/>
              </w:rPr>
            </w:pPr>
            <w:r w:rsidRPr="00513069">
              <w:rPr>
                <w:rFonts w:asciiTheme="minorHAnsi" w:hAnsiTheme="minorHAnsi" w:cstheme="minorHAnsi"/>
              </w:rPr>
              <w:t>Provide</w:t>
            </w:r>
            <w:r w:rsidRPr="00513069">
              <w:rPr>
                <w:rFonts w:asciiTheme="minorHAnsi" w:hAnsiTheme="minorHAnsi" w:cstheme="minorHAnsi"/>
                <w:spacing w:val="-5"/>
              </w:rPr>
              <w:t xml:space="preserve"> </w:t>
            </w:r>
            <w:r w:rsidRPr="00513069">
              <w:rPr>
                <w:rFonts w:asciiTheme="minorHAnsi" w:hAnsiTheme="minorHAnsi" w:cstheme="minorHAnsi"/>
              </w:rPr>
              <w:t>all</w:t>
            </w:r>
            <w:r w:rsidRPr="00513069">
              <w:rPr>
                <w:rFonts w:asciiTheme="minorHAnsi" w:hAnsiTheme="minorHAnsi" w:cstheme="minorHAnsi"/>
                <w:spacing w:val="-8"/>
              </w:rPr>
              <w:t xml:space="preserve"> </w:t>
            </w:r>
            <w:r w:rsidRPr="00513069">
              <w:rPr>
                <w:rFonts w:asciiTheme="minorHAnsi" w:hAnsiTheme="minorHAnsi" w:cstheme="minorHAnsi"/>
              </w:rPr>
              <w:t>data</w:t>
            </w:r>
            <w:r w:rsidRPr="00513069">
              <w:rPr>
                <w:rFonts w:asciiTheme="minorHAnsi" w:hAnsiTheme="minorHAnsi" w:cstheme="minorHAnsi"/>
                <w:spacing w:val="-6"/>
              </w:rPr>
              <w:t xml:space="preserve"> </w:t>
            </w:r>
            <w:r w:rsidRPr="00513069">
              <w:rPr>
                <w:rFonts w:asciiTheme="minorHAnsi" w:hAnsiTheme="minorHAnsi" w:cstheme="minorHAnsi"/>
              </w:rPr>
              <w:t>inputs</w:t>
            </w:r>
            <w:r w:rsidRPr="00513069">
              <w:rPr>
                <w:rFonts w:asciiTheme="minorHAnsi" w:hAnsiTheme="minorHAnsi" w:cstheme="minorHAnsi"/>
                <w:spacing w:val="-5"/>
              </w:rPr>
              <w:t xml:space="preserve"> </w:t>
            </w:r>
            <w:r w:rsidRPr="00513069">
              <w:rPr>
                <w:rFonts w:asciiTheme="minorHAnsi" w:hAnsiTheme="minorHAnsi" w:cstheme="minorHAnsi"/>
              </w:rPr>
              <w:t>in</w:t>
            </w:r>
            <w:r w:rsidRPr="00513069">
              <w:rPr>
                <w:rFonts w:asciiTheme="minorHAnsi" w:hAnsiTheme="minorHAnsi" w:cstheme="minorHAnsi"/>
                <w:spacing w:val="-8"/>
              </w:rPr>
              <w:t xml:space="preserve"> </w:t>
            </w:r>
            <w:r w:rsidRPr="00513069">
              <w:rPr>
                <w:rFonts w:asciiTheme="minorHAnsi" w:hAnsiTheme="minorHAnsi" w:cstheme="minorHAnsi"/>
              </w:rPr>
              <w:t>a</w:t>
            </w:r>
            <w:r w:rsidRPr="00513069">
              <w:rPr>
                <w:rFonts w:asciiTheme="minorHAnsi" w:hAnsiTheme="minorHAnsi" w:cstheme="minorHAnsi"/>
                <w:spacing w:val="-6"/>
              </w:rPr>
              <w:t xml:space="preserve"> </w:t>
            </w:r>
            <w:r w:rsidRPr="00513069">
              <w:rPr>
                <w:rFonts w:asciiTheme="minorHAnsi" w:hAnsiTheme="minorHAnsi" w:cstheme="minorHAnsi"/>
              </w:rPr>
              <w:t>file</w:t>
            </w:r>
            <w:r w:rsidRPr="00513069">
              <w:rPr>
                <w:rFonts w:asciiTheme="minorHAnsi" w:hAnsiTheme="minorHAnsi" w:cstheme="minorHAnsi"/>
                <w:spacing w:val="-7"/>
              </w:rPr>
              <w:t xml:space="preserve"> </w:t>
            </w:r>
            <w:r w:rsidRPr="00513069">
              <w:rPr>
                <w:rFonts w:asciiTheme="minorHAnsi" w:hAnsiTheme="minorHAnsi" w:cstheme="minorHAnsi"/>
              </w:rPr>
              <w:t>format</w:t>
            </w:r>
            <w:r w:rsidRPr="00513069">
              <w:rPr>
                <w:rFonts w:asciiTheme="minorHAnsi" w:hAnsiTheme="minorHAnsi" w:cstheme="minorHAnsi"/>
                <w:spacing w:val="-8"/>
              </w:rPr>
              <w:t xml:space="preserve"> </w:t>
            </w:r>
            <w:r w:rsidRPr="00513069">
              <w:rPr>
                <w:rFonts w:asciiTheme="minorHAnsi" w:hAnsiTheme="minorHAnsi" w:cstheme="minorHAnsi"/>
              </w:rPr>
              <w:t>from which data can be efficiently extracted (e.g.,</w:t>
            </w:r>
            <w:r w:rsidRPr="00513069">
              <w:rPr>
                <w:rFonts w:asciiTheme="minorHAnsi" w:hAnsiTheme="minorHAnsi" w:cstheme="minorHAnsi"/>
                <w:spacing w:val="-13"/>
              </w:rPr>
              <w:t xml:space="preserve"> </w:t>
            </w:r>
            <w:r w:rsidRPr="00513069">
              <w:rPr>
                <w:rFonts w:asciiTheme="minorHAnsi" w:hAnsiTheme="minorHAnsi" w:cstheme="minorHAnsi"/>
              </w:rPr>
              <w:t>a</w:t>
            </w:r>
            <w:r w:rsidRPr="00513069">
              <w:rPr>
                <w:rFonts w:asciiTheme="minorHAnsi" w:hAnsiTheme="minorHAnsi" w:cstheme="minorHAnsi"/>
                <w:spacing w:val="-10"/>
              </w:rPr>
              <w:t xml:space="preserve"> </w:t>
            </w:r>
            <w:r w:rsidRPr="00513069">
              <w:rPr>
                <w:rFonts w:asciiTheme="minorHAnsi" w:hAnsiTheme="minorHAnsi" w:cstheme="minorHAnsi"/>
              </w:rPr>
              <w:t>spreadsheet</w:t>
            </w:r>
            <w:r w:rsidRPr="00513069">
              <w:rPr>
                <w:rFonts w:asciiTheme="minorHAnsi" w:hAnsiTheme="minorHAnsi" w:cstheme="minorHAnsi"/>
                <w:spacing w:val="-9"/>
              </w:rPr>
              <w:t xml:space="preserve"> </w:t>
            </w:r>
            <w:r w:rsidRPr="00513069">
              <w:rPr>
                <w:rFonts w:asciiTheme="minorHAnsi" w:hAnsiTheme="minorHAnsi" w:cstheme="minorHAnsi"/>
              </w:rPr>
              <w:t>rather</w:t>
            </w:r>
            <w:r w:rsidRPr="00513069">
              <w:rPr>
                <w:rFonts w:asciiTheme="minorHAnsi" w:hAnsiTheme="minorHAnsi" w:cstheme="minorHAnsi"/>
                <w:spacing w:val="-10"/>
              </w:rPr>
              <w:t xml:space="preserve"> </w:t>
            </w:r>
            <w:r w:rsidRPr="00513069">
              <w:rPr>
                <w:rFonts w:asciiTheme="minorHAnsi" w:hAnsiTheme="minorHAnsi" w:cstheme="minorHAnsi"/>
              </w:rPr>
              <w:t>than</w:t>
            </w:r>
            <w:r w:rsidRPr="00513069">
              <w:rPr>
                <w:rFonts w:asciiTheme="minorHAnsi" w:hAnsiTheme="minorHAnsi" w:cstheme="minorHAnsi"/>
                <w:spacing w:val="-12"/>
              </w:rPr>
              <w:t xml:space="preserve"> </w:t>
            </w:r>
            <w:r w:rsidRPr="00513069">
              <w:rPr>
                <w:rFonts w:asciiTheme="minorHAnsi" w:hAnsiTheme="minorHAnsi" w:cstheme="minorHAnsi"/>
              </w:rPr>
              <w:t>a</w:t>
            </w:r>
            <w:r w:rsidRPr="00513069">
              <w:rPr>
                <w:rFonts w:asciiTheme="minorHAnsi" w:hAnsiTheme="minorHAnsi" w:cstheme="minorHAnsi"/>
                <w:spacing w:val="-10"/>
              </w:rPr>
              <w:t xml:space="preserve"> </w:t>
            </w:r>
            <w:r w:rsidRPr="00513069">
              <w:rPr>
                <w:rFonts w:asciiTheme="minorHAnsi" w:hAnsiTheme="minorHAnsi" w:cstheme="minorHAnsi"/>
              </w:rPr>
              <w:t>PDF), including all relevant meta-data listed in item 5.</w:t>
            </w:r>
            <w:r w:rsidRPr="00513069">
              <w:rPr>
                <w:rFonts w:asciiTheme="minorHAnsi" w:hAnsiTheme="minorHAnsi" w:cstheme="minorHAnsi"/>
                <w:spacing w:val="-3"/>
              </w:rPr>
              <w:t xml:space="preserve"> </w:t>
            </w:r>
            <w:r w:rsidRPr="00513069">
              <w:rPr>
                <w:rFonts w:asciiTheme="minorHAnsi" w:hAnsiTheme="minorHAnsi" w:cstheme="minorHAnsi"/>
              </w:rPr>
              <w:t>For</w:t>
            </w:r>
            <w:r w:rsidRPr="00513069">
              <w:rPr>
                <w:rFonts w:asciiTheme="minorHAnsi" w:hAnsiTheme="minorHAnsi" w:cstheme="minorHAnsi"/>
                <w:spacing w:val="-2"/>
              </w:rPr>
              <w:t xml:space="preserve"> </w:t>
            </w:r>
            <w:r w:rsidRPr="00513069">
              <w:rPr>
                <w:rFonts w:asciiTheme="minorHAnsi" w:hAnsiTheme="minorHAnsi" w:cstheme="minorHAnsi"/>
              </w:rPr>
              <w:t>any</w:t>
            </w:r>
            <w:r w:rsidRPr="00513069">
              <w:rPr>
                <w:rFonts w:asciiTheme="minorHAnsi" w:hAnsiTheme="minorHAnsi" w:cstheme="minorHAnsi"/>
                <w:spacing w:val="-1"/>
              </w:rPr>
              <w:t xml:space="preserve"> </w:t>
            </w:r>
            <w:r w:rsidRPr="00513069">
              <w:rPr>
                <w:rFonts w:asciiTheme="minorHAnsi" w:hAnsiTheme="minorHAnsi" w:cstheme="minorHAnsi"/>
              </w:rPr>
              <w:t>data inputs that</w:t>
            </w:r>
            <w:r w:rsidRPr="00513069">
              <w:rPr>
                <w:rFonts w:asciiTheme="minorHAnsi" w:hAnsiTheme="minorHAnsi" w:cstheme="minorHAnsi"/>
                <w:spacing w:val="-2"/>
              </w:rPr>
              <w:t xml:space="preserve"> </w:t>
            </w:r>
            <w:r w:rsidRPr="00513069">
              <w:rPr>
                <w:rFonts w:asciiTheme="minorHAnsi" w:hAnsiTheme="minorHAnsi" w:cstheme="minorHAnsi"/>
              </w:rPr>
              <w:t>cannot</w:t>
            </w:r>
            <w:r w:rsidRPr="00513069">
              <w:rPr>
                <w:rFonts w:asciiTheme="minorHAnsi" w:hAnsiTheme="minorHAnsi" w:cstheme="minorHAnsi"/>
                <w:spacing w:val="-2"/>
              </w:rPr>
              <w:t xml:space="preserve"> </w:t>
            </w:r>
            <w:r w:rsidRPr="00513069">
              <w:rPr>
                <w:rFonts w:asciiTheme="minorHAnsi" w:hAnsiTheme="minorHAnsi" w:cstheme="minorHAnsi"/>
              </w:rPr>
              <w:t xml:space="preserve">be </w:t>
            </w:r>
            <w:r w:rsidRPr="00513069">
              <w:rPr>
                <w:rFonts w:asciiTheme="minorHAnsi" w:hAnsiTheme="minorHAnsi" w:cstheme="minorHAnsi"/>
                <w:spacing w:val="-2"/>
              </w:rPr>
              <w:t>shared</w:t>
            </w:r>
            <w:r w:rsidRPr="00513069">
              <w:rPr>
                <w:rFonts w:asciiTheme="minorHAnsi" w:hAnsiTheme="minorHAnsi" w:cstheme="minorHAnsi"/>
                <w:spacing w:val="-10"/>
              </w:rPr>
              <w:t xml:space="preserve"> </w:t>
            </w:r>
            <w:r w:rsidRPr="00513069">
              <w:rPr>
                <w:rFonts w:asciiTheme="minorHAnsi" w:hAnsiTheme="minorHAnsi" w:cstheme="minorHAnsi"/>
                <w:spacing w:val="-2"/>
              </w:rPr>
              <w:t>because</w:t>
            </w:r>
            <w:r w:rsidRPr="00513069">
              <w:rPr>
                <w:rFonts w:asciiTheme="minorHAnsi" w:hAnsiTheme="minorHAnsi" w:cstheme="minorHAnsi"/>
                <w:spacing w:val="-8"/>
              </w:rPr>
              <w:t xml:space="preserve"> </w:t>
            </w:r>
            <w:r w:rsidRPr="00513069">
              <w:rPr>
                <w:rFonts w:asciiTheme="minorHAnsi" w:hAnsiTheme="minorHAnsi" w:cstheme="minorHAnsi"/>
                <w:spacing w:val="-2"/>
              </w:rPr>
              <w:t>of</w:t>
            </w:r>
            <w:r w:rsidRPr="00513069">
              <w:rPr>
                <w:rFonts w:asciiTheme="minorHAnsi" w:hAnsiTheme="minorHAnsi" w:cstheme="minorHAnsi"/>
                <w:spacing w:val="-12"/>
              </w:rPr>
              <w:t xml:space="preserve"> </w:t>
            </w:r>
            <w:r w:rsidRPr="00513069">
              <w:rPr>
                <w:rFonts w:asciiTheme="minorHAnsi" w:hAnsiTheme="minorHAnsi" w:cstheme="minorHAnsi"/>
                <w:spacing w:val="-2"/>
              </w:rPr>
              <w:t>ethical</w:t>
            </w:r>
            <w:r w:rsidRPr="00513069">
              <w:rPr>
                <w:rFonts w:asciiTheme="minorHAnsi" w:hAnsiTheme="minorHAnsi" w:cstheme="minorHAnsi"/>
                <w:spacing w:val="-12"/>
              </w:rPr>
              <w:t xml:space="preserve"> </w:t>
            </w:r>
            <w:r w:rsidRPr="00513069">
              <w:rPr>
                <w:rFonts w:asciiTheme="minorHAnsi" w:hAnsiTheme="minorHAnsi" w:cstheme="minorHAnsi"/>
                <w:spacing w:val="-2"/>
              </w:rPr>
              <w:t>or</w:t>
            </w:r>
            <w:r w:rsidRPr="00513069">
              <w:rPr>
                <w:rFonts w:asciiTheme="minorHAnsi" w:hAnsiTheme="minorHAnsi" w:cstheme="minorHAnsi"/>
                <w:spacing w:val="-12"/>
              </w:rPr>
              <w:t xml:space="preserve"> </w:t>
            </w:r>
            <w:r w:rsidRPr="00513069">
              <w:rPr>
                <w:rFonts w:asciiTheme="minorHAnsi" w:hAnsiTheme="minorHAnsi" w:cstheme="minorHAnsi"/>
                <w:spacing w:val="-2"/>
              </w:rPr>
              <w:t>legal</w:t>
            </w:r>
            <w:r w:rsidRPr="00513069">
              <w:rPr>
                <w:rFonts w:asciiTheme="minorHAnsi" w:hAnsiTheme="minorHAnsi" w:cstheme="minorHAnsi"/>
                <w:spacing w:val="-12"/>
              </w:rPr>
              <w:t xml:space="preserve"> </w:t>
            </w:r>
            <w:r w:rsidRPr="00513069">
              <w:rPr>
                <w:rFonts w:asciiTheme="minorHAnsi" w:hAnsiTheme="minorHAnsi" w:cstheme="minorHAnsi"/>
                <w:spacing w:val="-2"/>
              </w:rPr>
              <w:t xml:space="preserve">reasons, </w:t>
            </w:r>
            <w:r w:rsidRPr="00513069">
              <w:rPr>
                <w:rFonts w:asciiTheme="minorHAnsi" w:hAnsiTheme="minorHAnsi" w:cstheme="minorHAnsi"/>
              </w:rPr>
              <w:t>such as third-party ownership, provide a contact</w:t>
            </w:r>
            <w:r w:rsidRPr="00513069">
              <w:rPr>
                <w:rFonts w:asciiTheme="minorHAnsi" w:hAnsiTheme="minorHAnsi" w:cstheme="minorHAnsi"/>
                <w:spacing w:val="-16"/>
              </w:rPr>
              <w:t xml:space="preserve"> </w:t>
            </w:r>
            <w:r w:rsidRPr="00513069">
              <w:rPr>
                <w:rFonts w:asciiTheme="minorHAnsi" w:hAnsiTheme="minorHAnsi" w:cstheme="minorHAnsi"/>
              </w:rPr>
              <w:t>name</w:t>
            </w:r>
            <w:r w:rsidRPr="00513069">
              <w:rPr>
                <w:rFonts w:asciiTheme="minorHAnsi" w:hAnsiTheme="minorHAnsi" w:cstheme="minorHAnsi"/>
                <w:spacing w:val="-15"/>
              </w:rPr>
              <w:t xml:space="preserve"> </w:t>
            </w:r>
            <w:r w:rsidRPr="00513069">
              <w:rPr>
                <w:rFonts w:asciiTheme="minorHAnsi" w:hAnsiTheme="minorHAnsi" w:cstheme="minorHAnsi"/>
              </w:rPr>
              <w:t>or</w:t>
            </w:r>
            <w:r w:rsidRPr="00513069">
              <w:rPr>
                <w:rFonts w:asciiTheme="minorHAnsi" w:hAnsiTheme="minorHAnsi" w:cstheme="minorHAnsi"/>
                <w:spacing w:val="-16"/>
              </w:rPr>
              <w:t xml:space="preserve"> </w:t>
            </w:r>
            <w:r w:rsidRPr="00513069">
              <w:rPr>
                <w:rFonts w:asciiTheme="minorHAnsi" w:hAnsiTheme="minorHAnsi" w:cstheme="minorHAnsi"/>
              </w:rPr>
              <w:t>the</w:t>
            </w:r>
            <w:r w:rsidRPr="00513069">
              <w:rPr>
                <w:rFonts w:asciiTheme="minorHAnsi" w:hAnsiTheme="minorHAnsi" w:cstheme="minorHAnsi"/>
                <w:spacing w:val="-15"/>
              </w:rPr>
              <w:t xml:space="preserve"> </w:t>
            </w:r>
            <w:r w:rsidRPr="00513069">
              <w:rPr>
                <w:rFonts w:asciiTheme="minorHAnsi" w:hAnsiTheme="minorHAnsi" w:cstheme="minorHAnsi"/>
              </w:rPr>
              <w:t>name</w:t>
            </w:r>
            <w:r w:rsidRPr="00513069">
              <w:rPr>
                <w:rFonts w:asciiTheme="minorHAnsi" w:hAnsiTheme="minorHAnsi" w:cstheme="minorHAnsi"/>
                <w:spacing w:val="-13"/>
              </w:rPr>
              <w:t xml:space="preserve"> </w:t>
            </w:r>
            <w:r w:rsidRPr="00513069">
              <w:rPr>
                <w:rFonts w:asciiTheme="minorHAnsi" w:hAnsiTheme="minorHAnsi" w:cstheme="minorHAnsi"/>
              </w:rPr>
              <w:t>of</w:t>
            </w:r>
            <w:r w:rsidRPr="00513069">
              <w:rPr>
                <w:rFonts w:asciiTheme="minorHAnsi" w:hAnsiTheme="minorHAnsi" w:cstheme="minorHAnsi"/>
                <w:spacing w:val="-16"/>
              </w:rPr>
              <w:t xml:space="preserve"> </w:t>
            </w:r>
            <w:r w:rsidRPr="00513069">
              <w:rPr>
                <w:rFonts w:asciiTheme="minorHAnsi" w:hAnsiTheme="minorHAnsi" w:cstheme="minorHAnsi"/>
              </w:rPr>
              <w:t>the</w:t>
            </w:r>
            <w:r w:rsidRPr="00513069">
              <w:rPr>
                <w:rFonts w:asciiTheme="minorHAnsi" w:hAnsiTheme="minorHAnsi" w:cstheme="minorHAnsi"/>
                <w:spacing w:val="-13"/>
              </w:rPr>
              <w:t xml:space="preserve"> </w:t>
            </w:r>
            <w:r w:rsidRPr="00513069">
              <w:rPr>
                <w:rFonts w:asciiTheme="minorHAnsi" w:hAnsiTheme="minorHAnsi" w:cstheme="minorHAnsi"/>
              </w:rPr>
              <w:t>institution that retains the right to the data.</w:t>
            </w:r>
          </w:p>
        </w:tc>
        <w:tc>
          <w:tcPr>
            <w:tcW w:w="3929" w:type="dxa"/>
          </w:tcPr>
          <w:p w14:paraId="3418C3DA" w14:textId="77777777" w:rsidR="00336042" w:rsidRPr="00513069" w:rsidRDefault="00336042">
            <w:pPr>
              <w:pStyle w:val="TableParagraph"/>
              <w:spacing w:line="253" w:lineRule="exact"/>
              <w:ind w:left="143"/>
              <w:rPr>
                <w:rFonts w:asciiTheme="minorHAnsi" w:hAnsiTheme="minorHAnsi" w:cstheme="minorHAnsi"/>
                <w:spacing w:val="-5"/>
              </w:rPr>
            </w:pPr>
            <w:r w:rsidRPr="00513069">
              <w:rPr>
                <w:rFonts w:asciiTheme="minorHAnsi" w:hAnsiTheme="minorHAnsi" w:cstheme="minorHAnsi"/>
              </w:rPr>
              <w:t xml:space="preserve">Included in online data source tool, </w:t>
            </w:r>
            <w:hyperlink r:id="rId28" w:history="1">
              <w:r w:rsidRPr="00513069">
                <w:rPr>
                  <w:rStyle w:val="Hyperlink"/>
                  <w:rFonts w:asciiTheme="minorHAnsi" w:eastAsia="Aptos" w:hAnsiTheme="minorHAnsi" w:cstheme="minorHAnsi"/>
                </w:rPr>
                <w:t>https://ghdx.healthdata.org/gbd-2023/sources</w:t>
              </w:r>
            </w:hyperlink>
          </w:p>
        </w:tc>
      </w:tr>
      <w:tr w:rsidR="00336042" w:rsidRPr="00513069" w14:paraId="62392A7F" w14:textId="77777777">
        <w:trPr>
          <w:trHeight w:val="299"/>
        </w:trPr>
        <w:tc>
          <w:tcPr>
            <w:tcW w:w="9330" w:type="dxa"/>
            <w:gridSpan w:val="5"/>
            <w:shd w:val="clear" w:color="auto" w:fill="A6A6A6" w:themeFill="background1" w:themeFillShade="A6"/>
          </w:tcPr>
          <w:p w14:paraId="675926FA"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b/>
                <w:spacing w:val="-2"/>
              </w:rPr>
              <w:t>Data</w:t>
            </w:r>
            <w:r w:rsidRPr="00513069">
              <w:rPr>
                <w:rFonts w:asciiTheme="minorHAnsi" w:hAnsiTheme="minorHAnsi" w:cstheme="minorHAnsi"/>
                <w:b/>
                <w:spacing w:val="-12"/>
              </w:rPr>
              <w:t xml:space="preserve"> </w:t>
            </w:r>
            <w:r w:rsidRPr="00513069">
              <w:rPr>
                <w:rFonts w:asciiTheme="minorHAnsi" w:hAnsiTheme="minorHAnsi" w:cstheme="minorHAnsi"/>
                <w:b/>
                <w:spacing w:val="-2"/>
              </w:rPr>
              <w:t>analysis</w:t>
            </w:r>
          </w:p>
        </w:tc>
      </w:tr>
      <w:tr w:rsidR="00336042" w:rsidRPr="00513069" w14:paraId="2DBCBEAE" w14:textId="77777777">
        <w:trPr>
          <w:trHeight w:val="299"/>
        </w:trPr>
        <w:tc>
          <w:tcPr>
            <w:tcW w:w="901" w:type="dxa"/>
            <w:gridSpan w:val="2"/>
          </w:tcPr>
          <w:p w14:paraId="462036A2" w14:textId="77777777" w:rsidR="00336042" w:rsidRPr="00513069" w:rsidRDefault="00336042">
            <w:pPr>
              <w:pStyle w:val="TableParagraph"/>
              <w:spacing w:before="135"/>
              <w:rPr>
                <w:rFonts w:asciiTheme="minorHAnsi" w:hAnsiTheme="minorHAnsi" w:cstheme="minorHAnsi"/>
                <w:i/>
              </w:rPr>
            </w:pPr>
          </w:p>
          <w:p w14:paraId="5CDCBF4A" w14:textId="77777777" w:rsidR="00336042" w:rsidRPr="00513069" w:rsidRDefault="00336042">
            <w:pPr>
              <w:pStyle w:val="TableParagraph"/>
              <w:rPr>
                <w:rFonts w:asciiTheme="minorHAnsi" w:hAnsiTheme="minorHAnsi" w:cstheme="minorHAnsi"/>
                <w:b/>
                <w:spacing w:val="-2"/>
              </w:rPr>
            </w:pPr>
            <w:r w:rsidRPr="00513069">
              <w:rPr>
                <w:rFonts w:asciiTheme="minorHAnsi" w:hAnsiTheme="minorHAnsi" w:cstheme="minorHAnsi"/>
                <w:spacing w:val="-10"/>
              </w:rPr>
              <w:t>9</w:t>
            </w:r>
          </w:p>
        </w:tc>
        <w:tc>
          <w:tcPr>
            <w:tcW w:w="4500" w:type="dxa"/>
            <w:gridSpan w:val="2"/>
          </w:tcPr>
          <w:p w14:paraId="1BA35CF1"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spacing w:val="-2"/>
              </w:rPr>
              <w:t>Provide</w:t>
            </w:r>
            <w:r w:rsidRPr="00513069">
              <w:rPr>
                <w:rFonts w:asciiTheme="minorHAnsi" w:hAnsiTheme="minorHAnsi" w:cstheme="minorHAnsi"/>
                <w:spacing w:val="-15"/>
              </w:rPr>
              <w:t xml:space="preserve"> </w:t>
            </w:r>
            <w:r w:rsidRPr="00513069">
              <w:rPr>
                <w:rFonts w:asciiTheme="minorHAnsi" w:hAnsiTheme="minorHAnsi" w:cstheme="minorHAnsi"/>
                <w:spacing w:val="-2"/>
              </w:rPr>
              <w:t>a</w:t>
            </w:r>
            <w:r w:rsidRPr="00513069">
              <w:rPr>
                <w:rFonts w:asciiTheme="minorHAnsi" w:hAnsiTheme="minorHAnsi" w:cstheme="minorHAnsi"/>
                <w:spacing w:val="-18"/>
              </w:rPr>
              <w:t xml:space="preserve"> </w:t>
            </w:r>
            <w:r w:rsidRPr="00513069">
              <w:rPr>
                <w:rFonts w:asciiTheme="minorHAnsi" w:hAnsiTheme="minorHAnsi" w:cstheme="minorHAnsi"/>
                <w:spacing w:val="-2"/>
              </w:rPr>
              <w:t>conceptual</w:t>
            </w:r>
            <w:r w:rsidRPr="00513069">
              <w:rPr>
                <w:rFonts w:asciiTheme="minorHAnsi" w:hAnsiTheme="minorHAnsi" w:cstheme="minorHAnsi"/>
                <w:spacing w:val="-18"/>
              </w:rPr>
              <w:t xml:space="preserve"> </w:t>
            </w:r>
            <w:r w:rsidRPr="00513069">
              <w:rPr>
                <w:rFonts w:asciiTheme="minorHAnsi" w:hAnsiTheme="minorHAnsi" w:cstheme="minorHAnsi"/>
                <w:spacing w:val="-2"/>
              </w:rPr>
              <w:t>overview</w:t>
            </w:r>
            <w:r w:rsidRPr="00513069">
              <w:rPr>
                <w:rFonts w:asciiTheme="minorHAnsi" w:hAnsiTheme="minorHAnsi" w:cstheme="minorHAnsi"/>
                <w:spacing w:val="-19"/>
              </w:rPr>
              <w:t xml:space="preserve"> </w:t>
            </w:r>
            <w:r w:rsidRPr="00513069">
              <w:rPr>
                <w:rFonts w:asciiTheme="minorHAnsi" w:hAnsiTheme="minorHAnsi" w:cstheme="minorHAnsi"/>
                <w:spacing w:val="-2"/>
              </w:rPr>
              <w:t>of</w:t>
            </w:r>
            <w:r w:rsidRPr="00513069">
              <w:rPr>
                <w:rFonts w:asciiTheme="minorHAnsi" w:hAnsiTheme="minorHAnsi" w:cstheme="minorHAnsi"/>
                <w:spacing w:val="-18"/>
              </w:rPr>
              <w:t xml:space="preserve"> </w:t>
            </w:r>
            <w:r w:rsidRPr="00513069">
              <w:rPr>
                <w:rFonts w:asciiTheme="minorHAnsi" w:hAnsiTheme="minorHAnsi" w:cstheme="minorHAnsi"/>
                <w:spacing w:val="-2"/>
              </w:rPr>
              <w:t>the</w:t>
            </w:r>
            <w:r w:rsidRPr="00513069">
              <w:rPr>
                <w:rFonts w:asciiTheme="minorHAnsi" w:hAnsiTheme="minorHAnsi" w:cstheme="minorHAnsi"/>
                <w:spacing w:val="-17"/>
              </w:rPr>
              <w:t xml:space="preserve"> </w:t>
            </w:r>
            <w:r w:rsidRPr="00513069">
              <w:rPr>
                <w:rFonts w:asciiTheme="minorHAnsi" w:hAnsiTheme="minorHAnsi" w:cstheme="minorHAnsi"/>
                <w:spacing w:val="-2"/>
              </w:rPr>
              <w:t xml:space="preserve">data </w:t>
            </w:r>
            <w:r w:rsidRPr="00513069">
              <w:rPr>
                <w:rFonts w:asciiTheme="minorHAnsi" w:hAnsiTheme="minorHAnsi" w:cstheme="minorHAnsi"/>
              </w:rPr>
              <w:t>analysis method. A</w:t>
            </w:r>
            <w:r w:rsidRPr="00513069">
              <w:rPr>
                <w:rFonts w:asciiTheme="minorHAnsi" w:hAnsiTheme="minorHAnsi" w:cstheme="minorHAnsi"/>
                <w:spacing w:val="-1"/>
              </w:rPr>
              <w:t xml:space="preserve"> </w:t>
            </w:r>
            <w:r w:rsidRPr="00513069">
              <w:rPr>
                <w:rFonts w:asciiTheme="minorHAnsi" w:hAnsiTheme="minorHAnsi" w:cstheme="minorHAnsi"/>
              </w:rPr>
              <w:t xml:space="preserve">diagram may be </w:t>
            </w:r>
            <w:r w:rsidRPr="00513069">
              <w:rPr>
                <w:rFonts w:asciiTheme="minorHAnsi" w:hAnsiTheme="minorHAnsi" w:cstheme="minorHAnsi"/>
                <w:spacing w:val="-2"/>
              </w:rPr>
              <w:t>helpful.</w:t>
            </w:r>
          </w:p>
        </w:tc>
        <w:tc>
          <w:tcPr>
            <w:tcW w:w="3929" w:type="dxa"/>
          </w:tcPr>
          <w:p w14:paraId="653141F8"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Main text (Methods) and Methods appendix </w:t>
            </w:r>
          </w:p>
        </w:tc>
      </w:tr>
      <w:tr w:rsidR="00336042" w:rsidRPr="00513069" w14:paraId="75E24C7B" w14:textId="77777777">
        <w:trPr>
          <w:trHeight w:val="299"/>
        </w:trPr>
        <w:tc>
          <w:tcPr>
            <w:tcW w:w="901" w:type="dxa"/>
            <w:gridSpan w:val="2"/>
          </w:tcPr>
          <w:p w14:paraId="3CEBEF27" w14:textId="77777777" w:rsidR="00336042" w:rsidRPr="00513069" w:rsidRDefault="00336042">
            <w:pPr>
              <w:pStyle w:val="TableParagraph"/>
              <w:rPr>
                <w:rFonts w:asciiTheme="minorHAnsi" w:hAnsiTheme="minorHAnsi" w:cstheme="minorHAnsi"/>
                <w:i/>
              </w:rPr>
            </w:pPr>
          </w:p>
          <w:p w14:paraId="4242921F" w14:textId="77777777" w:rsidR="00336042" w:rsidRPr="00513069" w:rsidRDefault="00336042">
            <w:pPr>
              <w:pStyle w:val="TableParagraph"/>
              <w:rPr>
                <w:rFonts w:asciiTheme="minorHAnsi" w:hAnsiTheme="minorHAnsi" w:cstheme="minorHAnsi"/>
                <w:i/>
              </w:rPr>
            </w:pPr>
          </w:p>
          <w:p w14:paraId="0EEC78C5" w14:textId="77777777" w:rsidR="00336042" w:rsidRPr="00513069" w:rsidRDefault="00336042">
            <w:pPr>
              <w:pStyle w:val="TableParagraph"/>
              <w:spacing w:before="167"/>
              <w:rPr>
                <w:rFonts w:asciiTheme="minorHAnsi" w:hAnsiTheme="minorHAnsi" w:cstheme="minorHAnsi"/>
                <w:i/>
              </w:rPr>
            </w:pPr>
          </w:p>
          <w:p w14:paraId="20E1D850" w14:textId="77777777" w:rsidR="00336042" w:rsidRPr="00513069" w:rsidRDefault="00336042">
            <w:pPr>
              <w:pStyle w:val="TableParagraph"/>
              <w:spacing w:before="135"/>
              <w:rPr>
                <w:rFonts w:asciiTheme="minorHAnsi" w:hAnsiTheme="minorHAnsi" w:cstheme="minorHAnsi"/>
                <w:i/>
              </w:rPr>
            </w:pPr>
            <w:r w:rsidRPr="00513069">
              <w:rPr>
                <w:rFonts w:asciiTheme="minorHAnsi" w:hAnsiTheme="minorHAnsi" w:cstheme="minorHAnsi"/>
                <w:spacing w:val="-5"/>
              </w:rPr>
              <w:t>10</w:t>
            </w:r>
          </w:p>
        </w:tc>
        <w:tc>
          <w:tcPr>
            <w:tcW w:w="4500" w:type="dxa"/>
            <w:gridSpan w:val="2"/>
          </w:tcPr>
          <w:p w14:paraId="13343820" w14:textId="77777777" w:rsidR="00336042" w:rsidRPr="00513069" w:rsidRDefault="00336042">
            <w:pPr>
              <w:pStyle w:val="TableParagraph"/>
              <w:spacing w:line="253" w:lineRule="exact"/>
              <w:ind w:left="143"/>
              <w:rPr>
                <w:rFonts w:asciiTheme="minorHAnsi" w:hAnsiTheme="minorHAnsi" w:cstheme="minorHAnsi"/>
                <w:spacing w:val="-2"/>
              </w:rPr>
            </w:pPr>
            <w:r w:rsidRPr="00513069">
              <w:rPr>
                <w:rFonts w:asciiTheme="minorHAnsi" w:hAnsiTheme="minorHAnsi" w:cstheme="minorHAnsi"/>
                <w:spacing w:val="-2"/>
              </w:rPr>
              <w:t>Provide</w:t>
            </w:r>
            <w:r w:rsidRPr="00513069">
              <w:rPr>
                <w:rFonts w:asciiTheme="minorHAnsi" w:hAnsiTheme="minorHAnsi" w:cstheme="minorHAnsi"/>
                <w:spacing w:val="-9"/>
              </w:rPr>
              <w:t xml:space="preserve"> </w:t>
            </w:r>
            <w:r w:rsidRPr="00513069">
              <w:rPr>
                <w:rFonts w:asciiTheme="minorHAnsi" w:hAnsiTheme="minorHAnsi" w:cstheme="minorHAnsi"/>
                <w:spacing w:val="-2"/>
              </w:rPr>
              <w:t>a</w:t>
            </w:r>
            <w:r w:rsidRPr="00513069">
              <w:rPr>
                <w:rFonts w:asciiTheme="minorHAnsi" w:hAnsiTheme="minorHAnsi" w:cstheme="minorHAnsi"/>
                <w:spacing w:val="-12"/>
              </w:rPr>
              <w:t xml:space="preserve"> </w:t>
            </w:r>
            <w:r w:rsidRPr="00513069">
              <w:rPr>
                <w:rFonts w:asciiTheme="minorHAnsi" w:hAnsiTheme="minorHAnsi" w:cstheme="minorHAnsi"/>
                <w:spacing w:val="-2"/>
              </w:rPr>
              <w:t>detailed</w:t>
            </w:r>
            <w:r w:rsidRPr="00513069">
              <w:rPr>
                <w:rFonts w:asciiTheme="minorHAnsi" w:hAnsiTheme="minorHAnsi" w:cstheme="minorHAnsi"/>
                <w:spacing w:val="-11"/>
              </w:rPr>
              <w:t xml:space="preserve"> </w:t>
            </w:r>
            <w:r w:rsidRPr="00513069">
              <w:rPr>
                <w:rFonts w:asciiTheme="minorHAnsi" w:hAnsiTheme="minorHAnsi" w:cstheme="minorHAnsi"/>
                <w:spacing w:val="-2"/>
              </w:rPr>
              <w:t>description</w:t>
            </w:r>
            <w:r w:rsidRPr="00513069">
              <w:rPr>
                <w:rFonts w:asciiTheme="minorHAnsi" w:hAnsiTheme="minorHAnsi" w:cstheme="minorHAnsi"/>
                <w:spacing w:val="-12"/>
              </w:rPr>
              <w:t xml:space="preserve"> </w:t>
            </w:r>
            <w:r w:rsidRPr="00513069">
              <w:rPr>
                <w:rFonts w:asciiTheme="minorHAnsi" w:hAnsiTheme="minorHAnsi" w:cstheme="minorHAnsi"/>
                <w:spacing w:val="-2"/>
              </w:rPr>
              <w:t>of</w:t>
            </w:r>
            <w:r w:rsidRPr="00513069">
              <w:rPr>
                <w:rFonts w:asciiTheme="minorHAnsi" w:hAnsiTheme="minorHAnsi" w:cstheme="minorHAnsi"/>
                <w:spacing w:val="-10"/>
              </w:rPr>
              <w:t xml:space="preserve"> </w:t>
            </w:r>
            <w:r w:rsidRPr="00513069">
              <w:rPr>
                <w:rFonts w:asciiTheme="minorHAnsi" w:hAnsiTheme="minorHAnsi" w:cstheme="minorHAnsi"/>
                <w:spacing w:val="-2"/>
              </w:rPr>
              <w:t>all</w:t>
            </w:r>
            <w:r w:rsidRPr="00513069">
              <w:rPr>
                <w:rFonts w:asciiTheme="minorHAnsi" w:hAnsiTheme="minorHAnsi" w:cstheme="minorHAnsi"/>
                <w:spacing w:val="-12"/>
              </w:rPr>
              <w:t xml:space="preserve"> </w:t>
            </w:r>
            <w:r w:rsidRPr="00513069">
              <w:rPr>
                <w:rFonts w:asciiTheme="minorHAnsi" w:hAnsiTheme="minorHAnsi" w:cstheme="minorHAnsi"/>
                <w:spacing w:val="-2"/>
              </w:rPr>
              <w:t>steps</w:t>
            </w:r>
            <w:r w:rsidRPr="00513069">
              <w:rPr>
                <w:rFonts w:asciiTheme="minorHAnsi" w:hAnsiTheme="minorHAnsi" w:cstheme="minorHAnsi"/>
                <w:spacing w:val="-12"/>
              </w:rPr>
              <w:t xml:space="preserve"> </w:t>
            </w:r>
            <w:r w:rsidRPr="00513069">
              <w:rPr>
                <w:rFonts w:asciiTheme="minorHAnsi" w:hAnsiTheme="minorHAnsi" w:cstheme="minorHAnsi"/>
                <w:spacing w:val="-2"/>
              </w:rPr>
              <w:t xml:space="preserve">of </w:t>
            </w:r>
            <w:r w:rsidRPr="00513069">
              <w:rPr>
                <w:rFonts w:asciiTheme="minorHAnsi" w:hAnsiTheme="minorHAnsi" w:cstheme="minorHAnsi"/>
              </w:rPr>
              <w:t>the analysis, including mathematical formulae.</w:t>
            </w:r>
            <w:r w:rsidRPr="00513069">
              <w:rPr>
                <w:rFonts w:asciiTheme="minorHAnsi" w:hAnsiTheme="minorHAnsi" w:cstheme="minorHAnsi"/>
                <w:spacing w:val="-17"/>
              </w:rPr>
              <w:t xml:space="preserve"> </w:t>
            </w:r>
            <w:r w:rsidRPr="00513069">
              <w:rPr>
                <w:rFonts w:asciiTheme="minorHAnsi" w:hAnsiTheme="minorHAnsi" w:cstheme="minorHAnsi"/>
              </w:rPr>
              <w:t>This</w:t>
            </w:r>
            <w:r w:rsidRPr="00513069">
              <w:rPr>
                <w:rFonts w:asciiTheme="minorHAnsi" w:hAnsiTheme="minorHAnsi" w:cstheme="minorHAnsi"/>
                <w:spacing w:val="-18"/>
              </w:rPr>
              <w:t xml:space="preserve"> </w:t>
            </w:r>
            <w:r w:rsidRPr="00513069">
              <w:rPr>
                <w:rFonts w:asciiTheme="minorHAnsi" w:hAnsiTheme="minorHAnsi" w:cstheme="minorHAnsi"/>
              </w:rPr>
              <w:t>description</w:t>
            </w:r>
            <w:r w:rsidRPr="00513069">
              <w:rPr>
                <w:rFonts w:asciiTheme="minorHAnsi" w:hAnsiTheme="minorHAnsi" w:cstheme="minorHAnsi"/>
                <w:spacing w:val="-16"/>
              </w:rPr>
              <w:t xml:space="preserve"> </w:t>
            </w:r>
            <w:r w:rsidRPr="00513069">
              <w:rPr>
                <w:rFonts w:asciiTheme="minorHAnsi" w:hAnsiTheme="minorHAnsi" w:cstheme="minorHAnsi"/>
              </w:rPr>
              <w:t>should</w:t>
            </w:r>
            <w:r w:rsidRPr="00513069">
              <w:rPr>
                <w:rFonts w:asciiTheme="minorHAnsi" w:hAnsiTheme="minorHAnsi" w:cstheme="minorHAnsi"/>
                <w:spacing w:val="-16"/>
              </w:rPr>
              <w:t xml:space="preserve"> </w:t>
            </w:r>
            <w:r w:rsidRPr="00513069">
              <w:rPr>
                <w:rFonts w:asciiTheme="minorHAnsi" w:hAnsiTheme="minorHAnsi" w:cstheme="minorHAnsi"/>
              </w:rPr>
              <w:t>cover,</w:t>
            </w:r>
            <w:r w:rsidRPr="00513069">
              <w:rPr>
                <w:rFonts w:asciiTheme="minorHAnsi" w:hAnsiTheme="minorHAnsi" w:cstheme="minorHAnsi"/>
                <w:spacing w:val="-17"/>
              </w:rPr>
              <w:t xml:space="preserve"> </w:t>
            </w:r>
            <w:r w:rsidRPr="00513069">
              <w:rPr>
                <w:rFonts w:asciiTheme="minorHAnsi" w:hAnsiTheme="minorHAnsi" w:cstheme="minorHAnsi"/>
              </w:rPr>
              <w:t>as relevant, data cleaning, data pre-processing, data adjustments and weighting of data sources, and mathematical or statistical model(s).</w:t>
            </w:r>
          </w:p>
        </w:tc>
        <w:tc>
          <w:tcPr>
            <w:tcW w:w="3929" w:type="dxa"/>
          </w:tcPr>
          <w:p w14:paraId="5559ECE7"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spacing w:val="-4"/>
              </w:rPr>
              <w:t>Methods appendix</w:t>
            </w:r>
          </w:p>
        </w:tc>
      </w:tr>
      <w:tr w:rsidR="00336042" w:rsidRPr="00513069" w14:paraId="617696BB" w14:textId="77777777">
        <w:trPr>
          <w:trHeight w:val="299"/>
        </w:trPr>
        <w:tc>
          <w:tcPr>
            <w:tcW w:w="901" w:type="dxa"/>
            <w:gridSpan w:val="2"/>
          </w:tcPr>
          <w:p w14:paraId="059D007A" w14:textId="77777777" w:rsidR="00336042" w:rsidRPr="00513069" w:rsidRDefault="00336042">
            <w:pPr>
              <w:pStyle w:val="TableParagraph"/>
              <w:spacing w:before="135"/>
              <w:rPr>
                <w:rFonts w:asciiTheme="minorHAnsi" w:hAnsiTheme="minorHAnsi" w:cstheme="minorHAnsi"/>
                <w:i/>
              </w:rPr>
            </w:pPr>
          </w:p>
          <w:p w14:paraId="7327EA1C" w14:textId="77777777" w:rsidR="00336042" w:rsidRPr="00513069" w:rsidRDefault="00336042">
            <w:pPr>
              <w:pStyle w:val="TableParagraph"/>
              <w:rPr>
                <w:rFonts w:asciiTheme="minorHAnsi" w:hAnsiTheme="minorHAnsi" w:cstheme="minorHAnsi"/>
                <w:i/>
              </w:rPr>
            </w:pPr>
            <w:r w:rsidRPr="00513069">
              <w:rPr>
                <w:rFonts w:asciiTheme="minorHAnsi" w:hAnsiTheme="minorHAnsi" w:cstheme="minorHAnsi"/>
                <w:spacing w:val="-5"/>
              </w:rPr>
              <w:t>11</w:t>
            </w:r>
          </w:p>
        </w:tc>
        <w:tc>
          <w:tcPr>
            <w:tcW w:w="4500" w:type="dxa"/>
            <w:gridSpan w:val="2"/>
          </w:tcPr>
          <w:p w14:paraId="5D4D314D" w14:textId="77777777" w:rsidR="00336042" w:rsidRPr="00513069" w:rsidRDefault="00336042">
            <w:pPr>
              <w:pStyle w:val="TableParagraph"/>
              <w:spacing w:line="253" w:lineRule="exact"/>
              <w:ind w:left="143"/>
              <w:rPr>
                <w:rFonts w:asciiTheme="minorHAnsi" w:hAnsiTheme="minorHAnsi" w:cstheme="minorHAnsi"/>
                <w:spacing w:val="-2"/>
              </w:rPr>
            </w:pPr>
            <w:r w:rsidRPr="00513069">
              <w:rPr>
                <w:rFonts w:asciiTheme="minorHAnsi" w:hAnsiTheme="minorHAnsi" w:cstheme="minorHAnsi"/>
              </w:rPr>
              <w:t xml:space="preserve">Describe how candidate models were </w:t>
            </w:r>
            <w:r w:rsidRPr="00513069">
              <w:rPr>
                <w:rFonts w:asciiTheme="minorHAnsi" w:hAnsiTheme="minorHAnsi" w:cstheme="minorHAnsi"/>
                <w:spacing w:val="-2"/>
              </w:rPr>
              <w:t>evaluated</w:t>
            </w:r>
            <w:r w:rsidRPr="00513069">
              <w:rPr>
                <w:rFonts w:asciiTheme="minorHAnsi" w:hAnsiTheme="minorHAnsi" w:cstheme="minorHAnsi"/>
                <w:spacing w:val="-17"/>
              </w:rPr>
              <w:t xml:space="preserve"> </w:t>
            </w:r>
            <w:r w:rsidRPr="00513069">
              <w:rPr>
                <w:rFonts w:asciiTheme="minorHAnsi" w:hAnsiTheme="minorHAnsi" w:cstheme="minorHAnsi"/>
                <w:spacing w:val="-2"/>
              </w:rPr>
              <w:t>and</w:t>
            </w:r>
            <w:r w:rsidRPr="00513069">
              <w:rPr>
                <w:rFonts w:asciiTheme="minorHAnsi" w:hAnsiTheme="minorHAnsi" w:cstheme="minorHAnsi"/>
                <w:spacing w:val="-16"/>
              </w:rPr>
              <w:t xml:space="preserve"> </w:t>
            </w:r>
            <w:r w:rsidRPr="00513069">
              <w:rPr>
                <w:rFonts w:asciiTheme="minorHAnsi" w:hAnsiTheme="minorHAnsi" w:cstheme="minorHAnsi"/>
                <w:spacing w:val="-2"/>
              </w:rPr>
              <w:t>how</w:t>
            </w:r>
            <w:r w:rsidRPr="00513069">
              <w:rPr>
                <w:rFonts w:asciiTheme="minorHAnsi" w:hAnsiTheme="minorHAnsi" w:cstheme="minorHAnsi"/>
                <w:spacing w:val="-18"/>
              </w:rPr>
              <w:t xml:space="preserve"> </w:t>
            </w:r>
            <w:r w:rsidRPr="00513069">
              <w:rPr>
                <w:rFonts w:asciiTheme="minorHAnsi" w:hAnsiTheme="minorHAnsi" w:cstheme="minorHAnsi"/>
                <w:spacing w:val="-2"/>
              </w:rPr>
              <w:t>the</w:t>
            </w:r>
            <w:r w:rsidRPr="00513069">
              <w:rPr>
                <w:rFonts w:asciiTheme="minorHAnsi" w:hAnsiTheme="minorHAnsi" w:cstheme="minorHAnsi"/>
                <w:spacing w:val="-16"/>
              </w:rPr>
              <w:t xml:space="preserve"> </w:t>
            </w:r>
            <w:r w:rsidRPr="00513069">
              <w:rPr>
                <w:rFonts w:asciiTheme="minorHAnsi" w:hAnsiTheme="minorHAnsi" w:cstheme="minorHAnsi"/>
                <w:spacing w:val="-2"/>
              </w:rPr>
              <w:t>final</w:t>
            </w:r>
            <w:r w:rsidRPr="00513069">
              <w:rPr>
                <w:rFonts w:asciiTheme="minorHAnsi" w:hAnsiTheme="minorHAnsi" w:cstheme="minorHAnsi"/>
                <w:spacing w:val="-17"/>
              </w:rPr>
              <w:t xml:space="preserve"> </w:t>
            </w:r>
            <w:r w:rsidRPr="00513069">
              <w:rPr>
                <w:rFonts w:asciiTheme="minorHAnsi" w:hAnsiTheme="minorHAnsi" w:cstheme="minorHAnsi"/>
                <w:spacing w:val="-2"/>
              </w:rPr>
              <w:t>model(s)</w:t>
            </w:r>
            <w:r w:rsidRPr="00513069">
              <w:rPr>
                <w:rFonts w:asciiTheme="minorHAnsi" w:hAnsiTheme="minorHAnsi" w:cstheme="minorHAnsi"/>
                <w:spacing w:val="-17"/>
              </w:rPr>
              <w:t xml:space="preserve"> </w:t>
            </w:r>
            <w:r w:rsidRPr="00513069">
              <w:rPr>
                <w:rFonts w:asciiTheme="minorHAnsi" w:hAnsiTheme="minorHAnsi" w:cstheme="minorHAnsi"/>
                <w:spacing w:val="-2"/>
              </w:rPr>
              <w:t>were selected.</w:t>
            </w:r>
          </w:p>
        </w:tc>
        <w:tc>
          <w:tcPr>
            <w:tcW w:w="3929" w:type="dxa"/>
          </w:tcPr>
          <w:p w14:paraId="75693DD9" w14:textId="77777777" w:rsidR="00336042" w:rsidRPr="00513069" w:rsidRDefault="00336042">
            <w:pPr>
              <w:pStyle w:val="TableParagraph"/>
              <w:spacing w:line="253" w:lineRule="exact"/>
              <w:ind w:left="143"/>
              <w:rPr>
                <w:rFonts w:asciiTheme="minorHAnsi" w:hAnsiTheme="minorHAnsi" w:cstheme="minorHAnsi"/>
                <w:spacing w:val="-4"/>
              </w:rPr>
            </w:pPr>
            <w:r w:rsidRPr="00513069">
              <w:rPr>
                <w:rFonts w:asciiTheme="minorHAnsi" w:hAnsiTheme="minorHAnsi" w:cstheme="minorHAnsi"/>
              </w:rPr>
              <w:t>Methods appendix</w:t>
            </w:r>
          </w:p>
        </w:tc>
      </w:tr>
      <w:tr w:rsidR="00336042" w:rsidRPr="00513069" w14:paraId="5EEC676F" w14:textId="77777777">
        <w:trPr>
          <w:trHeight w:val="299"/>
        </w:trPr>
        <w:tc>
          <w:tcPr>
            <w:tcW w:w="901" w:type="dxa"/>
            <w:gridSpan w:val="2"/>
          </w:tcPr>
          <w:p w14:paraId="1D81692A" w14:textId="77777777" w:rsidR="00336042" w:rsidRPr="00513069" w:rsidRDefault="00336042">
            <w:pPr>
              <w:pStyle w:val="TableParagraph"/>
              <w:spacing w:before="135"/>
              <w:rPr>
                <w:rFonts w:asciiTheme="minorHAnsi" w:hAnsiTheme="minorHAnsi" w:cstheme="minorHAnsi"/>
                <w:i/>
              </w:rPr>
            </w:pPr>
          </w:p>
          <w:p w14:paraId="08AC32F3" w14:textId="77777777" w:rsidR="00336042" w:rsidRPr="00513069" w:rsidRDefault="00336042">
            <w:pPr>
              <w:pStyle w:val="TableParagraph"/>
              <w:spacing w:before="135"/>
              <w:rPr>
                <w:rFonts w:asciiTheme="minorHAnsi" w:hAnsiTheme="minorHAnsi" w:cstheme="minorHAnsi"/>
                <w:i/>
              </w:rPr>
            </w:pPr>
            <w:r w:rsidRPr="00513069">
              <w:rPr>
                <w:rFonts w:asciiTheme="minorHAnsi" w:hAnsiTheme="minorHAnsi" w:cstheme="minorHAnsi"/>
                <w:spacing w:val="-5"/>
              </w:rPr>
              <w:t>12</w:t>
            </w:r>
          </w:p>
        </w:tc>
        <w:tc>
          <w:tcPr>
            <w:tcW w:w="4500" w:type="dxa"/>
            <w:gridSpan w:val="2"/>
          </w:tcPr>
          <w:p w14:paraId="512B3AB7"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Provide the results of an evaluation of model</w:t>
            </w:r>
            <w:r w:rsidRPr="00513069">
              <w:rPr>
                <w:rFonts w:asciiTheme="minorHAnsi" w:hAnsiTheme="minorHAnsi" w:cstheme="minorHAnsi"/>
                <w:spacing w:val="-18"/>
              </w:rPr>
              <w:t xml:space="preserve"> </w:t>
            </w:r>
            <w:r w:rsidRPr="00513069">
              <w:rPr>
                <w:rFonts w:asciiTheme="minorHAnsi" w:hAnsiTheme="minorHAnsi" w:cstheme="minorHAnsi"/>
              </w:rPr>
              <w:t>performance,</w:t>
            </w:r>
            <w:r w:rsidRPr="00513069">
              <w:rPr>
                <w:rFonts w:asciiTheme="minorHAnsi" w:hAnsiTheme="minorHAnsi" w:cstheme="minorHAnsi"/>
                <w:spacing w:val="-17"/>
              </w:rPr>
              <w:t xml:space="preserve"> </w:t>
            </w:r>
            <w:r w:rsidRPr="00513069">
              <w:rPr>
                <w:rFonts w:asciiTheme="minorHAnsi" w:hAnsiTheme="minorHAnsi" w:cstheme="minorHAnsi"/>
              </w:rPr>
              <w:t>if</w:t>
            </w:r>
            <w:r w:rsidRPr="00513069">
              <w:rPr>
                <w:rFonts w:asciiTheme="minorHAnsi" w:hAnsiTheme="minorHAnsi" w:cstheme="minorHAnsi"/>
                <w:spacing w:val="-18"/>
              </w:rPr>
              <w:t xml:space="preserve"> </w:t>
            </w:r>
            <w:r w:rsidRPr="00513069">
              <w:rPr>
                <w:rFonts w:asciiTheme="minorHAnsi" w:hAnsiTheme="minorHAnsi" w:cstheme="minorHAnsi"/>
              </w:rPr>
              <w:t>done,</w:t>
            </w:r>
            <w:r w:rsidRPr="00513069">
              <w:rPr>
                <w:rFonts w:asciiTheme="minorHAnsi" w:hAnsiTheme="minorHAnsi" w:cstheme="minorHAnsi"/>
                <w:spacing w:val="-19"/>
              </w:rPr>
              <w:t xml:space="preserve"> </w:t>
            </w:r>
            <w:r w:rsidRPr="00513069">
              <w:rPr>
                <w:rFonts w:asciiTheme="minorHAnsi" w:hAnsiTheme="minorHAnsi" w:cstheme="minorHAnsi"/>
              </w:rPr>
              <w:t>as</w:t>
            </w:r>
            <w:r w:rsidRPr="00513069">
              <w:rPr>
                <w:rFonts w:asciiTheme="minorHAnsi" w:hAnsiTheme="minorHAnsi" w:cstheme="minorHAnsi"/>
                <w:spacing w:val="-16"/>
              </w:rPr>
              <w:t xml:space="preserve"> </w:t>
            </w:r>
            <w:r w:rsidRPr="00513069">
              <w:rPr>
                <w:rFonts w:asciiTheme="minorHAnsi" w:hAnsiTheme="minorHAnsi" w:cstheme="minorHAnsi"/>
              </w:rPr>
              <w:t>well</w:t>
            </w:r>
            <w:r w:rsidRPr="00513069">
              <w:rPr>
                <w:rFonts w:asciiTheme="minorHAnsi" w:hAnsiTheme="minorHAnsi" w:cstheme="minorHAnsi"/>
                <w:spacing w:val="-18"/>
              </w:rPr>
              <w:t xml:space="preserve"> </w:t>
            </w:r>
            <w:r w:rsidRPr="00513069">
              <w:rPr>
                <w:rFonts w:asciiTheme="minorHAnsi" w:hAnsiTheme="minorHAnsi" w:cstheme="minorHAnsi"/>
              </w:rPr>
              <w:t>as</w:t>
            </w:r>
            <w:r w:rsidRPr="00513069">
              <w:rPr>
                <w:rFonts w:asciiTheme="minorHAnsi" w:hAnsiTheme="minorHAnsi" w:cstheme="minorHAnsi"/>
                <w:spacing w:val="-15"/>
              </w:rPr>
              <w:t xml:space="preserve"> </w:t>
            </w:r>
            <w:r w:rsidRPr="00513069">
              <w:rPr>
                <w:rFonts w:asciiTheme="minorHAnsi" w:hAnsiTheme="minorHAnsi" w:cstheme="minorHAnsi"/>
              </w:rPr>
              <w:t>the results</w:t>
            </w:r>
            <w:r w:rsidRPr="00513069">
              <w:rPr>
                <w:rFonts w:asciiTheme="minorHAnsi" w:hAnsiTheme="minorHAnsi" w:cstheme="minorHAnsi"/>
                <w:spacing w:val="-18"/>
              </w:rPr>
              <w:t xml:space="preserve"> </w:t>
            </w:r>
            <w:r w:rsidRPr="00513069">
              <w:rPr>
                <w:rFonts w:asciiTheme="minorHAnsi" w:hAnsiTheme="minorHAnsi" w:cstheme="minorHAnsi"/>
              </w:rPr>
              <w:t>of</w:t>
            </w:r>
            <w:r w:rsidRPr="00513069">
              <w:rPr>
                <w:rFonts w:asciiTheme="minorHAnsi" w:hAnsiTheme="minorHAnsi" w:cstheme="minorHAnsi"/>
                <w:spacing w:val="-18"/>
              </w:rPr>
              <w:t xml:space="preserve"> </w:t>
            </w:r>
            <w:r w:rsidRPr="00513069">
              <w:rPr>
                <w:rFonts w:asciiTheme="minorHAnsi" w:hAnsiTheme="minorHAnsi" w:cstheme="minorHAnsi"/>
              </w:rPr>
              <w:t>any</w:t>
            </w:r>
            <w:r w:rsidRPr="00513069">
              <w:rPr>
                <w:rFonts w:asciiTheme="minorHAnsi" w:hAnsiTheme="minorHAnsi" w:cstheme="minorHAnsi"/>
                <w:spacing w:val="-18"/>
              </w:rPr>
              <w:t xml:space="preserve"> </w:t>
            </w:r>
            <w:r w:rsidRPr="00513069">
              <w:rPr>
                <w:rFonts w:asciiTheme="minorHAnsi" w:hAnsiTheme="minorHAnsi" w:cstheme="minorHAnsi"/>
              </w:rPr>
              <w:t>relevant</w:t>
            </w:r>
            <w:r w:rsidRPr="00513069">
              <w:rPr>
                <w:rFonts w:asciiTheme="minorHAnsi" w:hAnsiTheme="minorHAnsi" w:cstheme="minorHAnsi"/>
                <w:spacing w:val="-18"/>
              </w:rPr>
              <w:t xml:space="preserve"> </w:t>
            </w:r>
            <w:r w:rsidRPr="00513069">
              <w:rPr>
                <w:rFonts w:asciiTheme="minorHAnsi" w:hAnsiTheme="minorHAnsi" w:cstheme="minorHAnsi"/>
              </w:rPr>
              <w:t>sensitivity</w:t>
            </w:r>
            <w:r w:rsidRPr="00513069">
              <w:rPr>
                <w:rFonts w:asciiTheme="minorHAnsi" w:hAnsiTheme="minorHAnsi" w:cstheme="minorHAnsi"/>
                <w:spacing w:val="-17"/>
              </w:rPr>
              <w:t xml:space="preserve"> </w:t>
            </w:r>
            <w:r w:rsidRPr="00513069">
              <w:rPr>
                <w:rFonts w:asciiTheme="minorHAnsi" w:hAnsiTheme="minorHAnsi" w:cstheme="minorHAnsi"/>
              </w:rPr>
              <w:t>analysis.</w:t>
            </w:r>
          </w:p>
        </w:tc>
        <w:tc>
          <w:tcPr>
            <w:tcW w:w="3929" w:type="dxa"/>
          </w:tcPr>
          <w:p w14:paraId="02785F4B"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Methods appendix</w:t>
            </w:r>
          </w:p>
        </w:tc>
      </w:tr>
      <w:tr w:rsidR="00336042" w:rsidRPr="00513069" w14:paraId="315A463D" w14:textId="77777777">
        <w:trPr>
          <w:trHeight w:val="299"/>
        </w:trPr>
        <w:tc>
          <w:tcPr>
            <w:tcW w:w="901" w:type="dxa"/>
            <w:gridSpan w:val="2"/>
          </w:tcPr>
          <w:p w14:paraId="2E48E718" w14:textId="77777777" w:rsidR="00336042" w:rsidRPr="00513069" w:rsidRDefault="00336042">
            <w:pPr>
              <w:pStyle w:val="TableParagraph"/>
              <w:rPr>
                <w:rFonts w:asciiTheme="minorHAnsi" w:hAnsiTheme="minorHAnsi" w:cstheme="minorHAnsi"/>
                <w:i/>
              </w:rPr>
            </w:pPr>
          </w:p>
          <w:p w14:paraId="3DD63F10" w14:textId="77777777" w:rsidR="00336042" w:rsidRPr="00513069" w:rsidRDefault="00336042">
            <w:pPr>
              <w:pStyle w:val="TableParagraph"/>
              <w:rPr>
                <w:rFonts w:asciiTheme="minorHAnsi" w:hAnsiTheme="minorHAnsi" w:cstheme="minorHAnsi"/>
                <w:i/>
              </w:rPr>
            </w:pPr>
          </w:p>
          <w:p w14:paraId="5F3E1D41" w14:textId="77777777" w:rsidR="00336042" w:rsidRPr="00513069" w:rsidRDefault="00336042">
            <w:pPr>
              <w:pStyle w:val="TableParagraph"/>
              <w:rPr>
                <w:rFonts w:asciiTheme="minorHAnsi" w:hAnsiTheme="minorHAnsi" w:cstheme="minorHAnsi"/>
                <w:i/>
              </w:rPr>
            </w:pPr>
          </w:p>
          <w:p w14:paraId="6CF53BA6" w14:textId="77777777" w:rsidR="00336042" w:rsidRPr="00513069" w:rsidRDefault="00336042">
            <w:pPr>
              <w:pStyle w:val="TableParagraph"/>
              <w:spacing w:before="48"/>
              <w:rPr>
                <w:rFonts w:asciiTheme="minorHAnsi" w:hAnsiTheme="minorHAnsi" w:cstheme="minorHAnsi"/>
                <w:i/>
              </w:rPr>
            </w:pPr>
          </w:p>
          <w:p w14:paraId="16FE44DF" w14:textId="77777777" w:rsidR="00336042" w:rsidRPr="00513069" w:rsidRDefault="00336042">
            <w:pPr>
              <w:pStyle w:val="TableParagraph"/>
              <w:spacing w:before="135"/>
              <w:rPr>
                <w:rFonts w:asciiTheme="minorHAnsi" w:hAnsiTheme="minorHAnsi" w:cstheme="minorHAnsi"/>
                <w:i/>
              </w:rPr>
            </w:pPr>
            <w:r w:rsidRPr="00513069">
              <w:rPr>
                <w:rFonts w:asciiTheme="minorHAnsi" w:hAnsiTheme="minorHAnsi" w:cstheme="minorHAnsi"/>
                <w:spacing w:val="-5"/>
              </w:rPr>
              <w:t>13</w:t>
            </w:r>
          </w:p>
        </w:tc>
        <w:tc>
          <w:tcPr>
            <w:tcW w:w="4500" w:type="dxa"/>
            <w:gridSpan w:val="2"/>
          </w:tcPr>
          <w:p w14:paraId="33A4D257"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 xml:space="preserve">Describe methods for calculating uncertainty of the estimates. State which </w:t>
            </w:r>
            <w:r w:rsidRPr="00513069">
              <w:rPr>
                <w:rFonts w:asciiTheme="minorHAnsi" w:hAnsiTheme="minorHAnsi" w:cstheme="minorHAnsi"/>
                <w:spacing w:val="-2"/>
              </w:rPr>
              <w:t>sources</w:t>
            </w:r>
            <w:r w:rsidRPr="00513069">
              <w:rPr>
                <w:rFonts w:asciiTheme="minorHAnsi" w:hAnsiTheme="minorHAnsi" w:cstheme="minorHAnsi"/>
                <w:spacing w:val="-15"/>
              </w:rPr>
              <w:t xml:space="preserve"> </w:t>
            </w:r>
            <w:r w:rsidRPr="00513069">
              <w:rPr>
                <w:rFonts w:asciiTheme="minorHAnsi" w:hAnsiTheme="minorHAnsi" w:cstheme="minorHAnsi"/>
                <w:spacing w:val="-2"/>
              </w:rPr>
              <w:t>of</w:t>
            </w:r>
            <w:r w:rsidRPr="00513069">
              <w:rPr>
                <w:rFonts w:asciiTheme="minorHAnsi" w:hAnsiTheme="minorHAnsi" w:cstheme="minorHAnsi"/>
                <w:spacing w:val="-15"/>
              </w:rPr>
              <w:t xml:space="preserve"> </w:t>
            </w:r>
            <w:r w:rsidRPr="00513069">
              <w:rPr>
                <w:rFonts w:asciiTheme="minorHAnsi" w:hAnsiTheme="minorHAnsi" w:cstheme="minorHAnsi"/>
                <w:spacing w:val="-2"/>
              </w:rPr>
              <w:t>uncertainty</w:t>
            </w:r>
            <w:r w:rsidRPr="00513069">
              <w:rPr>
                <w:rFonts w:asciiTheme="minorHAnsi" w:hAnsiTheme="minorHAnsi" w:cstheme="minorHAnsi"/>
                <w:spacing w:val="-12"/>
              </w:rPr>
              <w:t xml:space="preserve"> </w:t>
            </w:r>
            <w:r w:rsidRPr="00513069">
              <w:rPr>
                <w:rFonts w:asciiTheme="minorHAnsi" w:hAnsiTheme="minorHAnsi" w:cstheme="minorHAnsi"/>
                <w:spacing w:val="-2"/>
              </w:rPr>
              <w:t>were,</w:t>
            </w:r>
            <w:r w:rsidRPr="00513069">
              <w:rPr>
                <w:rFonts w:asciiTheme="minorHAnsi" w:hAnsiTheme="minorHAnsi" w:cstheme="minorHAnsi"/>
                <w:spacing w:val="-16"/>
              </w:rPr>
              <w:t xml:space="preserve"> </w:t>
            </w:r>
            <w:r w:rsidRPr="00513069">
              <w:rPr>
                <w:rFonts w:asciiTheme="minorHAnsi" w:hAnsiTheme="minorHAnsi" w:cstheme="minorHAnsi"/>
                <w:spacing w:val="-2"/>
              </w:rPr>
              <w:t>and</w:t>
            </w:r>
            <w:r w:rsidRPr="00513069">
              <w:rPr>
                <w:rFonts w:asciiTheme="minorHAnsi" w:hAnsiTheme="minorHAnsi" w:cstheme="minorHAnsi"/>
                <w:spacing w:val="-12"/>
              </w:rPr>
              <w:t xml:space="preserve"> </w:t>
            </w:r>
            <w:r w:rsidRPr="00513069">
              <w:rPr>
                <w:rFonts w:asciiTheme="minorHAnsi" w:hAnsiTheme="minorHAnsi" w:cstheme="minorHAnsi"/>
                <w:spacing w:val="-2"/>
              </w:rPr>
              <w:t>were</w:t>
            </w:r>
            <w:r w:rsidRPr="00513069">
              <w:rPr>
                <w:rFonts w:asciiTheme="minorHAnsi" w:hAnsiTheme="minorHAnsi" w:cstheme="minorHAnsi"/>
                <w:spacing w:val="-12"/>
              </w:rPr>
              <w:t xml:space="preserve"> </w:t>
            </w:r>
            <w:r w:rsidRPr="00513069">
              <w:rPr>
                <w:rFonts w:asciiTheme="minorHAnsi" w:hAnsiTheme="minorHAnsi" w:cstheme="minorHAnsi"/>
                <w:spacing w:val="-2"/>
              </w:rPr>
              <w:t xml:space="preserve">not, </w:t>
            </w:r>
            <w:r w:rsidRPr="00513069">
              <w:rPr>
                <w:rFonts w:asciiTheme="minorHAnsi" w:hAnsiTheme="minorHAnsi" w:cstheme="minorHAnsi"/>
              </w:rPr>
              <w:t>accounted for in</w:t>
            </w:r>
            <w:r w:rsidRPr="00513069">
              <w:rPr>
                <w:rFonts w:asciiTheme="minorHAnsi" w:hAnsiTheme="minorHAnsi" w:cstheme="minorHAnsi"/>
                <w:spacing w:val="-1"/>
              </w:rPr>
              <w:t xml:space="preserve"> </w:t>
            </w:r>
            <w:r w:rsidRPr="00513069">
              <w:rPr>
                <w:rFonts w:asciiTheme="minorHAnsi" w:hAnsiTheme="minorHAnsi" w:cstheme="minorHAnsi"/>
              </w:rPr>
              <w:t>the uncertainty</w:t>
            </w:r>
            <w:r w:rsidRPr="00513069">
              <w:rPr>
                <w:rFonts w:asciiTheme="minorHAnsi" w:hAnsiTheme="minorHAnsi" w:cstheme="minorHAnsi"/>
                <w:spacing w:val="-1"/>
              </w:rPr>
              <w:t xml:space="preserve"> </w:t>
            </w:r>
            <w:r w:rsidRPr="00513069">
              <w:rPr>
                <w:rFonts w:asciiTheme="minorHAnsi" w:hAnsiTheme="minorHAnsi" w:cstheme="minorHAnsi"/>
              </w:rPr>
              <w:t>analysis.</w:t>
            </w:r>
          </w:p>
        </w:tc>
        <w:tc>
          <w:tcPr>
            <w:tcW w:w="3929" w:type="dxa"/>
          </w:tcPr>
          <w:p w14:paraId="55261757"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Methods appendix</w:t>
            </w:r>
          </w:p>
        </w:tc>
      </w:tr>
      <w:tr w:rsidR="00336042" w:rsidRPr="00513069" w14:paraId="0F1114B5" w14:textId="77777777">
        <w:trPr>
          <w:trHeight w:val="299"/>
        </w:trPr>
        <w:tc>
          <w:tcPr>
            <w:tcW w:w="901" w:type="dxa"/>
            <w:gridSpan w:val="2"/>
          </w:tcPr>
          <w:p w14:paraId="6F455FA2" w14:textId="77777777" w:rsidR="00336042" w:rsidRPr="00513069" w:rsidRDefault="00336042">
            <w:pPr>
              <w:pStyle w:val="TableParagraph"/>
              <w:spacing w:before="135"/>
              <w:rPr>
                <w:rFonts w:asciiTheme="minorHAnsi" w:hAnsiTheme="minorHAnsi" w:cstheme="minorHAnsi"/>
                <w:i/>
              </w:rPr>
            </w:pPr>
          </w:p>
          <w:p w14:paraId="5372C302" w14:textId="77777777" w:rsidR="00336042" w:rsidRPr="00513069" w:rsidRDefault="00336042">
            <w:pPr>
              <w:pStyle w:val="TableParagraph"/>
              <w:rPr>
                <w:rFonts w:asciiTheme="minorHAnsi" w:hAnsiTheme="minorHAnsi" w:cstheme="minorHAnsi"/>
                <w:i/>
              </w:rPr>
            </w:pPr>
            <w:r w:rsidRPr="00513069">
              <w:rPr>
                <w:rFonts w:asciiTheme="minorHAnsi" w:hAnsiTheme="minorHAnsi" w:cstheme="minorHAnsi"/>
                <w:spacing w:val="-5"/>
              </w:rPr>
              <w:t>14</w:t>
            </w:r>
          </w:p>
        </w:tc>
        <w:tc>
          <w:tcPr>
            <w:tcW w:w="4500" w:type="dxa"/>
            <w:gridSpan w:val="2"/>
          </w:tcPr>
          <w:p w14:paraId="74B018FD"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rPr>
              <w:t xml:space="preserve">State how analytic or statistical source </w:t>
            </w:r>
            <w:r w:rsidRPr="00513069">
              <w:rPr>
                <w:rFonts w:asciiTheme="minorHAnsi" w:hAnsiTheme="minorHAnsi" w:cstheme="minorHAnsi"/>
                <w:spacing w:val="-2"/>
              </w:rPr>
              <w:t>code</w:t>
            </w:r>
            <w:r w:rsidRPr="00513069">
              <w:rPr>
                <w:rFonts w:asciiTheme="minorHAnsi" w:hAnsiTheme="minorHAnsi" w:cstheme="minorHAnsi"/>
                <w:spacing w:val="-15"/>
              </w:rPr>
              <w:t xml:space="preserve"> </w:t>
            </w:r>
            <w:r w:rsidRPr="00513069">
              <w:rPr>
                <w:rFonts w:asciiTheme="minorHAnsi" w:hAnsiTheme="minorHAnsi" w:cstheme="minorHAnsi"/>
                <w:spacing w:val="-2"/>
              </w:rPr>
              <w:t>used</w:t>
            </w:r>
            <w:r w:rsidRPr="00513069">
              <w:rPr>
                <w:rFonts w:asciiTheme="minorHAnsi" w:hAnsiTheme="minorHAnsi" w:cstheme="minorHAnsi"/>
                <w:spacing w:val="-15"/>
              </w:rPr>
              <w:t xml:space="preserve"> </w:t>
            </w:r>
            <w:r w:rsidRPr="00513069">
              <w:rPr>
                <w:rFonts w:asciiTheme="minorHAnsi" w:hAnsiTheme="minorHAnsi" w:cstheme="minorHAnsi"/>
                <w:spacing w:val="-2"/>
              </w:rPr>
              <w:t>to</w:t>
            </w:r>
            <w:r w:rsidRPr="00513069">
              <w:rPr>
                <w:rFonts w:asciiTheme="minorHAnsi" w:hAnsiTheme="minorHAnsi" w:cstheme="minorHAnsi"/>
                <w:spacing w:val="-18"/>
              </w:rPr>
              <w:t xml:space="preserve"> </w:t>
            </w:r>
            <w:r w:rsidRPr="00513069">
              <w:rPr>
                <w:rFonts w:asciiTheme="minorHAnsi" w:hAnsiTheme="minorHAnsi" w:cstheme="minorHAnsi"/>
                <w:spacing w:val="-2"/>
              </w:rPr>
              <w:t>generate</w:t>
            </w:r>
            <w:r w:rsidRPr="00513069">
              <w:rPr>
                <w:rFonts w:asciiTheme="minorHAnsi" w:hAnsiTheme="minorHAnsi" w:cstheme="minorHAnsi"/>
                <w:spacing w:val="-17"/>
              </w:rPr>
              <w:t xml:space="preserve"> </w:t>
            </w:r>
            <w:r w:rsidRPr="00513069">
              <w:rPr>
                <w:rFonts w:asciiTheme="minorHAnsi" w:hAnsiTheme="minorHAnsi" w:cstheme="minorHAnsi"/>
                <w:spacing w:val="-2"/>
              </w:rPr>
              <w:t>estimates</w:t>
            </w:r>
            <w:r w:rsidRPr="00513069">
              <w:rPr>
                <w:rFonts w:asciiTheme="minorHAnsi" w:hAnsiTheme="minorHAnsi" w:cstheme="minorHAnsi"/>
                <w:spacing w:val="-15"/>
              </w:rPr>
              <w:t xml:space="preserve"> </w:t>
            </w:r>
            <w:r w:rsidRPr="00513069">
              <w:rPr>
                <w:rFonts w:asciiTheme="minorHAnsi" w:hAnsiTheme="minorHAnsi" w:cstheme="minorHAnsi"/>
                <w:spacing w:val="-2"/>
              </w:rPr>
              <w:t>can</w:t>
            </w:r>
            <w:r w:rsidRPr="00513069">
              <w:rPr>
                <w:rFonts w:asciiTheme="minorHAnsi" w:hAnsiTheme="minorHAnsi" w:cstheme="minorHAnsi"/>
                <w:spacing w:val="-18"/>
              </w:rPr>
              <w:t xml:space="preserve"> </w:t>
            </w:r>
            <w:r w:rsidRPr="00513069">
              <w:rPr>
                <w:rFonts w:asciiTheme="minorHAnsi" w:hAnsiTheme="minorHAnsi" w:cstheme="minorHAnsi"/>
                <w:spacing w:val="-2"/>
              </w:rPr>
              <w:t>be accessed.</w:t>
            </w:r>
          </w:p>
        </w:tc>
        <w:tc>
          <w:tcPr>
            <w:tcW w:w="3929" w:type="dxa"/>
          </w:tcPr>
          <w:p w14:paraId="22BB8604" w14:textId="77777777" w:rsidR="00336042" w:rsidRPr="00513069" w:rsidRDefault="00336042">
            <w:pPr>
              <w:pStyle w:val="TableParagraph"/>
              <w:spacing w:line="253" w:lineRule="exact"/>
              <w:ind w:left="143"/>
              <w:rPr>
                <w:rFonts w:asciiTheme="minorHAnsi" w:hAnsiTheme="minorHAnsi" w:cstheme="minorHAnsi"/>
              </w:rPr>
            </w:pPr>
            <w:r w:rsidRPr="00513069">
              <w:rPr>
                <w:rFonts w:asciiTheme="minorHAnsi" w:hAnsiTheme="minorHAnsi" w:cstheme="minorHAnsi"/>
                <w:spacing w:val="-2"/>
              </w:rPr>
              <w:t>This statement is provided in the methods appendix, “</w:t>
            </w:r>
            <w:r w:rsidRPr="00513069">
              <w:rPr>
                <w:rFonts w:asciiTheme="minorHAnsi" w:eastAsia="Calibri" w:hAnsiTheme="minorHAnsi" w:cstheme="minorHAnsi"/>
              </w:rPr>
              <w:t xml:space="preserve">Statistical code used for GBD estimation is available upon request - send requests to </w:t>
            </w:r>
            <w:hyperlink r:id="rId29" w:history="1">
              <w:r w:rsidRPr="00513069">
                <w:rPr>
                  <w:rStyle w:val="Hyperlink"/>
                  <w:rFonts w:asciiTheme="minorHAnsi" w:eastAsia="Calibri" w:hAnsiTheme="minorHAnsi" w:cstheme="minorHAnsi"/>
                </w:rPr>
                <w:t>engage@healthdata.org</w:t>
              </w:r>
            </w:hyperlink>
            <w:r w:rsidRPr="00513069">
              <w:rPr>
                <w:rFonts w:asciiTheme="minorHAnsi" w:eastAsia="Calibri" w:hAnsiTheme="minorHAnsi" w:cstheme="minorHAnsi"/>
              </w:rPr>
              <w:t>”</w:t>
            </w:r>
          </w:p>
        </w:tc>
      </w:tr>
      <w:tr w:rsidR="00336042" w:rsidRPr="00513069" w14:paraId="17D0E0E1" w14:textId="77777777">
        <w:trPr>
          <w:trHeight w:val="299"/>
        </w:trPr>
        <w:tc>
          <w:tcPr>
            <w:tcW w:w="9330" w:type="dxa"/>
            <w:gridSpan w:val="5"/>
          </w:tcPr>
          <w:tbl>
            <w:tblPr>
              <w:tblW w:w="9330" w:type="dxa"/>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854"/>
              <w:gridCol w:w="4437"/>
              <w:gridCol w:w="94"/>
              <w:gridCol w:w="3945"/>
            </w:tblGrid>
            <w:tr w:rsidR="00336042" w:rsidRPr="00513069" w14:paraId="3F9B9221" w14:textId="77777777">
              <w:trPr>
                <w:trHeight w:val="299"/>
              </w:trPr>
              <w:tc>
                <w:tcPr>
                  <w:tcW w:w="9330" w:type="dxa"/>
                  <w:gridSpan w:val="4"/>
                  <w:shd w:val="clear" w:color="auto" w:fill="C0C0C0"/>
                </w:tcPr>
                <w:p w14:paraId="1D5421A6" w14:textId="77777777" w:rsidR="00336042" w:rsidRPr="00513069" w:rsidRDefault="00336042">
                  <w:pPr>
                    <w:pStyle w:val="TableParagraph"/>
                    <w:spacing w:line="253" w:lineRule="exact"/>
                    <w:ind w:left="6"/>
                    <w:rPr>
                      <w:rFonts w:asciiTheme="minorHAnsi" w:hAnsiTheme="minorHAnsi" w:cstheme="minorHAnsi"/>
                      <w:b/>
                    </w:rPr>
                  </w:pPr>
                  <w:r w:rsidRPr="00513069">
                    <w:rPr>
                      <w:rFonts w:asciiTheme="minorHAnsi" w:hAnsiTheme="minorHAnsi" w:cstheme="minorHAnsi"/>
                      <w:b/>
                      <w:spacing w:val="-6"/>
                    </w:rPr>
                    <w:t>Results</w:t>
                  </w:r>
                  <w:r w:rsidRPr="00513069">
                    <w:rPr>
                      <w:rFonts w:asciiTheme="minorHAnsi" w:hAnsiTheme="minorHAnsi" w:cstheme="minorHAnsi"/>
                      <w:b/>
                      <w:spacing w:val="-13"/>
                    </w:rPr>
                    <w:t xml:space="preserve"> </w:t>
                  </w:r>
                  <w:r w:rsidRPr="00513069">
                    <w:rPr>
                      <w:rFonts w:asciiTheme="minorHAnsi" w:hAnsiTheme="minorHAnsi" w:cstheme="minorHAnsi"/>
                      <w:b/>
                      <w:spacing w:val="-6"/>
                    </w:rPr>
                    <w:t>and</w:t>
                  </w:r>
                  <w:r w:rsidRPr="00513069">
                    <w:rPr>
                      <w:rFonts w:asciiTheme="minorHAnsi" w:hAnsiTheme="minorHAnsi" w:cstheme="minorHAnsi"/>
                      <w:b/>
                      <w:spacing w:val="-14"/>
                    </w:rPr>
                    <w:t xml:space="preserve"> </w:t>
                  </w:r>
                  <w:r w:rsidRPr="00513069">
                    <w:rPr>
                      <w:rFonts w:asciiTheme="minorHAnsi" w:hAnsiTheme="minorHAnsi" w:cstheme="minorHAnsi"/>
                      <w:b/>
                      <w:spacing w:val="-6"/>
                    </w:rPr>
                    <w:t>Discussion</w:t>
                  </w:r>
                </w:p>
              </w:tc>
            </w:tr>
            <w:tr w:rsidR="00336042" w:rsidRPr="00513069" w14:paraId="4E3BC6FA" w14:textId="77777777">
              <w:trPr>
                <w:trHeight w:val="2658"/>
              </w:trPr>
              <w:tc>
                <w:tcPr>
                  <w:tcW w:w="854" w:type="dxa"/>
                </w:tcPr>
                <w:p w14:paraId="4E41D800" w14:textId="77777777" w:rsidR="00336042" w:rsidRPr="00513069" w:rsidRDefault="00336042">
                  <w:pPr>
                    <w:pStyle w:val="TableParagraph"/>
                    <w:rPr>
                      <w:rFonts w:asciiTheme="minorHAnsi" w:hAnsiTheme="minorHAnsi" w:cstheme="minorHAnsi"/>
                      <w:i/>
                    </w:rPr>
                  </w:pPr>
                </w:p>
                <w:p w14:paraId="4F0853F0" w14:textId="77777777" w:rsidR="00336042" w:rsidRPr="00513069" w:rsidRDefault="00336042">
                  <w:pPr>
                    <w:pStyle w:val="TableParagraph"/>
                    <w:rPr>
                      <w:rFonts w:asciiTheme="minorHAnsi" w:hAnsiTheme="minorHAnsi" w:cstheme="minorHAnsi"/>
                      <w:i/>
                    </w:rPr>
                  </w:pPr>
                </w:p>
                <w:p w14:paraId="0D88F329" w14:textId="77777777" w:rsidR="00336042" w:rsidRPr="00513069" w:rsidRDefault="00336042">
                  <w:pPr>
                    <w:pStyle w:val="TableParagraph"/>
                    <w:rPr>
                      <w:rFonts w:asciiTheme="minorHAnsi" w:hAnsiTheme="minorHAnsi" w:cstheme="minorHAnsi"/>
                      <w:i/>
                    </w:rPr>
                  </w:pPr>
                </w:p>
                <w:p w14:paraId="59E51E9F" w14:textId="77777777" w:rsidR="00336042" w:rsidRPr="00513069" w:rsidRDefault="00336042">
                  <w:pPr>
                    <w:pStyle w:val="TableParagraph"/>
                    <w:spacing w:before="183"/>
                    <w:rPr>
                      <w:rFonts w:asciiTheme="minorHAnsi" w:hAnsiTheme="minorHAnsi" w:cstheme="minorHAnsi"/>
                      <w:i/>
                    </w:rPr>
                  </w:pPr>
                </w:p>
                <w:p w14:paraId="45D4927A" w14:textId="77777777" w:rsidR="00336042" w:rsidRPr="00513069" w:rsidRDefault="00336042">
                  <w:pPr>
                    <w:pStyle w:val="TableParagraph"/>
                    <w:ind w:left="15"/>
                    <w:jc w:val="center"/>
                    <w:rPr>
                      <w:rFonts w:asciiTheme="minorHAnsi" w:hAnsiTheme="minorHAnsi" w:cstheme="minorHAnsi"/>
                    </w:rPr>
                  </w:pPr>
                  <w:r w:rsidRPr="00513069">
                    <w:rPr>
                      <w:rFonts w:asciiTheme="minorHAnsi" w:hAnsiTheme="minorHAnsi" w:cstheme="minorHAnsi"/>
                      <w:spacing w:val="-5"/>
                    </w:rPr>
                    <w:t>15</w:t>
                  </w:r>
                </w:p>
              </w:tc>
              <w:tc>
                <w:tcPr>
                  <w:tcW w:w="4531" w:type="dxa"/>
                  <w:gridSpan w:val="2"/>
                </w:tcPr>
                <w:p w14:paraId="07042E90" w14:textId="77777777" w:rsidR="00336042" w:rsidRPr="00513069" w:rsidRDefault="00336042">
                  <w:pPr>
                    <w:pStyle w:val="TableParagraph"/>
                    <w:spacing w:before="119" w:line="254" w:lineRule="auto"/>
                    <w:ind w:left="151" w:right="101"/>
                    <w:rPr>
                      <w:rFonts w:asciiTheme="minorHAnsi" w:hAnsiTheme="minorHAnsi" w:cstheme="minorHAnsi"/>
                    </w:rPr>
                  </w:pPr>
                  <w:r w:rsidRPr="00513069">
                    <w:rPr>
                      <w:rFonts w:asciiTheme="minorHAnsi" w:hAnsiTheme="minorHAnsi" w:cstheme="minorHAnsi"/>
                      <w:spacing w:val="-2"/>
                    </w:rPr>
                    <w:t>Provide</w:t>
                  </w:r>
                  <w:r w:rsidRPr="00513069">
                    <w:rPr>
                      <w:rFonts w:asciiTheme="minorHAnsi" w:hAnsiTheme="minorHAnsi" w:cstheme="minorHAnsi"/>
                      <w:spacing w:val="-11"/>
                    </w:rPr>
                    <w:t xml:space="preserve"> </w:t>
                  </w:r>
                  <w:r w:rsidRPr="00513069">
                    <w:rPr>
                      <w:rFonts w:asciiTheme="minorHAnsi" w:hAnsiTheme="minorHAnsi" w:cstheme="minorHAnsi"/>
                      <w:spacing w:val="-2"/>
                    </w:rPr>
                    <w:t>published</w:t>
                  </w:r>
                  <w:r w:rsidRPr="00513069">
                    <w:rPr>
                      <w:rFonts w:asciiTheme="minorHAnsi" w:hAnsiTheme="minorHAnsi" w:cstheme="minorHAnsi"/>
                      <w:spacing w:val="-11"/>
                    </w:rPr>
                    <w:t xml:space="preserve"> </w:t>
                  </w:r>
                  <w:r w:rsidRPr="00513069">
                    <w:rPr>
                      <w:rFonts w:asciiTheme="minorHAnsi" w:hAnsiTheme="minorHAnsi" w:cstheme="minorHAnsi"/>
                      <w:spacing w:val="-2"/>
                    </w:rPr>
                    <w:t>estimates</w:t>
                  </w:r>
                  <w:r w:rsidRPr="00513069">
                    <w:rPr>
                      <w:rFonts w:asciiTheme="minorHAnsi" w:hAnsiTheme="minorHAnsi" w:cstheme="minorHAnsi"/>
                      <w:spacing w:val="-8"/>
                    </w:rPr>
                    <w:t xml:space="preserve"> </w:t>
                  </w:r>
                  <w:r w:rsidRPr="00513069">
                    <w:rPr>
                      <w:rFonts w:asciiTheme="minorHAnsi" w:hAnsiTheme="minorHAnsi" w:cstheme="minorHAnsi"/>
                      <w:spacing w:val="-2"/>
                    </w:rPr>
                    <w:t>in</w:t>
                  </w:r>
                  <w:r w:rsidRPr="00513069">
                    <w:rPr>
                      <w:rFonts w:asciiTheme="minorHAnsi" w:hAnsiTheme="minorHAnsi" w:cstheme="minorHAnsi"/>
                      <w:spacing w:val="-12"/>
                    </w:rPr>
                    <w:t xml:space="preserve"> </w:t>
                  </w:r>
                  <w:r w:rsidRPr="00513069">
                    <w:rPr>
                      <w:rFonts w:asciiTheme="minorHAnsi" w:hAnsiTheme="minorHAnsi" w:cstheme="minorHAnsi"/>
                      <w:spacing w:val="-2"/>
                    </w:rPr>
                    <w:t>a</w:t>
                  </w:r>
                  <w:r w:rsidRPr="00513069">
                    <w:rPr>
                      <w:rFonts w:asciiTheme="minorHAnsi" w:hAnsiTheme="minorHAnsi" w:cstheme="minorHAnsi"/>
                      <w:spacing w:val="-12"/>
                    </w:rPr>
                    <w:t xml:space="preserve"> </w:t>
                  </w:r>
                  <w:r w:rsidRPr="00513069">
                    <w:rPr>
                      <w:rFonts w:asciiTheme="minorHAnsi" w:hAnsiTheme="minorHAnsi" w:cstheme="minorHAnsi"/>
                      <w:spacing w:val="-2"/>
                    </w:rPr>
                    <w:t>file</w:t>
                  </w:r>
                  <w:r w:rsidRPr="00513069">
                    <w:rPr>
                      <w:rFonts w:asciiTheme="minorHAnsi" w:hAnsiTheme="minorHAnsi" w:cstheme="minorHAnsi"/>
                      <w:spacing w:val="-11"/>
                    </w:rPr>
                    <w:t xml:space="preserve"> </w:t>
                  </w:r>
                  <w:r w:rsidRPr="00513069">
                    <w:rPr>
                      <w:rFonts w:asciiTheme="minorHAnsi" w:hAnsiTheme="minorHAnsi" w:cstheme="minorHAnsi"/>
                      <w:spacing w:val="-2"/>
                    </w:rPr>
                    <w:t xml:space="preserve">format </w:t>
                  </w:r>
                  <w:r w:rsidRPr="00513069">
                    <w:rPr>
                      <w:rFonts w:asciiTheme="minorHAnsi" w:hAnsiTheme="minorHAnsi" w:cstheme="minorHAnsi"/>
                    </w:rPr>
                    <w:t xml:space="preserve">from which data can be efficiently </w:t>
                  </w:r>
                  <w:r w:rsidRPr="00513069">
                    <w:rPr>
                      <w:rFonts w:asciiTheme="minorHAnsi" w:hAnsiTheme="minorHAnsi" w:cstheme="minorHAnsi"/>
                      <w:spacing w:val="-2"/>
                    </w:rPr>
                    <w:t>extracted.</w:t>
                  </w:r>
                </w:p>
              </w:tc>
              <w:tc>
                <w:tcPr>
                  <w:tcW w:w="3945" w:type="dxa"/>
                </w:tcPr>
                <w:p w14:paraId="467AEE6E" w14:textId="77777777" w:rsidR="00336042" w:rsidRPr="00513069" w:rsidRDefault="00336042">
                  <w:pPr>
                    <w:pStyle w:val="TableParagraph"/>
                    <w:spacing w:before="119" w:line="254" w:lineRule="auto"/>
                    <w:ind w:left="151" w:right="132"/>
                    <w:rPr>
                      <w:rStyle w:val="Hyperlink"/>
                      <w:rFonts w:asciiTheme="minorHAnsi" w:eastAsia="Calibri" w:hAnsiTheme="minorHAnsi" w:cstheme="minorHAnsi"/>
                    </w:rPr>
                  </w:pPr>
                  <w:r w:rsidRPr="00513069">
                    <w:rPr>
                      <w:rFonts w:asciiTheme="minorHAnsi" w:hAnsiTheme="minorHAnsi" w:cstheme="minorHAnsi"/>
                    </w:rPr>
                    <w:t xml:space="preserve">A full set of granular estimates can be found in the GBD Results Tool here: </w:t>
                  </w:r>
                  <w:r w:rsidRPr="00513069">
                    <w:rPr>
                      <w:rStyle w:val="Hyperlink"/>
                      <w:rFonts w:asciiTheme="minorHAnsi" w:eastAsia="Calibri" w:hAnsiTheme="minorHAnsi" w:cstheme="minorHAnsi"/>
                    </w:rPr>
                    <w:t xml:space="preserve"> </w:t>
                  </w:r>
                  <w:hyperlink r:id="rId30" w:history="1">
                    <w:r w:rsidRPr="00513069">
                      <w:rPr>
                        <w:rStyle w:val="Hyperlink"/>
                        <w:rFonts w:asciiTheme="minorHAnsi" w:eastAsia="Calibri" w:hAnsiTheme="minorHAnsi" w:cstheme="minorHAnsi"/>
                      </w:rPr>
                      <w:t>https://vizhub.healthdata.org/gbd-results</w:t>
                    </w:r>
                  </w:hyperlink>
                </w:p>
                <w:p w14:paraId="7519BA90" w14:textId="77777777" w:rsidR="00336042" w:rsidRPr="00513069" w:rsidRDefault="00336042">
                  <w:pPr>
                    <w:pStyle w:val="TableParagraph"/>
                    <w:spacing w:before="119" w:line="254" w:lineRule="auto"/>
                    <w:ind w:left="151" w:right="132"/>
                    <w:rPr>
                      <w:rFonts w:asciiTheme="minorHAnsi" w:hAnsiTheme="minorHAnsi" w:cstheme="minorHAnsi"/>
                    </w:rPr>
                  </w:pPr>
                  <w:r w:rsidRPr="00513069">
                    <w:rPr>
                      <w:rFonts w:asciiTheme="minorHAnsi" w:hAnsiTheme="minorHAnsi" w:cstheme="minorHAnsi"/>
                    </w:rPr>
                    <w:t>And</w:t>
                  </w:r>
                </w:p>
                <w:p w14:paraId="771726E3" w14:textId="77777777" w:rsidR="00336042" w:rsidRPr="00513069" w:rsidRDefault="00336042">
                  <w:pPr>
                    <w:pStyle w:val="TableParagraph"/>
                    <w:spacing w:before="119" w:line="254" w:lineRule="auto"/>
                    <w:ind w:left="151" w:right="132"/>
                    <w:rPr>
                      <w:rFonts w:asciiTheme="minorHAnsi" w:hAnsiTheme="minorHAnsi" w:cstheme="minorHAnsi"/>
                    </w:rPr>
                  </w:pPr>
                  <w:hyperlink r:id="rId31" w:tgtFrame="_blank" w:tooltip="https://urldefense.com/v3/__https://ghdx.healthdata.org/record/ihme-data/gbd-2023-meningitis-1990-2023__;!!K-Hz7m0Vt54!lo7Ouy6pIynkige__kLqJ-6VZa7cmhWdFNglRKN04W0RASX1T-F3pZxTmLL-qmAht9vd2xg6eYq2$" w:history="1">
                    <w:r w:rsidRPr="00513069">
                      <w:rPr>
                        <w:rStyle w:val="Hyperlink"/>
                        <w:rFonts w:asciiTheme="minorHAnsi" w:hAnsiTheme="minorHAnsi" w:cstheme="minorHAnsi"/>
                        <w:bdr w:val="none" w:sz="0" w:space="0" w:color="auto" w:frame="1"/>
                        <w:shd w:val="clear" w:color="auto" w:fill="FFFFFF"/>
                      </w:rPr>
                      <w:t>https://</w:t>
                    </w:r>
                    <w:r w:rsidRPr="00513069">
                      <w:rPr>
                        <w:rStyle w:val="markshjg6cg6h"/>
                        <w:rFonts w:asciiTheme="minorHAnsi" w:hAnsiTheme="minorHAnsi" w:cstheme="minorHAnsi"/>
                        <w:color w:val="0000FF"/>
                        <w:u w:val="single"/>
                        <w:bdr w:val="none" w:sz="0" w:space="0" w:color="auto" w:frame="1"/>
                        <w:shd w:val="clear" w:color="auto" w:fill="FFFFFF"/>
                      </w:rPr>
                      <w:t>ghdx</w:t>
                    </w:r>
                    <w:r w:rsidRPr="00513069">
                      <w:rPr>
                        <w:rStyle w:val="Hyperlink"/>
                        <w:rFonts w:asciiTheme="minorHAnsi" w:hAnsiTheme="minorHAnsi" w:cstheme="minorHAnsi"/>
                        <w:bdr w:val="none" w:sz="0" w:space="0" w:color="auto" w:frame="1"/>
                        <w:shd w:val="clear" w:color="auto" w:fill="FFFFFF"/>
                      </w:rPr>
                      <w:t>.healthdata.org/record/ihme-data/gbd-2023-meningitis-1990-2023</w:t>
                    </w:r>
                  </w:hyperlink>
                </w:p>
              </w:tc>
            </w:tr>
            <w:tr w:rsidR="00336042" w:rsidRPr="00513069" w14:paraId="696DB5C1" w14:textId="77777777">
              <w:trPr>
                <w:trHeight w:val="1312"/>
              </w:trPr>
              <w:tc>
                <w:tcPr>
                  <w:tcW w:w="854" w:type="dxa"/>
                </w:tcPr>
                <w:p w14:paraId="664D500A" w14:textId="77777777" w:rsidR="00336042" w:rsidRPr="00513069" w:rsidRDefault="00336042">
                  <w:pPr>
                    <w:pStyle w:val="TableParagraph"/>
                    <w:rPr>
                      <w:rFonts w:asciiTheme="minorHAnsi" w:hAnsiTheme="minorHAnsi" w:cstheme="minorHAnsi"/>
                      <w:i/>
                    </w:rPr>
                  </w:pPr>
                </w:p>
                <w:p w14:paraId="3F048D10" w14:textId="77777777" w:rsidR="00336042" w:rsidRPr="00513069" w:rsidRDefault="00336042">
                  <w:pPr>
                    <w:pStyle w:val="TableParagraph"/>
                    <w:spacing w:before="16"/>
                    <w:rPr>
                      <w:rFonts w:asciiTheme="minorHAnsi" w:hAnsiTheme="minorHAnsi" w:cstheme="minorHAnsi"/>
                      <w:i/>
                    </w:rPr>
                  </w:pPr>
                </w:p>
                <w:p w14:paraId="2CA47B33" w14:textId="77777777" w:rsidR="00336042" w:rsidRPr="00513069" w:rsidRDefault="00336042">
                  <w:pPr>
                    <w:pStyle w:val="TableParagraph"/>
                    <w:spacing w:before="1"/>
                    <w:ind w:left="15"/>
                    <w:jc w:val="center"/>
                    <w:rPr>
                      <w:rFonts w:asciiTheme="minorHAnsi" w:hAnsiTheme="minorHAnsi" w:cstheme="minorHAnsi"/>
                    </w:rPr>
                  </w:pPr>
                  <w:r w:rsidRPr="00513069">
                    <w:rPr>
                      <w:rFonts w:asciiTheme="minorHAnsi" w:hAnsiTheme="minorHAnsi" w:cstheme="minorHAnsi"/>
                      <w:spacing w:val="-5"/>
                    </w:rPr>
                    <w:t>16</w:t>
                  </w:r>
                </w:p>
              </w:tc>
              <w:tc>
                <w:tcPr>
                  <w:tcW w:w="4437" w:type="dxa"/>
                </w:tcPr>
                <w:p w14:paraId="3D172BF1" w14:textId="77777777" w:rsidR="00336042" w:rsidRPr="00513069" w:rsidRDefault="00336042">
                  <w:pPr>
                    <w:pStyle w:val="TableParagraph"/>
                    <w:spacing w:before="119" w:line="254" w:lineRule="auto"/>
                    <w:ind w:left="151" w:right="101"/>
                    <w:rPr>
                      <w:rFonts w:asciiTheme="minorHAnsi" w:hAnsiTheme="minorHAnsi" w:cstheme="minorHAnsi"/>
                    </w:rPr>
                  </w:pPr>
                  <w:r w:rsidRPr="00513069">
                    <w:rPr>
                      <w:rFonts w:asciiTheme="minorHAnsi" w:hAnsiTheme="minorHAnsi" w:cstheme="minorHAnsi"/>
                      <w:spacing w:val="-2"/>
                    </w:rPr>
                    <w:t>Report</w:t>
                  </w:r>
                  <w:r w:rsidRPr="00513069">
                    <w:rPr>
                      <w:rFonts w:asciiTheme="minorHAnsi" w:hAnsiTheme="minorHAnsi" w:cstheme="minorHAnsi"/>
                      <w:spacing w:val="-17"/>
                    </w:rPr>
                    <w:t xml:space="preserve"> </w:t>
                  </w:r>
                  <w:r w:rsidRPr="00513069">
                    <w:rPr>
                      <w:rFonts w:asciiTheme="minorHAnsi" w:hAnsiTheme="minorHAnsi" w:cstheme="minorHAnsi"/>
                      <w:spacing w:val="-2"/>
                    </w:rPr>
                    <w:t>a</w:t>
                  </w:r>
                  <w:r w:rsidRPr="00513069">
                    <w:rPr>
                      <w:rFonts w:asciiTheme="minorHAnsi" w:hAnsiTheme="minorHAnsi" w:cstheme="minorHAnsi"/>
                      <w:spacing w:val="-17"/>
                    </w:rPr>
                    <w:t xml:space="preserve"> </w:t>
                  </w:r>
                  <w:r w:rsidRPr="00513069">
                    <w:rPr>
                      <w:rFonts w:asciiTheme="minorHAnsi" w:hAnsiTheme="minorHAnsi" w:cstheme="minorHAnsi"/>
                      <w:spacing w:val="-2"/>
                    </w:rPr>
                    <w:t>quantitative</w:t>
                  </w:r>
                  <w:r w:rsidRPr="00513069">
                    <w:rPr>
                      <w:rFonts w:asciiTheme="minorHAnsi" w:hAnsiTheme="minorHAnsi" w:cstheme="minorHAnsi"/>
                      <w:spacing w:val="-16"/>
                    </w:rPr>
                    <w:t xml:space="preserve"> </w:t>
                  </w:r>
                  <w:r w:rsidRPr="00513069">
                    <w:rPr>
                      <w:rFonts w:asciiTheme="minorHAnsi" w:hAnsiTheme="minorHAnsi" w:cstheme="minorHAnsi"/>
                      <w:spacing w:val="-2"/>
                    </w:rPr>
                    <w:t>measure</w:t>
                  </w:r>
                  <w:r w:rsidRPr="00513069">
                    <w:rPr>
                      <w:rFonts w:asciiTheme="minorHAnsi" w:hAnsiTheme="minorHAnsi" w:cstheme="minorHAnsi"/>
                      <w:spacing w:val="-16"/>
                    </w:rPr>
                    <w:t xml:space="preserve"> </w:t>
                  </w:r>
                  <w:r w:rsidRPr="00513069">
                    <w:rPr>
                      <w:rFonts w:asciiTheme="minorHAnsi" w:hAnsiTheme="minorHAnsi" w:cstheme="minorHAnsi"/>
                      <w:spacing w:val="-2"/>
                    </w:rPr>
                    <w:t>of</w:t>
                  </w:r>
                  <w:r w:rsidRPr="00513069">
                    <w:rPr>
                      <w:rFonts w:asciiTheme="minorHAnsi" w:hAnsiTheme="minorHAnsi" w:cstheme="minorHAnsi"/>
                      <w:spacing w:val="-17"/>
                    </w:rPr>
                    <w:t xml:space="preserve"> </w:t>
                  </w:r>
                  <w:r w:rsidRPr="00513069">
                    <w:rPr>
                      <w:rFonts w:asciiTheme="minorHAnsi" w:hAnsiTheme="minorHAnsi" w:cstheme="minorHAnsi"/>
                      <w:spacing w:val="-2"/>
                    </w:rPr>
                    <w:t xml:space="preserve">the </w:t>
                  </w:r>
                  <w:r w:rsidRPr="00513069">
                    <w:rPr>
                      <w:rFonts w:asciiTheme="minorHAnsi" w:hAnsiTheme="minorHAnsi" w:cstheme="minorHAnsi"/>
                    </w:rPr>
                    <w:t>uncertainty of the estimates (e.g. uncertainty</w:t>
                  </w:r>
                  <w:r w:rsidRPr="00513069">
                    <w:rPr>
                      <w:rFonts w:asciiTheme="minorHAnsi" w:hAnsiTheme="minorHAnsi" w:cstheme="minorHAnsi"/>
                      <w:spacing w:val="-16"/>
                    </w:rPr>
                    <w:t xml:space="preserve"> </w:t>
                  </w:r>
                  <w:r w:rsidRPr="00513069">
                    <w:rPr>
                      <w:rFonts w:asciiTheme="minorHAnsi" w:hAnsiTheme="minorHAnsi" w:cstheme="minorHAnsi"/>
                    </w:rPr>
                    <w:t>intervals).</w:t>
                  </w:r>
                </w:p>
              </w:tc>
              <w:tc>
                <w:tcPr>
                  <w:tcW w:w="4039" w:type="dxa"/>
                  <w:gridSpan w:val="2"/>
                </w:tcPr>
                <w:p w14:paraId="3CFDA347" w14:textId="77777777" w:rsidR="00336042" w:rsidRPr="00513069" w:rsidRDefault="00336042">
                  <w:pPr>
                    <w:pStyle w:val="TableParagraph"/>
                    <w:spacing w:before="119" w:line="254" w:lineRule="auto"/>
                    <w:ind w:left="151" w:right="138"/>
                    <w:rPr>
                      <w:rFonts w:asciiTheme="minorHAnsi" w:hAnsiTheme="minorHAnsi" w:cstheme="minorHAnsi"/>
                    </w:rPr>
                  </w:pPr>
                  <w:r w:rsidRPr="00513069">
                    <w:rPr>
                      <w:rFonts w:asciiTheme="minorHAnsi" w:hAnsiTheme="minorHAnsi" w:cstheme="minorHAnsi"/>
                    </w:rPr>
                    <w:t xml:space="preserve">UIs given for all findings, including in </w:t>
                  </w:r>
                  <w:r w:rsidRPr="00513069">
                    <w:rPr>
                      <w:rFonts w:asciiTheme="minorHAnsi" w:hAnsiTheme="minorHAnsi" w:cstheme="minorHAnsi"/>
                      <w:spacing w:val="-2"/>
                    </w:rPr>
                    <w:t>the</w:t>
                  </w:r>
                  <w:r w:rsidRPr="00513069">
                    <w:rPr>
                      <w:rFonts w:asciiTheme="minorHAnsi" w:hAnsiTheme="minorHAnsi" w:cstheme="minorHAnsi"/>
                      <w:spacing w:val="-10"/>
                    </w:rPr>
                    <w:t xml:space="preserve"> </w:t>
                  </w:r>
                  <w:r w:rsidRPr="00513069">
                    <w:rPr>
                      <w:rFonts w:asciiTheme="minorHAnsi" w:hAnsiTheme="minorHAnsi" w:cstheme="minorHAnsi"/>
                      <w:spacing w:val="-2"/>
                    </w:rPr>
                    <w:t>text,</w:t>
                  </w:r>
                  <w:r w:rsidRPr="00513069">
                    <w:rPr>
                      <w:rFonts w:asciiTheme="minorHAnsi" w:hAnsiTheme="minorHAnsi" w:cstheme="minorHAnsi"/>
                      <w:spacing w:val="-12"/>
                    </w:rPr>
                    <w:t xml:space="preserve"> </w:t>
                  </w:r>
                  <w:r w:rsidRPr="00513069">
                    <w:rPr>
                      <w:rFonts w:asciiTheme="minorHAnsi" w:hAnsiTheme="minorHAnsi" w:cstheme="minorHAnsi"/>
                      <w:spacing w:val="-2"/>
                    </w:rPr>
                    <w:t>figures,</w:t>
                  </w:r>
                  <w:r w:rsidRPr="00513069">
                    <w:rPr>
                      <w:rFonts w:asciiTheme="minorHAnsi" w:hAnsiTheme="minorHAnsi" w:cstheme="minorHAnsi"/>
                      <w:spacing w:val="-15"/>
                    </w:rPr>
                    <w:t xml:space="preserve"> </w:t>
                  </w:r>
                  <w:r w:rsidRPr="00513069">
                    <w:rPr>
                      <w:rFonts w:asciiTheme="minorHAnsi" w:hAnsiTheme="minorHAnsi" w:cstheme="minorHAnsi"/>
                      <w:spacing w:val="-2"/>
                    </w:rPr>
                    <w:t>and</w:t>
                  </w:r>
                  <w:r w:rsidRPr="00513069">
                    <w:rPr>
                      <w:rFonts w:asciiTheme="minorHAnsi" w:hAnsiTheme="minorHAnsi" w:cstheme="minorHAnsi"/>
                      <w:spacing w:val="-12"/>
                    </w:rPr>
                    <w:t xml:space="preserve"> </w:t>
                  </w:r>
                  <w:r w:rsidRPr="00513069">
                    <w:rPr>
                      <w:rFonts w:asciiTheme="minorHAnsi" w:hAnsiTheme="minorHAnsi" w:cstheme="minorHAnsi"/>
                      <w:spacing w:val="-2"/>
                    </w:rPr>
                    <w:t>tables</w:t>
                  </w:r>
                  <w:r w:rsidRPr="00513069">
                    <w:rPr>
                      <w:rFonts w:asciiTheme="minorHAnsi" w:hAnsiTheme="minorHAnsi" w:cstheme="minorHAnsi"/>
                      <w:spacing w:val="-14"/>
                    </w:rPr>
                    <w:t xml:space="preserve"> </w:t>
                  </w:r>
                  <w:r w:rsidRPr="00513069">
                    <w:rPr>
                      <w:rFonts w:asciiTheme="minorHAnsi" w:hAnsiTheme="minorHAnsi" w:cstheme="minorHAnsi"/>
                      <w:spacing w:val="-2"/>
                    </w:rPr>
                    <w:t>in</w:t>
                  </w:r>
                  <w:r w:rsidRPr="00513069">
                    <w:rPr>
                      <w:rFonts w:asciiTheme="minorHAnsi" w:hAnsiTheme="minorHAnsi" w:cstheme="minorHAnsi"/>
                      <w:spacing w:val="-14"/>
                    </w:rPr>
                    <w:t xml:space="preserve"> </w:t>
                  </w:r>
                  <w:r w:rsidRPr="00513069">
                    <w:rPr>
                      <w:rFonts w:asciiTheme="minorHAnsi" w:hAnsiTheme="minorHAnsi" w:cstheme="minorHAnsi"/>
                      <w:spacing w:val="-2"/>
                    </w:rPr>
                    <w:t>the</w:t>
                  </w:r>
                  <w:r w:rsidRPr="00513069">
                    <w:rPr>
                      <w:rFonts w:asciiTheme="minorHAnsi" w:hAnsiTheme="minorHAnsi" w:cstheme="minorHAnsi"/>
                      <w:spacing w:val="-12"/>
                    </w:rPr>
                    <w:t xml:space="preserve"> </w:t>
                  </w:r>
                  <w:r w:rsidRPr="00513069">
                    <w:rPr>
                      <w:rFonts w:asciiTheme="minorHAnsi" w:hAnsiTheme="minorHAnsi" w:cstheme="minorHAnsi"/>
                      <w:spacing w:val="-2"/>
                    </w:rPr>
                    <w:t xml:space="preserve">main </w:t>
                  </w:r>
                  <w:r w:rsidRPr="00513069">
                    <w:rPr>
                      <w:rFonts w:asciiTheme="minorHAnsi" w:hAnsiTheme="minorHAnsi" w:cstheme="minorHAnsi"/>
                    </w:rPr>
                    <w:t>text</w:t>
                  </w:r>
                  <w:r w:rsidRPr="00513069">
                    <w:rPr>
                      <w:rFonts w:asciiTheme="minorHAnsi" w:hAnsiTheme="minorHAnsi" w:cstheme="minorHAnsi"/>
                      <w:spacing w:val="-5"/>
                    </w:rPr>
                    <w:t xml:space="preserve"> </w:t>
                  </w:r>
                  <w:r w:rsidRPr="00513069">
                    <w:rPr>
                      <w:rFonts w:asciiTheme="minorHAnsi" w:hAnsiTheme="minorHAnsi" w:cstheme="minorHAnsi"/>
                    </w:rPr>
                    <w:t>appendix results.</w:t>
                  </w:r>
                </w:p>
              </w:tc>
            </w:tr>
            <w:tr w:rsidR="00336042" w:rsidRPr="00513069" w14:paraId="42D6758D" w14:textId="77777777">
              <w:trPr>
                <w:trHeight w:val="1314"/>
              </w:trPr>
              <w:tc>
                <w:tcPr>
                  <w:tcW w:w="854" w:type="dxa"/>
                </w:tcPr>
                <w:p w14:paraId="30E29A96" w14:textId="77777777" w:rsidR="00336042" w:rsidRPr="00513069" w:rsidRDefault="00336042">
                  <w:pPr>
                    <w:pStyle w:val="TableParagraph"/>
                    <w:rPr>
                      <w:rFonts w:asciiTheme="minorHAnsi" w:hAnsiTheme="minorHAnsi" w:cstheme="minorHAnsi"/>
                      <w:i/>
                    </w:rPr>
                  </w:pPr>
                </w:p>
                <w:p w14:paraId="00512E6F" w14:textId="77777777" w:rsidR="00336042" w:rsidRPr="00513069" w:rsidRDefault="00336042">
                  <w:pPr>
                    <w:pStyle w:val="TableParagraph"/>
                    <w:spacing w:before="16"/>
                    <w:rPr>
                      <w:rFonts w:asciiTheme="minorHAnsi" w:hAnsiTheme="minorHAnsi" w:cstheme="minorHAnsi"/>
                      <w:i/>
                    </w:rPr>
                  </w:pPr>
                </w:p>
                <w:p w14:paraId="456F05CE" w14:textId="77777777" w:rsidR="00336042" w:rsidRPr="00513069" w:rsidRDefault="00336042">
                  <w:pPr>
                    <w:pStyle w:val="TableParagraph"/>
                    <w:spacing w:before="1"/>
                    <w:ind w:left="15"/>
                    <w:jc w:val="center"/>
                    <w:rPr>
                      <w:rFonts w:asciiTheme="minorHAnsi" w:hAnsiTheme="minorHAnsi" w:cstheme="minorHAnsi"/>
                    </w:rPr>
                  </w:pPr>
                  <w:r w:rsidRPr="00513069">
                    <w:rPr>
                      <w:rFonts w:asciiTheme="minorHAnsi" w:hAnsiTheme="minorHAnsi" w:cstheme="minorHAnsi"/>
                      <w:spacing w:val="-5"/>
                    </w:rPr>
                    <w:t>17</w:t>
                  </w:r>
                </w:p>
              </w:tc>
              <w:tc>
                <w:tcPr>
                  <w:tcW w:w="4437" w:type="dxa"/>
                </w:tcPr>
                <w:p w14:paraId="4F3E937E" w14:textId="77777777" w:rsidR="00336042" w:rsidRPr="00513069" w:rsidRDefault="00336042">
                  <w:pPr>
                    <w:pStyle w:val="TableParagraph"/>
                    <w:spacing w:before="122" w:line="254" w:lineRule="auto"/>
                    <w:ind w:left="151" w:right="101"/>
                    <w:rPr>
                      <w:rFonts w:asciiTheme="minorHAnsi" w:hAnsiTheme="minorHAnsi" w:cstheme="minorHAnsi"/>
                    </w:rPr>
                  </w:pPr>
                  <w:r w:rsidRPr="00513069">
                    <w:rPr>
                      <w:rFonts w:asciiTheme="minorHAnsi" w:hAnsiTheme="minorHAnsi" w:cstheme="minorHAnsi"/>
                    </w:rPr>
                    <w:t xml:space="preserve">Interpret results in light of existing </w:t>
                  </w:r>
                  <w:r w:rsidRPr="00513069">
                    <w:rPr>
                      <w:rFonts w:asciiTheme="minorHAnsi" w:hAnsiTheme="minorHAnsi" w:cstheme="minorHAnsi"/>
                      <w:spacing w:val="-2"/>
                    </w:rPr>
                    <w:t>evidence.</w:t>
                  </w:r>
                  <w:r w:rsidRPr="00513069">
                    <w:rPr>
                      <w:rFonts w:asciiTheme="minorHAnsi" w:hAnsiTheme="minorHAnsi" w:cstheme="minorHAnsi"/>
                      <w:spacing w:val="-17"/>
                    </w:rPr>
                    <w:t xml:space="preserve"> </w:t>
                  </w:r>
                  <w:r w:rsidRPr="00513069">
                    <w:rPr>
                      <w:rFonts w:asciiTheme="minorHAnsi" w:hAnsiTheme="minorHAnsi" w:cstheme="minorHAnsi"/>
                      <w:spacing w:val="-2"/>
                    </w:rPr>
                    <w:t>If</w:t>
                  </w:r>
                  <w:r w:rsidRPr="00513069">
                    <w:rPr>
                      <w:rFonts w:asciiTheme="minorHAnsi" w:hAnsiTheme="minorHAnsi" w:cstheme="minorHAnsi"/>
                      <w:spacing w:val="-18"/>
                    </w:rPr>
                    <w:t xml:space="preserve"> </w:t>
                  </w:r>
                  <w:r w:rsidRPr="00513069">
                    <w:rPr>
                      <w:rFonts w:asciiTheme="minorHAnsi" w:hAnsiTheme="minorHAnsi" w:cstheme="minorHAnsi"/>
                      <w:spacing w:val="-2"/>
                    </w:rPr>
                    <w:t>updating</w:t>
                  </w:r>
                  <w:r w:rsidRPr="00513069">
                    <w:rPr>
                      <w:rFonts w:asciiTheme="minorHAnsi" w:hAnsiTheme="minorHAnsi" w:cstheme="minorHAnsi"/>
                      <w:spacing w:val="-15"/>
                    </w:rPr>
                    <w:t xml:space="preserve"> </w:t>
                  </w:r>
                  <w:r w:rsidRPr="00513069">
                    <w:rPr>
                      <w:rFonts w:asciiTheme="minorHAnsi" w:hAnsiTheme="minorHAnsi" w:cstheme="minorHAnsi"/>
                      <w:spacing w:val="-2"/>
                    </w:rPr>
                    <w:t>a</w:t>
                  </w:r>
                  <w:r w:rsidRPr="00513069">
                    <w:rPr>
                      <w:rFonts w:asciiTheme="minorHAnsi" w:hAnsiTheme="minorHAnsi" w:cstheme="minorHAnsi"/>
                      <w:spacing w:val="-18"/>
                    </w:rPr>
                    <w:t xml:space="preserve"> </w:t>
                  </w:r>
                  <w:r w:rsidRPr="00513069">
                    <w:rPr>
                      <w:rFonts w:asciiTheme="minorHAnsi" w:hAnsiTheme="minorHAnsi" w:cstheme="minorHAnsi"/>
                      <w:spacing w:val="-2"/>
                    </w:rPr>
                    <w:t>previous</w:t>
                  </w:r>
                  <w:r w:rsidRPr="00513069">
                    <w:rPr>
                      <w:rFonts w:asciiTheme="minorHAnsi" w:hAnsiTheme="minorHAnsi" w:cstheme="minorHAnsi"/>
                      <w:spacing w:val="-18"/>
                    </w:rPr>
                    <w:t xml:space="preserve"> </w:t>
                  </w:r>
                  <w:r w:rsidRPr="00513069">
                    <w:rPr>
                      <w:rFonts w:asciiTheme="minorHAnsi" w:hAnsiTheme="minorHAnsi" w:cstheme="minorHAnsi"/>
                      <w:spacing w:val="-2"/>
                    </w:rPr>
                    <w:t>set</w:t>
                  </w:r>
                  <w:r w:rsidRPr="00513069">
                    <w:rPr>
                      <w:rFonts w:asciiTheme="minorHAnsi" w:hAnsiTheme="minorHAnsi" w:cstheme="minorHAnsi"/>
                      <w:spacing w:val="-18"/>
                    </w:rPr>
                    <w:t xml:space="preserve"> </w:t>
                  </w:r>
                  <w:r w:rsidRPr="00513069">
                    <w:rPr>
                      <w:rFonts w:asciiTheme="minorHAnsi" w:hAnsiTheme="minorHAnsi" w:cstheme="minorHAnsi"/>
                      <w:spacing w:val="-2"/>
                    </w:rPr>
                    <w:t xml:space="preserve">of </w:t>
                  </w:r>
                  <w:r w:rsidRPr="00513069">
                    <w:rPr>
                      <w:rFonts w:asciiTheme="minorHAnsi" w:hAnsiTheme="minorHAnsi" w:cstheme="minorHAnsi"/>
                    </w:rPr>
                    <w:t>estimates, describe the reasons for changes in estimates.</w:t>
                  </w:r>
                </w:p>
              </w:tc>
              <w:tc>
                <w:tcPr>
                  <w:tcW w:w="4039" w:type="dxa"/>
                  <w:gridSpan w:val="2"/>
                </w:tcPr>
                <w:p w14:paraId="2EAD20F7" w14:textId="77777777" w:rsidR="00336042" w:rsidRPr="00513069" w:rsidRDefault="00336042">
                  <w:pPr>
                    <w:pStyle w:val="TableParagraph"/>
                    <w:spacing w:before="122"/>
                    <w:ind w:left="151"/>
                    <w:rPr>
                      <w:rFonts w:asciiTheme="minorHAnsi" w:hAnsiTheme="minorHAnsi" w:cstheme="minorHAnsi"/>
                    </w:rPr>
                  </w:pPr>
                  <w:r w:rsidRPr="00513069">
                    <w:rPr>
                      <w:rFonts w:asciiTheme="minorHAnsi" w:hAnsiTheme="minorHAnsi" w:cstheme="minorHAnsi"/>
                      <w:spacing w:val="-4"/>
                    </w:rPr>
                    <w:t>Main</w:t>
                  </w:r>
                  <w:r w:rsidRPr="00513069">
                    <w:rPr>
                      <w:rFonts w:asciiTheme="minorHAnsi" w:hAnsiTheme="minorHAnsi" w:cstheme="minorHAnsi"/>
                      <w:spacing w:val="-11"/>
                    </w:rPr>
                    <w:t xml:space="preserve"> </w:t>
                  </w:r>
                  <w:r w:rsidRPr="00513069">
                    <w:rPr>
                      <w:rFonts w:asciiTheme="minorHAnsi" w:hAnsiTheme="minorHAnsi" w:cstheme="minorHAnsi"/>
                      <w:spacing w:val="-4"/>
                    </w:rPr>
                    <w:t>text</w:t>
                  </w:r>
                  <w:r w:rsidRPr="00513069">
                    <w:rPr>
                      <w:rFonts w:asciiTheme="minorHAnsi" w:hAnsiTheme="minorHAnsi" w:cstheme="minorHAnsi"/>
                      <w:spacing w:val="-11"/>
                    </w:rPr>
                    <w:t xml:space="preserve"> </w:t>
                  </w:r>
                  <w:r w:rsidRPr="00513069">
                    <w:rPr>
                      <w:rFonts w:asciiTheme="minorHAnsi" w:hAnsiTheme="minorHAnsi" w:cstheme="minorHAnsi"/>
                      <w:spacing w:val="-4"/>
                    </w:rPr>
                    <w:t>discussion</w:t>
                  </w:r>
                </w:p>
              </w:tc>
            </w:tr>
            <w:tr w:rsidR="00336042" w:rsidRPr="00513069" w14:paraId="1BF99AFB" w14:textId="77777777">
              <w:trPr>
                <w:trHeight w:val="1314"/>
              </w:trPr>
              <w:tc>
                <w:tcPr>
                  <w:tcW w:w="854" w:type="dxa"/>
                </w:tcPr>
                <w:p w14:paraId="3868898D" w14:textId="77777777" w:rsidR="00336042" w:rsidRPr="00513069" w:rsidRDefault="00336042">
                  <w:pPr>
                    <w:pStyle w:val="TableParagraph"/>
                    <w:rPr>
                      <w:rFonts w:asciiTheme="minorHAnsi" w:hAnsiTheme="minorHAnsi" w:cstheme="minorHAnsi"/>
                      <w:i/>
                    </w:rPr>
                  </w:pPr>
                </w:p>
                <w:p w14:paraId="1D71AC35" w14:textId="77777777" w:rsidR="00336042" w:rsidRPr="00513069" w:rsidRDefault="00336042">
                  <w:pPr>
                    <w:pStyle w:val="TableParagraph"/>
                    <w:spacing w:before="16"/>
                    <w:rPr>
                      <w:rFonts w:asciiTheme="minorHAnsi" w:hAnsiTheme="minorHAnsi" w:cstheme="minorHAnsi"/>
                      <w:i/>
                    </w:rPr>
                  </w:pPr>
                </w:p>
                <w:p w14:paraId="2CE839C2" w14:textId="77777777" w:rsidR="00336042" w:rsidRPr="00513069" w:rsidRDefault="00336042">
                  <w:pPr>
                    <w:pStyle w:val="TableParagraph"/>
                    <w:spacing w:before="1"/>
                    <w:ind w:left="15"/>
                    <w:jc w:val="center"/>
                    <w:rPr>
                      <w:rFonts w:asciiTheme="minorHAnsi" w:hAnsiTheme="minorHAnsi" w:cstheme="minorHAnsi"/>
                    </w:rPr>
                  </w:pPr>
                  <w:r w:rsidRPr="00513069">
                    <w:rPr>
                      <w:rFonts w:asciiTheme="minorHAnsi" w:hAnsiTheme="minorHAnsi" w:cstheme="minorHAnsi"/>
                      <w:spacing w:val="-5"/>
                    </w:rPr>
                    <w:t>18</w:t>
                  </w:r>
                </w:p>
              </w:tc>
              <w:tc>
                <w:tcPr>
                  <w:tcW w:w="4437" w:type="dxa"/>
                </w:tcPr>
                <w:p w14:paraId="63FC8C69" w14:textId="77777777" w:rsidR="00336042" w:rsidRPr="00513069" w:rsidRDefault="00336042">
                  <w:pPr>
                    <w:pStyle w:val="TableParagraph"/>
                    <w:spacing w:before="119" w:line="254" w:lineRule="auto"/>
                    <w:ind w:left="151" w:right="101"/>
                    <w:rPr>
                      <w:rFonts w:asciiTheme="minorHAnsi" w:hAnsiTheme="minorHAnsi" w:cstheme="minorHAnsi"/>
                    </w:rPr>
                  </w:pPr>
                  <w:r w:rsidRPr="00513069">
                    <w:rPr>
                      <w:rFonts w:asciiTheme="minorHAnsi" w:hAnsiTheme="minorHAnsi" w:cstheme="minorHAnsi"/>
                    </w:rPr>
                    <w:t>Discuss limitations of the estimates. Include a discussion of any modelling assumptions</w:t>
                  </w:r>
                  <w:r w:rsidRPr="00513069">
                    <w:rPr>
                      <w:rFonts w:asciiTheme="minorHAnsi" w:hAnsiTheme="minorHAnsi" w:cstheme="minorHAnsi"/>
                      <w:spacing w:val="-11"/>
                    </w:rPr>
                    <w:t xml:space="preserve"> </w:t>
                  </w:r>
                  <w:r w:rsidRPr="00513069">
                    <w:rPr>
                      <w:rFonts w:asciiTheme="minorHAnsi" w:hAnsiTheme="minorHAnsi" w:cstheme="minorHAnsi"/>
                    </w:rPr>
                    <w:t>or</w:t>
                  </w:r>
                  <w:r w:rsidRPr="00513069">
                    <w:rPr>
                      <w:rFonts w:asciiTheme="minorHAnsi" w:hAnsiTheme="minorHAnsi" w:cstheme="minorHAnsi"/>
                      <w:spacing w:val="-11"/>
                    </w:rPr>
                    <w:t xml:space="preserve"> </w:t>
                  </w:r>
                  <w:r w:rsidRPr="00513069">
                    <w:rPr>
                      <w:rFonts w:asciiTheme="minorHAnsi" w:hAnsiTheme="minorHAnsi" w:cstheme="minorHAnsi"/>
                    </w:rPr>
                    <w:t>data</w:t>
                  </w:r>
                  <w:r w:rsidRPr="00513069">
                    <w:rPr>
                      <w:rFonts w:asciiTheme="minorHAnsi" w:hAnsiTheme="minorHAnsi" w:cstheme="minorHAnsi"/>
                      <w:spacing w:val="-11"/>
                    </w:rPr>
                    <w:t xml:space="preserve"> </w:t>
                  </w:r>
                  <w:r w:rsidRPr="00513069">
                    <w:rPr>
                      <w:rFonts w:asciiTheme="minorHAnsi" w:hAnsiTheme="minorHAnsi" w:cstheme="minorHAnsi"/>
                    </w:rPr>
                    <w:t>limitations</w:t>
                  </w:r>
                  <w:r w:rsidRPr="00513069">
                    <w:rPr>
                      <w:rFonts w:asciiTheme="minorHAnsi" w:hAnsiTheme="minorHAnsi" w:cstheme="minorHAnsi"/>
                      <w:spacing w:val="-11"/>
                    </w:rPr>
                    <w:t xml:space="preserve"> </w:t>
                  </w:r>
                  <w:r w:rsidRPr="00513069">
                    <w:rPr>
                      <w:rFonts w:asciiTheme="minorHAnsi" w:hAnsiTheme="minorHAnsi" w:cstheme="minorHAnsi"/>
                    </w:rPr>
                    <w:t>that</w:t>
                  </w:r>
                  <w:r w:rsidRPr="00513069">
                    <w:rPr>
                      <w:rFonts w:asciiTheme="minorHAnsi" w:hAnsiTheme="minorHAnsi" w:cstheme="minorHAnsi"/>
                      <w:spacing w:val="-11"/>
                    </w:rPr>
                    <w:t xml:space="preserve"> </w:t>
                  </w:r>
                  <w:r w:rsidRPr="00513069">
                    <w:rPr>
                      <w:rFonts w:asciiTheme="minorHAnsi" w:hAnsiTheme="minorHAnsi" w:cstheme="minorHAnsi"/>
                    </w:rPr>
                    <w:t>affect interpretation of the estimates.</w:t>
                  </w:r>
                </w:p>
              </w:tc>
              <w:tc>
                <w:tcPr>
                  <w:tcW w:w="4039" w:type="dxa"/>
                  <w:gridSpan w:val="2"/>
                </w:tcPr>
                <w:p w14:paraId="6AA3762D" w14:textId="77777777" w:rsidR="00336042" w:rsidRPr="00513069" w:rsidRDefault="00336042">
                  <w:pPr>
                    <w:pStyle w:val="TableParagraph"/>
                    <w:spacing w:before="122"/>
                    <w:ind w:left="151"/>
                    <w:rPr>
                      <w:rFonts w:asciiTheme="minorHAnsi" w:hAnsiTheme="minorHAnsi" w:cstheme="minorHAnsi"/>
                    </w:rPr>
                  </w:pPr>
                  <w:r w:rsidRPr="00513069">
                    <w:rPr>
                      <w:rFonts w:asciiTheme="minorHAnsi" w:hAnsiTheme="minorHAnsi" w:cstheme="minorHAnsi"/>
                      <w:spacing w:val="-4"/>
                    </w:rPr>
                    <w:t>Main</w:t>
                  </w:r>
                  <w:r w:rsidRPr="00513069">
                    <w:rPr>
                      <w:rFonts w:asciiTheme="minorHAnsi" w:hAnsiTheme="minorHAnsi" w:cstheme="minorHAnsi"/>
                      <w:spacing w:val="-6"/>
                    </w:rPr>
                    <w:t xml:space="preserve"> </w:t>
                  </w:r>
                  <w:r w:rsidRPr="00513069">
                    <w:rPr>
                      <w:rFonts w:asciiTheme="minorHAnsi" w:hAnsiTheme="minorHAnsi" w:cstheme="minorHAnsi"/>
                      <w:spacing w:val="-4"/>
                    </w:rPr>
                    <w:t>text</w:t>
                  </w:r>
                  <w:r w:rsidRPr="00513069">
                    <w:rPr>
                      <w:rFonts w:asciiTheme="minorHAnsi" w:hAnsiTheme="minorHAnsi" w:cstheme="minorHAnsi"/>
                      <w:spacing w:val="-6"/>
                    </w:rPr>
                    <w:t xml:space="preserve"> </w:t>
                  </w:r>
                  <w:r w:rsidRPr="00513069">
                    <w:rPr>
                      <w:rFonts w:asciiTheme="minorHAnsi" w:hAnsiTheme="minorHAnsi" w:cstheme="minorHAnsi"/>
                      <w:spacing w:val="-4"/>
                    </w:rPr>
                    <w:t>discussion</w:t>
                  </w:r>
                </w:p>
              </w:tc>
            </w:tr>
          </w:tbl>
          <w:p w14:paraId="51BB419C" w14:textId="77777777" w:rsidR="00336042" w:rsidRPr="00513069" w:rsidRDefault="00336042">
            <w:pPr>
              <w:pStyle w:val="TableParagraph"/>
              <w:spacing w:line="253" w:lineRule="exact"/>
              <w:ind w:left="143"/>
              <w:rPr>
                <w:rFonts w:asciiTheme="minorHAnsi" w:hAnsiTheme="minorHAnsi" w:cstheme="minorHAnsi"/>
                <w:spacing w:val="-2"/>
              </w:rPr>
            </w:pPr>
          </w:p>
        </w:tc>
      </w:tr>
    </w:tbl>
    <w:p w14:paraId="54535353" w14:textId="09D5A3C2" w:rsidR="00A759B4" w:rsidRPr="00A759B4" w:rsidRDefault="00A759B4" w:rsidP="00A759B4"/>
    <w:p w14:paraId="440EC0EE" w14:textId="77777777" w:rsidR="00A759B4" w:rsidRDefault="00A759B4"/>
    <w:p w14:paraId="6B0EA362" w14:textId="77777777" w:rsidR="00A759B4" w:rsidRDefault="00A759B4"/>
    <w:p w14:paraId="5E2E9226" w14:textId="6C340497" w:rsidR="7EEF912B" w:rsidRDefault="5DCC07D7" w:rsidP="79177DD2">
      <w:pPr>
        <w:rPr>
          <w:rFonts w:ascii="Calibri" w:eastAsia="Calibri" w:hAnsi="Calibri" w:cs="Calibri"/>
        </w:rPr>
      </w:pPr>
      <w:r>
        <w:t>Note</w:t>
      </w:r>
      <w:r w:rsidR="00C23903">
        <w:t>.</w:t>
      </w:r>
      <w:r>
        <w:t xml:space="preserve"> A full set of granular estimates can be found in the GBD Results Tool here</w:t>
      </w:r>
      <w:r w:rsidR="00C23903">
        <w:t>:</w:t>
      </w:r>
      <w:r>
        <w:t xml:space="preserve"> </w:t>
      </w:r>
      <w:r w:rsidR="0E33C1A2" w:rsidRPr="79177DD2">
        <w:rPr>
          <w:rStyle w:val="Hyperlink"/>
          <w:rFonts w:ascii="Calibri" w:eastAsia="Calibri" w:hAnsi="Calibri" w:cs="Calibri"/>
        </w:rPr>
        <w:t xml:space="preserve"> https://vizhub.healthdata.org/gbd-results </w:t>
      </w:r>
    </w:p>
    <w:p w14:paraId="314F1570" w14:textId="067D5ECD" w:rsidR="79177DD2" w:rsidRDefault="79177DD2" w:rsidP="79177DD2">
      <w:pPr>
        <w:rPr>
          <w:rStyle w:val="Hyperlink"/>
          <w:rFonts w:ascii="Calibri" w:eastAsia="Calibri" w:hAnsi="Calibri" w:cs="Calibri"/>
        </w:rPr>
      </w:pPr>
    </w:p>
    <w:p w14:paraId="05BBE94E" w14:textId="7A7ACD20" w:rsidR="79177DD2" w:rsidRDefault="0E33C1A2" w:rsidP="79177DD2">
      <w:pPr>
        <w:rPr>
          <w:rStyle w:val="Hyperlink"/>
          <w:rFonts w:ascii="Calibri" w:eastAsia="Calibri" w:hAnsi="Calibri" w:cs="Calibri"/>
        </w:rPr>
      </w:pPr>
      <w:r w:rsidRPr="00C23903">
        <w:rPr>
          <w:rFonts w:ascii="Calibri" w:eastAsia="Calibri" w:hAnsi="Calibri" w:cs="Calibri"/>
        </w:rPr>
        <w:t>Note</w:t>
      </w:r>
      <w:r w:rsidR="00C23903">
        <w:rPr>
          <w:rFonts w:ascii="Calibri" w:eastAsia="Calibri" w:hAnsi="Calibri" w:cs="Calibri"/>
        </w:rPr>
        <w:t>.</w:t>
      </w:r>
      <w:r w:rsidRPr="00C23903">
        <w:rPr>
          <w:rFonts w:ascii="Calibri" w:eastAsia="Calibri" w:hAnsi="Calibri" w:cs="Calibri"/>
        </w:rPr>
        <w:t xml:space="preserve"> Statistical code used for GBD estimation</w:t>
      </w:r>
      <w:r w:rsidR="00337C83">
        <w:rPr>
          <w:rFonts w:ascii="Calibri" w:eastAsia="Calibri" w:hAnsi="Calibri" w:cs="Calibri"/>
        </w:rPr>
        <w:t xml:space="preserve"> is available upon request</w:t>
      </w:r>
      <w:r w:rsidR="0064544E">
        <w:rPr>
          <w:rFonts w:ascii="Calibri" w:eastAsia="Calibri" w:hAnsi="Calibri" w:cs="Calibri"/>
        </w:rPr>
        <w:t xml:space="preserve"> </w:t>
      </w:r>
      <w:r w:rsidR="00847FCF">
        <w:rPr>
          <w:rFonts w:ascii="Calibri" w:eastAsia="Calibri" w:hAnsi="Calibri" w:cs="Calibri"/>
        </w:rPr>
        <w:t>- s</w:t>
      </w:r>
      <w:r w:rsidR="0064544E" w:rsidRPr="0064544E">
        <w:rPr>
          <w:rFonts w:ascii="Calibri" w:eastAsia="Calibri" w:hAnsi="Calibri" w:cs="Calibri"/>
        </w:rPr>
        <w:t>end requests to engage@healthdata.org.</w:t>
      </w:r>
    </w:p>
    <w:p w14:paraId="2357DD35" w14:textId="606E4250" w:rsidR="73A796B2" w:rsidRDefault="73A796B2" w:rsidP="73A796B2"/>
    <w:p w14:paraId="21DA77C9" w14:textId="7264B451" w:rsidR="00E5285B" w:rsidRDefault="006E2101" w:rsidP="004E55CB">
      <w:pPr>
        <w:pStyle w:val="Heading2"/>
      </w:pPr>
      <w:r>
        <w:br w:type="page"/>
      </w:r>
    </w:p>
    <w:p w14:paraId="098217EF" w14:textId="7B70B653" w:rsidR="00E5285B" w:rsidRDefault="2FF5815A" w:rsidP="0075059B">
      <w:pPr>
        <w:pStyle w:val="Heading1"/>
      </w:pPr>
      <w:bookmarkStart w:id="83" w:name="_Toc129079626"/>
      <w:bookmarkStart w:id="84" w:name="_Toc213357095"/>
      <w:r>
        <w:t>References</w:t>
      </w:r>
      <w:bookmarkEnd w:id="83"/>
      <w:bookmarkEnd w:id="84"/>
    </w:p>
    <w:p w14:paraId="2B9B2EDF" w14:textId="77777777" w:rsidR="00C554EE" w:rsidRPr="00C554EE" w:rsidRDefault="004E55CB" w:rsidP="00C554EE">
      <w:pPr>
        <w:pStyle w:val="Bibliography"/>
        <w:rPr>
          <w:rFonts w:ascii="Calibri" w:hAnsi="Calibri" w:cs="Calibri"/>
        </w:rPr>
      </w:pPr>
      <w:r>
        <w:fldChar w:fldCharType="begin"/>
      </w:r>
      <w:r w:rsidR="00C554EE">
        <w:instrText xml:space="preserve"> ADDIN ZOTERO_BIBL {"uncited":[],"omitted":[],"custom":[]} CSL_BIBLIOGRAPHY </w:instrText>
      </w:r>
      <w:r>
        <w:fldChar w:fldCharType="separate"/>
      </w:r>
      <w:r w:rsidR="00C554EE" w:rsidRPr="00C554EE">
        <w:rPr>
          <w:rFonts w:ascii="Calibri" w:hAnsi="Calibri" w:cs="Calibri"/>
        </w:rPr>
        <w:t>1</w:t>
      </w:r>
      <w:r w:rsidR="00C554EE" w:rsidRPr="00C554EE">
        <w:rPr>
          <w:rFonts w:ascii="Calibri" w:hAnsi="Calibri" w:cs="Calibri"/>
        </w:rPr>
        <w:tab/>
        <w:t xml:space="preserve">Hay SI, Ong KL, Santomauro DF, </w:t>
      </w:r>
      <w:r w:rsidR="00C554EE" w:rsidRPr="00C554EE">
        <w:rPr>
          <w:rFonts w:ascii="Calibri" w:hAnsi="Calibri" w:cs="Calibri"/>
          <w:i/>
          <w:iCs/>
        </w:rPr>
        <w:t>et al.</w:t>
      </w:r>
      <w:r w:rsidR="00C554EE" w:rsidRPr="00C554EE">
        <w:rPr>
          <w:rFonts w:ascii="Calibri" w:hAnsi="Calibri" w:cs="Calibri"/>
        </w:rPr>
        <w:t xml:space="preserve"> Burden of 375 diseases and injuries, risk-attributable burden of 88 risk factors, and healthy life expectancy in 204 countries and territories, including 660 subnational locations, 1990–2023: a systematic analysis for the Global Burden of Disease Study 2023. </w:t>
      </w:r>
      <w:r w:rsidR="00C554EE" w:rsidRPr="00C554EE">
        <w:rPr>
          <w:rFonts w:ascii="Calibri" w:hAnsi="Calibri" w:cs="Calibri"/>
          <w:i/>
          <w:iCs/>
        </w:rPr>
        <w:t>The Lancet</w:t>
      </w:r>
      <w:r w:rsidR="00C554EE" w:rsidRPr="00C554EE">
        <w:rPr>
          <w:rFonts w:ascii="Calibri" w:hAnsi="Calibri" w:cs="Calibri"/>
        </w:rPr>
        <w:t xml:space="preserve"> 2025; </w:t>
      </w:r>
      <w:r w:rsidR="00C554EE" w:rsidRPr="00C554EE">
        <w:rPr>
          <w:rFonts w:ascii="Calibri" w:hAnsi="Calibri" w:cs="Calibri"/>
          <w:b/>
          <w:bCs/>
        </w:rPr>
        <w:t>406</w:t>
      </w:r>
      <w:r w:rsidR="00C554EE" w:rsidRPr="00C554EE">
        <w:rPr>
          <w:rFonts w:ascii="Calibri" w:hAnsi="Calibri" w:cs="Calibri"/>
        </w:rPr>
        <w:t>: 1873–922.</w:t>
      </w:r>
    </w:p>
    <w:p w14:paraId="7B61DCE0" w14:textId="77777777" w:rsidR="00C554EE" w:rsidRPr="00C554EE" w:rsidRDefault="00C554EE" w:rsidP="00C554EE">
      <w:pPr>
        <w:pStyle w:val="Bibliography"/>
        <w:rPr>
          <w:rFonts w:ascii="Calibri" w:hAnsi="Calibri" w:cs="Calibri"/>
        </w:rPr>
      </w:pPr>
      <w:r w:rsidRPr="00C554EE">
        <w:rPr>
          <w:rFonts w:ascii="Calibri" w:hAnsi="Calibri" w:cs="Calibri"/>
        </w:rPr>
        <w:t>2</w:t>
      </w:r>
      <w:r w:rsidRPr="00C554EE">
        <w:rPr>
          <w:rFonts w:ascii="Calibri" w:hAnsi="Calibri" w:cs="Calibri"/>
        </w:rPr>
        <w:tab/>
        <w:t xml:space="preserve">Naghavi M, Kyu HH, A B, </w:t>
      </w:r>
      <w:r w:rsidRPr="00C554EE">
        <w:rPr>
          <w:rFonts w:ascii="Calibri" w:hAnsi="Calibri" w:cs="Calibri"/>
          <w:i/>
          <w:iCs/>
        </w:rPr>
        <w:t>et al.</w:t>
      </w:r>
      <w:r w:rsidRPr="00C554EE">
        <w:rPr>
          <w:rFonts w:ascii="Calibri" w:hAnsi="Calibri" w:cs="Calibri"/>
        </w:rPr>
        <w:t xml:space="preserve"> Global burden of 292 causes of death in 204 countries and territories and 660 subnational locations, 1990–2023: a systematic analysis for the Global Burden of Disease Study 2023. </w:t>
      </w:r>
      <w:r w:rsidRPr="00C554EE">
        <w:rPr>
          <w:rFonts w:ascii="Calibri" w:hAnsi="Calibri" w:cs="Calibri"/>
          <w:i/>
          <w:iCs/>
        </w:rPr>
        <w:t>The Lancet</w:t>
      </w:r>
      <w:r w:rsidRPr="00C554EE">
        <w:rPr>
          <w:rFonts w:ascii="Calibri" w:hAnsi="Calibri" w:cs="Calibri"/>
        </w:rPr>
        <w:t xml:space="preserve"> 2025; </w:t>
      </w:r>
      <w:r w:rsidRPr="00C554EE">
        <w:rPr>
          <w:rFonts w:ascii="Calibri" w:hAnsi="Calibri" w:cs="Calibri"/>
          <w:b/>
          <w:bCs/>
        </w:rPr>
        <w:t>406</w:t>
      </w:r>
      <w:r w:rsidRPr="00C554EE">
        <w:rPr>
          <w:rFonts w:ascii="Calibri" w:hAnsi="Calibri" w:cs="Calibri"/>
        </w:rPr>
        <w:t>: 1811–72.</w:t>
      </w:r>
    </w:p>
    <w:p w14:paraId="74638298" w14:textId="77777777" w:rsidR="00C554EE" w:rsidRPr="00C554EE" w:rsidRDefault="00C554EE" w:rsidP="00C554EE">
      <w:pPr>
        <w:pStyle w:val="Bibliography"/>
        <w:rPr>
          <w:rFonts w:ascii="Calibri" w:hAnsi="Calibri" w:cs="Calibri"/>
        </w:rPr>
      </w:pPr>
      <w:r w:rsidRPr="00C554EE">
        <w:rPr>
          <w:rFonts w:ascii="Calibri" w:hAnsi="Calibri" w:cs="Calibri"/>
        </w:rPr>
        <w:t>3</w:t>
      </w:r>
      <w:r w:rsidRPr="00C554EE">
        <w:rPr>
          <w:rFonts w:ascii="Calibri" w:hAnsi="Calibri" w:cs="Calibri"/>
        </w:rPr>
        <w:tab/>
        <w:t xml:space="preserve">Naghavi M, Vollset SE, Ikuta KS, </w:t>
      </w:r>
      <w:r w:rsidRPr="00C554EE">
        <w:rPr>
          <w:rFonts w:ascii="Calibri" w:hAnsi="Calibri" w:cs="Calibri"/>
          <w:i/>
          <w:iCs/>
        </w:rPr>
        <w:t>et al.</w:t>
      </w:r>
      <w:r w:rsidRPr="00C554EE">
        <w:rPr>
          <w:rFonts w:ascii="Calibri" w:hAnsi="Calibri" w:cs="Calibri"/>
        </w:rPr>
        <w:t xml:space="preserve"> Global burden of bacterial antimicrobial resistance 1990–2021: a systematic analysis with forecasts to 2050. </w:t>
      </w:r>
      <w:r w:rsidRPr="00C554EE">
        <w:rPr>
          <w:rFonts w:ascii="Calibri" w:hAnsi="Calibri" w:cs="Calibri"/>
          <w:i/>
          <w:iCs/>
        </w:rPr>
        <w:t>The Lancet</w:t>
      </w:r>
      <w:r w:rsidRPr="00C554EE">
        <w:rPr>
          <w:rFonts w:ascii="Calibri" w:hAnsi="Calibri" w:cs="Calibri"/>
        </w:rPr>
        <w:t xml:space="preserve"> 2024; </w:t>
      </w:r>
      <w:r w:rsidRPr="00C554EE">
        <w:rPr>
          <w:rFonts w:ascii="Calibri" w:hAnsi="Calibri" w:cs="Calibri"/>
          <w:b/>
          <w:bCs/>
        </w:rPr>
        <w:t>404</w:t>
      </w:r>
      <w:r w:rsidRPr="00C554EE">
        <w:rPr>
          <w:rFonts w:ascii="Calibri" w:hAnsi="Calibri" w:cs="Calibri"/>
        </w:rPr>
        <w:t>: 1199–226.</w:t>
      </w:r>
    </w:p>
    <w:p w14:paraId="2895FFED" w14:textId="77777777" w:rsidR="00C554EE" w:rsidRPr="00C554EE" w:rsidRDefault="00C554EE" w:rsidP="00C554EE">
      <w:pPr>
        <w:pStyle w:val="Bibliography"/>
        <w:rPr>
          <w:rFonts w:ascii="Calibri" w:hAnsi="Calibri" w:cs="Calibri"/>
        </w:rPr>
      </w:pPr>
      <w:r w:rsidRPr="00C554EE">
        <w:rPr>
          <w:rFonts w:ascii="Calibri" w:hAnsi="Calibri" w:cs="Calibri"/>
        </w:rPr>
        <w:t>4</w:t>
      </w:r>
      <w:r w:rsidRPr="00C554EE">
        <w:rPr>
          <w:rFonts w:ascii="Calibri" w:hAnsi="Calibri" w:cs="Calibri"/>
        </w:rPr>
        <w:tab/>
        <w:t xml:space="preserve">Murray CJ, Ezzati M, Flaxman AD, </w:t>
      </w:r>
      <w:r w:rsidRPr="00C554EE">
        <w:rPr>
          <w:rFonts w:ascii="Calibri" w:hAnsi="Calibri" w:cs="Calibri"/>
          <w:i/>
          <w:iCs/>
        </w:rPr>
        <w:t>et al.</w:t>
      </w:r>
      <w:r w:rsidRPr="00C554EE">
        <w:rPr>
          <w:rFonts w:ascii="Calibri" w:hAnsi="Calibri" w:cs="Calibri"/>
        </w:rPr>
        <w:t xml:space="preserve"> GBD 2010: design, definitions, and metrics. </w:t>
      </w:r>
      <w:r w:rsidRPr="00C554EE">
        <w:rPr>
          <w:rFonts w:ascii="Calibri" w:hAnsi="Calibri" w:cs="Calibri"/>
          <w:i/>
          <w:iCs/>
        </w:rPr>
        <w:t>The Lancet</w:t>
      </w:r>
      <w:r w:rsidRPr="00C554EE">
        <w:rPr>
          <w:rFonts w:ascii="Calibri" w:hAnsi="Calibri" w:cs="Calibri"/>
        </w:rPr>
        <w:t xml:space="preserve"> 2012; </w:t>
      </w:r>
      <w:r w:rsidRPr="00C554EE">
        <w:rPr>
          <w:rFonts w:ascii="Calibri" w:hAnsi="Calibri" w:cs="Calibri"/>
          <w:b/>
          <w:bCs/>
        </w:rPr>
        <w:t>380</w:t>
      </w:r>
      <w:r w:rsidRPr="00C554EE">
        <w:rPr>
          <w:rFonts w:ascii="Calibri" w:hAnsi="Calibri" w:cs="Calibri"/>
        </w:rPr>
        <w:t>: 2063–6.</w:t>
      </w:r>
    </w:p>
    <w:p w14:paraId="1D87E092" w14:textId="77777777" w:rsidR="00C554EE" w:rsidRPr="00C554EE" w:rsidRDefault="00C554EE" w:rsidP="00C554EE">
      <w:pPr>
        <w:pStyle w:val="Bibliography"/>
        <w:rPr>
          <w:rFonts w:ascii="Calibri" w:hAnsi="Calibri" w:cs="Calibri"/>
        </w:rPr>
      </w:pPr>
      <w:r w:rsidRPr="00C554EE">
        <w:rPr>
          <w:rFonts w:ascii="Calibri" w:hAnsi="Calibri" w:cs="Calibri"/>
        </w:rPr>
        <w:t>5</w:t>
      </w:r>
      <w:r w:rsidRPr="00C554EE">
        <w:rPr>
          <w:rFonts w:ascii="Calibri" w:hAnsi="Calibri" w:cs="Calibri"/>
        </w:rPr>
        <w:tab/>
        <w:t>IHME Math Sciences. RegMod v0.2.0. 2023 https://github.com/ihmeuw-msca/regmod/tree/v0.2.0. (accessed June 7, 2024).</w:t>
      </w:r>
    </w:p>
    <w:p w14:paraId="00BF00BB" w14:textId="77777777" w:rsidR="00C554EE" w:rsidRPr="00C554EE" w:rsidRDefault="00C554EE" w:rsidP="00C554EE">
      <w:pPr>
        <w:pStyle w:val="Bibliography"/>
        <w:rPr>
          <w:rFonts w:ascii="Calibri" w:hAnsi="Calibri" w:cs="Calibri"/>
        </w:rPr>
      </w:pPr>
      <w:r w:rsidRPr="00C554EE">
        <w:rPr>
          <w:rFonts w:ascii="Calibri" w:hAnsi="Calibri" w:cs="Calibri"/>
        </w:rPr>
        <w:t>6</w:t>
      </w:r>
      <w:r w:rsidRPr="00C554EE">
        <w:rPr>
          <w:rFonts w:ascii="Calibri" w:hAnsi="Calibri" w:cs="Calibri"/>
        </w:rPr>
        <w:tab/>
        <w:t xml:space="preserve">Ewig S, Schlochtermeier M, Göke N, Niederman MS. Applying sputum as a diagnostic tool in pneumonia: limited yield, minimal impact on treatment decisions. </w:t>
      </w:r>
      <w:r w:rsidRPr="00C554EE">
        <w:rPr>
          <w:rFonts w:ascii="Calibri" w:hAnsi="Calibri" w:cs="Calibri"/>
          <w:i/>
          <w:iCs/>
        </w:rPr>
        <w:t>Chest</w:t>
      </w:r>
      <w:r w:rsidRPr="00C554EE">
        <w:rPr>
          <w:rFonts w:ascii="Calibri" w:hAnsi="Calibri" w:cs="Calibri"/>
        </w:rPr>
        <w:t xml:space="preserve"> 2002; </w:t>
      </w:r>
      <w:r w:rsidRPr="00C554EE">
        <w:rPr>
          <w:rFonts w:ascii="Calibri" w:hAnsi="Calibri" w:cs="Calibri"/>
          <w:b/>
          <w:bCs/>
        </w:rPr>
        <w:t>121</w:t>
      </w:r>
      <w:r w:rsidRPr="00C554EE">
        <w:rPr>
          <w:rFonts w:ascii="Calibri" w:hAnsi="Calibri" w:cs="Calibri"/>
        </w:rPr>
        <w:t>: 1486–92.</w:t>
      </w:r>
    </w:p>
    <w:p w14:paraId="3A8BC88C" w14:textId="77777777" w:rsidR="00C554EE" w:rsidRPr="00C554EE" w:rsidRDefault="00C554EE" w:rsidP="00C554EE">
      <w:pPr>
        <w:pStyle w:val="Bibliography"/>
        <w:rPr>
          <w:rFonts w:ascii="Calibri" w:hAnsi="Calibri" w:cs="Calibri"/>
        </w:rPr>
      </w:pPr>
      <w:r w:rsidRPr="00C554EE">
        <w:rPr>
          <w:rFonts w:ascii="Calibri" w:hAnsi="Calibri" w:cs="Calibri"/>
        </w:rPr>
        <w:t>7</w:t>
      </w:r>
      <w:r w:rsidRPr="00C554EE">
        <w:rPr>
          <w:rFonts w:ascii="Calibri" w:hAnsi="Calibri" w:cs="Calibri"/>
        </w:rPr>
        <w:tab/>
        <w:t xml:space="preserve">Ogawa H, Kitsios GD, Iwata M, Terasawa T. Sputum gram stain for bacterial pathogen diagnosis in community-acquired pneumonia: a systematic review and Bayesian meta-analysis of diagnostic accuracy and yield. </w:t>
      </w:r>
      <w:r w:rsidRPr="00C554EE">
        <w:rPr>
          <w:rFonts w:ascii="Calibri" w:hAnsi="Calibri" w:cs="Calibri"/>
          <w:i/>
          <w:iCs/>
        </w:rPr>
        <w:t>Clin Infect Dis</w:t>
      </w:r>
      <w:r w:rsidRPr="00C554EE">
        <w:rPr>
          <w:rFonts w:ascii="Calibri" w:hAnsi="Calibri" w:cs="Calibri"/>
        </w:rPr>
        <w:t xml:space="preserve"> 2020; </w:t>
      </w:r>
      <w:r w:rsidRPr="00C554EE">
        <w:rPr>
          <w:rFonts w:ascii="Calibri" w:hAnsi="Calibri" w:cs="Calibri"/>
          <w:b/>
          <w:bCs/>
        </w:rPr>
        <w:t>71</w:t>
      </w:r>
      <w:r w:rsidRPr="00C554EE">
        <w:rPr>
          <w:rFonts w:ascii="Calibri" w:hAnsi="Calibri" w:cs="Calibri"/>
        </w:rPr>
        <w:t>: 499–513.</w:t>
      </w:r>
    </w:p>
    <w:p w14:paraId="1F9968B2" w14:textId="77777777" w:rsidR="00C554EE" w:rsidRPr="00C554EE" w:rsidRDefault="00C554EE" w:rsidP="00C554EE">
      <w:pPr>
        <w:pStyle w:val="Bibliography"/>
        <w:rPr>
          <w:rFonts w:ascii="Calibri" w:hAnsi="Calibri" w:cs="Calibri"/>
        </w:rPr>
      </w:pPr>
      <w:r w:rsidRPr="00C554EE">
        <w:rPr>
          <w:rFonts w:ascii="Calibri" w:hAnsi="Calibri" w:cs="Calibri"/>
        </w:rPr>
        <w:t>8</w:t>
      </w:r>
      <w:r w:rsidRPr="00C554EE">
        <w:rPr>
          <w:rFonts w:ascii="Calibri" w:hAnsi="Calibri" w:cs="Calibri"/>
        </w:rPr>
        <w:tab/>
        <w:t xml:space="preserve">Feikin DR, Scott JAG, Gessner BD. Use of vaccines as probes to define disease burden. </w:t>
      </w:r>
      <w:r w:rsidRPr="00C554EE">
        <w:rPr>
          <w:rFonts w:ascii="Calibri" w:hAnsi="Calibri" w:cs="Calibri"/>
          <w:i/>
          <w:iCs/>
        </w:rPr>
        <w:t>Lancet</w:t>
      </w:r>
      <w:r w:rsidRPr="00C554EE">
        <w:rPr>
          <w:rFonts w:ascii="Calibri" w:hAnsi="Calibri" w:cs="Calibri"/>
        </w:rPr>
        <w:t xml:space="preserve"> 2014; </w:t>
      </w:r>
      <w:r w:rsidRPr="00C554EE">
        <w:rPr>
          <w:rFonts w:ascii="Calibri" w:hAnsi="Calibri" w:cs="Calibri"/>
          <w:b/>
          <w:bCs/>
        </w:rPr>
        <w:t>383</w:t>
      </w:r>
      <w:r w:rsidRPr="00C554EE">
        <w:rPr>
          <w:rFonts w:ascii="Calibri" w:hAnsi="Calibri" w:cs="Calibri"/>
        </w:rPr>
        <w:t>: 1762–70.</w:t>
      </w:r>
    </w:p>
    <w:p w14:paraId="5B523EB1" w14:textId="77777777" w:rsidR="00C554EE" w:rsidRPr="00C554EE" w:rsidRDefault="00C554EE" w:rsidP="00C554EE">
      <w:pPr>
        <w:pStyle w:val="Bibliography"/>
        <w:rPr>
          <w:rFonts w:ascii="Calibri" w:hAnsi="Calibri" w:cs="Calibri"/>
        </w:rPr>
      </w:pPr>
      <w:r w:rsidRPr="00C554EE">
        <w:rPr>
          <w:rFonts w:ascii="Calibri" w:hAnsi="Calibri" w:cs="Calibri"/>
        </w:rPr>
        <w:t>9</w:t>
      </w:r>
      <w:r w:rsidRPr="00C554EE">
        <w:rPr>
          <w:rFonts w:ascii="Calibri" w:hAnsi="Calibri" w:cs="Calibri"/>
        </w:rPr>
        <w:tab/>
        <w:t xml:space="preserve">Troeger C, Blacker B, Khalil IA, </w:t>
      </w:r>
      <w:r w:rsidRPr="00C554EE">
        <w:rPr>
          <w:rFonts w:ascii="Calibri" w:hAnsi="Calibri" w:cs="Calibri"/>
          <w:i/>
          <w:iCs/>
        </w:rPr>
        <w:t>et al.</w:t>
      </w:r>
      <w:r w:rsidRPr="00C554EE">
        <w:rPr>
          <w:rFonts w:ascii="Calibri" w:hAnsi="Calibri" w:cs="Calibri"/>
        </w:rPr>
        <w:t xml:space="preserve"> Estimates of the global, regional, and national morbidity, mortality, and aetiologies of lower respiratory infections in 195 countries, 1990–2016: a systematic analysis for the Global Burden of Disease Study 2016. </w:t>
      </w:r>
      <w:r w:rsidRPr="00C554EE">
        <w:rPr>
          <w:rFonts w:ascii="Calibri" w:hAnsi="Calibri" w:cs="Calibri"/>
          <w:i/>
          <w:iCs/>
        </w:rPr>
        <w:t>Lancet Infect Dis</w:t>
      </w:r>
      <w:r w:rsidRPr="00C554EE">
        <w:rPr>
          <w:rFonts w:ascii="Calibri" w:hAnsi="Calibri" w:cs="Calibri"/>
        </w:rPr>
        <w:t xml:space="preserve"> 2018; </w:t>
      </w:r>
      <w:r w:rsidRPr="00C554EE">
        <w:rPr>
          <w:rFonts w:ascii="Calibri" w:hAnsi="Calibri" w:cs="Calibri"/>
          <w:b/>
          <w:bCs/>
        </w:rPr>
        <w:t>18</w:t>
      </w:r>
      <w:r w:rsidRPr="00C554EE">
        <w:rPr>
          <w:rFonts w:ascii="Calibri" w:hAnsi="Calibri" w:cs="Calibri"/>
        </w:rPr>
        <w:t>: 1191–210.</w:t>
      </w:r>
    </w:p>
    <w:p w14:paraId="7D3BF7D2" w14:textId="77777777" w:rsidR="00C554EE" w:rsidRPr="00C554EE" w:rsidRDefault="00C554EE" w:rsidP="00C554EE">
      <w:pPr>
        <w:pStyle w:val="Bibliography"/>
        <w:rPr>
          <w:rFonts w:ascii="Calibri" w:hAnsi="Calibri" w:cs="Calibri"/>
        </w:rPr>
      </w:pPr>
      <w:r w:rsidRPr="00C554EE">
        <w:rPr>
          <w:rFonts w:ascii="Calibri" w:hAnsi="Calibri" w:cs="Calibri"/>
        </w:rPr>
        <w:t>10</w:t>
      </w:r>
      <w:r w:rsidRPr="00C554EE">
        <w:rPr>
          <w:rFonts w:ascii="Calibri" w:hAnsi="Calibri" w:cs="Calibri"/>
        </w:rPr>
        <w:tab/>
        <w:t xml:space="preserve">Johnson HL, Deloria-Knoll M, Levine OS, </w:t>
      </w:r>
      <w:r w:rsidRPr="00C554EE">
        <w:rPr>
          <w:rFonts w:ascii="Calibri" w:hAnsi="Calibri" w:cs="Calibri"/>
          <w:i/>
          <w:iCs/>
        </w:rPr>
        <w:t>et al.</w:t>
      </w:r>
      <w:r w:rsidRPr="00C554EE">
        <w:rPr>
          <w:rFonts w:ascii="Calibri" w:hAnsi="Calibri" w:cs="Calibri"/>
        </w:rPr>
        <w:t xml:space="preserve"> Systematic evaluation of serotypes causing invasive pneumococcal disease among children under five: The Pneumococcal Global Serotype Project. </w:t>
      </w:r>
      <w:r w:rsidRPr="00C554EE">
        <w:rPr>
          <w:rFonts w:ascii="Calibri" w:hAnsi="Calibri" w:cs="Calibri"/>
          <w:i/>
          <w:iCs/>
        </w:rPr>
        <w:t>PLOS Med</w:t>
      </w:r>
      <w:r w:rsidRPr="00C554EE">
        <w:rPr>
          <w:rFonts w:ascii="Calibri" w:hAnsi="Calibri" w:cs="Calibri"/>
        </w:rPr>
        <w:t xml:space="preserve"> 2010; </w:t>
      </w:r>
      <w:r w:rsidRPr="00C554EE">
        <w:rPr>
          <w:rFonts w:ascii="Calibri" w:hAnsi="Calibri" w:cs="Calibri"/>
          <w:b/>
          <w:bCs/>
        </w:rPr>
        <w:t>7</w:t>
      </w:r>
      <w:r w:rsidRPr="00C554EE">
        <w:rPr>
          <w:rFonts w:ascii="Calibri" w:hAnsi="Calibri" w:cs="Calibri"/>
        </w:rPr>
        <w:t>: e1000348.</w:t>
      </w:r>
    </w:p>
    <w:p w14:paraId="009F263C" w14:textId="77777777" w:rsidR="00C554EE" w:rsidRPr="00C554EE" w:rsidRDefault="00C554EE" w:rsidP="00C554EE">
      <w:pPr>
        <w:pStyle w:val="Bibliography"/>
        <w:rPr>
          <w:rFonts w:ascii="Calibri" w:hAnsi="Calibri" w:cs="Calibri"/>
        </w:rPr>
      </w:pPr>
      <w:r w:rsidRPr="00C554EE">
        <w:rPr>
          <w:rFonts w:ascii="Calibri" w:hAnsi="Calibri" w:cs="Calibri"/>
        </w:rPr>
        <w:t>11</w:t>
      </w:r>
      <w:r w:rsidRPr="00C554EE">
        <w:rPr>
          <w:rFonts w:ascii="Calibri" w:hAnsi="Calibri" w:cs="Calibri"/>
        </w:rPr>
        <w:tab/>
        <w:t xml:space="preserve">Grijalva CG, Nuorti JP, Arbogast PG, Martin SW, Edwards KM, Griffin MR. Decline in pneumonia admissions after routine childhood immunisation with pneumococcal conjugate vaccine in the USA: a time-series analysis. </w:t>
      </w:r>
      <w:r w:rsidRPr="00C554EE">
        <w:rPr>
          <w:rFonts w:ascii="Calibri" w:hAnsi="Calibri" w:cs="Calibri"/>
          <w:i/>
          <w:iCs/>
        </w:rPr>
        <w:t>Lancet</w:t>
      </w:r>
      <w:r w:rsidRPr="00C554EE">
        <w:rPr>
          <w:rFonts w:ascii="Calibri" w:hAnsi="Calibri" w:cs="Calibri"/>
        </w:rPr>
        <w:t xml:space="preserve"> 2007; </w:t>
      </w:r>
      <w:r w:rsidRPr="00C554EE">
        <w:rPr>
          <w:rFonts w:ascii="Calibri" w:hAnsi="Calibri" w:cs="Calibri"/>
          <w:b/>
          <w:bCs/>
        </w:rPr>
        <w:t>369</w:t>
      </w:r>
      <w:r w:rsidRPr="00C554EE">
        <w:rPr>
          <w:rFonts w:ascii="Calibri" w:hAnsi="Calibri" w:cs="Calibri"/>
        </w:rPr>
        <w:t>: 1179–86.</w:t>
      </w:r>
    </w:p>
    <w:p w14:paraId="748A717C" w14:textId="77777777" w:rsidR="00C554EE" w:rsidRPr="00C554EE" w:rsidRDefault="00C554EE" w:rsidP="00C554EE">
      <w:pPr>
        <w:pStyle w:val="Bibliography"/>
        <w:rPr>
          <w:rFonts w:ascii="Calibri" w:hAnsi="Calibri" w:cs="Calibri"/>
        </w:rPr>
      </w:pPr>
      <w:r w:rsidRPr="00C554EE">
        <w:rPr>
          <w:rFonts w:ascii="Calibri" w:hAnsi="Calibri" w:cs="Calibri"/>
        </w:rPr>
        <w:t>12</w:t>
      </w:r>
      <w:r w:rsidRPr="00C554EE">
        <w:rPr>
          <w:rFonts w:ascii="Calibri" w:hAnsi="Calibri" w:cs="Calibri"/>
        </w:rPr>
        <w:tab/>
        <w:t xml:space="preserve">GBD 2021 Causes of Death Collaborators. Global burden of 288 causes of death and life expectancy decomposition in 204 countries and territories and 811 subnational locations, 1990-2021: a systematic analysis for the Global Burden of Disease Study 2021. </w:t>
      </w:r>
      <w:r w:rsidRPr="00C554EE">
        <w:rPr>
          <w:rFonts w:ascii="Calibri" w:hAnsi="Calibri" w:cs="Calibri"/>
          <w:i/>
          <w:iCs/>
        </w:rPr>
        <w:t>Lancet</w:t>
      </w:r>
      <w:r w:rsidRPr="00C554EE">
        <w:rPr>
          <w:rFonts w:ascii="Calibri" w:hAnsi="Calibri" w:cs="Calibri"/>
        </w:rPr>
        <w:t xml:space="preserve"> 2024; </w:t>
      </w:r>
      <w:r w:rsidRPr="00C554EE">
        <w:rPr>
          <w:rFonts w:ascii="Calibri" w:hAnsi="Calibri" w:cs="Calibri"/>
          <w:b/>
          <w:bCs/>
        </w:rPr>
        <w:t>403</w:t>
      </w:r>
      <w:r w:rsidRPr="00C554EE">
        <w:rPr>
          <w:rFonts w:ascii="Calibri" w:hAnsi="Calibri" w:cs="Calibri"/>
        </w:rPr>
        <w:t>: 2100–32.</w:t>
      </w:r>
    </w:p>
    <w:p w14:paraId="7E3089E5" w14:textId="77777777" w:rsidR="00C554EE" w:rsidRPr="00C554EE" w:rsidRDefault="00C554EE" w:rsidP="00C554EE">
      <w:pPr>
        <w:pStyle w:val="Bibliography"/>
        <w:rPr>
          <w:rFonts w:ascii="Calibri" w:hAnsi="Calibri" w:cs="Calibri"/>
        </w:rPr>
      </w:pPr>
      <w:r w:rsidRPr="00C554EE">
        <w:rPr>
          <w:rFonts w:ascii="Calibri" w:hAnsi="Calibri" w:cs="Calibri"/>
        </w:rPr>
        <w:t>13</w:t>
      </w:r>
      <w:r w:rsidRPr="00C554EE">
        <w:rPr>
          <w:rFonts w:ascii="Calibri" w:hAnsi="Calibri" w:cs="Calibri"/>
        </w:rPr>
        <w:tab/>
        <w:t>Nocedal J, Wright S. Numerical optimization, 2nd edn. New York: Springer-Verlag, 2006 DOI:10.1007/978-0-387-40065-5.</w:t>
      </w:r>
    </w:p>
    <w:p w14:paraId="2727187E" w14:textId="77777777" w:rsidR="00C554EE" w:rsidRPr="00C554EE" w:rsidRDefault="00C554EE" w:rsidP="00C554EE">
      <w:pPr>
        <w:pStyle w:val="Bibliography"/>
        <w:rPr>
          <w:rFonts w:ascii="Calibri" w:hAnsi="Calibri" w:cs="Calibri"/>
        </w:rPr>
      </w:pPr>
      <w:r w:rsidRPr="00C554EE">
        <w:rPr>
          <w:rFonts w:ascii="Calibri" w:hAnsi="Calibri" w:cs="Calibri"/>
        </w:rPr>
        <w:t>14</w:t>
      </w:r>
      <w:r w:rsidRPr="00C554EE">
        <w:rPr>
          <w:rFonts w:ascii="Calibri" w:hAnsi="Calibri" w:cs="Calibri"/>
        </w:rPr>
        <w:tab/>
        <w:t xml:space="preserve">GBD 2019 Healthcare Access and Quality Collaborators. Assessing performance of the Healthcare Access and Quality Index, overall and by select age groups, for 204 countries and territories, 1990-2019: a systematic analysis from the Global Burden of Disease Study 2019. </w:t>
      </w:r>
      <w:r w:rsidRPr="00C554EE">
        <w:rPr>
          <w:rFonts w:ascii="Calibri" w:hAnsi="Calibri" w:cs="Calibri"/>
          <w:i/>
          <w:iCs/>
        </w:rPr>
        <w:t>Lancet Glob Health</w:t>
      </w:r>
      <w:r w:rsidRPr="00C554EE">
        <w:rPr>
          <w:rFonts w:ascii="Calibri" w:hAnsi="Calibri" w:cs="Calibri"/>
        </w:rPr>
        <w:t xml:space="preserve"> 2022; </w:t>
      </w:r>
      <w:r w:rsidRPr="00C554EE">
        <w:rPr>
          <w:rFonts w:ascii="Calibri" w:hAnsi="Calibri" w:cs="Calibri"/>
          <w:b/>
          <w:bCs/>
        </w:rPr>
        <w:t>10</w:t>
      </w:r>
      <w:r w:rsidRPr="00C554EE">
        <w:rPr>
          <w:rFonts w:ascii="Calibri" w:hAnsi="Calibri" w:cs="Calibri"/>
        </w:rPr>
        <w:t>: e1715–43.</w:t>
      </w:r>
    </w:p>
    <w:p w14:paraId="21E36ED2" w14:textId="77777777" w:rsidR="00C554EE" w:rsidRPr="00C554EE" w:rsidRDefault="00C554EE" w:rsidP="00C554EE">
      <w:pPr>
        <w:pStyle w:val="Bibliography"/>
        <w:rPr>
          <w:rFonts w:ascii="Calibri" w:hAnsi="Calibri" w:cs="Calibri"/>
        </w:rPr>
      </w:pPr>
      <w:r w:rsidRPr="00C554EE">
        <w:rPr>
          <w:rFonts w:ascii="Calibri" w:hAnsi="Calibri" w:cs="Calibri"/>
        </w:rPr>
        <w:t>15</w:t>
      </w:r>
      <w:r w:rsidRPr="00C554EE">
        <w:rPr>
          <w:rFonts w:ascii="Calibri" w:hAnsi="Calibri" w:cs="Calibri"/>
        </w:rPr>
        <w:tab/>
        <w:t xml:space="preserve">GBD 2021 Risk Factors Collaborators. Global burden and strength of evidence for 88 risk factors in 204 countries and 811 subnational locations, 1990-2021: a systematic analysis for the Global Burden of Disease Study 2021. </w:t>
      </w:r>
      <w:r w:rsidRPr="00C554EE">
        <w:rPr>
          <w:rFonts w:ascii="Calibri" w:hAnsi="Calibri" w:cs="Calibri"/>
          <w:i/>
          <w:iCs/>
        </w:rPr>
        <w:t>Lancet</w:t>
      </w:r>
      <w:r w:rsidRPr="00C554EE">
        <w:rPr>
          <w:rFonts w:ascii="Calibri" w:hAnsi="Calibri" w:cs="Calibri"/>
        </w:rPr>
        <w:t xml:space="preserve"> 2024; </w:t>
      </w:r>
      <w:r w:rsidRPr="00C554EE">
        <w:rPr>
          <w:rFonts w:ascii="Calibri" w:hAnsi="Calibri" w:cs="Calibri"/>
          <w:b/>
          <w:bCs/>
        </w:rPr>
        <w:t>403</w:t>
      </w:r>
      <w:r w:rsidRPr="00C554EE">
        <w:rPr>
          <w:rFonts w:ascii="Calibri" w:hAnsi="Calibri" w:cs="Calibri"/>
        </w:rPr>
        <w:t>: 2162–203.</w:t>
      </w:r>
    </w:p>
    <w:p w14:paraId="2D1F27FC" w14:textId="77777777" w:rsidR="00C554EE" w:rsidRPr="00C554EE" w:rsidRDefault="00C554EE" w:rsidP="00C554EE">
      <w:pPr>
        <w:pStyle w:val="Bibliography"/>
        <w:rPr>
          <w:rFonts w:ascii="Calibri" w:hAnsi="Calibri" w:cs="Calibri"/>
        </w:rPr>
      </w:pPr>
      <w:r w:rsidRPr="00C554EE">
        <w:rPr>
          <w:rFonts w:ascii="Calibri" w:hAnsi="Calibri" w:cs="Calibri"/>
        </w:rPr>
        <w:t>16</w:t>
      </w:r>
      <w:r w:rsidRPr="00C554EE">
        <w:rPr>
          <w:rFonts w:ascii="Calibri" w:hAnsi="Calibri" w:cs="Calibri"/>
        </w:rPr>
        <w:tab/>
        <w:t xml:space="preserve">Galles NC, Liu PY, Updike RL, </w:t>
      </w:r>
      <w:r w:rsidRPr="00C554EE">
        <w:rPr>
          <w:rFonts w:ascii="Calibri" w:hAnsi="Calibri" w:cs="Calibri"/>
          <w:i/>
          <w:iCs/>
        </w:rPr>
        <w:t>et al.</w:t>
      </w:r>
      <w:r w:rsidRPr="00C554EE">
        <w:rPr>
          <w:rFonts w:ascii="Calibri" w:hAnsi="Calibri" w:cs="Calibri"/>
        </w:rPr>
        <w:t xml:space="preserve"> Measuring routine childhood vaccination coverage in 204 countries and territories, 1980–2019: a systematic analysis for the Global Burden of Disease Study 2020, Release 1. </w:t>
      </w:r>
      <w:r w:rsidRPr="00C554EE">
        <w:rPr>
          <w:rFonts w:ascii="Calibri" w:hAnsi="Calibri" w:cs="Calibri"/>
          <w:i/>
          <w:iCs/>
        </w:rPr>
        <w:t>Lancet</w:t>
      </w:r>
      <w:r w:rsidRPr="00C554EE">
        <w:rPr>
          <w:rFonts w:ascii="Calibri" w:hAnsi="Calibri" w:cs="Calibri"/>
        </w:rPr>
        <w:t xml:space="preserve"> 2021; </w:t>
      </w:r>
      <w:r w:rsidRPr="00C554EE">
        <w:rPr>
          <w:rFonts w:ascii="Calibri" w:hAnsi="Calibri" w:cs="Calibri"/>
          <w:b/>
          <w:bCs/>
        </w:rPr>
        <w:t>398</w:t>
      </w:r>
      <w:r w:rsidRPr="00C554EE">
        <w:rPr>
          <w:rFonts w:ascii="Calibri" w:hAnsi="Calibri" w:cs="Calibri"/>
        </w:rPr>
        <w:t>: 503–21.</w:t>
      </w:r>
    </w:p>
    <w:p w14:paraId="1F4DC325" w14:textId="77777777" w:rsidR="00C554EE" w:rsidRPr="00C554EE" w:rsidRDefault="00C554EE" w:rsidP="00C554EE">
      <w:pPr>
        <w:pStyle w:val="Bibliography"/>
        <w:rPr>
          <w:rFonts w:ascii="Calibri" w:hAnsi="Calibri" w:cs="Calibri"/>
        </w:rPr>
      </w:pPr>
      <w:r w:rsidRPr="00C554EE">
        <w:rPr>
          <w:rFonts w:ascii="Calibri" w:hAnsi="Calibri" w:cs="Calibri"/>
        </w:rPr>
        <w:t>17</w:t>
      </w:r>
      <w:r w:rsidRPr="00C554EE">
        <w:rPr>
          <w:rFonts w:ascii="Calibri" w:hAnsi="Calibri" w:cs="Calibri"/>
        </w:rPr>
        <w:tab/>
        <w:t>Preziosi M, Department of Immunization, Vaccines, and Biologicals (World Health Organization). Update on meningococcal A vaccine development and introduction. Presented at: WHO Product Development for Vaccines Advisory Committee Meeting (PD-VAC). Geneva, Switzerland: WHO, 2015.</w:t>
      </w:r>
    </w:p>
    <w:p w14:paraId="054418B2" w14:textId="77777777" w:rsidR="00C554EE" w:rsidRPr="00C554EE" w:rsidRDefault="00C554EE" w:rsidP="00C554EE">
      <w:pPr>
        <w:pStyle w:val="Bibliography"/>
        <w:rPr>
          <w:rFonts w:ascii="Calibri" w:hAnsi="Calibri" w:cs="Calibri"/>
        </w:rPr>
      </w:pPr>
      <w:r w:rsidRPr="00C554EE">
        <w:rPr>
          <w:rFonts w:ascii="Calibri" w:hAnsi="Calibri" w:cs="Calibri"/>
        </w:rPr>
        <w:t>18</w:t>
      </w:r>
      <w:r w:rsidRPr="00C554EE">
        <w:rPr>
          <w:rFonts w:ascii="Calibri" w:hAnsi="Calibri" w:cs="Calibri"/>
        </w:rPr>
        <w:tab/>
        <w:t xml:space="preserve">Kim YA, Kim JJ, Won DJ, Lee K. Seasonal and temperature-associated increase in community-onset Acinetobacter baumannii complex colonization or infection. </w:t>
      </w:r>
      <w:r w:rsidRPr="00C554EE">
        <w:rPr>
          <w:rFonts w:ascii="Calibri" w:hAnsi="Calibri" w:cs="Calibri"/>
          <w:i/>
          <w:iCs/>
        </w:rPr>
        <w:t>Ann Lab Med</w:t>
      </w:r>
      <w:r w:rsidRPr="00C554EE">
        <w:rPr>
          <w:rFonts w:ascii="Calibri" w:hAnsi="Calibri" w:cs="Calibri"/>
        </w:rPr>
        <w:t xml:space="preserve"> 2018; </w:t>
      </w:r>
      <w:r w:rsidRPr="00C554EE">
        <w:rPr>
          <w:rFonts w:ascii="Calibri" w:hAnsi="Calibri" w:cs="Calibri"/>
          <w:b/>
          <w:bCs/>
        </w:rPr>
        <w:t>38</w:t>
      </w:r>
      <w:r w:rsidRPr="00C554EE">
        <w:rPr>
          <w:rFonts w:ascii="Calibri" w:hAnsi="Calibri" w:cs="Calibri"/>
        </w:rPr>
        <w:t>: 266–70.</w:t>
      </w:r>
    </w:p>
    <w:p w14:paraId="20740543" w14:textId="77777777" w:rsidR="00C554EE" w:rsidRPr="00C554EE" w:rsidRDefault="00C554EE" w:rsidP="00C554EE">
      <w:pPr>
        <w:pStyle w:val="Bibliography"/>
        <w:rPr>
          <w:rFonts w:ascii="Calibri" w:hAnsi="Calibri" w:cs="Calibri"/>
        </w:rPr>
      </w:pPr>
      <w:r w:rsidRPr="00C554EE">
        <w:rPr>
          <w:rFonts w:ascii="Calibri" w:hAnsi="Calibri" w:cs="Calibri"/>
        </w:rPr>
        <w:t>19</w:t>
      </w:r>
      <w:r w:rsidRPr="00C554EE">
        <w:rPr>
          <w:rFonts w:ascii="Calibri" w:hAnsi="Calibri" w:cs="Calibri"/>
        </w:rPr>
        <w:tab/>
        <w:t xml:space="preserve">Kritsotakis EI, Groves-Kozhageldiyeva A. A systematic review of the global seasonality of infections caused by </w:t>
      </w:r>
      <w:r w:rsidRPr="00C554EE">
        <w:rPr>
          <w:rFonts w:ascii="Calibri" w:hAnsi="Calibri" w:cs="Calibri"/>
          <w:i/>
          <w:iCs/>
        </w:rPr>
        <w:t>Acinetobacter</w:t>
      </w:r>
      <w:r w:rsidRPr="00C554EE">
        <w:rPr>
          <w:rFonts w:ascii="Calibri" w:hAnsi="Calibri" w:cs="Calibri"/>
        </w:rPr>
        <w:t xml:space="preserve"> species in hospitalized patients. </w:t>
      </w:r>
      <w:r w:rsidRPr="00C554EE">
        <w:rPr>
          <w:rFonts w:ascii="Calibri" w:hAnsi="Calibri" w:cs="Calibri"/>
          <w:i/>
          <w:iCs/>
        </w:rPr>
        <w:t>Clin Microbiol Infect</w:t>
      </w:r>
      <w:r w:rsidRPr="00C554EE">
        <w:rPr>
          <w:rFonts w:ascii="Calibri" w:hAnsi="Calibri" w:cs="Calibri"/>
        </w:rPr>
        <w:t xml:space="preserve"> 2020; </w:t>
      </w:r>
      <w:r w:rsidRPr="00C554EE">
        <w:rPr>
          <w:rFonts w:ascii="Calibri" w:hAnsi="Calibri" w:cs="Calibri"/>
          <w:b/>
          <w:bCs/>
        </w:rPr>
        <w:t>26</w:t>
      </w:r>
      <w:r w:rsidRPr="00C554EE">
        <w:rPr>
          <w:rFonts w:ascii="Calibri" w:hAnsi="Calibri" w:cs="Calibri"/>
        </w:rPr>
        <w:t>: 553–62.</w:t>
      </w:r>
    </w:p>
    <w:p w14:paraId="1DFA8F58" w14:textId="77777777" w:rsidR="00C554EE" w:rsidRPr="00C554EE" w:rsidRDefault="00C554EE" w:rsidP="00C554EE">
      <w:pPr>
        <w:pStyle w:val="Bibliography"/>
        <w:rPr>
          <w:rFonts w:ascii="Calibri" w:hAnsi="Calibri" w:cs="Calibri"/>
        </w:rPr>
      </w:pPr>
      <w:r w:rsidRPr="00C554EE">
        <w:rPr>
          <w:rFonts w:ascii="Calibri" w:hAnsi="Calibri" w:cs="Calibri"/>
        </w:rPr>
        <w:t>20</w:t>
      </w:r>
      <w:r w:rsidRPr="00C554EE">
        <w:rPr>
          <w:rFonts w:ascii="Calibri" w:hAnsi="Calibri" w:cs="Calibri"/>
        </w:rPr>
        <w:tab/>
        <w:t xml:space="preserve">GBD 2021 Risk Factors Collaborators. Global burden and strength of evidence for 88 risk factors in 204 countries, 1990–2021: a systematic analysis for the Global Burden of Disease Study 2021. </w:t>
      </w:r>
      <w:r w:rsidRPr="00C554EE">
        <w:rPr>
          <w:rFonts w:ascii="Calibri" w:hAnsi="Calibri" w:cs="Calibri"/>
          <w:i/>
          <w:iCs/>
        </w:rPr>
        <w:t>Lancet Rev</w:t>
      </w:r>
      <w:r w:rsidRPr="00C554EE">
        <w:rPr>
          <w:rFonts w:ascii="Calibri" w:hAnsi="Calibri" w:cs="Calibri"/>
        </w:rPr>
        <w:t>.</w:t>
      </w:r>
    </w:p>
    <w:p w14:paraId="6A315F36" w14:textId="01DAE136" w:rsidR="006E2101" w:rsidRDefault="004E55CB">
      <w:r>
        <w:fldChar w:fldCharType="end"/>
      </w:r>
    </w:p>
    <w:sectPr w:rsidR="006E2101" w:rsidSect="008D0993">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B40ED" w14:textId="77777777" w:rsidR="004A62C3" w:rsidRDefault="004A62C3" w:rsidP="00BE27D4">
      <w:pPr>
        <w:spacing w:after="0" w:line="240" w:lineRule="auto"/>
      </w:pPr>
      <w:r>
        <w:separator/>
      </w:r>
    </w:p>
  </w:endnote>
  <w:endnote w:type="continuationSeparator" w:id="0">
    <w:p w14:paraId="3ACE45F6" w14:textId="77777777" w:rsidR="004A62C3" w:rsidRDefault="004A62C3" w:rsidP="00BE27D4">
      <w:pPr>
        <w:spacing w:after="0" w:line="240" w:lineRule="auto"/>
      </w:pPr>
      <w:r>
        <w:continuationSeparator/>
      </w:r>
    </w:p>
  </w:endnote>
  <w:endnote w:type="continuationNotice" w:id="1">
    <w:p w14:paraId="4DCEA3F1" w14:textId="77777777" w:rsidR="004A62C3" w:rsidRDefault="004A62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Apto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36710674"/>
      <w:docPartObj>
        <w:docPartGallery w:val="Page Numbers (Bottom of Page)"/>
        <w:docPartUnique/>
      </w:docPartObj>
    </w:sdtPr>
    <w:sdtContent>
      <w:p w14:paraId="005282AA" w14:textId="77777777" w:rsidR="00A759B4" w:rsidRDefault="00A759B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16</w:t>
        </w:r>
        <w:r>
          <w:rPr>
            <w:rStyle w:val="PageNumber"/>
          </w:rPr>
          <w:fldChar w:fldCharType="end"/>
        </w:r>
      </w:p>
    </w:sdtContent>
  </w:sdt>
  <w:p w14:paraId="786B6535" w14:textId="77777777" w:rsidR="00A759B4" w:rsidRDefault="00A759B4" w:rsidP="00ED00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90856216"/>
      <w:docPartObj>
        <w:docPartGallery w:val="Page Numbers (Bottom of Page)"/>
        <w:docPartUnique/>
      </w:docPartObj>
    </w:sdtPr>
    <w:sdtContent>
      <w:p w14:paraId="3DB6CA66" w14:textId="77777777" w:rsidR="00A759B4" w:rsidRDefault="00A759B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87F7157" w14:textId="77777777" w:rsidR="00A759B4" w:rsidRDefault="00A759B4" w:rsidP="00ED009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70C38" w14:textId="77777777" w:rsidR="004A62C3" w:rsidRDefault="004A62C3" w:rsidP="00BE27D4">
      <w:pPr>
        <w:spacing w:after="0" w:line="240" w:lineRule="auto"/>
      </w:pPr>
      <w:r>
        <w:separator/>
      </w:r>
    </w:p>
  </w:footnote>
  <w:footnote w:type="continuationSeparator" w:id="0">
    <w:p w14:paraId="260280DF" w14:textId="77777777" w:rsidR="004A62C3" w:rsidRDefault="004A62C3" w:rsidP="00BE27D4">
      <w:pPr>
        <w:spacing w:after="0" w:line="240" w:lineRule="auto"/>
      </w:pPr>
      <w:r>
        <w:continuationSeparator/>
      </w:r>
    </w:p>
  </w:footnote>
  <w:footnote w:type="continuationNotice" w:id="1">
    <w:p w14:paraId="04F305C4" w14:textId="77777777" w:rsidR="004A62C3" w:rsidRDefault="004A62C3">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347FF"/>
    <w:multiLevelType w:val="hybridMultilevel"/>
    <w:tmpl w:val="80ACE5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C91165A"/>
    <w:multiLevelType w:val="hybridMultilevel"/>
    <w:tmpl w:val="FFFFFFFF"/>
    <w:lvl w:ilvl="0" w:tplc="79F075CE">
      <w:start w:val="1"/>
      <w:numFmt w:val="bullet"/>
      <w:lvlText w:val=""/>
      <w:lvlJc w:val="left"/>
      <w:pPr>
        <w:ind w:left="720" w:hanging="360"/>
      </w:pPr>
      <w:rPr>
        <w:rFonts w:ascii="Symbol" w:hAnsi="Symbol" w:hint="default"/>
      </w:rPr>
    </w:lvl>
    <w:lvl w:ilvl="1" w:tplc="C910F336">
      <w:start w:val="1"/>
      <w:numFmt w:val="bullet"/>
      <w:lvlText w:val="o"/>
      <w:lvlJc w:val="left"/>
      <w:pPr>
        <w:ind w:left="1440" w:hanging="360"/>
      </w:pPr>
      <w:rPr>
        <w:rFonts w:ascii="Courier New" w:hAnsi="Courier New" w:hint="default"/>
      </w:rPr>
    </w:lvl>
    <w:lvl w:ilvl="2" w:tplc="DF5EC612">
      <w:start w:val="1"/>
      <w:numFmt w:val="bullet"/>
      <w:lvlText w:val=""/>
      <w:lvlJc w:val="left"/>
      <w:pPr>
        <w:ind w:left="2160" w:hanging="360"/>
      </w:pPr>
      <w:rPr>
        <w:rFonts w:ascii="Wingdings" w:hAnsi="Wingdings" w:hint="default"/>
      </w:rPr>
    </w:lvl>
    <w:lvl w:ilvl="3" w:tplc="1DF6B702">
      <w:start w:val="1"/>
      <w:numFmt w:val="bullet"/>
      <w:lvlText w:val=""/>
      <w:lvlJc w:val="left"/>
      <w:pPr>
        <w:ind w:left="2880" w:hanging="360"/>
      </w:pPr>
      <w:rPr>
        <w:rFonts w:ascii="Symbol" w:hAnsi="Symbol" w:hint="default"/>
      </w:rPr>
    </w:lvl>
    <w:lvl w:ilvl="4" w:tplc="43383BEA">
      <w:start w:val="1"/>
      <w:numFmt w:val="bullet"/>
      <w:lvlText w:val="o"/>
      <w:lvlJc w:val="left"/>
      <w:pPr>
        <w:ind w:left="3600" w:hanging="360"/>
      </w:pPr>
      <w:rPr>
        <w:rFonts w:ascii="Courier New" w:hAnsi="Courier New" w:hint="default"/>
      </w:rPr>
    </w:lvl>
    <w:lvl w:ilvl="5" w:tplc="FAEE38FE">
      <w:start w:val="1"/>
      <w:numFmt w:val="bullet"/>
      <w:lvlText w:val=""/>
      <w:lvlJc w:val="left"/>
      <w:pPr>
        <w:ind w:left="4320" w:hanging="360"/>
      </w:pPr>
      <w:rPr>
        <w:rFonts w:ascii="Wingdings" w:hAnsi="Wingdings" w:hint="default"/>
      </w:rPr>
    </w:lvl>
    <w:lvl w:ilvl="6" w:tplc="B5146B74">
      <w:start w:val="1"/>
      <w:numFmt w:val="bullet"/>
      <w:lvlText w:val=""/>
      <w:lvlJc w:val="left"/>
      <w:pPr>
        <w:ind w:left="5040" w:hanging="360"/>
      </w:pPr>
      <w:rPr>
        <w:rFonts w:ascii="Symbol" w:hAnsi="Symbol" w:hint="default"/>
      </w:rPr>
    </w:lvl>
    <w:lvl w:ilvl="7" w:tplc="AFBE8CEC">
      <w:start w:val="1"/>
      <w:numFmt w:val="bullet"/>
      <w:lvlText w:val="o"/>
      <w:lvlJc w:val="left"/>
      <w:pPr>
        <w:ind w:left="5760" w:hanging="360"/>
      </w:pPr>
      <w:rPr>
        <w:rFonts w:ascii="Courier New" w:hAnsi="Courier New" w:hint="default"/>
      </w:rPr>
    </w:lvl>
    <w:lvl w:ilvl="8" w:tplc="ABD48A0C">
      <w:start w:val="1"/>
      <w:numFmt w:val="bullet"/>
      <w:lvlText w:val=""/>
      <w:lvlJc w:val="left"/>
      <w:pPr>
        <w:ind w:left="6480" w:hanging="360"/>
      </w:pPr>
      <w:rPr>
        <w:rFonts w:ascii="Wingdings" w:hAnsi="Wingdings" w:hint="default"/>
      </w:rPr>
    </w:lvl>
  </w:abstractNum>
  <w:abstractNum w:abstractNumId="2" w15:restartNumberingAfterBreak="0">
    <w:nsid w:val="11C30F74"/>
    <w:multiLevelType w:val="hybridMultilevel"/>
    <w:tmpl w:val="F0769A7E"/>
    <w:lvl w:ilvl="0" w:tplc="6102DFD2">
      <w:start w:val="1"/>
      <w:numFmt w:val="decimal"/>
      <w:lvlText w:val="%1)"/>
      <w:lvlJc w:val="left"/>
      <w:pPr>
        <w:ind w:left="1020" w:hanging="360"/>
      </w:pPr>
    </w:lvl>
    <w:lvl w:ilvl="1" w:tplc="071C21F8">
      <w:start w:val="1"/>
      <w:numFmt w:val="decimal"/>
      <w:lvlText w:val="%2)"/>
      <w:lvlJc w:val="left"/>
      <w:pPr>
        <w:ind w:left="1020" w:hanging="360"/>
      </w:pPr>
    </w:lvl>
    <w:lvl w:ilvl="2" w:tplc="A5763308">
      <w:start w:val="1"/>
      <w:numFmt w:val="decimal"/>
      <w:lvlText w:val="%3)"/>
      <w:lvlJc w:val="left"/>
      <w:pPr>
        <w:ind w:left="1020" w:hanging="360"/>
      </w:pPr>
    </w:lvl>
    <w:lvl w:ilvl="3" w:tplc="4B1E2E14">
      <w:start w:val="1"/>
      <w:numFmt w:val="decimal"/>
      <w:lvlText w:val="%4)"/>
      <w:lvlJc w:val="left"/>
      <w:pPr>
        <w:ind w:left="1020" w:hanging="360"/>
      </w:pPr>
    </w:lvl>
    <w:lvl w:ilvl="4" w:tplc="1B3C2840">
      <w:start w:val="1"/>
      <w:numFmt w:val="decimal"/>
      <w:lvlText w:val="%5)"/>
      <w:lvlJc w:val="left"/>
      <w:pPr>
        <w:ind w:left="1020" w:hanging="360"/>
      </w:pPr>
    </w:lvl>
    <w:lvl w:ilvl="5" w:tplc="668ED7CC">
      <w:start w:val="1"/>
      <w:numFmt w:val="decimal"/>
      <w:lvlText w:val="%6)"/>
      <w:lvlJc w:val="left"/>
      <w:pPr>
        <w:ind w:left="1020" w:hanging="360"/>
      </w:pPr>
    </w:lvl>
    <w:lvl w:ilvl="6" w:tplc="6090DC04">
      <w:start w:val="1"/>
      <w:numFmt w:val="decimal"/>
      <w:lvlText w:val="%7)"/>
      <w:lvlJc w:val="left"/>
      <w:pPr>
        <w:ind w:left="1020" w:hanging="360"/>
      </w:pPr>
    </w:lvl>
    <w:lvl w:ilvl="7" w:tplc="0A664720">
      <w:start w:val="1"/>
      <w:numFmt w:val="decimal"/>
      <w:lvlText w:val="%8)"/>
      <w:lvlJc w:val="left"/>
      <w:pPr>
        <w:ind w:left="1020" w:hanging="360"/>
      </w:pPr>
    </w:lvl>
    <w:lvl w:ilvl="8" w:tplc="FDC89806">
      <w:start w:val="1"/>
      <w:numFmt w:val="decimal"/>
      <w:lvlText w:val="%9)"/>
      <w:lvlJc w:val="left"/>
      <w:pPr>
        <w:ind w:left="1020" w:hanging="360"/>
      </w:pPr>
    </w:lvl>
  </w:abstractNum>
  <w:abstractNum w:abstractNumId="3" w15:restartNumberingAfterBreak="0">
    <w:nsid w:val="1233745C"/>
    <w:multiLevelType w:val="hybridMultilevel"/>
    <w:tmpl w:val="94DE721C"/>
    <w:lvl w:ilvl="0" w:tplc="B280561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9B26A7F"/>
    <w:multiLevelType w:val="hybridMultilevel"/>
    <w:tmpl w:val="904C5FEC"/>
    <w:lvl w:ilvl="0" w:tplc="3BE29F88">
      <w:start w:val="1"/>
      <w:numFmt w:val="decimal"/>
      <w:lvlText w:val="%1."/>
      <w:lvlJc w:val="left"/>
      <w:pPr>
        <w:ind w:left="720" w:hanging="360"/>
      </w:pPr>
    </w:lvl>
    <w:lvl w:ilvl="1" w:tplc="AB80B9D2">
      <w:start w:val="1"/>
      <w:numFmt w:val="lowerLetter"/>
      <w:lvlText w:val="%2."/>
      <w:lvlJc w:val="left"/>
      <w:pPr>
        <w:ind w:left="1440" w:hanging="360"/>
      </w:pPr>
    </w:lvl>
    <w:lvl w:ilvl="2" w:tplc="567075BC">
      <w:start w:val="1"/>
      <w:numFmt w:val="lowerRoman"/>
      <w:lvlText w:val="%3."/>
      <w:lvlJc w:val="right"/>
      <w:pPr>
        <w:ind w:left="2160" w:hanging="180"/>
      </w:pPr>
    </w:lvl>
    <w:lvl w:ilvl="3" w:tplc="0F7EC1CE">
      <w:start w:val="1"/>
      <w:numFmt w:val="decimal"/>
      <w:lvlText w:val="%4."/>
      <w:lvlJc w:val="left"/>
      <w:pPr>
        <w:ind w:left="2880" w:hanging="360"/>
      </w:pPr>
    </w:lvl>
    <w:lvl w:ilvl="4" w:tplc="73E0F0C6">
      <w:start w:val="1"/>
      <w:numFmt w:val="lowerLetter"/>
      <w:lvlText w:val="%5."/>
      <w:lvlJc w:val="left"/>
      <w:pPr>
        <w:ind w:left="3600" w:hanging="360"/>
      </w:pPr>
    </w:lvl>
    <w:lvl w:ilvl="5" w:tplc="985CAA0E">
      <w:start w:val="1"/>
      <w:numFmt w:val="lowerRoman"/>
      <w:lvlText w:val="%6."/>
      <w:lvlJc w:val="right"/>
      <w:pPr>
        <w:ind w:left="4320" w:hanging="180"/>
      </w:pPr>
    </w:lvl>
    <w:lvl w:ilvl="6" w:tplc="4C805BAE">
      <w:start w:val="1"/>
      <w:numFmt w:val="decimal"/>
      <w:lvlText w:val="%7."/>
      <w:lvlJc w:val="left"/>
      <w:pPr>
        <w:ind w:left="5040" w:hanging="360"/>
      </w:pPr>
    </w:lvl>
    <w:lvl w:ilvl="7" w:tplc="797E56C0">
      <w:start w:val="1"/>
      <w:numFmt w:val="lowerLetter"/>
      <w:lvlText w:val="%8."/>
      <w:lvlJc w:val="left"/>
      <w:pPr>
        <w:ind w:left="5760" w:hanging="360"/>
      </w:pPr>
    </w:lvl>
    <w:lvl w:ilvl="8" w:tplc="886400CC">
      <w:start w:val="1"/>
      <w:numFmt w:val="lowerRoman"/>
      <w:lvlText w:val="%9."/>
      <w:lvlJc w:val="right"/>
      <w:pPr>
        <w:ind w:left="6480" w:hanging="180"/>
      </w:pPr>
    </w:lvl>
  </w:abstractNum>
  <w:abstractNum w:abstractNumId="5" w15:restartNumberingAfterBreak="0">
    <w:nsid w:val="1E5304B0"/>
    <w:multiLevelType w:val="hybridMultilevel"/>
    <w:tmpl w:val="E8B4DF94"/>
    <w:lvl w:ilvl="0" w:tplc="56429C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94B5177"/>
    <w:multiLevelType w:val="hybridMultilevel"/>
    <w:tmpl w:val="26E4677A"/>
    <w:lvl w:ilvl="0" w:tplc="1E5615DA">
      <w:start w:val="1"/>
      <w:numFmt w:val="bullet"/>
      <w:lvlText w:val=""/>
      <w:lvlJc w:val="left"/>
      <w:pPr>
        <w:ind w:left="720" w:hanging="360"/>
      </w:pPr>
      <w:rPr>
        <w:rFonts w:ascii="Symbol" w:hAnsi="Symbol" w:hint="default"/>
      </w:rPr>
    </w:lvl>
    <w:lvl w:ilvl="1" w:tplc="B73E5802">
      <w:start w:val="1"/>
      <w:numFmt w:val="bullet"/>
      <w:lvlText w:val="o"/>
      <w:lvlJc w:val="left"/>
      <w:pPr>
        <w:ind w:left="1440" w:hanging="360"/>
      </w:pPr>
      <w:rPr>
        <w:rFonts w:ascii="Courier New" w:hAnsi="Courier New" w:cs="Times New Roman" w:hint="default"/>
      </w:rPr>
    </w:lvl>
    <w:lvl w:ilvl="2" w:tplc="C4CEA362">
      <w:start w:val="1"/>
      <w:numFmt w:val="bullet"/>
      <w:lvlText w:val=""/>
      <w:lvlJc w:val="left"/>
      <w:pPr>
        <w:ind w:left="2160" w:hanging="360"/>
      </w:pPr>
      <w:rPr>
        <w:rFonts w:ascii="Wingdings" w:hAnsi="Wingdings" w:hint="default"/>
      </w:rPr>
    </w:lvl>
    <w:lvl w:ilvl="3" w:tplc="8674A6FC">
      <w:start w:val="1"/>
      <w:numFmt w:val="bullet"/>
      <w:lvlText w:val=""/>
      <w:lvlJc w:val="left"/>
      <w:pPr>
        <w:ind w:left="2880" w:hanging="360"/>
      </w:pPr>
      <w:rPr>
        <w:rFonts w:ascii="Symbol" w:hAnsi="Symbol" w:hint="default"/>
      </w:rPr>
    </w:lvl>
    <w:lvl w:ilvl="4" w:tplc="B0483414">
      <w:start w:val="1"/>
      <w:numFmt w:val="bullet"/>
      <w:lvlText w:val="o"/>
      <w:lvlJc w:val="left"/>
      <w:pPr>
        <w:ind w:left="3600" w:hanging="360"/>
      </w:pPr>
      <w:rPr>
        <w:rFonts w:ascii="Courier New" w:hAnsi="Courier New" w:cs="Times New Roman" w:hint="default"/>
      </w:rPr>
    </w:lvl>
    <w:lvl w:ilvl="5" w:tplc="46022042">
      <w:start w:val="1"/>
      <w:numFmt w:val="bullet"/>
      <w:lvlText w:val=""/>
      <w:lvlJc w:val="left"/>
      <w:pPr>
        <w:ind w:left="4320" w:hanging="360"/>
      </w:pPr>
      <w:rPr>
        <w:rFonts w:ascii="Wingdings" w:hAnsi="Wingdings" w:hint="default"/>
      </w:rPr>
    </w:lvl>
    <w:lvl w:ilvl="6" w:tplc="F0707B4E">
      <w:start w:val="1"/>
      <w:numFmt w:val="bullet"/>
      <w:lvlText w:val=""/>
      <w:lvlJc w:val="left"/>
      <w:pPr>
        <w:ind w:left="5040" w:hanging="360"/>
      </w:pPr>
      <w:rPr>
        <w:rFonts w:ascii="Symbol" w:hAnsi="Symbol" w:hint="default"/>
      </w:rPr>
    </w:lvl>
    <w:lvl w:ilvl="7" w:tplc="C88AD45A">
      <w:start w:val="1"/>
      <w:numFmt w:val="bullet"/>
      <w:lvlText w:val="o"/>
      <w:lvlJc w:val="left"/>
      <w:pPr>
        <w:ind w:left="5760" w:hanging="360"/>
      </w:pPr>
      <w:rPr>
        <w:rFonts w:ascii="Courier New" w:hAnsi="Courier New" w:cs="Times New Roman" w:hint="default"/>
      </w:rPr>
    </w:lvl>
    <w:lvl w:ilvl="8" w:tplc="1716FC76">
      <w:start w:val="1"/>
      <w:numFmt w:val="bullet"/>
      <w:lvlText w:val=""/>
      <w:lvlJc w:val="left"/>
      <w:pPr>
        <w:ind w:left="6480" w:hanging="360"/>
      </w:pPr>
      <w:rPr>
        <w:rFonts w:ascii="Wingdings" w:hAnsi="Wingdings" w:hint="default"/>
      </w:rPr>
    </w:lvl>
  </w:abstractNum>
  <w:abstractNum w:abstractNumId="7" w15:restartNumberingAfterBreak="0">
    <w:nsid w:val="2D251E4C"/>
    <w:multiLevelType w:val="hybridMultilevel"/>
    <w:tmpl w:val="FAC4FD36"/>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E331DAA"/>
    <w:multiLevelType w:val="hybridMultilevel"/>
    <w:tmpl w:val="3E1652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32180299"/>
    <w:multiLevelType w:val="hybridMultilevel"/>
    <w:tmpl w:val="809C61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CA20D0"/>
    <w:multiLevelType w:val="hybridMultilevel"/>
    <w:tmpl w:val="2AB02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050DA8"/>
    <w:multiLevelType w:val="hybridMultilevel"/>
    <w:tmpl w:val="5C56E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EC407C"/>
    <w:multiLevelType w:val="hybridMultilevel"/>
    <w:tmpl w:val="3886B88A"/>
    <w:lvl w:ilvl="0" w:tplc="F752C208">
      <w:start w:val="1"/>
      <w:numFmt w:val="bullet"/>
      <w:lvlText w:val=""/>
      <w:lvlJc w:val="left"/>
      <w:pPr>
        <w:ind w:left="720" w:hanging="360"/>
      </w:pPr>
      <w:rPr>
        <w:rFonts w:ascii="Symbol" w:hAnsi="Symbol" w:hint="default"/>
      </w:rPr>
    </w:lvl>
    <w:lvl w:ilvl="1" w:tplc="4C1EA5EA">
      <w:start w:val="1"/>
      <w:numFmt w:val="bullet"/>
      <w:lvlText w:val="o"/>
      <w:lvlJc w:val="left"/>
      <w:pPr>
        <w:ind w:left="1440" w:hanging="360"/>
      </w:pPr>
      <w:rPr>
        <w:rFonts w:ascii="Courier New" w:hAnsi="Courier New" w:cs="Times New Roman" w:hint="default"/>
      </w:rPr>
    </w:lvl>
    <w:lvl w:ilvl="2" w:tplc="9138B216">
      <w:start w:val="1"/>
      <w:numFmt w:val="bullet"/>
      <w:lvlText w:val=""/>
      <w:lvlJc w:val="left"/>
      <w:pPr>
        <w:ind w:left="2160" w:hanging="360"/>
      </w:pPr>
      <w:rPr>
        <w:rFonts w:ascii="Wingdings" w:hAnsi="Wingdings" w:hint="default"/>
      </w:rPr>
    </w:lvl>
    <w:lvl w:ilvl="3" w:tplc="8CDA081A">
      <w:start w:val="1"/>
      <w:numFmt w:val="bullet"/>
      <w:lvlText w:val=""/>
      <w:lvlJc w:val="left"/>
      <w:pPr>
        <w:ind w:left="2880" w:hanging="360"/>
      </w:pPr>
      <w:rPr>
        <w:rFonts w:ascii="Symbol" w:hAnsi="Symbol" w:hint="default"/>
      </w:rPr>
    </w:lvl>
    <w:lvl w:ilvl="4" w:tplc="4E94EB54">
      <w:start w:val="1"/>
      <w:numFmt w:val="bullet"/>
      <w:lvlText w:val="o"/>
      <w:lvlJc w:val="left"/>
      <w:pPr>
        <w:ind w:left="3600" w:hanging="360"/>
      </w:pPr>
      <w:rPr>
        <w:rFonts w:ascii="Courier New" w:hAnsi="Courier New" w:cs="Times New Roman" w:hint="default"/>
      </w:rPr>
    </w:lvl>
    <w:lvl w:ilvl="5" w:tplc="8EAA914C">
      <w:start w:val="1"/>
      <w:numFmt w:val="bullet"/>
      <w:lvlText w:val=""/>
      <w:lvlJc w:val="left"/>
      <w:pPr>
        <w:ind w:left="4320" w:hanging="360"/>
      </w:pPr>
      <w:rPr>
        <w:rFonts w:ascii="Wingdings" w:hAnsi="Wingdings" w:hint="default"/>
      </w:rPr>
    </w:lvl>
    <w:lvl w:ilvl="6" w:tplc="800EFE22">
      <w:start w:val="1"/>
      <w:numFmt w:val="bullet"/>
      <w:lvlText w:val=""/>
      <w:lvlJc w:val="left"/>
      <w:pPr>
        <w:ind w:left="5040" w:hanging="360"/>
      </w:pPr>
      <w:rPr>
        <w:rFonts w:ascii="Symbol" w:hAnsi="Symbol" w:hint="default"/>
      </w:rPr>
    </w:lvl>
    <w:lvl w:ilvl="7" w:tplc="246002DA">
      <w:start w:val="1"/>
      <w:numFmt w:val="bullet"/>
      <w:lvlText w:val="o"/>
      <w:lvlJc w:val="left"/>
      <w:pPr>
        <w:ind w:left="5760" w:hanging="360"/>
      </w:pPr>
      <w:rPr>
        <w:rFonts w:ascii="Courier New" w:hAnsi="Courier New" w:cs="Times New Roman" w:hint="default"/>
      </w:rPr>
    </w:lvl>
    <w:lvl w:ilvl="8" w:tplc="B008A62C">
      <w:start w:val="1"/>
      <w:numFmt w:val="bullet"/>
      <w:lvlText w:val=""/>
      <w:lvlJc w:val="left"/>
      <w:pPr>
        <w:ind w:left="6480" w:hanging="360"/>
      </w:pPr>
      <w:rPr>
        <w:rFonts w:ascii="Wingdings" w:hAnsi="Wingdings" w:hint="default"/>
      </w:rPr>
    </w:lvl>
  </w:abstractNum>
  <w:abstractNum w:abstractNumId="13" w15:restartNumberingAfterBreak="0">
    <w:nsid w:val="590A103F"/>
    <w:multiLevelType w:val="hybridMultilevel"/>
    <w:tmpl w:val="2CCCF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ACE4F42"/>
    <w:multiLevelType w:val="hybridMultilevel"/>
    <w:tmpl w:val="D9F8BDC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73C17F08"/>
    <w:multiLevelType w:val="hybridMultilevel"/>
    <w:tmpl w:val="BFE2CC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76AC67EF"/>
    <w:multiLevelType w:val="hybridMultilevel"/>
    <w:tmpl w:val="2570A3BC"/>
    <w:lvl w:ilvl="0" w:tplc="CECABC6A">
      <w:start w:val="1"/>
      <w:numFmt w:val="bullet"/>
      <w:lvlText w:val=""/>
      <w:lvlJc w:val="left"/>
      <w:pPr>
        <w:ind w:left="720" w:hanging="360"/>
      </w:pPr>
      <w:rPr>
        <w:rFonts w:ascii="Symbol" w:hAnsi="Symbol" w:hint="default"/>
      </w:rPr>
    </w:lvl>
    <w:lvl w:ilvl="1" w:tplc="B1BC0054">
      <w:start w:val="1"/>
      <w:numFmt w:val="bullet"/>
      <w:lvlText w:val="o"/>
      <w:lvlJc w:val="left"/>
      <w:pPr>
        <w:ind w:left="1440" w:hanging="360"/>
      </w:pPr>
      <w:rPr>
        <w:rFonts w:ascii="Courier New" w:hAnsi="Courier New" w:cs="Times New Roman" w:hint="default"/>
      </w:rPr>
    </w:lvl>
    <w:lvl w:ilvl="2" w:tplc="076C099E">
      <w:start w:val="1"/>
      <w:numFmt w:val="bullet"/>
      <w:lvlText w:val=""/>
      <w:lvlJc w:val="left"/>
      <w:pPr>
        <w:ind w:left="2160" w:hanging="360"/>
      </w:pPr>
      <w:rPr>
        <w:rFonts w:ascii="Wingdings" w:hAnsi="Wingdings" w:hint="default"/>
      </w:rPr>
    </w:lvl>
    <w:lvl w:ilvl="3" w:tplc="39F24862">
      <w:start w:val="1"/>
      <w:numFmt w:val="bullet"/>
      <w:lvlText w:val=""/>
      <w:lvlJc w:val="left"/>
      <w:pPr>
        <w:ind w:left="2880" w:hanging="360"/>
      </w:pPr>
      <w:rPr>
        <w:rFonts w:ascii="Symbol" w:hAnsi="Symbol" w:hint="default"/>
      </w:rPr>
    </w:lvl>
    <w:lvl w:ilvl="4" w:tplc="4F560B64">
      <w:start w:val="1"/>
      <w:numFmt w:val="bullet"/>
      <w:lvlText w:val="o"/>
      <w:lvlJc w:val="left"/>
      <w:pPr>
        <w:ind w:left="3600" w:hanging="360"/>
      </w:pPr>
      <w:rPr>
        <w:rFonts w:ascii="Courier New" w:hAnsi="Courier New" w:cs="Times New Roman" w:hint="default"/>
      </w:rPr>
    </w:lvl>
    <w:lvl w:ilvl="5" w:tplc="5B44D202">
      <w:start w:val="1"/>
      <w:numFmt w:val="bullet"/>
      <w:lvlText w:val=""/>
      <w:lvlJc w:val="left"/>
      <w:pPr>
        <w:ind w:left="4320" w:hanging="360"/>
      </w:pPr>
      <w:rPr>
        <w:rFonts w:ascii="Wingdings" w:hAnsi="Wingdings" w:hint="default"/>
      </w:rPr>
    </w:lvl>
    <w:lvl w:ilvl="6" w:tplc="41884F9C">
      <w:start w:val="1"/>
      <w:numFmt w:val="bullet"/>
      <w:lvlText w:val=""/>
      <w:lvlJc w:val="left"/>
      <w:pPr>
        <w:ind w:left="5040" w:hanging="360"/>
      </w:pPr>
      <w:rPr>
        <w:rFonts w:ascii="Symbol" w:hAnsi="Symbol" w:hint="default"/>
      </w:rPr>
    </w:lvl>
    <w:lvl w:ilvl="7" w:tplc="9836BEEA">
      <w:start w:val="1"/>
      <w:numFmt w:val="bullet"/>
      <w:lvlText w:val="o"/>
      <w:lvlJc w:val="left"/>
      <w:pPr>
        <w:ind w:left="5760" w:hanging="360"/>
      </w:pPr>
      <w:rPr>
        <w:rFonts w:ascii="Courier New" w:hAnsi="Courier New" w:cs="Times New Roman" w:hint="default"/>
      </w:rPr>
    </w:lvl>
    <w:lvl w:ilvl="8" w:tplc="8D06B81C">
      <w:start w:val="1"/>
      <w:numFmt w:val="bullet"/>
      <w:lvlText w:val=""/>
      <w:lvlJc w:val="left"/>
      <w:pPr>
        <w:ind w:left="6480" w:hanging="360"/>
      </w:pPr>
      <w:rPr>
        <w:rFonts w:ascii="Wingdings" w:hAnsi="Wingdings" w:hint="default"/>
      </w:rPr>
    </w:lvl>
  </w:abstractNum>
  <w:abstractNum w:abstractNumId="17" w15:restartNumberingAfterBreak="0">
    <w:nsid w:val="79713ADF"/>
    <w:multiLevelType w:val="hybridMultilevel"/>
    <w:tmpl w:val="941C98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659114197">
    <w:abstractNumId w:val="13"/>
  </w:num>
  <w:num w:numId="2" w16cid:durableId="638149569">
    <w:abstractNumId w:val="10"/>
  </w:num>
  <w:num w:numId="3" w16cid:durableId="926965086">
    <w:abstractNumId w:val="6"/>
  </w:num>
  <w:num w:numId="4" w16cid:durableId="1489400237">
    <w:abstractNumId w:val="12"/>
  </w:num>
  <w:num w:numId="5" w16cid:durableId="211965659">
    <w:abstractNumId w:val="16"/>
  </w:num>
  <w:num w:numId="6" w16cid:durableId="59124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983942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174430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509932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82759119">
    <w:abstractNumId w:val="0"/>
  </w:num>
  <w:num w:numId="11" w16cid:durableId="1907718839">
    <w:abstractNumId w:val="4"/>
  </w:num>
  <w:num w:numId="12" w16cid:durableId="981236002">
    <w:abstractNumId w:val="9"/>
  </w:num>
  <w:num w:numId="13" w16cid:durableId="1563717060">
    <w:abstractNumId w:val="1"/>
  </w:num>
  <w:num w:numId="14" w16cid:durableId="2035033488">
    <w:abstractNumId w:val="11"/>
  </w:num>
  <w:num w:numId="15" w16cid:durableId="1561478112">
    <w:abstractNumId w:val="2"/>
  </w:num>
  <w:num w:numId="16" w16cid:durableId="13659859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02679051">
    <w:abstractNumId w:val="7"/>
  </w:num>
  <w:num w:numId="18" w16cid:durableId="7956108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13842690">
    <w:abstractNumId w:val="6"/>
  </w:num>
  <w:num w:numId="20" w16cid:durableId="1726181433">
    <w:abstractNumId w:val="12"/>
  </w:num>
  <w:num w:numId="21" w16cid:durableId="768160495">
    <w:abstractNumId w:val="16"/>
  </w:num>
  <w:num w:numId="22" w16cid:durableId="15935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85405562">
    <w:abstractNumId w:val="0"/>
  </w:num>
  <w:num w:numId="24" w16cid:durableId="17871940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LcwNrcwMTA0szAwMDVR0lEKTi0uzszPAykwrQUApkwWYCwAAAA="/>
  </w:docVars>
  <w:rsids>
    <w:rsidRoot w:val="16F614BB"/>
    <w:rsid w:val="000040D2"/>
    <w:rsid w:val="000044F6"/>
    <w:rsid w:val="000048AD"/>
    <w:rsid w:val="000070F8"/>
    <w:rsid w:val="000074DE"/>
    <w:rsid w:val="000118AD"/>
    <w:rsid w:val="00011D86"/>
    <w:rsid w:val="00013541"/>
    <w:rsid w:val="000162C7"/>
    <w:rsid w:val="0001716E"/>
    <w:rsid w:val="0002218F"/>
    <w:rsid w:val="00023F79"/>
    <w:rsid w:val="00025D3B"/>
    <w:rsid w:val="0002613D"/>
    <w:rsid w:val="00030D8F"/>
    <w:rsid w:val="00030DB4"/>
    <w:rsid w:val="00031A54"/>
    <w:rsid w:val="00035376"/>
    <w:rsid w:val="00041D04"/>
    <w:rsid w:val="000426C0"/>
    <w:rsid w:val="000447BC"/>
    <w:rsid w:val="00045D34"/>
    <w:rsid w:val="00061BAB"/>
    <w:rsid w:val="00062950"/>
    <w:rsid w:val="000654A8"/>
    <w:rsid w:val="0006654D"/>
    <w:rsid w:val="00067AD6"/>
    <w:rsid w:val="000709BD"/>
    <w:rsid w:val="000726F3"/>
    <w:rsid w:val="000727BF"/>
    <w:rsid w:val="00072E8E"/>
    <w:rsid w:val="00074F2C"/>
    <w:rsid w:val="00080835"/>
    <w:rsid w:val="00080A43"/>
    <w:rsid w:val="00081013"/>
    <w:rsid w:val="000812E1"/>
    <w:rsid w:val="000821DF"/>
    <w:rsid w:val="00082924"/>
    <w:rsid w:val="00085636"/>
    <w:rsid w:val="0008584B"/>
    <w:rsid w:val="0009489B"/>
    <w:rsid w:val="00096C72"/>
    <w:rsid w:val="000A1579"/>
    <w:rsid w:val="000A2026"/>
    <w:rsid w:val="000A5D35"/>
    <w:rsid w:val="000A63B5"/>
    <w:rsid w:val="000B0A09"/>
    <w:rsid w:val="000B13DA"/>
    <w:rsid w:val="000B2523"/>
    <w:rsid w:val="000B5B9F"/>
    <w:rsid w:val="000B7814"/>
    <w:rsid w:val="000C05F1"/>
    <w:rsid w:val="000C2E09"/>
    <w:rsid w:val="000C3CC8"/>
    <w:rsid w:val="000C5142"/>
    <w:rsid w:val="000C623F"/>
    <w:rsid w:val="000C7ECA"/>
    <w:rsid w:val="000D03A4"/>
    <w:rsid w:val="000E39CA"/>
    <w:rsid w:val="000F06B1"/>
    <w:rsid w:val="000F2569"/>
    <w:rsid w:val="000F32B0"/>
    <w:rsid w:val="000F6656"/>
    <w:rsid w:val="00101DD2"/>
    <w:rsid w:val="00104508"/>
    <w:rsid w:val="00106704"/>
    <w:rsid w:val="00107F5E"/>
    <w:rsid w:val="00110552"/>
    <w:rsid w:val="0011299F"/>
    <w:rsid w:val="0011455D"/>
    <w:rsid w:val="0011463E"/>
    <w:rsid w:val="001164D4"/>
    <w:rsid w:val="00116DDA"/>
    <w:rsid w:val="001213AB"/>
    <w:rsid w:val="00123392"/>
    <w:rsid w:val="001238F2"/>
    <w:rsid w:val="001321E6"/>
    <w:rsid w:val="00136FA1"/>
    <w:rsid w:val="001404D0"/>
    <w:rsid w:val="001437DB"/>
    <w:rsid w:val="00146328"/>
    <w:rsid w:val="00146C55"/>
    <w:rsid w:val="001503B3"/>
    <w:rsid w:val="00150DCC"/>
    <w:rsid w:val="00151126"/>
    <w:rsid w:val="0015213B"/>
    <w:rsid w:val="001536A7"/>
    <w:rsid w:val="00154955"/>
    <w:rsid w:val="0015546E"/>
    <w:rsid w:val="00160274"/>
    <w:rsid w:val="001624D7"/>
    <w:rsid w:val="001656BB"/>
    <w:rsid w:val="00167AA6"/>
    <w:rsid w:val="00170B9D"/>
    <w:rsid w:val="0017297B"/>
    <w:rsid w:val="00172BB4"/>
    <w:rsid w:val="001762A2"/>
    <w:rsid w:val="00176B44"/>
    <w:rsid w:val="00177903"/>
    <w:rsid w:val="0018109D"/>
    <w:rsid w:val="001817E0"/>
    <w:rsid w:val="00185606"/>
    <w:rsid w:val="0019158B"/>
    <w:rsid w:val="00197E84"/>
    <w:rsid w:val="001A0D6B"/>
    <w:rsid w:val="001A2AEB"/>
    <w:rsid w:val="001A2D88"/>
    <w:rsid w:val="001A5430"/>
    <w:rsid w:val="001A62B4"/>
    <w:rsid w:val="001B125B"/>
    <w:rsid w:val="001B17E9"/>
    <w:rsid w:val="001B2725"/>
    <w:rsid w:val="001B5B38"/>
    <w:rsid w:val="001B7969"/>
    <w:rsid w:val="001C02AB"/>
    <w:rsid w:val="001C10A6"/>
    <w:rsid w:val="001C1827"/>
    <w:rsid w:val="001C1E4C"/>
    <w:rsid w:val="001C2C74"/>
    <w:rsid w:val="001C2E61"/>
    <w:rsid w:val="001C2F44"/>
    <w:rsid w:val="001C5B51"/>
    <w:rsid w:val="001C6819"/>
    <w:rsid w:val="001C6A27"/>
    <w:rsid w:val="001C6B7F"/>
    <w:rsid w:val="001D088F"/>
    <w:rsid w:val="001D3935"/>
    <w:rsid w:val="001D4F9F"/>
    <w:rsid w:val="001D5956"/>
    <w:rsid w:val="001E248B"/>
    <w:rsid w:val="001E486A"/>
    <w:rsid w:val="001E7F0C"/>
    <w:rsid w:val="001F0FEC"/>
    <w:rsid w:val="001F5235"/>
    <w:rsid w:val="001F5507"/>
    <w:rsid w:val="001F5DC6"/>
    <w:rsid w:val="001F61BF"/>
    <w:rsid w:val="001F75E9"/>
    <w:rsid w:val="002014BA"/>
    <w:rsid w:val="0020388D"/>
    <w:rsid w:val="00205740"/>
    <w:rsid w:val="00211676"/>
    <w:rsid w:val="002139D0"/>
    <w:rsid w:val="0021462A"/>
    <w:rsid w:val="002165C5"/>
    <w:rsid w:val="00217175"/>
    <w:rsid w:val="00220905"/>
    <w:rsid w:val="00221C00"/>
    <w:rsid w:val="0022306F"/>
    <w:rsid w:val="00223980"/>
    <w:rsid w:val="00223AB9"/>
    <w:rsid w:val="00225BF6"/>
    <w:rsid w:val="00225C57"/>
    <w:rsid w:val="00225DD5"/>
    <w:rsid w:val="00230270"/>
    <w:rsid w:val="00230374"/>
    <w:rsid w:val="00231535"/>
    <w:rsid w:val="0023220A"/>
    <w:rsid w:val="00233D02"/>
    <w:rsid w:val="00240F0F"/>
    <w:rsid w:val="002431D8"/>
    <w:rsid w:val="00244A23"/>
    <w:rsid w:val="0024584A"/>
    <w:rsid w:val="0024767D"/>
    <w:rsid w:val="002509A0"/>
    <w:rsid w:val="00250DC0"/>
    <w:rsid w:val="00251ED9"/>
    <w:rsid w:val="002525CC"/>
    <w:rsid w:val="00255074"/>
    <w:rsid w:val="00260001"/>
    <w:rsid w:val="00260B3A"/>
    <w:rsid w:val="00261060"/>
    <w:rsid w:val="00264D59"/>
    <w:rsid w:val="0026535C"/>
    <w:rsid w:val="00266417"/>
    <w:rsid w:val="002666A5"/>
    <w:rsid w:val="0027154B"/>
    <w:rsid w:val="00272F13"/>
    <w:rsid w:val="0027567B"/>
    <w:rsid w:val="00275777"/>
    <w:rsid w:val="002809EA"/>
    <w:rsid w:val="00283618"/>
    <w:rsid w:val="0028545F"/>
    <w:rsid w:val="002870AC"/>
    <w:rsid w:val="002919C5"/>
    <w:rsid w:val="00292416"/>
    <w:rsid w:val="00294D7C"/>
    <w:rsid w:val="0029519A"/>
    <w:rsid w:val="00296D75"/>
    <w:rsid w:val="002A00E3"/>
    <w:rsid w:val="002A0B57"/>
    <w:rsid w:val="002A162E"/>
    <w:rsid w:val="002A2085"/>
    <w:rsid w:val="002A235F"/>
    <w:rsid w:val="002A2714"/>
    <w:rsid w:val="002A483B"/>
    <w:rsid w:val="002A6422"/>
    <w:rsid w:val="002A7731"/>
    <w:rsid w:val="002B0C8A"/>
    <w:rsid w:val="002B135E"/>
    <w:rsid w:val="002B143D"/>
    <w:rsid w:val="002B1678"/>
    <w:rsid w:val="002B310F"/>
    <w:rsid w:val="002B4500"/>
    <w:rsid w:val="002B4862"/>
    <w:rsid w:val="002B58C6"/>
    <w:rsid w:val="002B5DED"/>
    <w:rsid w:val="002C0377"/>
    <w:rsid w:val="002C0A46"/>
    <w:rsid w:val="002C38BA"/>
    <w:rsid w:val="002C5F9C"/>
    <w:rsid w:val="002C7684"/>
    <w:rsid w:val="002D01D2"/>
    <w:rsid w:val="002D0CCF"/>
    <w:rsid w:val="002D1FC8"/>
    <w:rsid w:val="002D4F0E"/>
    <w:rsid w:val="002D619B"/>
    <w:rsid w:val="002D6AE6"/>
    <w:rsid w:val="002D6BE8"/>
    <w:rsid w:val="002E03C1"/>
    <w:rsid w:val="002E2DD0"/>
    <w:rsid w:val="002E3802"/>
    <w:rsid w:val="002E410E"/>
    <w:rsid w:val="002E56DA"/>
    <w:rsid w:val="002E58EE"/>
    <w:rsid w:val="002E6D8A"/>
    <w:rsid w:val="002F3430"/>
    <w:rsid w:val="002F6F07"/>
    <w:rsid w:val="002F6FBF"/>
    <w:rsid w:val="00301419"/>
    <w:rsid w:val="00305BBB"/>
    <w:rsid w:val="00307104"/>
    <w:rsid w:val="0031042D"/>
    <w:rsid w:val="00310489"/>
    <w:rsid w:val="00311BC3"/>
    <w:rsid w:val="0031601F"/>
    <w:rsid w:val="003170CE"/>
    <w:rsid w:val="003226D3"/>
    <w:rsid w:val="00324133"/>
    <w:rsid w:val="0033053F"/>
    <w:rsid w:val="0033432B"/>
    <w:rsid w:val="00334652"/>
    <w:rsid w:val="00336042"/>
    <w:rsid w:val="0033641C"/>
    <w:rsid w:val="00337C83"/>
    <w:rsid w:val="00340786"/>
    <w:rsid w:val="00341441"/>
    <w:rsid w:val="0034233B"/>
    <w:rsid w:val="00344BC3"/>
    <w:rsid w:val="00347477"/>
    <w:rsid w:val="00347DD9"/>
    <w:rsid w:val="00351892"/>
    <w:rsid w:val="0035257C"/>
    <w:rsid w:val="0035286B"/>
    <w:rsid w:val="00354D6C"/>
    <w:rsid w:val="00354DD0"/>
    <w:rsid w:val="0035604D"/>
    <w:rsid w:val="0036193E"/>
    <w:rsid w:val="00361C5C"/>
    <w:rsid w:val="00363782"/>
    <w:rsid w:val="003640B0"/>
    <w:rsid w:val="003648DD"/>
    <w:rsid w:val="00372B2C"/>
    <w:rsid w:val="0037305C"/>
    <w:rsid w:val="003745F4"/>
    <w:rsid w:val="003746FF"/>
    <w:rsid w:val="00375BB3"/>
    <w:rsid w:val="0038169B"/>
    <w:rsid w:val="00381825"/>
    <w:rsid w:val="00384777"/>
    <w:rsid w:val="00385048"/>
    <w:rsid w:val="00387A7A"/>
    <w:rsid w:val="00387B79"/>
    <w:rsid w:val="0039045D"/>
    <w:rsid w:val="00391D8C"/>
    <w:rsid w:val="00392BAC"/>
    <w:rsid w:val="003A1178"/>
    <w:rsid w:val="003A1784"/>
    <w:rsid w:val="003A249A"/>
    <w:rsid w:val="003A493C"/>
    <w:rsid w:val="003A6417"/>
    <w:rsid w:val="003B185D"/>
    <w:rsid w:val="003B2EC4"/>
    <w:rsid w:val="003B35F8"/>
    <w:rsid w:val="003B5740"/>
    <w:rsid w:val="003C0B1B"/>
    <w:rsid w:val="003C0D51"/>
    <w:rsid w:val="003C1EBF"/>
    <w:rsid w:val="003C7F33"/>
    <w:rsid w:val="003D4878"/>
    <w:rsid w:val="003D4D8B"/>
    <w:rsid w:val="003D7B86"/>
    <w:rsid w:val="003E011D"/>
    <w:rsid w:val="003E1089"/>
    <w:rsid w:val="003E2DF7"/>
    <w:rsid w:val="003E3B82"/>
    <w:rsid w:val="003E531B"/>
    <w:rsid w:val="003E7C8A"/>
    <w:rsid w:val="003F129C"/>
    <w:rsid w:val="003F678F"/>
    <w:rsid w:val="003F7886"/>
    <w:rsid w:val="00400F8A"/>
    <w:rsid w:val="00401537"/>
    <w:rsid w:val="004017B3"/>
    <w:rsid w:val="00405335"/>
    <w:rsid w:val="0040794D"/>
    <w:rsid w:val="00412F0B"/>
    <w:rsid w:val="00421939"/>
    <w:rsid w:val="0042273D"/>
    <w:rsid w:val="00422817"/>
    <w:rsid w:val="00424705"/>
    <w:rsid w:val="00424CF3"/>
    <w:rsid w:val="00425FE7"/>
    <w:rsid w:val="004308BC"/>
    <w:rsid w:val="0043448C"/>
    <w:rsid w:val="00435913"/>
    <w:rsid w:val="00437BA5"/>
    <w:rsid w:val="00437DA0"/>
    <w:rsid w:val="00446A9F"/>
    <w:rsid w:val="004502CE"/>
    <w:rsid w:val="00450E93"/>
    <w:rsid w:val="0045332F"/>
    <w:rsid w:val="0045439A"/>
    <w:rsid w:val="004574AE"/>
    <w:rsid w:val="00460A8E"/>
    <w:rsid w:val="00460D46"/>
    <w:rsid w:val="00461EFA"/>
    <w:rsid w:val="00462574"/>
    <w:rsid w:val="00465896"/>
    <w:rsid w:val="00465CB9"/>
    <w:rsid w:val="00473770"/>
    <w:rsid w:val="00474F7A"/>
    <w:rsid w:val="00476E9D"/>
    <w:rsid w:val="004775D7"/>
    <w:rsid w:val="00485036"/>
    <w:rsid w:val="00491441"/>
    <w:rsid w:val="00492069"/>
    <w:rsid w:val="004951E1"/>
    <w:rsid w:val="00495B05"/>
    <w:rsid w:val="00497D8D"/>
    <w:rsid w:val="004A08B5"/>
    <w:rsid w:val="004A56E4"/>
    <w:rsid w:val="004A62C3"/>
    <w:rsid w:val="004C0FCB"/>
    <w:rsid w:val="004C1497"/>
    <w:rsid w:val="004C17B7"/>
    <w:rsid w:val="004C28BB"/>
    <w:rsid w:val="004C4BE7"/>
    <w:rsid w:val="004C6022"/>
    <w:rsid w:val="004C6D99"/>
    <w:rsid w:val="004C70E9"/>
    <w:rsid w:val="004D02E0"/>
    <w:rsid w:val="004D2107"/>
    <w:rsid w:val="004D52E6"/>
    <w:rsid w:val="004E2487"/>
    <w:rsid w:val="004E3307"/>
    <w:rsid w:val="004E55CB"/>
    <w:rsid w:val="004E5B62"/>
    <w:rsid w:val="004E75F7"/>
    <w:rsid w:val="004F70E1"/>
    <w:rsid w:val="005012A4"/>
    <w:rsid w:val="00504070"/>
    <w:rsid w:val="0050642D"/>
    <w:rsid w:val="0050720C"/>
    <w:rsid w:val="00507F47"/>
    <w:rsid w:val="00510165"/>
    <w:rsid w:val="005120A6"/>
    <w:rsid w:val="00513AA0"/>
    <w:rsid w:val="00513AF9"/>
    <w:rsid w:val="00514135"/>
    <w:rsid w:val="005152FB"/>
    <w:rsid w:val="005219A8"/>
    <w:rsid w:val="00524046"/>
    <w:rsid w:val="005358D6"/>
    <w:rsid w:val="00535B1B"/>
    <w:rsid w:val="00540837"/>
    <w:rsid w:val="005420FC"/>
    <w:rsid w:val="00545058"/>
    <w:rsid w:val="005511DA"/>
    <w:rsid w:val="00551617"/>
    <w:rsid w:val="00552347"/>
    <w:rsid w:val="0055349B"/>
    <w:rsid w:val="005548A8"/>
    <w:rsid w:val="00554B4D"/>
    <w:rsid w:val="00555171"/>
    <w:rsid w:val="005551EC"/>
    <w:rsid w:val="005606F1"/>
    <w:rsid w:val="005632BF"/>
    <w:rsid w:val="005658EF"/>
    <w:rsid w:val="00570D73"/>
    <w:rsid w:val="00570E18"/>
    <w:rsid w:val="0057158A"/>
    <w:rsid w:val="005719D5"/>
    <w:rsid w:val="005728F5"/>
    <w:rsid w:val="0057501C"/>
    <w:rsid w:val="0057523B"/>
    <w:rsid w:val="005764F1"/>
    <w:rsid w:val="005860F8"/>
    <w:rsid w:val="00586670"/>
    <w:rsid w:val="005876E8"/>
    <w:rsid w:val="0059234F"/>
    <w:rsid w:val="00597FFB"/>
    <w:rsid w:val="005A359F"/>
    <w:rsid w:val="005A58B6"/>
    <w:rsid w:val="005A7E42"/>
    <w:rsid w:val="005A7E62"/>
    <w:rsid w:val="005B15FE"/>
    <w:rsid w:val="005B3C3C"/>
    <w:rsid w:val="005B6452"/>
    <w:rsid w:val="005B6507"/>
    <w:rsid w:val="005B7465"/>
    <w:rsid w:val="005C0223"/>
    <w:rsid w:val="005C0EB9"/>
    <w:rsid w:val="005C3DDC"/>
    <w:rsid w:val="005C5188"/>
    <w:rsid w:val="005C524E"/>
    <w:rsid w:val="005C68D1"/>
    <w:rsid w:val="005C7469"/>
    <w:rsid w:val="005D0CAB"/>
    <w:rsid w:val="005D6090"/>
    <w:rsid w:val="005D702F"/>
    <w:rsid w:val="005D749B"/>
    <w:rsid w:val="005E1B01"/>
    <w:rsid w:val="005E3910"/>
    <w:rsid w:val="005E4CCB"/>
    <w:rsid w:val="005E753D"/>
    <w:rsid w:val="005F3208"/>
    <w:rsid w:val="005F3907"/>
    <w:rsid w:val="005F4DBC"/>
    <w:rsid w:val="005F696C"/>
    <w:rsid w:val="00604B86"/>
    <w:rsid w:val="00606A59"/>
    <w:rsid w:val="00610F0E"/>
    <w:rsid w:val="00611D1A"/>
    <w:rsid w:val="00630D9E"/>
    <w:rsid w:val="006338B5"/>
    <w:rsid w:val="00634E53"/>
    <w:rsid w:val="00635D00"/>
    <w:rsid w:val="006379A0"/>
    <w:rsid w:val="00637D07"/>
    <w:rsid w:val="00643AD7"/>
    <w:rsid w:val="00644419"/>
    <w:rsid w:val="00644444"/>
    <w:rsid w:val="0064544E"/>
    <w:rsid w:val="00645DFD"/>
    <w:rsid w:val="006462FE"/>
    <w:rsid w:val="0064650B"/>
    <w:rsid w:val="00647927"/>
    <w:rsid w:val="00650598"/>
    <w:rsid w:val="00651D7F"/>
    <w:rsid w:val="00654D92"/>
    <w:rsid w:val="00657D50"/>
    <w:rsid w:val="00662444"/>
    <w:rsid w:val="006641F6"/>
    <w:rsid w:val="006647FD"/>
    <w:rsid w:val="00666CAD"/>
    <w:rsid w:val="00666CFF"/>
    <w:rsid w:val="0067073E"/>
    <w:rsid w:val="00670D9A"/>
    <w:rsid w:val="006720FA"/>
    <w:rsid w:val="00673642"/>
    <w:rsid w:val="00673834"/>
    <w:rsid w:val="00674C5A"/>
    <w:rsid w:val="00676F3C"/>
    <w:rsid w:val="006822E4"/>
    <w:rsid w:val="00685038"/>
    <w:rsid w:val="00691310"/>
    <w:rsid w:val="00691AF7"/>
    <w:rsid w:val="00691C6D"/>
    <w:rsid w:val="006924B8"/>
    <w:rsid w:val="006968EC"/>
    <w:rsid w:val="006A03FD"/>
    <w:rsid w:val="006A127C"/>
    <w:rsid w:val="006A282A"/>
    <w:rsid w:val="006A50FA"/>
    <w:rsid w:val="006A7A14"/>
    <w:rsid w:val="006B00A3"/>
    <w:rsid w:val="006B0549"/>
    <w:rsid w:val="006B2797"/>
    <w:rsid w:val="006B41D2"/>
    <w:rsid w:val="006B4C12"/>
    <w:rsid w:val="006B5492"/>
    <w:rsid w:val="006C0AD8"/>
    <w:rsid w:val="006C38BE"/>
    <w:rsid w:val="006C50EF"/>
    <w:rsid w:val="006C634A"/>
    <w:rsid w:val="006D3389"/>
    <w:rsid w:val="006D4800"/>
    <w:rsid w:val="006D4A36"/>
    <w:rsid w:val="006D56AD"/>
    <w:rsid w:val="006D6A0C"/>
    <w:rsid w:val="006E0083"/>
    <w:rsid w:val="006E133A"/>
    <w:rsid w:val="006E2101"/>
    <w:rsid w:val="006E6E9C"/>
    <w:rsid w:val="006F29A2"/>
    <w:rsid w:val="006F5063"/>
    <w:rsid w:val="006F6BA7"/>
    <w:rsid w:val="00702709"/>
    <w:rsid w:val="007049E7"/>
    <w:rsid w:val="00705167"/>
    <w:rsid w:val="007063B7"/>
    <w:rsid w:val="00710D2D"/>
    <w:rsid w:val="007121E1"/>
    <w:rsid w:val="00713E58"/>
    <w:rsid w:val="00714193"/>
    <w:rsid w:val="00714622"/>
    <w:rsid w:val="007149AA"/>
    <w:rsid w:val="00715662"/>
    <w:rsid w:val="00716984"/>
    <w:rsid w:val="00720A9F"/>
    <w:rsid w:val="00721BB5"/>
    <w:rsid w:val="007221B1"/>
    <w:rsid w:val="007236B4"/>
    <w:rsid w:val="00724DA2"/>
    <w:rsid w:val="00727A89"/>
    <w:rsid w:val="00731F83"/>
    <w:rsid w:val="0073429D"/>
    <w:rsid w:val="00734C8C"/>
    <w:rsid w:val="00736047"/>
    <w:rsid w:val="007365B7"/>
    <w:rsid w:val="00742AE1"/>
    <w:rsid w:val="00743416"/>
    <w:rsid w:val="00745FCA"/>
    <w:rsid w:val="00747240"/>
    <w:rsid w:val="0075059B"/>
    <w:rsid w:val="00751501"/>
    <w:rsid w:val="00752104"/>
    <w:rsid w:val="007554C9"/>
    <w:rsid w:val="007573DB"/>
    <w:rsid w:val="007579D3"/>
    <w:rsid w:val="007635B3"/>
    <w:rsid w:val="007636E9"/>
    <w:rsid w:val="00765E67"/>
    <w:rsid w:val="007700A3"/>
    <w:rsid w:val="0077247C"/>
    <w:rsid w:val="00772E4A"/>
    <w:rsid w:val="00777247"/>
    <w:rsid w:val="007807D4"/>
    <w:rsid w:val="00782A99"/>
    <w:rsid w:val="00782BAD"/>
    <w:rsid w:val="0079135E"/>
    <w:rsid w:val="00795EDA"/>
    <w:rsid w:val="00796246"/>
    <w:rsid w:val="007A1B4D"/>
    <w:rsid w:val="007A27C4"/>
    <w:rsid w:val="007A33B8"/>
    <w:rsid w:val="007A37D5"/>
    <w:rsid w:val="007A5027"/>
    <w:rsid w:val="007B121E"/>
    <w:rsid w:val="007B1257"/>
    <w:rsid w:val="007C2E54"/>
    <w:rsid w:val="007C3CCD"/>
    <w:rsid w:val="007C3D61"/>
    <w:rsid w:val="007C4F17"/>
    <w:rsid w:val="007C60EA"/>
    <w:rsid w:val="007C6A7D"/>
    <w:rsid w:val="007C7FAD"/>
    <w:rsid w:val="007D028E"/>
    <w:rsid w:val="007D0565"/>
    <w:rsid w:val="007D08F0"/>
    <w:rsid w:val="007D24F5"/>
    <w:rsid w:val="007D26DF"/>
    <w:rsid w:val="007D4AFF"/>
    <w:rsid w:val="007D5188"/>
    <w:rsid w:val="007E124F"/>
    <w:rsid w:val="007F0B5C"/>
    <w:rsid w:val="007F4EB4"/>
    <w:rsid w:val="007F6F11"/>
    <w:rsid w:val="0080350D"/>
    <w:rsid w:val="008039D1"/>
    <w:rsid w:val="0081176B"/>
    <w:rsid w:val="008121F9"/>
    <w:rsid w:val="008123BE"/>
    <w:rsid w:val="00813441"/>
    <w:rsid w:val="00815CC5"/>
    <w:rsid w:val="008175FB"/>
    <w:rsid w:val="00821561"/>
    <w:rsid w:val="0082236E"/>
    <w:rsid w:val="008237CE"/>
    <w:rsid w:val="008249E5"/>
    <w:rsid w:val="00827718"/>
    <w:rsid w:val="00831134"/>
    <w:rsid w:val="00833E99"/>
    <w:rsid w:val="0083429E"/>
    <w:rsid w:val="00841085"/>
    <w:rsid w:val="00844403"/>
    <w:rsid w:val="00844D4A"/>
    <w:rsid w:val="00847238"/>
    <w:rsid w:val="00847FCF"/>
    <w:rsid w:val="008506E7"/>
    <w:rsid w:val="0085384B"/>
    <w:rsid w:val="00856A08"/>
    <w:rsid w:val="008625A5"/>
    <w:rsid w:val="008629E4"/>
    <w:rsid w:val="00862BE3"/>
    <w:rsid w:val="00865255"/>
    <w:rsid w:val="00867361"/>
    <w:rsid w:val="008700BC"/>
    <w:rsid w:val="0087064C"/>
    <w:rsid w:val="00871A5F"/>
    <w:rsid w:val="00872CEC"/>
    <w:rsid w:val="00874A0B"/>
    <w:rsid w:val="00874C3A"/>
    <w:rsid w:val="00876790"/>
    <w:rsid w:val="00882598"/>
    <w:rsid w:val="00882C9B"/>
    <w:rsid w:val="00884868"/>
    <w:rsid w:val="00885FBB"/>
    <w:rsid w:val="00887822"/>
    <w:rsid w:val="00892347"/>
    <w:rsid w:val="0089240C"/>
    <w:rsid w:val="00892615"/>
    <w:rsid w:val="00893488"/>
    <w:rsid w:val="008936E6"/>
    <w:rsid w:val="00893EAA"/>
    <w:rsid w:val="0089753C"/>
    <w:rsid w:val="008A2BA0"/>
    <w:rsid w:val="008A4255"/>
    <w:rsid w:val="008A57FC"/>
    <w:rsid w:val="008B03C6"/>
    <w:rsid w:val="008B0651"/>
    <w:rsid w:val="008B1A29"/>
    <w:rsid w:val="008B28B3"/>
    <w:rsid w:val="008B4783"/>
    <w:rsid w:val="008B56E6"/>
    <w:rsid w:val="008B6FF5"/>
    <w:rsid w:val="008C0225"/>
    <w:rsid w:val="008C2C5F"/>
    <w:rsid w:val="008C578D"/>
    <w:rsid w:val="008C57F2"/>
    <w:rsid w:val="008C609A"/>
    <w:rsid w:val="008C6227"/>
    <w:rsid w:val="008D0993"/>
    <w:rsid w:val="008D3D85"/>
    <w:rsid w:val="008D5D1C"/>
    <w:rsid w:val="008E6B1E"/>
    <w:rsid w:val="008E7B9A"/>
    <w:rsid w:val="008F4B13"/>
    <w:rsid w:val="008F4E3D"/>
    <w:rsid w:val="00900212"/>
    <w:rsid w:val="009023D7"/>
    <w:rsid w:val="00903E78"/>
    <w:rsid w:val="00903ED3"/>
    <w:rsid w:val="009040A5"/>
    <w:rsid w:val="00904795"/>
    <w:rsid w:val="00910C8F"/>
    <w:rsid w:val="00922A21"/>
    <w:rsid w:val="00922E3A"/>
    <w:rsid w:val="009304F7"/>
    <w:rsid w:val="00930C37"/>
    <w:rsid w:val="00931237"/>
    <w:rsid w:val="0093184D"/>
    <w:rsid w:val="0093331E"/>
    <w:rsid w:val="0093399C"/>
    <w:rsid w:val="00935158"/>
    <w:rsid w:val="009359FE"/>
    <w:rsid w:val="00941C7F"/>
    <w:rsid w:val="0094291A"/>
    <w:rsid w:val="00942CD7"/>
    <w:rsid w:val="00943157"/>
    <w:rsid w:val="00944464"/>
    <w:rsid w:val="0094459A"/>
    <w:rsid w:val="009464C2"/>
    <w:rsid w:val="00946A5D"/>
    <w:rsid w:val="00947AEA"/>
    <w:rsid w:val="009501D0"/>
    <w:rsid w:val="00952366"/>
    <w:rsid w:val="00952D09"/>
    <w:rsid w:val="00952F5A"/>
    <w:rsid w:val="00954F0E"/>
    <w:rsid w:val="009566C5"/>
    <w:rsid w:val="00966493"/>
    <w:rsid w:val="00974758"/>
    <w:rsid w:val="00974D99"/>
    <w:rsid w:val="0097783C"/>
    <w:rsid w:val="0098023E"/>
    <w:rsid w:val="00980FD9"/>
    <w:rsid w:val="00987918"/>
    <w:rsid w:val="009908E9"/>
    <w:rsid w:val="009918CE"/>
    <w:rsid w:val="00991A86"/>
    <w:rsid w:val="00991B0E"/>
    <w:rsid w:val="009930C7"/>
    <w:rsid w:val="009936E0"/>
    <w:rsid w:val="009956A9"/>
    <w:rsid w:val="009A00C8"/>
    <w:rsid w:val="009A0FA3"/>
    <w:rsid w:val="009A1D68"/>
    <w:rsid w:val="009A1E06"/>
    <w:rsid w:val="009A27E6"/>
    <w:rsid w:val="009A37E0"/>
    <w:rsid w:val="009A552C"/>
    <w:rsid w:val="009B216A"/>
    <w:rsid w:val="009B2AE7"/>
    <w:rsid w:val="009B3457"/>
    <w:rsid w:val="009B674F"/>
    <w:rsid w:val="009B6F1C"/>
    <w:rsid w:val="009C1C3A"/>
    <w:rsid w:val="009C3937"/>
    <w:rsid w:val="009C3FD0"/>
    <w:rsid w:val="009C495A"/>
    <w:rsid w:val="009C5F9F"/>
    <w:rsid w:val="009D191C"/>
    <w:rsid w:val="009D20FC"/>
    <w:rsid w:val="009D2A20"/>
    <w:rsid w:val="009D2C98"/>
    <w:rsid w:val="009D3194"/>
    <w:rsid w:val="009D6494"/>
    <w:rsid w:val="009E030B"/>
    <w:rsid w:val="009E0A32"/>
    <w:rsid w:val="009E132D"/>
    <w:rsid w:val="009E1F5A"/>
    <w:rsid w:val="009E58CA"/>
    <w:rsid w:val="009E5A58"/>
    <w:rsid w:val="009F065C"/>
    <w:rsid w:val="009F3484"/>
    <w:rsid w:val="009F4705"/>
    <w:rsid w:val="009F51E6"/>
    <w:rsid w:val="00A00277"/>
    <w:rsid w:val="00A026FF"/>
    <w:rsid w:val="00A03129"/>
    <w:rsid w:val="00A07536"/>
    <w:rsid w:val="00A07BA8"/>
    <w:rsid w:val="00A1087C"/>
    <w:rsid w:val="00A11D8F"/>
    <w:rsid w:val="00A14BEC"/>
    <w:rsid w:val="00A173F9"/>
    <w:rsid w:val="00A20D40"/>
    <w:rsid w:val="00A21E1C"/>
    <w:rsid w:val="00A25959"/>
    <w:rsid w:val="00A27F63"/>
    <w:rsid w:val="00A3314E"/>
    <w:rsid w:val="00A3334A"/>
    <w:rsid w:val="00A352A4"/>
    <w:rsid w:val="00A43D9A"/>
    <w:rsid w:val="00A44AAD"/>
    <w:rsid w:val="00A4527C"/>
    <w:rsid w:val="00A5415B"/>
    <w:rsid w:val="00A54ABC"/>
    <w:rsid w:val="00A5718D"/>
    <w:rsid w:val="00A571FF"/>
    <w:rsid w:val="00A57702"/>
    <w:rsid w:val="00A6052E"/>
    <w:rsid w:val="00A62EDE"/>
    <w:rsid w:val="00A66806"/>
    <w:rsid w:val="00A7440E"/>
    <w:rsid w:val="00A74E82"/>
    <w:rsid w:val="00A75250"/>
    <w:rsid w:val="00A759B4"/>
    <w:rsid w:val="00A808B1"/>
    <w:rsid w:val="00A80EB8"/>
    <w:rsid w:val="00A83F49"/>
    <w:rsid w:val="00A84B79"/>
    <w:rsid w:val="00A90313"/>
    <w:rsid w:val="00A90679"/>
    <w:rsid w:val="00A9150D"/>
    <w:rsid w:val="00A91777"/>
    <w:rsid w:val="00A9275E"/>
    <w:rsid w:val="00A92AB0"/>
    <w:rsid w:val="00A946E9"/>
    <w:rsid w:val="00A95490"/>
    <w:rsid w:val="00AA337A"/>
    <w:rsid w:val="00AA418B"/>
    <w:rsid w:val="00AA5B5C"/>
    <w:rsid w:val="00AA69B0"/>
    <w:rsid w:val="00AB1185"/>
    <w:rsid w:val="00AB2531"/>
    <w:rsid w:val="00AB2D99"/>
    <w:rsid w:val="00AB5183"/>
    <w:rsid w:val="00AB56F2"/>
    <w:rsid w:val="00AB6625"/>
    <w:rsid w:val="00AB7C8B"/>
    <w:rsid w:val="00AC1EDC"/>
    <w:rsid w:val="00AC467A"/>
    <w:rsid w:val="00AC4C3D"/>
    <w:rsid w:val="00AC4FC7"/>
    <w:rsid w:val="00AD02DC"/>
    <w:rsid w:val="00AD067B"/>
    <w:rsid w:val="00AE0A24"/>
    <w:rsid w:val="00AE1466"/>
    <w:rsid w:val="00AE2FBB"/>
    <w:rsid w:val="00AE6506"/>
    <w:rsid w:val="00AE6576"/>
    <w:rsid w:val="00AE669E"/>
    <w:rsid w:val="00AF2DFA"/>
    <w:rsid w:val="00AF413B"/>
    <w:rsid w:val="00AF433B"/>
    <w:rsid w:val="00AF5275"/>
    <w:rsid w:val="00AF68D7"/>
    <w:rsid w:val="00B00535"/>
    <w:rsid w:val="00B005F1"/>
    <w:rsid w:val="00B02C04"/>
    <w:rsid w:val="00B04271"/>
    <w:rsid w:val="00B05753"/>
    <w:rsid w:val="00B10613"/>
    <w:rsid w:val="00B11F2C"/>
    <w:rsid w:val="00B123E5"/>
    <w:rsid w:val="00B12597"/>
    <w:rsid w:val="00B12960"/>
    <w:rsid w:val="00B13C27"/>
    <w:rsid w:val="00B13C91"/>
    <w:rsid w:val="00B17D27"/>
    <w:rsid w:val="00B17E76"/>
    <w:rsid w:val="00B21C46"/>
    <w:rsid w:val="00B271CA"/>
    <w:rsid w:val="00B34F4D"/>
    <w:rsid w:val="00B36166"/>
    <w:rsid w:val="00B3781C"/>
    <w:rsid w:val="00B40740"/>
    <w:rsid w:val="00B4199B"/>
    <w:rsid w:val="00B52B43"/>
    <w:rsid w:val="00B5541D"/>
    <w:rsid w:val="00B55D66"/>
    <w:rsid w:val="00B6013D"/>
    <w:rsid w:val="00B6217F"/>
    <w:rsid w:val="00B64405"/>
    <w:rsid w:val="00B64D8F"/>
    <w:rsid w:val="00B65496"/>
    <w:rsid w:val="00B67CA4"/>
    <w:rsid w:val="00B67EDC"/>
    <w:rsid w:val="00B708A7"/>
    <w:rsid w:val="00B7126F"/>
    <w:rsid w:val="00B71703"/>
    <w:rsid w:val="00B74015"/>
    <w:rsid w:val="00B7503D"/>
    <w:rsid w:val="00B75546"/>
    <w:rsid w:val="00B75554"/>
    <w:rsid w:val="00B766D1"/>
    <w:rsid w:val="00B84361"/>
    <w:rsid w:val="00B8B2CD"/>
    <w:rsid w:val="00B90B71"/>
    <w:rsid w:val="00B92702"/>
    <w:rsid w:val="00B959D9"/>
    <w:rsid w:val="00B95B38"/>
    <w:rsid w:val="00B95BAE"/>
    <w:rsid w:val="00B9783E"/>
    <w:rsid w:val="00BA0FA3"/>
    <w:rsid w:val="00BA337D"/>
    <w:rsid w:val="00BA7112"/>
    <w:rsid w:val="00BB6146"/>
    <w:rsid w:val="00BB671C"/>
    <w:rsid w:val="00BC23D4"/>
    <w:rsid w:val="00BC41C4"/>
    <w:rsid w:val="00BD181C"/>
    <w:rsid w:val="00BD32DE"/>
    <w:rsid w:val="00BD35A3"/>
    <w:rsid w:val="00BD3E2E"/>
    <w:rsid w:val="00BE04BF"/>
    <w:rsid w:val="00BE27D4"/>
    <w:rsid w:val="00BE58DA"/>
    <w:rsid w:val="00BE5D5A"/>
    <w:rsid w:val="00BE6FE7"/>
    <w:rsid w:val="00BF0333"/>
    <w:rsid w:val="00BF1D77"/>
    <w:rsid w:val="00BF3453"/>
    <w:rsid w:val="00BF483B"/>
    <w:rsid w:val="00BF646C"/>
    <w:rsid w:val="00BF732D"/>
    <w:rsid w:val="00C001AB"/>
    <w:rsid w:val="00C00255"/>
    <w:rsid w:val="00C01B0C"/>
    <w:rsid w:val="00C02567"/>
    <w:rsid w:val="00C033E5"/>
    <w:rsid w:val="00C036AE"/>
    <w:rsid w:val="00C042AF"/>
    <w:rsid w:val="00C044FF"/>
    <w:rsid w:val="00C056B9"/>
    <w:rsid w:val="00C06060"/>
    <w:rsid w:val="00C10B1E"/>
    <w:rsid w:val="00C10B63"/>
    <w:rsid w:val="00C11F42"/>
    <w:rsid w:val="00C1368A"/>
    <w:rsid w:val="00C1483B"/>
    <w:rsid w:val="00C157D2"/>
    <w:rsid w:val="00C17E6C"/>
    <w:rsid w:val="00C214C3"/>
    <w:rsid w:val="00C214FE"/>
    <w:rsid w:val="00C23903"/>
    <w:rsid w:val="00C31303"/>
    <w:rsid w:val="00C34214"/>
    <w:rsid w:val="00C36635"/>
    <w:rsid w:val="00C367F2"/>
    <w:rsid w:val="00C36AD5"/>
    <w:rsid w:val="00C40181"/>
    <w:rsid w:val="00C4162D"/>
    <w:rsid w:val="00C44E64"/>
    <w:rsid w:val="00C452CD"/>
    <w:rsid w:val="00C47D6A"/>
    <w:rsid w:val="00C53511"/>
    <w:rsid w:val="00C554EE"/>
    <w:rsid w:val="00C55649"/>
    <w:rsid w:val="00C56C09"/>
    <w:rsid w:val="00C603EF"/>
    <w:rsid w:val="00C6160E"/>
    <w:rsid w:val="00C61799"/>
    <w:rsid w:val="00C64603"/>
    <w:rsid w:val="00C64C1E"/>
    <w:rsid w:val="00C64D32"/>
    <w:rsid w:val="00C64EA6"/>
    <w:rsid w:val="00C64FE1"/>
    <w:rsid w:val="00C65081"/>
    <w:rsid w:val="00C6594D"/>
    <w:rsid w:val="00C665B7"/>
    <w:rsid w:val="00C70704"/>
    <w:rsid w:val="00C707FF"/>
    <w:rsid w:val="00C716D3"/>
    <w:rsid w:val="00C71DE9"/>
    <w:rsid w:val="00C7221E"/>
    <w:rsid w:val="00C72AB3"/>
    <w:rsid w:val="00C75D30"/>
    <w:rsid w:val="00C80BC3"/>
    <w:rsid w:val="00C84B52"/>
    <w:rsid w:val="00C9405F"/>
    <w:rsid w:val="00C949DD"/>
    <w:rsid w:val="00C968D2"/>
    <w:rsid w:val="00C96E34"/>
    <w:rsid w:val="00C97EBA"/>
    <w:rsid w:val="00CA3723"/>
    <w:rsid w:val="00CA3A5F"/>
    <w:rsid w:val="00CA3F8A"/>
    <w:rsid w:val="00CA486C"/>
    <w:rsid w:val="00CA55E6"/>
    <w:rsid w:val="00CA74E3"/>
    <w:rsid w:val="00CB0D49"/>
    <w:rsid w:val="00CB3342"/>
    <w:rsid w:val="00CB6FAF"/>
    <w:rsid w:val="00CC0285"/>
    <w:rsid w:val="00CC0C96"/>
    <w:rsid w:val="00CC10F0"/>
    <w:rsid w:val="00CC1A6E"/>
    <w:rsid w:val="00CC4F82"/>
    <w:rsid w:val="00CC50A3"/>
    <w:rsid w:val="00CC57BE"/>
    <w:rsid w:val="00CC7FCA"/>
    <w:rsid w:val="00CD029B"/>
    <w:rsid w:val="00CD039D"/>
    <w:rsid w:val="00CD07F4"/>
    <w:rsid w:val="00CD0D73"/>
    <w:rsid w:val="00CD10BF"/>
    <w:rsid w:val="00CD18E6"/>
    <w:rsid w:val="00CD5082"/>
    <w:rsid w:val="00CE0BA5"/>
    <w:rsid w:val="00CE0F4D"/>
    <w:rsid w:val="00CE3224"/>
    <w:rsid w:val="00CE36FF"/>
    <w:rsid w:val="00CE4683"/>
    <w:rsid w:val="00CE5D32"/>
    <w:rsid w:val="00CE657D"/>
    <w:rsid w:val="00CE7CE1"/>
    <w:rsid w:val="00CF0818"/>
    <w:rsid w:val="00CF0EE8"/>
    <w:rsid w:val="00CF28AB"/>
    <w:rsid w:val="00CF6BFD"/>
    <w:rsid w:val="00D005C1"/>
    <w:rsid w:val="00D03FB0"/>
    <w:rsid w:val="00D04392"/>
    <w:rsid w:val="00D050B4"/>
    <w:rsid w:val="00D20D99"/>
    <w:rsid w:val="00D25DA0"/>
    <w:rsid w:val="00D26709"/>
    <w:rsid w:val="00D323CA"/>
    <w:rsid w:val="00D40F5D"/>
    <w:rsid w:val="00D425CB"/>
    <w:rsid w:val="00D4574E"/>
    <w:rsid w:val="00D45F5C"/>
    <w:rsid w:val="00D50741"/>
    <w:rsid w:val="00D524EE"/>
    <w:rsid w:val="00D54065"/>
    <w:rsid w:val="00D5475C"/>
    <w:rsid w:val="00D54D7C"/>
    <w:rsid w:val="00D606BF"/>
    <w:rsid w:val="00D634E4"/>
    <w:rsid w:val="00D64C12"/>
    <w:rsid w:val="00D670FB"/>
    <w:rsid w:val="00D7190A"/>
    <w:rsid w:val="00D72943"/>
    <w:rsid w:val="00D74D36"/>
    <w:rsid w:val="00D81465"/>
    <w:rsid w:val="00D82DD3"/>
    <w:rsid w:val="00D841AF"/>
    <w:rsid w:val="00D856EF"/>
    <w:rsid w:val="00D85B81"/>
    <w:rsid w:val="00D92CB0"/>
    <w:rsid w:val="00D93043"/>
    <w:rsid w:val="00D9516D"/>
    <w:rsid w:val="00D95C64"/>
    <w:rsid w:val="00D95D73"/>
    <w:rsid w:val="00D96457"/>
    <w:rsid w:val="00DA3F84"/>
    <w:rsid w:val="00DA4794"/>
    <w:rsid w:val="00DA4E06"/>
    <w:rsid w:val="00DB0CC9"/>
    <w:rsid w:val="00DB1692"/>
    <w:rsid w:val="00DB37EF"/>
    <w:rsid w:val="00DB66A6"/>
    <w:rsid w:val="00DB7C48"/>
    <w:rsid w:val="00DB9313"/>
    <w:rsid w:val="00DC1747"/>
    <w:rsid w:val="00DC1EF8"/>
    <w:rsid w:val="00DC3AA8"/>
    <w:rsid w:val="00DC400A"/>
    <w:rsid w:val="00DC49DB"/>
    <w:rsid w:val="00DC4F00"/>
    <w:rsid w:val="00DC778E"/>
    <w:rsid w:val="00DD2C9B"/>
    <w:rsid w:val="00DD6705"/>
    <w:rsid w:val="00DD6EAE"/>
    <w:rsid w:val="00DE15A7"/>
    <w:rsid w:val="00DE1E96"/>
    <w:rsid w:val="00DE21C3"/>
    <w:rsid w:val="00DE2D70"/>
    <w:rsid w:val="00DE3A64"/>
    <w:rsid w:val="00DE51E3"/>
    <w:rsid w:val="00DE78F3"/>
    <w:rsid w:val="00DF2BD3"/>
    <w:rsid w:val="00DF56D5"/>
    <w:rsid w:val="00E04E9D"/>
    <w:rsid w:val="00E06173"/>
    <w:rsid w:val="00E06E72"/>
    <w:rsid w:val="00E130CF"/>
    <w:rsid w:val="00E21201"/>
    <w:rsid w:val="00E21D0D"/>
    <w:rsid w:val="00E226FD"/>
    <w:rsid w:val="00E24728"/>
    <w:rsid w:val="00E26F3B"/>
    <w:rsid w:val="00E27BB8"/>
    <w:rsid w:val="00E305EF"/>
    <w:rsid w:val="00E30DC7"/>
    <w:rsid w:val="00E30DE0"/>
    <w:rsid w:val="00E318C3"/>
    <w:rsid w:val="00E324DF"/>
    <w:rsid w:val="00E3388F"/>
    <w:rsid w:val="00E44056"/>
    <w:rsid w:val="00E44609"/>
    <w:rsid w:val="00E448E1"/>
    <w:rsid w:val="00E465BD"/>
    <w:rsid w:val="00E46E99"/>
    <w:rsid w:val="00E47223"/>
    <w:rsid w:val="00E477F5"/>
    <w:rsid w:val="00E50D84"/>
    <w:rsid w:val="00E51883"/>
    <w:rsid w:val="00E5285B"/>
    <w:rsid w:val="00E63126"/>
    <w:rsid w:val="00E66157"/>
    <w:rsid w:val="00E7296D"/>
    <w:rsid w:val="00E72D16"/>
    <w:rsid w:val="00E81D58"/>
    <w:rsid w:val="00E82819"/>
    <w:rsid w:val="00E8375F"/>
    <w:rsid w:val="00E856D1"/>
    <w:rsid w:val="00E9142B"/>
    <w:rsid w:val="00E9449F"/>
    <w:rsid w:val="00EA0B69"/>
    <w:rsid w:val="00EA26BB"/>
    <w:rsid w:val="00EA7D76"/>
    <w:rsid w:val="00EB2902"/>
    <w:rsid w:val="00EB5979"/>
    <w:rsid w:val="00EB6E03"/>
    <w:rsid w:val="00EC02CD"/>
    <w:rsid w:val="00EC54C8"/>
    <w:rsid w:val="00ED0096"/>
    <w:rsid w:val="00ED1351"/>
    <w:rsid w:val="00ED158A"/>
    <w:rsid w:val="00ED461C"/>
    <w:rsid w:val="00ED4844"/>
    <w:rsid w:val="00ED61CD"/>
    <w:rsid w:val="00ED7BC2"/>
    <w:rsid w:val="00EE12EE"/>
    <w:rsid w:val="00EE188B"/>
    <w:rsid w:val="00EE43A1"/>
    <w:rsid w:val="00EE5662"/>
    <w:rsid w:val="00EF024E"/>
    <w:rsid w:val="00EF05BF"/>
    <w:rsid w:val="00EF148A"/>
    <w:rsid w:val="00EF3B25"/>
    <w:rsid w:val="00EF4043"/>
    <w:rsid w:val="00EF4907"/>
    <w:rsid w:val="00EF64CB"/>
    <w:rsid w:val="00F01AFD"/>
    <w:rsid w:val="00F01E03"/>
    <w:rsid w:val="00F01F6E"/>
    <w:rsid w:val="00F03171"/>
    <w:rsid w:val="00F03A33"/>
    <w:rsid w:val="00F076BB"/>
    <w:rsid w:val="00F07B4A"/>
    <w:rsid w:val="00F13145"/>
    <w:rsid w:val="00F13B5C"/>
    <w:rsid w:val="00F167E3"/>
    <w:rsid w:val="00F17E70"/>
    <w:rsid w:val="00F20237"/>
    <w:rsid w:val="00F2375D"/>
    <w:rsid w:val="00F23B8B"/>
    <w:rsid w:val="00F24CF2"/>
    <w:rsid w:val="00F255CA"/>
    <w:rsid w:val="00F25A82"/>
    <w:rsid w:val="00F267DA"/>
    <w:rsid w:val="00F333F3"/>
    <w:rsid w:val="00F3424A"/>
    <w:rsid w:val="00F342D0"/>
    <w:rsid w:val="00F3568D"/>
    <w:rsid w:val="00F35DD9"/>
    <w:rsid w:val="00F36616"/>
    <w:rsid w:val="00F440D7"/>
    <w:rsid w:val="00F47754"/>
    <w:rsid w:val="00F526C8"/>
    <w:rsid w:val="00F625C0"/>
    <w:rsid w:val="00F62750"/>
    <w:rsid w:val="00F655A2"/>
    <w:rsid w:val="00F66053"/>
    <w:rsid w:val="00F66922"/>
    <w:rsid w:val="00F67537"/>
    <w:rsid w:val="00F70B41"/>
    <w:rsid w:val="00F737B6"/>
    <w:rsid w:val="00F750E3"/>
    <w:rsid w:val="00F76A98"/>
    <w:rsid w:val="00F776CB"/>
    <w:rsid w:val="00F826C8"/>
    <w:rsid w:val="00F866A2"/>
    <w:rsid w:val="00F86859"/>
    <w:rsid w:val="00F873BF"/>
    <w:rsid w:val="00F90BAB"/>
    <w:rsid w:val="00F91F31"/>
    <w:rsid w:val="00F96189"/>
    <w:rsid w:val="00F96F12"/>
    <w:rsid w:val="00FA00E2"/>
    <w:rsid w:val="00FA0ACF"/>
    <w:rsid w:val="00FA62E7"/>
    <w:rsid w:val="00FB2EA1"/>
    <w:rsid w:val="00FB4B4B"/>
    <w:rsid w:val="00FB7D7B"/>
    <w:rsid w:val="00FC27D4"/>
    <w:rsid w:val="00FD0264"/>
    <w:rsid w:val="00FD1534"/>
    <w:rsid w:val="00FD5531"/>
    <w:rsid w:val="00FD58EF"/>
    <w:rsid w:val="00FD6897"/>
    <w:rsid w:val="00FD6B25"/>
    <w:rsid w:val="00FE34DC"/>
    <w:rsid w:val="00FE4761"/>
    <w:rsid w:val="00FE4E73"/>
    <w:rsid w:val="00FE7114"/>
    <w:rsid w:val="00FE7F01"/>
    <w:rsid w:val="011D0DA0"/>
    <w:rsid w:val="011E387A"/>
    <w:rsid w:val="012FA187"/>
    <w:rsid w:val="01B4C2D7"/>
    <w:rsid w:val="01B6C193"/>
    <w:rsid w:val="025AFD19"/>
    <w:rsid w:val="025D0851"/>
    <w:rsid w:val="025D3B6A"/>
    <w:rsid w:val="02B41578"/>
    <w:rsid w:val="02C4F737"/>
    <w:rsid w:val="02C8C4FA"/>
    <w:rsid w:val="02D1F0FA"/>
    <w:rsid w:val="02F87F79"/>
    <w:rsid w:val="035D6B50"/>
    <w:rsid w:val="035DD4B1"/>
    <w:rsid w:val="03659429"/>
    <w:rsid w:val="03668596"/>
    <w:rsid w:val="03676970"/>
    <w:rsid w:val="03C745D7"/>
    <w:rsid w:val="03F064FE"/>
    <w:rsid w:val="041EDCD8"/>
    <w:rsid w:val="0422BD6C"/>
    <w:rsid w:val="042E1399"/>
    <w:rsid w:val="04308CC1"/>
    <w:rsid w:val="04688CD0"/>
    <w:rsid w:val="046DC15B"/>
    <w:rsid w:val="04919A07"/>
    <w:rsid w:val="04A32D6D"/>
    <w:rsid w:val="04B1F0FE"/>
    <w:rsid w:val="04E5E284"/>
    <w:rsid w:val="04EAE772"/>
    <w:rsid w:val="0521D306"/>
    <w:rsid w:val="055DB025"/>
    <w:rsid w:val="056082ED"/>
    <w:rsid w:val="057A63FC"/>
    <w:rsid w:val="05B71BFB"/>
    <w:rsid w:val="05F003A9"/>
    <w:rsid w:val="05F856E5"/>
    <w:rsid w:val="062F4C63"/>
    <w:rsid w:val="06552B48"/>
    <w:rsid w:val="066BE025"/>
    <w:rsid w:val="067C5305"/>
    <w:rsid w:val="067F3904"/>
    <w:rsid w:val="06896886"/>
    <w:rsid w:val="068C5C5D"/>
    <w:rsid w:val="06938CEC"/>
    <w:rsid w:val="06AB4264"/>
    <w:rsid w:val="06B5CCFB"/>
    <w:rsid w:val="06DE4D77"/>
    <w:rsid w:val="06FBE26A"/>
    <w:rsid w:val="070B4C0E"/>
    <w:rsid w:val="071EE229"/>
    <w:rsid w:val="07C78648"/>
    <w:rsid w:val="08047D16"/>
    <w:rsid w:val="08159A03"/>
    <w:rsid w:val="083C9DB8"/>
    <w:rsid w:val="08558754"/>
    <w:rsid w:val="085C5FB5"/>
    <w:rsid w:val="0880817C"/>
    <w:rsid w:val="088A0F68"/>
    <w:rsid w:val="08BD0DBC"/>
    <w:rsid w:val="08E73539"/>
    <w:rsid w:val="090A9584"/>
    <w:rsid w:val="090C02FB"/>
    <w:rsid w:val="0941327E"/>
    <w:rsid w:val="094CDFA0"/>
    <w:rsid w:val="094D1733"/>
    <w:rsid w:val="095057C1"/>
    <w:rsid w:val="0951C7AB"/>
    <w:rsid w:val="09916199"/>
    <w:rsid w:val="09CF41A4"/>
    <w:rsid w:val="09DD596D"/>
    <w:rsid w:val="09E46AFB"/>
    <w:rsid w:val="09F40FA9"/>
    <w:rsid w:val="0A1D0E3C"/>
    <w:rsid w:val="0A4F24F2"/>
    <w:rsid w:val="0A5D3FF5"/>
    <w:rsid w:val="0A5EF9B0"/>
    <w:rsid w:val="0A5F8DE5"/>
    <w:rsid w:val="0A61F4F5"/>
    <w:rsid w:val="0A6AB782"/>
    <w:rsid w:val="0AA86EEA"/>
    <w:rsid w:val="0ADB753A"/>
    <w:rsid w:val="0AF51BE0"/>
    <w:rsid w:val="0AF8190D"/>
    <w:rsid w:val="0B008B67"/>
    <w:rsid w:val="0B0188CB"/>
    <w:rsid w:val="0B9C8C60"/>
    <w:rsid w:val="0BB36B9D"/>
    <w:rsid w:val="0BB63FE6"/>
    <w:rsid w:val="0BC1341E"/>
    <w:rsid w:val="0BDFC0AA"/>
    <w:rsid w:val="0BF776CD"/>
    <w:rsid w:val="0C00F3C2"/>
    <w:rsid w:val="0C67268A"/>
    <w:rsid w:val="0C6AA7BA"/>
    <w:rsid w:val="0C7C92AF"/>
    <w:rsid w:val="0C813052"/>
    <w:rsid w:val="0CA771C1"/>
    <w:rsid w:val="0CE043FE"/>
    <w:rsid w:val="0CF503D9"/>
    <w:rsid w:val="0D3D48DB"/>
    <w:rsid w:val="0D47A9EF"/>
    <w:rsid w:val="0D6143CD"/>
    <w:rsid w:val="0D61EAEF"/>
    <w:rsid w:val="0D93030C"/>
    <w:rsid w:val="0DA27A17"/>
    <w:rsid w:val="0DE2070C"/>
    <w:rsid w:val="0DEC65B8"/>
    <w:rsid w:val="0E181910"/>
    <w:rsid w:val="0E322EB6"/>
    <w:rsid w:val="0E33C1A2"/>
    <w:rsid w:val="0EB1FF5C"/>
    <w:rsid w:val="0F0895E4"/>
    <w:rsid w:val="0F2954AB"/>
    <w:rsid w:val="0F30546B"/>
    <w:rsid w:val="0F495207"/>
    <w:rsid w:val="0F645430"/>
    <w:rsid w:val="0F756ACE"/>
    <w:rsid w:val="0F76AD48"/>
    <w:rsid w:val="0F9CB69C"/>
    <w:rsid w:val="0FA8462A"/>
    <w:rsid w:val="0FAEE821"/>
    <w:rsid w:val="0FC30FFB"/>
    <w:rsid w:val="0FC3ED19"/>
    <w:rsid w:val="0FC891F7"/>
    <w:rsid w:val="0FCDFF17"/>
    <w:rsid w:val="0FD29109"/>
    <w:rsid w:val="0FD49DBB"/>
    <w:rsid w:val="0FE13AF1"/>
    <w:rsid w:val="0FE7A78A"/>
    <w:rsid w:val="1021D16A"/>
    <w:rsid w:val="10ABE9AF"/>
    <w:rsid w:val="10B4FBFC"/>
    <w:rsid w:val="10FC02CE"/>
    <w:rsid w:val="114A92D3"/>
    <w:rsid w:val="11598CF7"/>
    <w:rsid w:val="11764A07"/>
    <w:rsid w:val="11A08B3D"/>
    <w:rsid w:val="11A292F9"/>
    <w:rsid w:val="1208D1A1"/>
    <w:rsid w:val="121B214D"/>
    <w:rsid w:val="122D5D85"/>
    <w:rsid w:val="1247D78B"/>
    <w:rsid w:val="127E950E"/>
    <w:rsid w:val="1289F2F2"/>
    <w:rsid w:val="12A482E7"/>
    <w:rsid w:val="12A64ABB"/>
    <w:rsid w:val="12DA9989"/>
    <w:rsid w:val="12E3914D"/>
    <w:rsid w:val="12EBF2FC"/>
    <w:rsid w:val="13121A68"/>
    <w:rsid w:val="13298587"/>
    <w:rsid w:val="136B8897"/>
    <w:rsid w:val="13A4A202"/>
    <w:rsid w:val="13C2AF5A"/>
    <w:rsid w:val="13C4D9E3"/>
    <w:rsid w:val="13E96055"/>
    <w:rsid w:val="1450C50E"/>
    <w:rsid w:val="148C7753"/>
    <w:rsid w:val="14934DF9"/>
    <w:rsid w:val="14942668"/>
    <w:rsid w:val="14B283A6"/>
    <w:rsid w:val="14D0CB7F"/>
    <w:rsid w:val="14DD9AFD"/>
    <w:rsid w:val="14EFF781"/>
    <w:rsid w:val="152041CA"/>
    <w:rsid w:val="152A4D28"/>
    <w:rsid w:val="155CC4D9"/>
    <w:rsid w:val="156C3F69"/>
    <w:rsid w:val="157F6DD2"/>
    <w:rsid w:val="15A9FC41"/>
    <w:rsid w:val="15B169EC"/>
    <w:rsid w:val="15BB8A22"/>
    <w:rsid w:val="15D847ED"/>
    <w:rsid w:val="15EF6883"/>
    <w:rsid w:val="1603259A"/>
    <w:rsid w:val="1616FCC5"/>
    <w:rsid w:val="1656CF9F"/>
    <w:rsid w:val="16573944"/>
    <w:rsid w:val="166B1DE1"/>
    <w:rsid w:val="1690F69F"/>
    <w:rsid w:val="16F614BB"/>
    <w:rsid w:val="17382B6E"/>
    <w:rsid w:val="1742DCEB"/>
    <w:rsid w:val="176C0780"/>
    <w:rsid w:val="177DE708"/>
    <w:rsid w:val="179EF5FB"/>
    <w:rsid w:val="17B84EB7"/>
    <w:rsid w:val="17C4E0BE"/>
    <w:rsid w:val="17DA67DD"/>
    <w:rsid w:val="182400DB"/>
    <w:rsid w:val="185EEAC8"/>
    <w:rsid w:val="18792816"/>
    <w:rsid w:val="1882F6A3"/>
    <w:rsid w:val="189B17B3"/>
    <w:rsid w:val="18B773DE"/>
    <w:rsid w:val="18BC6CD7"/>
    <w:rsid w:val="18C12C3C"/>
    <w:rsid w:val="18E62CBA"/>
    <w:rsid w:val="1912AFAC"/>
    <w:rsid w:val="19133546"/>
    <w:rsid w:val="1914E30F"/>
    <w:rsid w:val="1928DED4"/>
    <w:rsid w:val="1937B191"/>
    <w:rsid w:val="19679F98"/>
    <w:rsid w:val="198788E0"/>
    <w:rsid w:val="1997104C"/>
    <w:rsid w:val="19BFD13C"/>
    <w:rsid w:val="19DBC080"/>
    <w:rsid w:val="19F6EA4B"/>
    <w:rsid w:val="1A09EC92"/>
    <w:rsid w:val="1A3881AC"/>
    <w:rsid w:val="1AA2ED6A"/>
    <w:rsid w:val="1ACC627E"/>
    <w:rsid w:val="1AE41B3E"/>
    <w:rsid w:val="1AE83475"/>
    <w:rsid w:val="1B104267"/>
    <w:rsid w:val="1B239CD6"/>
    <w:rsid w:val="1B3D82A9"/>
    <w:rsid w:val="1B4BF73D"/>
    <w:rsid w:val="1B5B1437"/>
    <w:rsid w:val="1B6582BE"/>
    <w:rsid w:val="1B7B1166"/>
    <w:rsid w:val="1B9E1F15"/>
    <w:rsid w:val="1BD1C4B3"/>
    <w:rsid w:val="1BD8CF86"/>
    <w:rsid w:val="1BF0F5F6"/>
    <w:rsid w:val="1C3E4B1B"/>
    <w:rsid w:val="1C589840"/>
    <w:rsid w:val="1C5F334E"/>
    <w:rsid w:val="1C725510"/>
    <w:rsid w:val="1CE17393"/>
    <w:rsid w:val="1D4B367F"/>
    <w:rsid w:val="1DA3F880"/>
    <w:rsid w:val="1DC472D7"/>
    <w:rsid w:val="1DE99294"/>
    <w:rsid w:val="1E02F3F4"/>
    <w:rsid w:val="1E243325"/>
    <w:rsid w:val="1E3F473B"/>
    <w:rsid w:val="1E6CD955"/>
    <w:rsid w:val="1E7C0563"/>
    <w:rsid w:val="1E91A0C6"/>
    <w:rsid w:val="1E976B07"/>
    <w:rsid w:val="1EB413A9"/>
    <w:rsid w:val="1EBE9C03"/>
    <w:rsid w:val="1EDE57BD"/>
    <w:rsid w:val="1EE1F034"/>
    <w:rsid w:val="1EF59D8E"/>
    <w:rsid w:val="1F0AB659"/>
    <w:rsid w:val="1F7213ED"/>
    <w:rsid w:val="1F78D213"/>
    <w:rsid w:val="1FE67B23"/>
    <w:rsid w:val="201A4B37"/>
    <w:rsid w:val="2069FDF8"/>
    <w:rsid w:val="206A08A5"/>
    <w:rsid w:val="20B6C2A8"/>
    <w:rsid w:val="20E589C6"/>
    <w:rsid w:val="20EA5DEE"/>
    <w:rsid w:val="20F9C169"/>
    <w:rsid w:val="211CDE7E"/>
    <w:rsid w:val="216F80AD"/>
    <w:rsid w:val="21C4AC11"/>
    <w:rsid w:val="21CDAA08"/>
    <w:rsid w:val="21D46B5B"/>
    <w:rsid w:val="21E4694E"/>
    <w:rsid w:val="223884B0"/>
    <w:rsid w:val="22455A3E"/>
    <w:rsid w:val="22530635"/>
    <w:rsid w:val="225637D3"/>
    <w:rsid w:val="2281CAC9"/>
    <w:rsid w:val="22973CF9"/>
    <w:rsid w:val="22F593F2"/>
    <w:rsid w:val="23154861"/>
    <w:rsid w:val="2333AD46"/>
    <w:rsid w:val="23C4CED5"/>
    <w:rsid w:val="23D4DC7B"/>
    <w:rsid w:val="23D75272"/>
    <w:rsid w:val="23E350A9"/>
    <w:rsid w:val="23EBB06C"/>
    <w:rsid w:val="23F1CAA1"/>
    <w:rsid w:val="242F4B53"/>
    <w:rsid w:val="244A9921"/>
    <w:rsid w:val="245666A3"/>
    <w:rsid w:val="2461E575"/>
    <w:rsid w:val="24812151"/>
    <w:rsid w:val="248923EF"/>
    <w:rsid w:val="249D1B63"/>
    <w:rsid w:val="24B9EC46"/>
    <w:rsid w:val="24FA8467"/>
    <w:rsid w:val="2510C247"/>
    <w:rsid w:val="2518B6E8"/>
    <w:rsid w:val="251AAA0D"/>
    <w:rsid w:val="252638F7"/>
    <w:rsid w:val="2530E743"/>
    <w:rsid w:val="253FCBB0"/>
    <w:rsid w:val="25455B56"/>
    <w:rsid w:val="254846ED"/>
    <w:rsid w:val="256EBCCD"/>
    <w:rsid w:val="258B0222"/>
    <w:rsid w:val="25A7421C"/>
    <w:rsid w:val="25C7AE1D"/>
    <w:rsid w:val="25DE7CF3"/>
    <w:rsid w:val="25E57B70"/>
    <w:rsid w:val="2656DFD7"/>
    <w:rsid w:val="26B742A5"/>
    <w:rsid w:val="26BBA2D2"/>
    <w:rsid w:val="26CA65DB"/>
    <w:rsid w:val="26FF1CF5"/>
    <w:rsid w:val="26FF390F"/>
    <w:rsid w:val="270025AD"/>
    <w:rsid w:val="271BFD16"/>
    <w:rsid w:val="2751161F"/>
    <w:rsid w:val="27575CF4"/>
    <w:rsid w:val="27B32FF7"/>
    <w:rsid w:val="27E2380A"/>
    <w:rsid w:val="27E9CDF0"/>
    <w:rsid w:val="27F61533"/>
    <w:rsid w:val="2816D2A6"/>
    <w:rsid w:val="282AE7D4"/>
    <w:rsid w:val="284392EB"/>
    <w:rsid w:val="285511CC"/>
    <w:rsid w:val="286A0B52"/>
    <w:rsid w:val="28E19439"/>
    <w:rsid w:val="28F3C565"/>
    <w:rsid w:val="296CC88C"/>
    <w:rsid w:val="29739E8F"/>
    <w:rsid w:val="29787C83"/>
    <w:rsid w:val="298FE94A"/>
    <w:rsid w:val="29A493B4"/>
    <w:rsid w:val="29B6FF2D"/>
    <w:rsid w:val="29D0C943"/>
    <w:rsid w:val="29E75426"/>
    <w:rsid w:val="2A36D9D1"/>
    <w:rsid w:val="2A4F9C78"/>
    <w:rsid w:val="2A559DB3"/>
    <w:rsid w:val="2A8D620C"/>
    <w:rsid w:val="2AAE58EB"/>
    <w:rsid w:val="2AD6380B"/>
    <w:rsid w:val="2ADDABCB"/>
    <w:rsid w:val="2B2FD57A"/>
    <w:rsid w:val="2B33C4FA"/>
    <w:rsid w:val="2B50BB49"/>
    <w:rsid w:val="2B6FA920"/>
    <w:rsid w:val="2B75996F"/>
    <w:rsid w:val="2B7FC018"/>
    <w:rsid w:val="2B9A7628"/>
    <w:rsid w:val="2BBB080E"/>
    <w:rsid w:val="2BBCC291"/>
    <w:rsid w:val="2BD2AA32"/>
    <w:rsid w:val="2BDDFE51"/>
    <w:rsid w:val="2C002572"/>
    <w:rsid w:val="2C614368"/>
    <w:rsid w:val="2C7FAE65"/>
    <w:rsid w:val="2CA7D6E2"/>
    <w:rsid w:val="2CBE959E"/>
    <w:rsid w:val="2CE4A2AB"/>
    <w:rsid w:val="2CF89613"/>
    <w:rsid w:val="2D257251"/>
    <w:rsid w:val="2D2B5386"/>
    <w:rsid w:val="2D5BD0C2"/>
    <w:rsid w:val="2D9F089E"/>
    <w:rsid w:val="2E0B9E95"/>
    <w:rsid w:val="2E4857D4"/>
    <w:rsid w:val="2E68BC12"/>
    <w:rsid w:val="2E6EEDC8"/>
    <w:rsid w:val="2E944769"/>
    <w:rsid w:val="2ED53CB8"/>
    <w:rsid w:val="2EE2A050"/>
    <w:rsid w:val="2EFE2E42"/>
    <w:rsid w:val="2F159F13"/>
    <w:rsid w:val="2F30DED1"/>
    <w:rsid w:val="2F48FCEF"/>
    <w:rsid w:val="2F737F8E"/>
    <w:rsid w:val="2F73F2FE"/>
    <w:rsid w:val="2F970F1C"/>
    <w:rsid w:val="2FBCD2FD"/>
    <w:rsid w:val="2FBD5A03"/>
    <w:rsid w:val="2FF5815A"/>
    <w:rsid w:val="2FF58663"/>
    <w:rsid w:val="3008BF09"/>
    <w:rsid w:val="30196249"/>
    <w:rsid w:val="30294821"/>
    <w:rsid w:val="3055E224"/>
    <w:rsid w:val="3058F779"/>
    <w:rsid w:val="3067257D"/>
    <w:rsid w:val="308D67BB"/>
    <w:rsid w:val="30A61B55"/>
    <w:rsid w:val="30B0741E"/>
    <w:rsid w:val="30C0FD71"/>
    <w:rsid w:val="30CEFA2B"/>
    <w:rsid w:val="30F54784"/>
    <w:rsid w:val="31158B96"/>
    <w:rsid w:val="3132BCF5"/>
    <w:rsid w:val="314F26D3"/>
    <w:rsid w:val="315222B7"/>
    <w:rsid w:val="31694C5B"/>
    <w:rsid w:val="31A3B48D"/>
    <w:rsid w:val="31A9A909"/>
    <w:rsid w:val="31B1341C"/>
    <w:rsid w:val="31E32372"/>
    <w:rsid w:val="31F26954"/>
    <w:rsid w:val="31F2E023"/>
    <w:rsid w:val="3210469A"/>
    <w:rsid w:val="324DB2E2"/>
    <w:rsid w:val="3256A89E"/>
    <w:rsid w:val="327135CE"/>
    <w:rsid w:val="328D2623"/>
    <w:rsid w:val="329F6B77"/>
    <w:rsid w:val="330B44D0"/>
    <w:rsid w:val="3359F728"/>
    <w:rsid w:val="339A0701"/>
    <w:rsid w:val="347234F9"/>
    <w:rsid w:val="347E8D95"/>
    <w:rsid w:val="349C3C9D"/>
    <w:rsid w:val="34BB9A6A"/>
    <w:rsid w:val="34D7BFD1"/>
    <w:rsid w:val="34E295D7"/>
    <w:rsid w:val="3505A04F"/>
    <w:rsid w:val="351B3961"/>
    <w:rsid w:val="354C0669"/>
    <w:rsid w:val="35798C78"/>
    <w:rsid w:val="357F3001"/>
    <w:rsid w:val="358179FE"/>
    <w:rsid w:val="35CABF28"/>
    <w:rsid w:val="3608E085"/>
    <w:rsid w:val="3609CD0F"/>
    <w:rsid w:val="3619CCD0"/>
    <w:rsid w:val="36BC1243"/>
    <w:rsid w:val="36BEC1C6"/>
    <w:rsid w:val="36C8B271"/>
    <w:rsid w:val="36D1B277"/>
    <w:rsid w:val="36F74F81"/>
    <w:rsid w:val="37099F2D"/>
    <w:rsid w:val="37155CD9"/>
    <w:rsid w:val="37286A53"/>
    <w:rsid w:val="37286A96"/>
    <w:rsid w:val="3732C8A7"/>
    <w:rsid w:val="373F179E"/>
    <w:rsid w:val="37C1FDBF"/>
    <w:rsid w:val="37E22565"/>
    <w:rsid w:val="37E2D725"/>
    <w:rsid w:val="38016196"/>
    <w:rsid w:val="380739C3"/>
    <w:rsid w:val="38396F3C"/>
    <w:rsid w:val="386A7106"/>
    <w:rsid w:val="386E68FA"/>
    <w:rsid w:val="387E780B"/>
    <w:rsid w:val="3892A852"/>
    <w:rsid w:val="38A8876E"/>
    <w:rsid w:val="38B91AC0"/>
    <w:rsid w:val="38CA5597"/>
    <w:rsid w:val="38D227BE"/>
    <w:rsid w:val="38E44A2F"/>
    <w:rsid w:val="38FC7028"/>
    <w:rsid w:val="3926B57D"/>
    <w:rsid w:val="394B91B5"/>
    <w:rsid w:val="394B9595"/>
    <w:rsid w:val="395C530E"/>
    <w:rsid w:val="399F58D4"/>
    <w:rsid w:val="39C89EC6"/>
    <w:rsid w:val="3A4E5E4D"/>
    <w:rsid w:val="3A5357F7"/>
    <w:rsid w:val="3A58C3D8"/>
    <w:rsid w:val="3A5AAF07"/>
    <w:rsid w:val="3A6625F8"/>
    <w:rsid w:val="3A78C1F1"/>
    <w:rsid w:val="3A9B4627"/>
    <w:rsid w:val="3AB21AC7"/>
    <w:rsid w:val="3ACCD465"/>
    <w:rsid w:val="3AD9AD7A"/>
    <w:rsid w:val="3B1A645D"/>
    <w:rsid w:val="3B1E60D9"/>
    <w:rsid w:val="3B707D5D"/>
    <w:rsid w:val="3B9FB716"/>
    <w:rsid w:val="3BAAC874"/>
    <w:rsid w:val="3BCA72DB"/>
    <w:rsid w:val="3BF87641"/>
    <w:rsid w:val="3C241360"/>
    <w:rsid w:val="3C268CD4"/>
    <w:rsid w:val="3CBA48D0"/>
    <w:rsid w:val="3CD7EA16"/>
    <w:rsid w:val="3CE30F7B"/>
    <w:rsid w:val="3D0FE8CD"/>
    <w:rsid w:val="3D71362F"/>
    <w:rsid w:val="3D8EB7E8"/>
    <w:rsid w:val="3D8F00FA"/>
    <w:rsid w:val="3D9ED1BA"/>
    <w:rsid w:val="3DA4318F"/>
    <w:rsid w:val="3DFB5420"/>
    <w:rsid w:val="3E03042B"/>
    <w:rsid w:val="3E1D3852"/>
    <w:rsid w:val="3E5B2741"/>
    <w:rsid w:val="3EAA2FA5"/>
    <w:rsid w:val="3EB8A686"/>
    <w:rsid w:val="3ECFC399"/>
    <w:rsid w:val="3EE94E03"/>
    <w:rsid w:val="3EF26C96"/>
    <w:rsid w:val="3EFFD061"/>
    <w:rsid w:val="3F2C2702"/>
    <w:rsid w:val="4010039A"/>
    <w:rsid w:val="40136C1B"/>
    <w:rsid w:val="40189A5D"/>
    <w:rsid w:val="405328C0"/>
    <w:rsid w:val="405E1A65"/>
    <w:rsid w:val="405F6257"/>
    <w:rsid w:val="40AA8731"/>
    <w:rsid w:val="40B576D3"/>
    <w:rsid w:val="40C6CC7A"/>
    <w:rsid w:val="40DD99DC"/>
    <w:rsid w:val="40F301F2"/>
    <w:rsid w:val="40F78483"/>
    <w:rsid w:val="414D23FD"/>
    <w:rsid w:val="41A44466"/>
    <w:rsid w:val="41CECFCC"/>
    <w:rsid w:val="41DCA716"/>
    <w:rsid w:val="42368D77"/>
    <w:rsid w:val="425041F5"/>
    <w:rsid w:val="42583293"/>
    <w:rsid w:val="425FFD06"/>
    <w:rsid w:val="4271E6ED"/>
    <w:rsid w:val="428506A0"/>
    <w:rsid w:val="42CDEF72"/>
    <w:rsid w:val="430B4CF6"/>
    <w:rsid w:val="43149CBE"/>
    <w:rsid w:val="433716BA"/>
    <w:rsid w:val="4341CC48"/>
    <w:rsid w:val="4391BEBB"/>
    <w:rsid w:val="43935A0E"/>
    <w:rsid w:val="43FA2228"/>
    <w:rsid w:val="440D4F09"/>
    <w:rsid w:val="4428616C"/>
    <w:rsid w:val="442BC422"/>
    <w:rsid w:val="445626EE"/>
    <w:rsid w:val="44F3B0EF"/>
    <w:rsid w:val="45129E27"/>
    <w:rsid w:val="4533BDF6"/>
    <w:rsid w:val="4541FCCD"/>
    <w:rsid w:val="45A4521C"/>
    <w:rsid w:val="45D9E8B1"/>
    <w:rsid w:val="465CC075"/>
    <w:rsid w:val="4689CB8C"/>
    <w:rsid w:val="46A10063"/>
    <w:rsid w:val="46BE64C2"/>
    <w:rsid w:val="46D28F53"/>
    <w:rsid w:val="47066531"/>
    <w:rsid w:val="472CBA6E"/>
    <w:rsid w:val="476B568E"/>
    <w:rsid w:val="47FD44F3"/>
    <w:rsid w:val="48100265"/>
    <w:rsid w:val="4833CEFE"/>
    <w:rsid w:val="48399E9B"/>
    <w:rsid w:val="48545977"/>
    <w:rsid w:val="487BB5A9"/>
    <w:rsid w:val="48823BD5"/>
    <w:rsid w:val="489512B9"/>
    <w:rsid w:val="48EC626E"/>
    <w:rsid w:val="493FADFA"/>
    <w:rsid w:val="4948F455"/>
    <w:rsid w:val="49603B11"/>
    <w:rsid w:val="497C6146"/>
    <w:rsid w:val="497F2D13"/>
    <w:rsid w:val="498BC61D"/>
    <w:rsid w:val="49AFC3CB"/>
    <w:rsid w:val="49BE5AC9"/>
    <w:rsid w:val="49BF4036"/>
    <w:rsid w:val="49DF5E5F"/>
    <w:rsid w:val="49E1C4F2"/>
    <w:rsid w:val="4A3CB748"/>
    <w:rsid w:val="4A3E8428"/>
    <w:rsid w:val="4A507C26"/>
    <w:rsid w:val="4A56F9FA"/>
    <w:rsid w:val="4AC8F3F1"/>
    <w:rsid w:val="4AC91969"/>
    <w:rsid w:val="4ACF227F"/>
    <w:rsid w:val="4AEE90E5"/>
    <w:rsid w:val="4B058A27"/>
    <w:rsid w:val="4B3266E6"/>
    <w:rsid w:val="4B3DBBFB"/>
    <w:rsid w:val="4B5EF8E8"/>
    <w:rsid w:val="4BB139C7"/>
    <w:rsid w:val="4C14EB1B"/>
    <w:rsid w:val="4C6913C4"/>
    <w:rsid w:val="4C934F8A"/>
    <w:rsid w:val="4CA256A7"/>
    <w:rsid w:val="4CAA2299"/>
    <w:rsid w:val="4CB3E662"/>
    <w:rsid w:val="4CC0D01C"/>
    <w:rsid w:val="4CD63928"/>
    <w:rsid w:val="4D2C768D"/>
    <w:rsid w:val="4D78656D"/>
    <w:rsid w:val="4D7A8445"/>
    <w:rsid w:val="4D7DF075"/>
    <w:rsid w:val="4D9C309B"/>
    <w:rsid w:val="4DA8C78F"/>
    <w:rsid w:val="4DB825BB"/>
    <w:rsid w:val="4DCCB34D"/>
    <w:rsid w:val="4DD6FBF1"/>
    <w:rsid w:val="4DE06BF2"/>
    <w:rsid w:val="4E021518"/>
    <w:rsid w:val="4E510179"/>
    <w:rsid w:val="4E588B18"/>
    <w:rsid w:val="4E5F92BC"/>
    <w:rsid w:val="4EB81F6D"/>
    <w:rsid w:val="4F074A59"/>
    <w:rsid w:val="4F2EC8B0"/>
    <w:rsid w:val="4F5917BD"/>
    <w:rsid w:val="4F613C60"/>
    <w:rsid w:val="4F84A081"/>
    <w:rsid w:val="4FA5B328"/>
    <w:rsid w:val="500352E3"/>
    <w:rsid w:val="50117B52"/>
    <w:rsid w:val="50191AA4"/>
    <w:rsid w:val="501F29CE"/>
    <w:rsid w:val="50487F37"/>
    <w:rsid w:val="504EDB67"/>
    <w:rsid w:val="50520535"/>
    <w:rsid w:val="507A23D5"/>
    <w:rsid w:val="50831462"/>
    <w:rsid w:val="509FB531"/>
    <w:rsid w:val="50D69DF6"/>
    <w:rsid w:val="50FB8734"/>
    <w:rsid w:val="51019100"/>
    <w:rsid w:val="510E86BA"/>
    <w:rsid w:val="51217392"/>
    <w:rsid w:val="5121BAAA"/>
    <w:rsid w:val="5129E007"/>
    <w:rsid w:val="514F7325"/>
    <w:rsid w:val="517CB6ED"/>
    <w:rsid w:val="519FC0B5"/>
    <w:rsid w:val="51B18431"/>
    <w:rsid w:val="51C03F24"/>
    <w:rsid w:val="51D42076"/>
    <w:rsid w:val="51DF83BE"/>
    <w:rsid w:val="51E579D9"/>
    <w:rsid w:val="51F620AD"/>
    <w:rsid w:val="521D36F6"/>
    <w:rsid w:val="527D882A"/>
    <w:rsid w:val="527FEEFC"/>
    <w:rsid w:val="528AAED9"/>
    <w:rsid w:val="529F6651"/>
    <w:rsid w:val="52DAD6E6"/>
    <w:rsid w:val="531EC335"/>
    <w:rsid w:val="53452D8C"/>
    <w:rsid w:val="5350BB66"/>
    <w:rsid w:val="5363E5FD"/>
    <w:rsid w:val="53867C29"/>
    <w:rsid w:val="53AD8F41"/>
    <w:rsid w:val="53C04FF0"/>
    <w:rsid w:val="53E0673F"/>
    <w:rsid w:val="53E567AC"/>
    <w:rsid w:val="540DD966"/>
    <w:rsid w:val="541634F1"/>
    <w:rsid w:val="541E2D42"/>
    <w:rsid w:val="5432EC8A"/>
    <w:rsid w:val="5455E880"/>
    <w:rsid w:val="54A1DA01"/>
    <w:rsid w:val="54AA8B26"/>
    <w:rsid w:val="54CEB34C"/>
    <w:rsid w:val="55106297"/>
    <w:rsid w:val="55C46756"/>
    <w:rsid w:val="55D7CFD7"/>
    <w:rsid w:val="5602C1A4"/>
    <w:rsid w:val="5609A536"/>
    <w:rsid w:val="5677D41E"/>
    <w:rsid w:val="56844AC7"/>
    <w:rsid w:val="56A13CC4"/>
    <w:rsid w:val="56B75A76"/>
    <w:rsid w:val="56F3C7F2"/>
    <w:rsid w:val="570E3387"/>
    <w:rsid w:val="5716F55E"/>
    <w:rsid w:val="5736C3F2"/>
    <w:rsid w:val="57448865"/>
    <w:rsid w:val="575FA710"/>
    <w:rsid w:val="577AB021"/>
    <w:rsid w:val="57978EBD"/>
    <w:rsid w:val="57A543DD"/>
    <w:rsid w:val="57BC877B"/>
    <w:rsid w:val="5809D06D"/>
    <w:rsid w:val="581E0091"/>
    <w:rsid w:val="582F2F18"/>
    <w:rsid w:val="582F80A8"/>
    <w:rsid w:val="5831C31B"/>
    <w:rsid w:val="58544956"/>
    <w:rsid w:val="5854522F"/>
    <w:rsid w:val="585AC0B4"/>
    <w:rsid w:val="58726713"/>
    <w:rsid w:val="58879B12"/>
    <w:rsid w:val="589EAEA8"/>
    <w:rsid w:val="58B865F2"/>
    <w:rsid w:val="58C1F239"/>
    <w:rsid w:val="5913447E"/>
    <w:rsid w:val="59302CF7"/>
    <w:rsid w:val="597E2F2B"/>
    <w:rsid w:val="59ED2DC3"/>
    <w:rsid w:val="5A02CF7A"/>
    <w:rsid w:val="5A278657"/>
    <w:rsid w:val="5A420A94"/>
    <w:rsid w:val="5AA754A0"/>
    <w:rsid w:val="5AD30AF5"/>
    <w:rsid w:val="5B481EC5"/>
    <w:rsid w:val="5B67216A"/>
    <w:rsid w:val="5B770967"/>
    <w:rsid w:val="5B86079D"/>
    <w:rsid w:val="5BAB54B0"/>
    <w:rsid w:val="5BDCA653"/>
    <w:rsid w:val="5C0ADD5D"/>
    <w:rsid w:val="5C299560"/>
    <w:rsid w:val="5C3BE50C"/>
    <w:rsid w:val="5C6E53B3"/>
    <w:rsid w:val="5C717FC0"/>
    <w:rsid w:val="5C83B183"/>
    <w:rsid w:val="5C8B5222"/>
    <w:rsid w:val="5CB3DD10"/>
    <w:rsid w:val="5CBAD851"/>
    <w:rsid w:val="5CC1B530"/>
    <w:rsid w:val="5CF79DAC"/>
    <w:rsid w:val="5D0ADFBD"/>
    <w:rsid w:val="5D369462"/>
    <w:rsid w:val="5DCC07D7"/>
    <w:rsid w:val="5DD287FF"/>
    <w:rsid w:val="5DE3A269"/>
    <w:rsid w:val="5DE727B3"/>
    <w:rsid w:val="5E53FD09"/>
    <w:rsid w:val="5E81410C"/>
    <w:rsid w:val="5E875F08"/>
    <w:rsid w:val="5E95E64E"/>
    <w:rsid w:val="5EC9BC1F"/>
    <w:rsid w:val="5EE12B20"/>
    <w:rsid w:val="5EE21842"/>
    <w:rsid w:val="5EFF3446"/>
    <w:rsid w:val="5F00D6F1"/>
    <w:rsid w:val="5F0246B4"/>
    <w:rsid w:val="5F0F600D"/>
    <w:rsid w:val="5F1D9927"/>
    <w:rsid w:val="5F217468"/>
    <w:rsid w:val="5F2D5161"/>
    <w:rsid w:val="6041C290"/>
    <w:rsid w:val="605F9743"/>
    <w:rsid w:val="6071A87C"/>
    <w:rsid w:val="60764036"/>
    <w:rsid w:val="60A000B3"/>
    <w:rsid w:val="614EBB1F"/>
    <w:rsid w:val="6158EF2D"/>
    <w:rsid w:val="6159EB4C"/>
    <w:rsid w:val="61885684"/>
    <w:rsid w:val="620020FC"/>
    <w:rsid w:val="62264C90"/>
    <w:rsid w:val="6229CFB6"/>
    <w:rsid w:val="6233F41C"/>
    <w:rsid w:val="624E923E"/>
    <w:rsid w:val="624EA952"/>
    <w:rsid w:val="6274A24E"/>
    <w:rsid w:val="6278DB33"/>
    <w:rsid w:val="627A8B41"/>
    <w:rsid w:val="62A5A965"/>
    <w:rsid w:val="62AB2690"/>
    <w:rsid w:val="62B64A3E"/>
    <w:rsid w:val="62B7138C"/>
    <w:rsid w:val="62BB53C7"/>
    <w:rsid w:val="62E6B248"/>
    <w:rsid w:val="63121EBB"/>
    <w:rsid w:val="6327BDBE"/>
    <w:rsid w:val="6373D558"/>
    <w:rsid w:val="63CE4687"/>
    <w:rsid w:val="63CE5585"/>
    <w:rsid w:val="63D6B91F"/>
    <w:rsid w:val="63DA8ECE"/>
    <w:rsid w:val="63F2400C"/>
    <w:rsid w:val="63FA44CB"/>
    <w:rsid w:val="644179C6"/>
    <w:rsid w:val="6452E3ED"/>
    <w:rsid w:val="64759B0B"/>
    <w:rsid w:val="64864E5F"/>
    <w:rsid w:val="64A2C0DA"/>
    <w:rsid w:val="64DDAB07"/>
    <w:rsid w:val="64E3E24C"/>
    <w:rsid w:val="64E9681F"/>
    <w:rsid w:val="64F6FABE"/>
    <w:rsid w:val="650E45BC"/>
    <w:rsid w:val="65AA5EC6"/>
    <w:rsid w:val="65D6E8AE"/>
    <w:rsid w:val="65EE84FE"/>
    <w:rsid w:val="662537D1"/>
    <w:rsid w:val="6670284F"/>
    <w:rsid w:val="6673ACE0"/>
    <w:rsid w:val="66A6E2AC"/>
    <w:rsid w:val="67138B85"/>
    <w:rsid w:val="6725DB3A"/>
    <w:rsid w:val="67404010"/>
    <w:rsid w:val="67692B22"/>
    <w:rsid w:val="677CF4AF"/>
    <w:rsid w:val="67981E2F"/>
    <w:rsid w:val="67B01006"/>
    <w:rsid w:val="67CD861F"/>
    <w:rsid w:val="67F4C3EE"/>
    <w:rsid w:val="68233837"/>
    <w:rsid w:val="6835D770"/>
    <w:rsid w:val="686ABEAF"/>
    <w:rsid w:val="6883D2E6"/>
    <w:rsid w:val="68A0FC1F"/>
    <w:rsid w:val="68CFF116"/>
    <w:rsid w:val="68DB3E77"/>
    <w:rsid w:val="68DCC285"/>
    <w:rsid w:val="6908E659"/>
    <w:rsid w:val="691355BA"/>
    <w:rsid w:val="6972452D"/>
    <w:rsid w:val="69A02017"/>
    <w:rsid w:val="69BC74A6"/>
    <w:rsid w:val="69C62B13"/>
    <w:rsid w:val="69C83D90"/>
    <w:rsid w:val="69C84C76"/>
    <w:rsid w:val="69D8128C"/>
    <w:rsid w:val="6A3B1A3F"/>
    <w:rsid w:val="6A6F8060"/>
    <w:rsid w:val="6A830E23"/>
    <w:rsid w:val="6A8EA018"/>
    <w:rsid w:val="6A90A1E4"/>
    <w:rsid w:val="6B197846"/>
    <w:rsid w:val="6B21ECCC"/>
    <w:rsid w:val="6B4FA9A2"/>
    <w:rsid w:val="6B541593"/>
    <w:rsid w:val="6B659B8D"/>
    <w:rsid w:val="6B70FF57"/>
    <w:rsid w:val="6B766B6F"/>
    <w:rsid w:val="6BA901A4"/>
    <w:rsid w:val="6BB27830"/>
    <w:rsid w:val="6BDE0EDE"/>
    <w:rsid w:val="6BDF9708"/>
    <w:rsid w:val="6BE4D803"/>
    <w:rsid w:val="6BE5248D"/>
    <w:rsid w:val="6BE72206"/>
    <w:rsid w:val="6C1E2C54"/>
    <w:rsid w:val="6CAE729D"/>
    <w:rsid w:val="6CB083C6"/>
    <w:rsid w:val="6CCFF407"/>
    <w:rsid w:val="6CE2501F"/>
    <w:rsid w:val="6D34B5E8"/>
    <w:rsid w:val="6D35685B"/>
    <w:rsid w:val="6D3EDFA4"/>
    <w:rsid w:val="6D5213EC"/>
    <w:rsid w:val="6D8B90A2"/>
    <w:rsid w:val="6DB3EEE8"/>
    <w:rsid w:val="6DBEDE2D"/>
    <w:rsid w:val="6DC4BF0E"/>
    <w:rsid w:val="6DEA8F17"/>
    <w:rsid w:val="6DF66A57"/>
    <w:rsid w:val="6E04EA3B"/>
    <w:rsid w:val="6E2A05ED"/>
    <w:rsid w:val="6E6FF7A5"/>
    <w:rsid w:val="6E90F8DF"/>
    <w:rsid w:val="6E960996"/>
    <w:rsid w:val="6ED02112"/>
    <w:rsid w:val="6F058E8B"/>
    <w:rsid w:val="6F0A67AF"/>
    <w:rsid w:val="6F2D52AC"/>
    <w:rsid w:val="6F2F6C96"/>
    <w:rsid w:val="6F4DCC8B"/>
    <w:rsid w:val="6F5482F1"/>
    <w:rsid w:val="6F856D95"/>
    <w:rsid w:val="6FAEC85C"/>
    <w:rsid w:val="6FE6C54C"/>
    <w:rsid w:val="6FEF253B"/>
    <w:rsid w:val="700DDEBA"/>
    <w:rsid w:val="702D9A8D"/>
    <w:rsid w:val="70672B68"/>
    <w:rsid w:val="70AD552F"/>
    <w:rsid w:val="70E3A912"/>
    <w:rsid w:val="71267B5A"/>
    <w:rsid w:val="7129B312"/>
    <w:rsid w:val="7138A726"/>
    <w:rsid w:val="713C89C2"/>
    <w:rsid w:val="713E1611"/>
    <w:rsid w:val="7166582A"/>
    <w:rsid w:val="7171D9DE"/>
    <w:rsid w:val="71A61232"/>
    <w:rsid w:val="71A71CEE"/>
    <w:rsid w:val="71A8B2B9"/>
    <w:rsid w:val="71A9AF1B"/>
    <w:rsid w:val="71AE9604"/>
    <w:rsid w:val="71CE6498"/>
    <w:rsid w:val="71D49C86"/>
    <w:rsid w:val="7200E728"/>
    <w:rsid w:val="722A4454"/>
    <w:rsid w:val="722C97C3"/>
    <w:rsid w:val="7244E021"/>
    <w:rsid w:val="7245E8AF"/>
    <w:rsid w:val="72529088"/>
    <w:rsid w:val="7254BA1B"/>
    <w:rsid w:val="72589C0C"/>
    <w:rsid w:val="7267B2E9"/>
    <w:rsid w:val="726AC275"/>
    <w:rsid w:val="729DBFD7"/>
    <w:rsid w:val="73121897"/>
    <w:rsid w:val="73171A2A"/>
    <w:rsid w:val="731D3923"/>
    <w:rsid w:val="735D5040"/>
    <w:rsid w:val="73742F6F"/>
    <w:rsid w:val="7393BF59"/>
    <w:rsid w:val="739A5FE1"/>
    <w:rsid w:val="73A796B2"/>
    <w:rsid w:val="73ACA4E1"/>
    <w:rsid w:val="73CAE484"/>
    <w:rsid w:val="73D52303"/>
    <w:rsid w:val="7424603D"/>
    <w:rsid w:val="74408BB2"/>
    <w:rsid w:val="745FF0B3"/>
    <w:rsid w:val="7491B404"/>
    <w:rsid w:val="74B43A92"/>
    <w:rsid w:val="74CEC3A5"/>
    <w:rsid w:val="74E56C97"/>
    <w:rsid w:val="750C8F1A"/>
    <w:rsid w:val="7523285E"/>
    <w:rsid w:val="75469075"/>
    <w:rsid w:val="7566B4E5"/>
    <w:rsid w:val="75804BF8"/>
    <w:rsid w:val="7593B09E"/>
    <w:rsid w:val="75B93E1A"/>
    <w:rsid w:val="75E1C33C"/>
    <w:rsid w:val="75F13D76"/>
    <w:rsid w:val="761DEB2A"/>
    <w:rsid w:val="7626D6D1"/>
    <w:rsid w:val="766D23BC"/>
    <w:rsid w:val="76AA322A"/>
    <w:rsid w:val="76C370F9"/>
    <w:rsid w:val="773B62F8"/>
    <w:rsid w:val="7741E043"/>
    <w:rsid w:val="774264B8"/>
    <w:rsid w:val="7785D7A0"/>
    <w:rsid w:val="77E53F43"/>
    <w:rsid w:val="77FEB610"/>
    <w:rsid w:val="78199176"/>
    <w:rsid w:val="781CD83A"/>
    <w:rsid w:val="7823E041"/>
    <w:rsid w:val="78379869"/>
    <w:rsid w:val="7865416C"/>
    <w:rsid w:val="7877D89A"/>
    <w:rsid w:val="789D3638"/>
    <w:rsid w:val="78AA77AD"/>
    <w:rsid w:val="78AD4DAF"/>
    <w:rsid w:val="78D5C57F"/>
    <w:rsid w:val="78E10DB4"/>
    <w:rsid w:val="78ECEB76"/>
    <w:rsid w:val="78EEAE44"/>
    <w:rsid w:val="79177DD2"/>
    <w:rsid w:val="791D3A75"/>
    <w:rsid w:val="7951BFAE"/>
    <w:rsid w:val="796F3520"/>
    <w:rsid w:val="7980043F"/>
    <w:rsid w:val="7986948E"/>
    <w:rsid w:val="79B9A7E9"/>
    <w:rsid w:val="79C04C1B"/>
    <w:rsid w:val="79D8DE98"/>
    <w:rsid w:val="79F6FD8B"/>
    <w:rsid w:val="7A01CB1B"/>
    <w:rsid w:val="7A1AC7A5"/>
    <w:rsid w:val="7A255032"/>
    <w:rsid w:val="7A3D6586"/>
    <w:rsid w:val="7A51D5AD"/>
    <w:rsid w:val="7A52F2EB"/>
    <w:rsid w:val="7A807D83"/>
    <w:rsid w:val="7AB90AD6"/>
    <w:rsid w:val="7B143DBC"/>
    <w:rsid w:val="7B1A5813"/>
    <w:rsid w:val="7B245ED5"/>
    <w:rsid w:val="7B65D73E"/>
    <w:rsid w:val="7BA37350"/>
    <w:rsid w:val="7BB20159"/>
    <w:rsid w:val="7BE6E9E8"/>
    <w:rsid w:val="7BF08FD3"/>
    <w:rsid w:val="7BF4349B"/>
    <w:rsid w:val="7C2E7603"/>
    <w:rsid w:val="7C5168EE"/>
    <w:rsid w:val="7C546B4C"/>
    <w:rsid w:val="7C54C5DE"/>
    <w:rsid w:val="7CCA4A5B"/>
    <w:rsid w:val="7CE0E743"/>
    <w:rsid w:val="7CFC1807"/>
    <w:rsid w:val="7D2E40BE"/>
    <w:rsid w:val="7D358EB9"/>
    <w:rsid w:val="7D567268"/>
    <w:rsid w:val="7D67B92D"/>
    <w:rsid w:val="7D762BC7"/>
    <w:rsid w:val="7D76DD22"/>
    <w:rsid w:val="7D95DFE9"/>
    <w:rsid w:val="7DB60320"/>
    <w:rsid w:val="7DEABCE1"/>
    <w:rsid w:val="7DF1BB67"/>
    <w:rsid w:val="7E40EDB4"/>
    <w:rsid w:val="7E6433B9"/>
    <w:rsid w:val="7E7C60BF"/>
    <w:rsid w:val="7E831E43"/>
    <w:rsid w:val="7EB6221D"/>
    <w:rsid w:val="7EB7021E"/>
    <w:rsid w:val="7EC698B6"/>
    <w:rsid w:val="7EC8AA4B"/>
    <w:rsid w:val="7EE30126"/>
    <w:rsid w:val="7EE6EB28"/>
    <w:rsid w:val="7EEF912B"/>
    <w:rsid w:val="7EFB52EF"/>
    <w:rsid w:val="7F42E44A"/>
    <w:rsid w:val="7F56F43C"/>
    <w:rsid w:val="7F82D853"/>
    <w:rsid w:val="7FC6148D"/>
    <w:rsid w:val="7FD11C21"/>
    <w:rsid w:val="7FE25EE7"/>
    <w:rsid w:val="7FF96E1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049248"/>
  <w15:chartTrackingRefBased/>
  <w15:docId w15:val="{9121ADEC-BD03-49A9-AB1F-EDC17F7A1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7175"/>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744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A7440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974758"/>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3B2EC4"/>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uiPriority w:val="9"/>
    <w:semiHidden/>
    <w:unhideWhenUsed/>
    <w:qFormat/>
    <w:rsid w:val="000726F3"/>
    <w:pPr>
      <w:keepNext/>
      <w:keepLines/>
      <w:spacing w:before="40" w:after="0"/>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uiPriority w:val="9"/>
    <w:semiHidden/>
    <w:unhideWhenUsed/>
    <w:qFormat/>
    <w:rsid w:val="000726F3"/>
    <w:pPr>
      <w:keepNext/>
      <w:keepLines/>
      <w:spacing w:after="0"/>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uiPriority w:val="9"/>
    <w:semiHidden/>
    <w:unhideWhenUsed/>
    <w:qFormat/>
    <w:rsid w:val="000726F3"/>
    <w:pPr>
      <w:keepNext/>
      <w:keepLines/>
      <w:spacing w:after="0"/>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17297B"/>
    <w:pPr>
      <w:spacing w:before="480" w:line="276" w:lineRule="auto"/>
      <w:outlineLvl w:val="9"/>
    </w:pPr>
    <w:rPr>
      <w:b/>
      <w:bCs/>
      <w:sz w:val="28"/>
      <w:szCs w:val="28"/>
    </w:rPr>
  </w:style>
  <w:style w:type="table" w:styleId="TableGrid">
    <w:name w:val="Table Grid"/>
    <w:basedOn w:val="TableNormal"/>
    <w:uiPriority w:val="39"/>
    <w:rsid w:val="00FB4123"/>
    <w:pPr>
      <w:spacing w:after="0" w:line="240" w:lineRule="auto"/>
    </w:pPr>
    <w:tblPr/>
  </w:style>
  <w:style w:type="paragraph" w:styleId="ListParagraph">
    <w:name w:val="List Paragraph"/>
    <w:basedOn w:val="Normal"/>
    <w:uiPriority w:val="34"/>
    <w:qFormat/>
    <w:pPr>
      <w:ind w:left="720"/>
      <w:contextualSpacing/>
    </w:p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FE4761"/>
    <w:pPr>
      <w:spacing w:after="0" w:line="240" w:lineRule="auto"/>
    </w:pPr>
  </w:style>
  <w:style w:type="paragraph" w:styleId="CommentSubject">
    <w:name w:val="annotation subject"/>
    <w:basedOn w:val="CommentText"/>
    <w:next w:val="CommentText"/>
    <w:link w:val="CommentSubjectChar"/>
    <w:uiPriority w:val="99"/>
    <w:semiHidden/>
    <w:unhideWhenUsed/>
    <w:rsid w:val="00101DD2"/>
    <w:rPr>
      <w:b/>
      <w:bCs/>
    </w:rPr>
  </w:style>
  <w:style w:type="character" w:customStyle="1" w:styleId="CommentSubjectChar">
    <w:name w:val="Comment Subject Char"/>
    <w:basedOn w:val="CommentTextChar"/>
    <w:link w:val="CommentSubject"/>
    <w:uiPriority w:val="99"/>
    <w:semiHidden/>
    <w:rsid w:val="00101DD2"/>
    <w:rPr>
      <w:b/>
      <w:bCs/>
      <w:sz w:val="20"/>
      <w:szCs w:val="20"/>
    </w:rPr>
  </w:style>
  <w:style w:type="character" w:customStyle="1" w:styleId="Mention1">
    <w:name w:val="Mention1"/>
    <w:basedOn w:val="DefaultParagraphFont"/>
    <w:uiPriority w:val="99"/>
    <w:unhideWhenUsed/>
    <w:rsid w:val="00361C5C"/>
    <w:rPr>
      <w:color w:val="2B579A"/>
      <w:shd w:val="clear" w:color="auto" w:fill="E6E6E6"/>
    </w:rPr>
  </w:style>
  <w:style w:type="paragraph" w:styleId="BalloonText">
    <w:name w:val="Balloon Text"/>
    <w:basedOn w:val="Normal"/>
    <w:link w:val="BalloonTextChar"/>
    <w:uiPriority w:val="99"/>
    <w:semiHidden/>
    <w:unhideWhenUsed/>
    <w:rsid w:val="00361C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61C5C"/>
    <w:rPr>
      <w:rFonts w:ascii="Segoe UI" w:hAnsi="Segoe UI" w:cs="Segoe UI"/>
      <w:sz w:val="18"/>
      <w:szCs w:val="18"/>
    </w:rPr>
  </w:style>
  <w:style w:type="character" w:customStyle="1" w:styleId="normaltextrun">
    <w:name w:val="normaltextrun"/>
    <w:basedOn w:val="DefaultParagraphFont"/>
    <w:rsid w:val="00361C5C"/>
  </w:style>
  <w:style w:type="paragraph" w:styleId="TOC1">
    <w:name w:val="toc 1"/>
    <w:basedOn w:val="Normal"/>
    <w:next w:val="Normal"/>
    <w:autoRedefine/>
    <w:uiPriority w:val="39"/>
    <w:unhideWhenUsed/>
    <w:rsid w:val="00827718"/>
    <w:pPr>
      <w:tabs>
        <w:tab w:val="right" w:leader="dot" w:pos="9350"/>
      </w:tabs>
      <w:spacing w:before="120" w:after="0"/>
    </w:pPr>
    <w:rPr>
      <w:rFonts w:cstheme="minorHAnsi"/>
      <w:b/>
      <w:bCs/>
      <w:i/>
      <w:iCs/>
      <w:sz w:val="24"/>
      <w:szCs w:val="24"/>
    </w:rPr>
  </w:style>
  <w:style w:type="paragraph" w:styleId="TOC2">
    <w:name w:val="toc 2"/>
    <w:basedOn w:val="Normal"/>
    <w:next w:val="Normal"/>
    <w:autoRedefine/>
    <w:uiPriority w:val="39"/>
    <w:unhideWhenUsed/>
    <w:rsid w:val="002A0B57"/>
    <w:pPr>
      <w:tabs>
        <w:tab w:val="right" w:leader="dot" w:pos="9350"/>
      </w:tabs>
      <w:spacing w:before="120" w:after="0"/>
      <w:ind w:left="220"/>
    </w:pPr>
    <w:rPr>
      <w:rFonts w:cstheme="minorHAnsi"/>
      <w:b/>
      <w:bCs/>
    </w:rPr>
  </w:style>
  <w:style w:type="character" w:styleId="Hyperlink">
    <w:name w:val="Hyperlink"/>
    <w:basedOn w:val="DefaultParagraphFont"/>
    <w:uiPriority w:val="99"/>
    <w:unhideWhenUsed/>
    <w:rsid w:val="0017297B"/>
    <w:rPr>
      <w:color w:val="0563C1" w:themeColor="hyperlink"/>
      <w:u w:val="single"/>
    </w:rPr>
  </w:style>
  <w:style w:type="paragraph" w:styleId="TOC3">
    <w:name w:val="toc 3"/>
    <w:basedOn w:val="Normal"/>
    <w:next w:val="Normal"/>
    <w:autoRedefine/>
    <w:uiPriority w:val="39"/>
    <w:unhideWhenUsed/>
    <w:rsid w:val="00CB3342"/>
    <w:pPr>
      <w:tabs>
        <w:tab w:val="right" w:leader="dot" w:pos="9350"/>
      </w:tabs>
      <w:spacing w:after="0"/>
      <w:ind w:left="440"/>
    </w:pPr>
    <w:rPr>
      <w:rFonts w:cstheme="minorHAnsi"/>
      <w:sz w:val="20"/>
      <w:szCs w:val="20"/>
    </w:rPr>
  </w:style>
  <w:style w:type="paragraph" w:styleId="TOC4">
    <w:name w:val="toc 4"/>
    <w:basedOn w:val="Normal"/>
    <w:next w:val="Normal"/>
    <w:autoRedefine/>
    <w:uiPriority w:val="39"/>
    <w:unhideWhenUsed/>
    <w:rsid w:val="0017297B"/>
    <w:pPr>
      <w:spacing w:after="0"/>
      <w:ind w:left="660"/>
    </w:pPr>
    <w:rPr>
      <w:rFonts w:cstheme="minorHAnsi"/>
      <w:sz w:val="20"/>
      <w:szCs w:val="20"/>
    </w:rPr>
  </w:style>
  <w:style w:type="paragraph" w:styleId="TOC5">
    <w:name w:val="toc 5"/>
    <w:basedOn w:val="Normal"/>
    <w:next w:val="Normal"/>
    <w:autoRedefine/>
    <w:uiPriority w:val="39"/>
    <w:unhideWhenUsed/>
    <w:rsid w:val="0017297B"/>
    <w:pPr>
      <w:spacing w:after="0"/>
      <w:ind w:left="880"/>
    </w:pPr>
    <w:rPr>
      <w:rFonts w:cstheme="minorHAnsi"/>
      <w:sz w:val="20"/>
      <w:szCs w:val="20"/>
    </w:rPr>
  </w:style>
  <w:style w:type="paragraph" w:styleId="TOC6">
    <w:name w:val="toc 6"/>
    <w:basedOn w:val="Normal"/>
    <w:next w:val="Normal"/>
    <w:autoRedefine/>
    <w:uiPriority w:val="39"/>
    <w:unhideWhenUsed/>
    <w:rsid w:val="0017297B"/>
    <w:pPr>
      <w:spacing w:after="0"/>
      <w:ind w:left="1100"/>
    </w:pPr>
    <w:rPr>
      <w:rFonts w:cstheme="minorHAnsi"/>
      <w:sz w:val="20"/>
      <w:szCs w:val="20"/>
    </w:rPr>
  </w:style>
  <w:style w:type="paragraph" w:styleId="TOC7">
    <w:name w:val="toc 7"/>
    <w:basedOn w:val="Normal"/>
    <w:next w:val="Normal"/>
    <w:autoRedefine/>
    <w:uiPriority w:val="39"/>
    <w:unhideWhenUsed/>
    <w:rsid w:val="0017297B"/>
    <w:pPr>
      <w:spacing w:after="0"/>
      <w:ind w:left="1320"/>
    </w:pPr>
    <w:rPr>
      <w:rFonts w:cstheme="minorHAnsi"/>
      <w:sz w:val="20"/>
      <w:szCs w:val="20"/>
    </w:rPr>
  </w:style>
  <w:style w:type="paragraph" w:styleId="TOC8">
    <w:name w:val="toc 8"/>
    <w:basedOn w:val="Normal"/>
    <w:next w:val="Normal"/>
    <w:autoRedefine/>
    <w:uiPriority w:val="39"/>
    <w:unhideWhenUsed/>
    <w:rsid w:val="0017297B"/>
    <w:pPr>
      <w:spacing w:after="0"/>
      <w:ind w:left="1540"/>
    </w:pPr>
    <w:rPr>
      <w:rFonts w:cstheme="minorHAnsi"/>
      <w:sz w:val="20"/>
      <w:szCs w:val="20"/>
    </w:rPr>
  </w:style>
  <w:style w:type="paragraph" w:styleId="TOC9">
    <w:name w:val="toc 9"/>
    <w:basedOn w:val="Normal"/>
    <w:next w:val="Normal"/>
    <w:autoRedefine/>
    <w:uiPriority w:val="39"/>
    <w:unhideWhenUsed/>
    <w:rsid w:val="0017297B"/>
    <w:pPr>
      <w:spacing w:after="0"/>
      <w:ind w:left="1760"/>
    </w:pPr>
    <w:rPr>
      <w:rFonts w:cstheme="minorHAnsi"/>
      <w:sz w:val="20"/>
      <w:szCs w:val="20"/>
    </w:rPr>
  </w:style>
  <w:style w:type="character" w:styleId="SubtleEmphasis">
    <w:name w:val="Subtle Emphasis"/>
    <w:basedOn w:val="DefaultParagraphFont"/>
    <w:uiPriority w:val="19"/>
    <w:qFormat/>
    <w:rsid w:val="00292416"/>
    <w:rPr>
      <w:i/>
      <w:iCs/>
      <w:color w:val="404040" w:themeColor="text1" w:themeTint="BF"/>
    </w:rPr>
  </w:style>
  <w:style w:type="paragraph" w:styleId="Subtitle">
    <w:name w:val="Subtitle"/>
    <w:basedOn w:val="Normal"/>
    <w:next w:val="Normal"/>
    <w:link w:val="SubtitleChar"/>
    <w:uiPriority w:val="11"/>
    <w:qFormat/>
    <w:rsid w:val="00A7440E"/>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A7440E"/>
    <w:rPr>
      <w:rFonts w:eastAsiaTheme="minorEastAsia"/>
      <w:color w:val="5A5A5A" w:themeColor="text1" w:themeTint="A5"/>
      <w:spacing w:val="15"/>
    </w:rPr>
  </w:style>
  <w:style w:type="character" w:customStyle="1" w:styleId="Heading3Char">
    <w:name w:val="Heading 3 Char"/>
    <w:basedOn w:val="DefaultParagraphFont"/>
    <w:link w:val="Heading3"/>
    <w:uiPriority w:val="9"/>
    <w:rsid w:val="00A7440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A7440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974758"/>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3B2EC4"/>
    <w:rPr>
      <w:rFonts w:asciiTheme="majorHAnsi" w:eastAsiaTheme="majorEastAsia" w:hAnsiTheme="majorHAnsi" w:cstheme="majorBidi"/>
      <w:color w:val="1F3763" w:themeColor="accent1" w:themeShade="7F"/>
    </w:rPr>
  </w:style>
  <w:style w:type="paragraph" w:styleId="Header">
    <w:name w:val="header"/>
    <w:basedOn w:val="Normal"/>
    <w:link w:val="HeaderChar"/>
    <w:uiPriority w:val="99"/>
    <w:unhideWhenUsed/>
    <w:rsid w:val="00BE27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27D4"/>
  </w:style>
  <w:style w:type="paragraph" w:styleId="Footer">
    <w:name w:val="footer"/>
    <w:basedOn w:val="Normal"/>
    <w:link w:val="FooterChar"/>
    <w:uiPriority w:val="99"/>
    <w:unhideWhenUsed/>
    <w:rsid w:val="00BE27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27D4"/>
  </w:style>
  <w:style w:type="character" w:customStyle="1" w:styleId="UnresolvedMention1">
    <w:name w:val="Unresolved Mention1"/>
    <w:basedOn w:val="DefaultParagraphFont"/>
    <w:uiPriority w:val="99"/>
    <w:unhideWhenUsed/>
    <w:rsid w:val="0050642D"/>
    <w:rPr>
      <w:color w:val="605E5C"/>
      <w:shd w:val="clear" w:color="auto" w:fill="E1DFDD"/>
    </w:rPr>
  </w:style>
  <w:style w:type="paragraph" w:styleId="EndnoteText">
    <w:name w:val="endnote text"/>
    <w:basedOn w:val="Normal"/>
    <w:link w:val="EndnoteTextChar"/>
    <w:uiPriority w:val="99"/>
    <w:unhideWhenUsed/>
    <w:rsid w:val="008039D1"/>
    <w:pPr>
      <w:spacing w:after="0" w:line="240" w:lineRule="auto"/>
    </w:pPr>
    <w:rPr>
      <w:sz w:val="20"/>
      <w:szCs w:val="20"/>
    </w:rPr>
  </w:style>
  <w:style w:type="character" w:customStyle="1" w:styleId="EndnoteTextChar">
    <w:name w:val="Endnote Text Char"/>
    <w:basedOn w:val="DefaultParagraphFont"/>
    <w:link w:val="EndnoteText"/>
    <w:uiPriority w:val="99"/>
    <w:rsid w:val="008039D1"/>
    <w:rPr>
      <w:sz w:val="20"/>
      <w:szCs w:val="20"/>
    </w:rPr>
  </w:style>
  <w:style w:type="character" w:styleId="EndnoteReference">
    <w:name w:val="endnote reference"/>
    <w:basedOn w:val="DefaultParagraphFont"/>
    <w:uiPriority w:val="99"/>
    <w:semiHidden/>
    <w:unhideWhenUsed/>
    <w:rsid w:val="008039D1"/>
    <w:rPr>
      <w:vertAlign w:val="superscript"/>
    </w:rPr>
  </w:style>
  <w:style w:type="paragraph" w:styleId="Bibliography">
    <w:name w:val="Bibliography"/>
    <w:basedOn w:val="Normal"/>
    <w:next w:val="Normal"/>
    <w:uiPriority w:val="37"/>
    <w:unhideWhenUsed/>
    <w:rsid w:val="007B121E"/>
    <w:pPr>
      <w:tabs>
        <w:tab w:val="left" w:pos="140"/>
      </w:tabs>
      <w:spacing w:after="240" w:line="240" w:lineRule="auto"/>
      <w:ind w:left="144" w:hanging="144"/>
    </w:pPr>
  </w:style>
  <w:style w:type="character" w:styleId="Mention">
    <w:name w:val="Mention"/>
    <w:basedOn w:val="DefaultParagraphFont"/>
    <w:uiPriority w:val="99"/>
    <w:unhideWhenUsed/>
    <w:rPr>
      <w:color w:val="2B579A"/>
      <w:shd w:val="clear" w:color="auto" w:fill="E6E6E6"/>
    </w:rPr>
  </w:style>
  <w:style w:type="character" w:styleId="LineNumber">
    <w:name w:val="line number"/>
    <w:basedOn w:val="DefaultParagraphFont"/>
    <w:uiPriority w:val="99"/>
    <w:semiHidden/>
    <w:unhideWhenUsed/>
    <w:rsid w:val="00606A59"/>
  </w:style>
  <w:style w:type="table" w:styleId="GridTable1Light">
    <w:name w:val="Grid Table 1 Light"/>
    <w:basedOn w:val="TableNormal"/>
    <w:uiPriority w:val="46"/>
    <w:rsid w:val="00A20D40"/>
    <w:pPr>
      <w:spacing w:after="0" w:line="240" w:lineRule="auto"/>
    </w:pPr>
    <w:tblPr>
      <w:tblStyleRowBandSize w:val="1"/>
      <w:tblStyleColBandSize w:val="1"/>
      <w:tblInd w:w="0" w:type="nil"/>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F86859"/>
    <w:pPr>
      <w:spacing w:before="100" w:beforeAutospacing="1" w:after="100" w:afterAutospacing="1" w:line="240" w:lineRule="auto"/>
    </w:pPr>
    <w:rPr>
      <w:rFonts w:ascii="Times New Roman" w:eastAsiaTheme="minorEastAsia" w:hAnsi="Times New Roman" w:cs="Times New Roman"/>
      <w:sz w:val="24"/>
      <w:szCs w:val="24"/>
    </w:rPr>
  </w:style>
  <w:style w:type="character" w:styleId="UnresolvedMention">
    <w:name w:val="Unresolved Mention"/>
    <w:basedOn w:val="DefaultParagraphFont"/>
    <w:uiPriority w:val="99"/>
    <w:semiHidden/>
    <w:unhideWhenUsed/>
    <w:rsid w:val="00EF024E"/>
    <w:rPr>
      <w:color w:val="605E5C"/>
      <w:shd w:val="clear" w:color="auto" w:fill="E1DFDD"/>
    </w:rPr>
  </w:style>
  <w:style w:type="table" w:customStyle="1" w:styleId="TableGrid0">
    <w:name w:val="TableGrid"/>
    <w:rsid w:val="001F5235"/>
    <w:pPr>
      <w:spacing w:after="0" w:line="240" w:lineRule="auto"/>
    </w:pPr>
    <w:rPr>
      <w:rFonts w:eastAsiaTheme="minorEastAsia"/>
      <w:kern w:val="2"/>
      <w:sz w:val="24"/>
      <w:szCs w:val="24"/>
      <w14:ligatures w14:val="standardContextual"/>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0726F3"/>
    <w:rPr>
      <w:color w:val="954F72" w:themeColor="followedHyperlink"/>
      <w:u w:val="single"/>
    </w:rPr>
  </w:style>
  <w:style w:type="table" w:styleId="TableGridLight">
    <w:name w:val="Grid Table Light"/>
    <w:basedOn w:val="TableNormal"/>
    <w:uiPriority w:val="40"/>
    <w:rsid w:val="00E477F5"/>
    <w:pPr>
      <w:spacing w:after="0" w:line="240" w:lineRule="auto"/>
    </w:pPr>
    <w:tblPr/>
  </w:style>
  <w:style w:type="paragraph" w:styleId="NoSpacing">
    <w:name w:val="No Spacing"/>
    <w:uiPriority w:val="1"/>
    <w:qFormat/>
    <w:rsid w:val="00A759B4"/>
    <w:pPr>
      <w:spacing w:after="0" w:line="240" w:lineRule="auto"/>
    </w:pPr>
  </w:style>
  <w:style w:type="character" w:customStyle="1" w:styleId="apple-converted-space">
    <w:name w:val="apple-converted-space"/>
    <w:basedOn w:val="DefaultParagraphFont"/>
    <w:rsid w:val="00A759B4"/>
  </w:style>
  <w:style w:type="paragraph" w:customStyle="1" w:styleId="paragraph">
    <w:name w:val="paragraph"/>
    <w:basedOn w:val="Normal"/>
    <w:uiPriority w:val="99"/>
    <w:rsid w:val="00A759B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A759B4"/>
  </w:style>
  <w:style w:type="character" w:customStyle="1" w:styleId="CapstoneCaptionChar">
    <w:name w:val="Capstone Caption Char"/>
    <w:basedOn w:val="DefaultParagraphFont"/>
    <w:link w:val="CapstoneCaption"/>
    <w:locked/>
    <w:rsid w:val="00A759B4"/>
    <w:rPr>
      <w:rFonts w:ascii="Calibri" w:hAnsi="Calibri" w:cs="Calibri"/>
      <w:b/>
    </w:rPr>
  </w:style>
  <w:style w:type="paragraph" w:customStyle="1" w:styleId="CapstoneCaption">
    <w:name w:val="Capstone Caption"/>
    <w:basedOn w:val="Normal"/>
    <w:link w:val="CapstoneCaptionChar"/>
    <w:qFormat/>
    <w:rsid w:val="00A759B4"/>
    <w:pPr>
      <w:spacing w:line="256" w:lineRule="auto"/>
    </w:pPr>
    <w:rPr>
      <w:rFonts w:ascii="Calibri" w:hAnsi="Calibri" w:cs="Calibri"/>
      <w:b/>
    </w:rPr>
  </w:style>
  <w:style w:type="table" w:styleId="GridTable4">
    <w:name w:val="Grid Table 4"/>
    <w:basedOn w:val="TableNormal"/>
    <w:uiPriority w:val="49"/>
    <w:rsid w:val="00A759B4"/>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style>
  <w:style w:type="table" w:styleId="GridTable3-Accent1">
    <w:name w:val="Grid Table 3 Accent 1"/>
    <w:basedOn w:val="TableNormal"/>
    <w:uiPriority w:val="48"/>
    <w:rsid w:val="00A759B4"/>
    <w:pPr>
      <w:spacing w:after="0" w:line="240" w:lineRule="auto"/>
    </w:pPr>
    <w:tblPr>
      <w:tblStyleRowBandSize w:val="1"/>
      <w:tblStyleColBandSize w:val="1"/>
    </w:tblPr>
    <w:tcPr>
      <w:tcBorders>
        <w:top w:val="nil"/>
        <w:bottom w:val="nil"/>
        <w:right w:val="nil"/>
      </w:tcBorders>
      <w:shd w:val="clear" w:color="auto" w:fill="D9E2F3" w:themeFill="accen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customStyle="1" w:styleId="Body">
    <w:name w:val="Body"/>
    <w:uiPriority w:val="99"/>
    <w:rsid w:val="00A759B4"/>
    <w:pPr>
      <w:pBdr>
        <w:top w:val="nil"/>
        <w:left w:val="nil"/>
        <w:bottom w:val="nil"/>
        <w:right w:val="nil"/>
        <w:between w:val="nil"/>
        <w:bar w:val="nil"/>
      </w:pBdr>
      <w:spacing w:after="200" w:line="276" w:lineRule="auto"/>
    </w:pPr>
    <w:rPr>
      <w:rFonts w:ascii="Calibri" w:eastAsia="Calibri" w:hAnsi="Calibri" w:cs="Calibri"/>
      <w:color w:val="000000"/>
      <w:u w:color="000000"/>
      <w:bdr w:val="nil"/>
    </w:rPr>
  </w:style>
  <w:style w:type="paragraph" w:styleId="Caption">
    <w:name w:val="caption"/>
    <w:basedOn w:val="Normal"/>
    <w:next w:val="Normal"/>
    <w:uiPriority w:val="35"/>
    <w:unhideWhenUsed/>
    <w:qFormat/>
    <w:rsid w:val="00A759B4"/>
    <w:pPr>
      <w:spacing w:after="200" w:line="240" w:lineRule="auto"/>
    </w:pPr>
    <w:rPr>
      <w:i/>
      <w:iCs/>
      <w:color w:val="44546A" w:themeColor="text2"/>
      <w:sz w:val="18"/>
      <w:szCs w:val="18"/>
      <w:lang w:val="en-GB"/>
    </w:rPr>
  </w:style>
  <w:style w:type="paragraph" w:customStyle="1" w:styleId="EndNoteBibliography">
    <w:name w:val="EndNote Bibliography"/>
    <w:basedOn w:val="Normal"/>
    <w:link w:val="EndNoteBibliographyChar"/>
    <w:rsid w:val="00A759B4"/>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A759B4"/>
    <w:rPr>
      <w:rFonts w:ascii="Calibri" w:hAnsi="Calibri" w:cs="Calibri"/>
      <w:noProof/>
    </w:rPr>
  </w:style>
  <w:style w:type="character" w:customStyle="1" w:styleId="HTMLPreformattedChar">
    <w:name w:val="HTML Preformatted Char"/>
    <w:basedOn w:val="DefaultParagraphFont"/>
    <w:link w:val="HTMLPreformatted"/>
    <w:uiPriority w:val="99"/>
    <w:semiHidden/>
    <w:rsid w:val="00A759B4"/>
    <w:rPr>
      <w:rFonts w:ascii="Consolas" w:hAnsi="Consolas"/>
      <w:sz w:val="20"/>
      <w:szCs w:val="20"/>
    </w:rPr>
  </w:style>
  <w:style w:type="paragraph" w:styleId="HTMLPreformatted">
    <w:name w:val="HTML Preformatted"/>
    <w:basedOn w:val="Normal"/>
    <w:link w:val="HTMLPreformattedChar"/>
    <w:uiPriority w:val="99"/>
    <w:semiHidden/>
    <w:unhideWhenUsed/>
    <w:rsid w:val="00A759B4"/>
    <w:pPr>
      <w:spacing w:after="0" w:line="240" w:lineRule="auto"/>
    </w:pPr>
    <w:rPr>
      <w:rFonts w:ascii="Consolas" w:hAnsi="Consolas"/>
      <w:sz w:val="20"/>
      <w:szCs w:val="20"/>
    </w:rPr>
  </w:style>
  <w:style w:type="character" w:customStyle="1" w:styleId="HTMLPreformattedChar1">
    <w:name w:val="HTML Preformatted Char1"/>
    <w:basedOn w:val="DefaultParagraphFont"/>
    <w:uiPriority w:val="99"/>
    <w:semiHidden/>
    <w:rsid w:val="00A759B4"/>
    <w:rPr>
      <w:rFonts w:ascii="Consolas" w:hAnsi="Consolas"/>
      <w:sz w:val="20"/>
      <w:szCs w:val="20"/>
    </w:rPr>
  </w:style>
  <w:style w:type="character" w:styleId="PageNumber">
    <w:name w:val="page number"/>
    <w:basedOn w:val="DefaultParagraphFont"/>
    <w:uiPriority w:val="99"/>
    <w:semiHidden/>
    <w:unhideWhenUsed/>
    <w:rsid w:val="00A759B4"/>
  </w:style>
  <w:style w:type="paragraph" w:styleId="BodyText">
    <w:name w:val="Body Text"/>
    <w:basedOn w:val="Normal"/>
    <w:link w:val="BodyTextChar"/>
    <w:uiPriority w:val="1"/>
    <w:qFormat/>
    <w:rsid w:val="00A759B4"/>
    <w:pPr>
      <w:widowControl w:val="0"/>
      <w:autoSpaceDE w:val="0"/>
      <w:autoSpaceDN w:val="0"/>
      <w:spacing w:after="0" w:line="240" w:lineRule="auto"/>
    </w:pPr>
    <w:rPr>
      <w:rFonts w:ascii="Calibri" w:eastAsia="Calibri" w:hAnsi="Calibri" w:cs="Calibri"/>
    </w:rPr>
  </w:style>
  <w:style w:type="character" w:customStyle="1" w:styleId="BodyTextChar">
    <w:name w:val="Body Text Char"/>
    <w:basedOn w:val="DefaultParagraphFont"/>
    <w:link w:val="BodyText"/>
    <w:uiPriority w:val="1"/>
    <w:rsid w:val="00A759B4"/>
    <w:rPr>
      <w:rFonts w:ascii="Calibri" w:eastAsia="Calibri" w:hAnsi="Calibri" w:cs="Calibri"/>
    </w:rPr>
  </w:style>
  <w:style w:type="paragraph" w:customStyle="1" w:styleId="Writeupheading2">
    <w:name w:val="Write up heading 2"/>
    <w:basedOn w:val="Normal"/>
    <w:link w:val="Writeupheading2Char"/>
    <w:uiPriority w:val="1"/>
    <w:qFormat/>
    <w:rsid w:val="009E0A32"/>
    <w:pPr>
      <w:keepNext/>
      <w:keepLines/>
      <w:spacing w:before="160" w:after="80" w:line="279" w:lineRule="auto"/>
      <w:outlineLvl w:val="1"/>
    </w:pPr>
    <w:rPr>
      <w:rFonts w:ascii="Calibri Light" w:eastAsia="Calibri Light" w:hAnsi="Calibri Light" w:cs="Calibri Light"/>
      <w:color w:val="657C9C" w:themeColor="text2" w:themeTint="BF"/>
      <w:sz w:val="26"/>
      <w:szCs w:val="26"/>
      <w:lang w:eastAsia="ja-JP"/>
    </w:rPr>
  </w:style>
  <w:style w:type="character" w:customStyle="1" w:styleId="Writeupheading2Char">
    <w:name w:val="Write up heading 2 Char"/>
    <w:basedOn w:val="DefaultParagraphFont"/>
    <w:link w:val="Writeupheading2"/>
    <w:uiPriority w:val="1"/>
    <w:rsid w:val="009E0A32"/>
    <w:rPr>
      <w:rFonts w:ascii="Calibri Light" w:eastAsia="Calibri Light" w:hAnsi="Calibri Light" w:cs="Calibri Light"/>
      <w:color w:val="657C9C" w:themeColor="text2" w:themeTint="BF"/>
      <w:sz w:val="26"/>
      <w:szCs w:val="26"/>
      <w:lang w:eastAsia="ja-JP"/>
    </w:rPr>
  </w:style>
  <w:style w:type="character" w:styleId="PlaceholderText">
    <w:name w:val="Placeholder Text"/>
    <w:basedOn w:val="DefaultParagraphFont"/>
    <w:uiPriority w:val="99"/>
    <w:semiHidden/>
    <w:rsid w:val="002809EA"/>
    <w:rPr>
      <w:color w:val="666666"/>
    </w:rPr>
  </w:style>
  <w:style w:type="paragraph" w:customStyle="1" w:styleId="msonormal0">
    <w:name w:val="msonormal"/>
    <w:basedOn w:val="Normal"/>
    <w:uiPriority w:val="99"/>
    <w:semiHidden/>
    <w:rsid w:val="00B123E5"/>
    <w:pPr>
      <w:spacing w:line="256" w:lineRule="auto"/>
    </w:pPr>
    <w:rPr>
      <w:rFonts w:ascii="Times New Roman" w:hAnsi="Times New Roman" w:cs="Times New Roman"/>
      <w:sz w:val="24"/>
      <w:szCs w:val="24"/>
    </w:rPr>
  </w:style>
  <w:style w:type="table" w:styleId="PlainTable1">
    <w:name w:val="Plain Table 1"/>
    <w:basedOn w:val="TableNormal"/>
    <w:uiPriority w:val="41"/>
    <w:rsid w:val="000F32B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leParagraph">
    <w:name w:val="Table Paragraph"/>
    <w:basedOn w:val="Normal"/>
    <w:uiPriority w:val="1"/>
    <w:qFormat/>
    <w:rsid w:val="00336042"/>
    <w:pPr>
      <w:widowControl w:val="0"/>
      <w:autoSpaceDE w:val="0"/>
      <w:autoSpaceDN w:val="0"/>
      <w:spacing w:after="0" w:line="240" w:lineRule="auto"/>
    </w:pPr>
    <w:rPr>
      <w:rFonts w:ascii="Arial" w:eastAsia="Arial" w:hAnsi="Arial" w:cs="Arial"/>
    </w:rPr>
  </w:style>
  <w:style w:type="character" w:customStyle="1" w:styleId="markshjg6cg6h">
    <w:name w:val="markshjg6cg6h"/>
    <w:basedOn w:val="DefaultParagraphFont"/>
    <w:rsid w:val="003360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80897">
      <w:bodyDiv w:val="1"/>
      <w:marLeft w:val="0"/>
      <w:marRight w:val="0"/>
      <w:marTop w:val="0"/>
      <w:marBottom w:val="0"/>
      <w:divBdr>
        <w:top w:val="none" w:sz="0" w:space="0" w:color="auto"/>
        <w:left w:val="none" w:sz="0" w:space="0" w:color="auto"/>
        <w:bottom w:val="none" w:sz="0" w:space="0" w:color="auto"/>
        <w:right w:val="none" w:sz="0" w:space="0" w:color="auto"/>
      </w:divBdr>
    </w:div>
    <w:div w:id="58016203">
      <w:bodyDiv w:val="1"/>
      <w:marLeft w:val="0"/>
      <w:marRight w:val="0"/>
      <w:marTop w:val="0"/>
      <w:marBottom w:val="0"/>
      <w:divBdr>
        <w:top w:val="none" w:sz="0" w:space="0" w:color="auto"/>
        <w:left w:val="none" w:sz="0" w:space="0" w:color="auto"/>
        <w:bottom w:val="none" w:sz="0" w:space="0" w:color="auto"/>
        <w:right w:val="none" w:sz="0" w:space="0" w:color="auto"/>
      </w:divBdr>
    </w:div>
    <w:div w:id="245388617">
      <w:bodyDiv w:val="1"/>
      <w:marLeft w:val="0"/>
      <w:marRight w:val="0"/>
      <w:marTop w:val="0"/>
      <w:marBottom w:val="0"/>
      <w:divBdr>
        <w:top w:val="none" w:sz="0" w:space="0" w:color="auto"/>
        <w:left w:val="none" w:sz="0" w:space="0" w:color="auto"/>
        <w:bottom w:val="none" w:sz="0" w:space="0" w:color="auto"/>
        <w:right w:val="none" w:sz="0" w:space="0" w:color="auto"/>
      </w:divBdr>
      <w:divsChild>
        <w:div w:id="21051510">
          <w:marLeft w:val="0"/>
          <w:marRight w:val="0"/>
          <w:marTop w:val="0"/>
          <w:marBottom w:val="0"/>
          <w:divBdr>
            <w:top w:val="none" w:sz="0" w:space="0" w:color="auto"/>
            <w:left w:val="none" w:sz="0" w:space="0" w:color="auto"/>
            <w:bottom w:val="none" w:sz="0" w:space="0" w:color="auto"/>
            <w:right w:val="none" w:sz="0" w:space="0" w:color="auto"/>
          </w:divBdr>
        </w:div>
        <w:div w:id="100759661">
          <w:marLeft w:val="0"/>
          <w:marRight w:val="0"/>
          <w:marTop w:val="0"/>
          <w:marBottom w:val="0"/>
          <w:divBdr>
            <w:top w:val="none" w:sz="0" w:space="0" w:color="auto"/>
            <w:left w:val="none" w:sz="0" w:space="0" w:color="auto"/>
            <w:bottom w:val="none" w:sz="0" w:space="0" w:color="auto"/>
            <w:right w:val="none" w:sz="0" w:space="0" w:color="auto"/>
          </w:divBdr>
        </w:div>
        <w:div w:id="1120219470">
          <w:marLeft w:val="0"/>
          <w:marRight w:val="0"/>
          <w:marTop w:val="0"/>
          <w:marBottom w:val="0"/>
          <w:divBdr>
            <w:top w:val="none" w:sz="0" w:space="0" w:color="auto"/>
            <w:left w:val="none" w:sz="0" w:space="0" w:color="auto"/>
            <w:bottom w:val="none" w:sz="0" w:space="0" w:color="auto"/>
            <w:right w:val="none" w:sz="0" w:space="0" w:color="auto"/>
          </w:divBdr>
        </w:div>
      </w:divsChild>
    </w:div>
    <w:div w:id="281304338">
      <w:bodyDiv w:val="1"/>
      <w:marLeft w:val="0"/>
      <w:marRight w:val="0"/>
      <w:marTop w:val="0"/>
      <w:marBottom w:val="0"/>
      <w:divBdr>
        <w:top w:val="none" w:sz="0" w:space="0" w:color="auto"/>
        <w:left w:val="none" w:sz="0" w:space="0" w:color="auto"/>
        <w:bottom w:val="none" w:sz="0" w:space="0" w:color="auto"/>
        <w:right w:val="none" w:sz="0" w:space="0" w:color="auto"/>
      </w:divBdr>
    </w:div>
    <w:div w:id="514685377">
      <w:bodyDiv w:val="1"/>
      <w:marLeft w:val="0"/>
      <w:marRight w:val="0"/>
      <w:marTop w:val="0"/>
      <w:marBottom w:val="0"/>
      <w:divBdr>
        <w:top w:val="none" w:sz="0" w:space="0" w:color="auto"/>
        <w:left w:val="none" w:sz="0" w:space="0" w:color="auto"/>
        <w:bottom w:val="none" w:sz="0" w:space="0" w:color="auto"/>
        <w:right w:val="none" w:sz="0" w:space="0" w:color="auto"/>
      </w:divBdr>
      <w:divsChild>
        <w:div w:id="667828812">
          <w:marLeft w:val="0"/>
          <w:marRight w:val="0"/>
          <w:marTop w:val="0"/>
          <w:marBottom w:val="0"/>
          <w:divBdr>
            <w:top w:val="none" w:sz="0" w:space="0" w:color="auto"/>
            <w:left w:val="none" w:sz="0" w:space="0" w:color="auto"/>
            <w:bottom w:val="none" w:sz="0" w:space="0" w:color="auto"/>
            <w:right w:val="none" w:sz="0" w:space="0" w:color="auto"/>
          </w:divBdr>
        </w:div>
        <w:div w:id="771434269">
          <w:marLeft w:val="0"/>
          <w:marRight w:val="0"/>
          <w:marTop w:val="0"/>
          <w:marBottom w:val="0"/>
          <w:divBdr>
            <w:top w:val="none" w:sz="0" w:space="0" w:color="auto"/>
            <w:left w:val="none" w:sz="0" w:space="0" w:color="auto"/>
            <w:bottom w:val="none" w:sz="0" w:space="0" w:color="auto"/>
            <w:right w:val="none" w:sz="0" w:space="0" w:color="auto"/>
          </w:divBdr>
        </w:div>
        <w:div w:id="918098496">
          <w:marLeft w:val="0"/>
          <w:marRight w:val="0"/>
          <w:marTop w:val="0"/>
          <w:marBottom w:val="0"/>
          <w:divBdr>
            <w:top w:val="none" w:sz="0" w:space="0" w:color="auto"/>
            <w:left w:val="none" w:sz="0" w:space="0" w:color="auto"/>
            <w:bottom w:val="none" w:sz="0" w:space="0" w:color="auto"/>
            <w:right w:val="none" w:sz="0" w:space="0" w:color="auto"/>
          </w:divBdr>
          <w:divsChild>
            <w:div w:id="1993212663">
              <w:marLeft w:val="-75"/>
              <w:marRight w:val="0"/>
              <w:marTop w:val="30"/>
              <w:marBottom w:val="30"/>
              <w:divBdr>
                <w:top w:val="none" w:sz="0" w:space="0" w:color="auto"/>
                <w:left w:val="none" w:sz="0" w:space="0" w:color="auto"/>
                <w:bottom w:val="none" w:sz="0" w:space="0" w:color="auto"/>
                <w:right w:val="none" w:sz="0" w:space="0" w:color="auto"/>
              </w:divBdr>
              <w:divsChild>
                <w:div w:id="47152293">
                  <w:marLeft w:val="0"/>
                  <w:marRight w:val="0"/>
                  <w:marTop w:val="0"/>
                  <w:marBottom w:val="0"/>
                  <w:divBdr>
                    <w:top w:val="none" w:sz="0" w:space="0" w:color="auto"/>
                    <w:left w:val="none" w:sz="0" w:space="0" w:color="auto"/>
                    <w:bottom w:val="none" w:sz="0" w:space="0" w:color="auto"/>
                    <w:right w:val="none" w:sz="0" w:space="0" w:color="auto"/>
                  </w:divBdr>
                  <w:divsChild>
                    <w:div w:id="1862084207">
                      <w:marLeft w:val="0"/>
                      <w:marRight w:val="0"/>
                      <w:marTop w:val="0"/>
                      <w:marBottom w:val="0"/>
                      <w:divBdr>
                        <w:top w:val="none" w:sz="0" w:space="0" w:color="auto"/>
                        <w:left w:val="none" w:sz="0" w:space="0" w:color="auto"/>
                        <w:bottom w:val="none" w:sz="0" w:space="0" w:color="auto"/>
                        <w:right w:val="none" w:sz="0" w:space="0" w:color="auto"/>
                      </w:divBdr>
                    </w:div>
                  </w:divsChild>
                </w:div>
                <w:div w:id="55588302">
                  <w:marLeft w:val="0"/>
                  <w:marRight w:val="0"/>
                  <w:marTop w:val="0"/>
                  <w:marBottom w:val="0"/>
                  <w:divBdr>
                    <w:top w:val="none" w:sz="0" w:space="0" w:color="auto"/>
                    <w:left w:val="none" w:sz="0" w:space="0" w:color="auto"/>
                    <w:bottom w:val="none" w:sz="0" w:space="0" w:color="auto"/>
                    <w:right w:val="none" w:sz="0" w:space="0" w:color="auto"/>
                  </w:divBdr>
                  <w:divsChild>
                    <w:div w:id="179904354">
                      <w:marLeft w:val="0"/>
                      <w:marRight w:val="0"/>
                      <w:marTop w:val="0"/>
                      <w:marBottom w:val="0"/>
                      <w:divBdr>
                        <w:top w:val="none" w:sz="0" w:space="0" w:color="auto"/>
                        <w:left w:val="none" w:sz="0" w:space="0" w:color="auto"/>
                        <w:bottom w:val="none" w:sz="0" w:space="0" w:color="auto"/>
                        <w:right w:val="none" w:sz="0" w:space="0" w:color="auto"/>
                      </w:divBdr>
                    </w:div>
                  </w:divsChild>
                </w:div>
                <w:div w:id="68696509">
                  <w:marLeft w:val="0"/>
                  <w:marRight w:val="0"/>
                  <w:marTop w:val="0"/>
                  <w:marBottom w:val="0"/>
                  <w:divBdr>
                    <w:top w:val="none" w:sz="0" w:space="0" w:color="auto"/>
                    <w:left w:val="none" w:sz="0" w:space="0" w:color="auto"/>
                    <w:bottom w:val="none" w:sz="0" w:space="0" w:color="auto"/>
                    <w:right w:val="none" w:sz="0" w:space="0" w:color="auto"/>
                  </w:divBdr>
                  <w:divsChild>
                    <w:div w:id="1492405867">
                      <w:marLeft w:val="0"/>
                      <w:marRight w:val="0"/>
                      <w:marTop w:val="0"/>
                      <w:marBottom w:val="0"/>
                      <w:divBdr>
                        <w:top w:val="none" w:sz="0" w:space="0" w:color="auto"/>
                        <w:left w:val="none" w:sz="0" w:space="0" w:color="auto"/>
                        <w:bottom w:val="none" w:sz="0" w:space="0" w:color="auto"/>
                        <w:right w:val="none" w:sz="0" w:space="0" w:color="auto"/>
                      </w:divBdr>
                    </w:div>
                  </w:divsChild>
                </w:div>
                <w:div w:id="81489626">
                  <w:marLeft w:val="0"/>
                  <w:marRight w:val="0"/>
                  <w:marTop w:val="0"/>
                  <w:marBottom w:val="0"/>
                  <w:divBdr>
                    <w:top w:val="none" w:sz="0" w:space="0" w:color="auto"/>
                    <w:left w:val="none" w:sz="0" w:space="0" w:color="auto"/>
                    <w:bottom w:val="none" w:sz="0" w:space="0" w:color="auto"/>
                    <w:right w:val="none" w:sz="0" w:space="0" w:color="auto"/>
                  </w:divBdr>
                  <w:divsChild>
                    <w:div w:id="1509563611">
                      <w:marLeft w:val="0"/>
                      <w:marRight w:val="0"/>
                      <w:marTop w:val="0"/>
                      <w:marBottom w:val="0"/>
                      <w:divBdr>
                        <w:top w:val="none" w:sz="0" w:space="0" w:color="auto"/>
                        <w:left w:val="none" w:sz="0" w:space="0" w:color="auto"/>
                        <w:bottom w:val="none" w:sz="0" w:space="0" w:color="auto"/>
                        <w:right w:val="none" w:sz="0" w:space="0" w:color="auto"/>
                      </w:divBdr>
                    </w:div>
                  </w:divsChild>
                </w:div>
                <w:div w:id="123544515">
                  <w:marLeft w:val="0"/>
                  <w:marRight w:val="0"/>
                  <w:marTop w:val="0"/>
                  <w:marBottom w:val="0"/>
                  <w:divBdr>
                    <w:top w:val="none" w:sz="0" w:space="0" w:color="auto"/>
                    <w:left w:val="none" w:sz="0" w:space="0" w:color="auto"/>
                    <w:bottom w:val="none" w:sz="0" w:space="0" w:color="auto"/>
                    <w:right w:val="none" w:sz="0" w:space="0" w:color="auto"/>
                  </w:divBdr>
                  <w:divsChild>
                    <w:div w:id="1694308414">
                      <w:marLeft w:val="0"/>
                      <w:marRight w:val="0"/>
                      <w:marTop w:val="0"/>
                      <w:marBottom w:val="0"/>
                      <w:divBdr>
                        <w:top w:val="none" w:sz="0" w:space="0" w:color="auto"/>
                        <w:left w:val="none" w:sz="0" w:space="0" w:color="auto"/>
                        <w:bottom w:val="none" w:sz="0" w:space="0" w:color="auto"/>
                        <w:right w:val="none" w:sz="0" w:space="0" w:color="auto"/>
                      </w:divBdr>
                    </w:div>
                  </w:divsChild>
                </w:div>
                <w:div w:id="134690284">
                  <w:marLeft w:val="0"/>
                  <w:marRight w:val="0"/>
                  <w:marTop w:val="0"/>
                  <w:marBottom w:val="0"/>
                  <w:divBdr>
                    <w:top w:val="none" w:sz="0" w:space="0" w:color="auto"/>
                    <w:left w:val="none" w:sz="0" w:space="0" w:color="auto"/>
                    <w:bottom w:val="none" w:sz="0" w:space="0" w:color="auto"/>
                    <w:right w:val="none" w:sz="0" w:space="0" w:color="auto"/>
                  </w:divBdr>
                  <w:divsChild>
                    <w:div w:id="1463307476">
                      <w:marLeft w:val="0"/>
                      <w:marRight w:val="0"/>
                      <w:marTop w:val="0"/>
                      <w:marBottom w:val="0"/>
                      <w:divBdr>
                        <w:top w:val="none" w:sz="0" w:space="0" w:color="auto"/>
                        <w:left w:val="none" w:sz="0" w:space="0" w:color="auto"/>
                        <w:bottom w:val="none" w:sz="0" w:space="0" w:color="auto"/>
                        <w:right w:val="none" w:sz="0" w:space="0" w:color="auto"/>
                      </w:divBdr>
                    </w:div>
                  </w:divsChild>
                </w:div>
                <w:div w:id="179128998">
                  <w:marLeft w:val="0"/>
                  <w:marRight w:val="0"/>
                  <w:marTop w:val="0"/>
                  <w:marBottom w:val="0"/>
                  <w:divBdr>
                    <w:top w:val="none" w:sz="0" w:space="0" w:color="auto"/>
                    <w:left w:val="none" w:sz="0" w:space="0" w:color="auto"/>
                    <w:bottom w:val="none" w:sz="0" w:space="0" w:color="auto"/>
                    <w:right w:val="none" w:sz="0" w:space="0" w:color="auto"/>
                  </w:divBdr>
                  <w:divsChild>
                    <w:div w:id="2011252598">
                      <w:marLeft w:val="0"/>
                      <w:marRight w:val="0"/>
                      <w:marTop w:val="0"/>
                      <w:marBottom w:val="0"/>
                      <w:divBdr>
                        <w:top w:val="none" w:sz="0" w:space="0" w:color="auto"/>
                        <w:left w:val="none" w:sz="0" w:space="0" w:color="auto"/>
                        <w:bottom w:val="none" w:sz="0" w:space="0" w:color="auto"/>
                        <w:right w:val="none" w:sz="0" w:space="0" w:color="auto"/>
                      </w:divBdr>
                    </w:div>
                  </w:divsChild>
                </w:div>
                <w:div w:id="188684706">
                  <w:marLeft w:val="0"/>
                  <w:marRight w:val="0"/>
                  <w:marTop w:val="0"/>
                  <w:marBottom w:val="0"/>
                  <w:divBdr>
                    <w:top w:val="none" w:sz="0" w:space="0" w:color="auto"/>
                    <w:left w:val="none" w:sz="0" w:space="0" w:color="auto"/>
                    <w:bottom w:val="none" w:sz="0" w:space="0" w:color="auto"/>
                    <w:right w:val="none" w:sz="0" w:space="0" w:color="auto"/>
                  </w:divBdr>
                  <w:divsChild>
                    <w:div w:id="562063067">
                      <w:marLeft w:val="0"/>
                      <w:marRight w:val="0"/>
                      <w:marTop w:val="0"/>
                      <w:marBottom w:val="0"/>
                      <w:divBdr>
                        <w:top w:val="none" w:sz="0" w:space="0" w:color="auto"/>
                        <w:left w:val="none" w:sz="0" w:space="0" w:color="auto"/>
                        <w:bottom w:val="none" w:sz="0" w:space="0" w:color="auto"/>
                        <w:right w:val="none" w:sz="0" w:space="0" w:color="auto"/>
                      </w:divBdr>
                    </w:div>
                  </w:divsChild>
                </w:div>
                <w:div w:id="195966300">
                  <w:marLeft w:val="0"/>
                  <w:marRight w:val="0"/>
                  <w:marTop w:val="0"/>
                  <w:marBottom w:val="0"/>
                  <w:divBdr>
                    <w:top w:val="none" w:sz="0" w:space="0" w:color="auto"/>
                    <w:left w:val="none" w:sz="0" w:space="0" w:color="auto"/>
                    <w:bottom w:val="none" w:sz="0" w:space="0" w:color="auto"/>
                    <w:right w:val="none" w:sz="0" w:space="0" w:color="auto"/>
                  </w:divBdr>
                  <w:divsChild>
                    <w:div w:id="871264948">
                      <w:marLeft w:val="0"/>
                      <w:marRight w:val="0"/>
                      <w:marTop w:val="0"/>
                      <w:marBottom w:val="0"/>
                      <w:divBdr>
                        <w:top w:val="none" w:sz="0" w:space="0" w:color="auto"/>
                        <w:left w:val="none" w:sz="0" w:space="0" w:color="auto"/>
                        <w:bottom w:val="none" w:sz="0" w:space="0" w:color="auto"/>
                        <w:right w:val="none" w:sz="0" w:space="0" w:color="auto"/>
                      </w:divBdr>
                    </w:div>
                  </w:divsChild>
                </w:div>
                <w:div w:id="209923363">
                  <w:marLeft w:val="0"/>
                  <w:marRight w:val="0"/>
                  <w:marTop w:val="0"/>
                  <w:marBottom w:val="0"/>
                  <w:divBdr>
                    <w:top w:val="none" w:sz="0" w:space="0" w:color="auto"/>
                    <w:left w:val="none" w:sz="0" w:space="0" w:color="auto"/>
                    <w:bottom w:val="none" w:sz="0" w:space="0" w:color="auto"/>
                    <w:right w:val="none" w:sz="0" w:space="0" w:color="auto"/>
                  </w:divBdr>
                  <w:divsChild>
                    <w:div w:id="89785221">
                      <w:marLeft w:val="0"/>
                      <w:marRight w:val="0"/>
                      <w:marTop w:val="0"/>
                      <w:marBottom w:val="0"/>
                      <w:divBdr>
                        <w:top w:val="none" w:sz="0" w:space="0" w:color="auto"/>
                        <w:left w:val="none" w:sz="0" w:space="0" w:color="auto"/>
                        <w:bottom w:val="none" w:sz="0" w:space="0" w:color="auto"/>
                        <w:right w:val="none" w:sz="0" w:space="0" w:color="auto"/>
                      </w:divBdr>
                    </w:div>
                  </w:divsChild>
                </w:div>
                <w:div w:id="231740585">
                  <w:marLeft w:val="0"/>
                  <w:marRight w:val="0"/>
                  <w:marTop w:val="0"/>
                  <w:marBottom w:val="0"/>
                  <w:divBdr>
                    <w:top w:val="none" w:sz="0" w:space="0" w:color="auto"/>
                    <w:left w:val="none" w:sz="0" w:space="0" w:color="auto"/>
                    <w:bottom w:val="none" w:sz="0" w:space="0" w:color="auto"/>
                    <w:right w:val="none" w:sz="0" w:space="0" w:color="auto"/>
                  </w:divBdr>
                  <w:divsChild>
                    <w:div w:id="127403879">
                      <w:marLeft w:val="0"/>
                      <w:marRight w:val="0"/>
                      <w:marTop w:val="0"/>
                      <w:marBottom w:val="0"/>
                      <w:divBdr>
                        <w:top w:val="none" w:sz="0" w:space="0" w:color="auto"/>
                        <w:left w:val="none" w:sz="0" w:space="0" w:color="auto"/>
                        <w:bottom w:val="none" w:sz="0" w:space="0" w:color="auto"/>
                        <w:right w:val="none" w:sz="0" w:space="0" w:color="auto"/>
                      </w:divBdr>
                    </w:div>
                  </w:divsChild>
                </w:div>
                <w:div w:id="309791681">
                  <w:marLeft w:val="0"/>
                  <w:marRight w:val="0"/>
                  <w:marTop w:val="0"/>
                  <w:marBottom w:val="0"/>
                  <w:divBdr>
                    <w:top w:val="none" w:sz="0" w:space="0" w:color="auto"/>
                    <w:left w:val="none" w:sz="0" w:space="0" w:color="auto"/>
                    <w:bottom w:val="none" w:sz="0" w:space="0" w:color="auto"/>
                    <w:right w:val="none" w:sz="0" w:space="0" w:color="auto"/>
                  </w:divBdr>
                  <w:divsChild>
                    <w:div w:id="1995915686">
                      <w:marLeft w:val="0"/>
                      <w:marRight w:val="0"/>
                      <w:marTop w:val="0"/>
                      <w:marBottom w:val="0"/>
                      <w:divBdr>
                        <w:top w:val="none" w:sz="0" w:space="0" w:color="auto"/>
                        <w:left w:val="none" w:sz="0" w:space="0" w:color="auto"/>
                        <w:bottom w:val="none" w:sz="0" w:space="0" w:color="auto"/>
                        <w:right w:val="none" w:sz="0" w:space="0" w:color="auto"/>
                      </w:divBdr>
                    </w:div>
                  </w:divsChild>
                </w:div>
                <w:div w:id="377314826">
                  <w:marLeft w:val="0"/>
                  <w:marRight w:val="0"/>
                  <w:marTop w:val="0"/>
                  <w:marBottom w:val="0"/>
                  <w:divBdr>
                    <w:top w:val="none" w:sz="0" w:space="0" w:color="auto"/>
                    <w:left w:val="none" w:sz="0" w:space="0" w:color="auto"/>
                    <w:bottom w:val="none" w:sz="0" w:space="0" w:color="auto"/>
                    <w:right w:val="none" w:sz="0" w:space="0" w:color="auto"/>
                  </w:divBdr>
                  <w:divsChild>
                    <w:div w:id="893590617">
                      <w:marLeft w:val="0"/>
                      <w:marRight w:val="0"/>
                      <w:marTop w:val="0"/>
                      <w:marBottom w:val="0"/>
                      <w:divBdr>
                        <w:top w:val="none" w:sz="0" w:space="0" w:color="auto"/>
                        <w:left w:val="none" w:sz="0" w:space="0" w:color="auto"/>
                        <w:bottom w:val="none" w:sz="0" w:space="0" w:color="auto"/>
                        <w:right w:val="none" w:sz="0" w:space="0" w:color="auto"/>
                      </w:divBdr>
                    </w:div>
                  </w:divsChild>
                </w:div>
                <w:div w:id="434443894">
                  <w:marLeft w:val="0"/>
                  <w:marRight w:val="0"/>
                  <w:marTop w:val="0"/>
                  <w:marBottom w:val="0"/>
                  <w:divBdr>
                    <w:top w:val="none" w:sz="0" w:space="0" w:color="auto"/>
                    <w:left w:val="none" w:sz="0" w:space="0" w:color="auto"/>
                    <w:bottom w:val="none" w:sz="0" w:space="0" w:color="auto"/>
                    <w:right w:val="none" w:sz="0" w:space="0" w:color="auto"/>
                  </w:divBdr>
                  <w:divsChild>
                    <w:div w:id="1528331677">
                      <w:marLeft w:val="0"/>
                      <w:marRight w:val="0"/>
                      <w:marTop w:val="0"/>
                      <w:marBottom w:val="0"/>
                      <w:divBdr>
                        <w:top w:val="none" w:sz="0" w:space="0" w:color="auto"/>
                        <w:left w:val="none" w:sz="0" w:space="0" w:color="auto"/>
                        <w:bottom w:val="none" w:sz="0" w:space="0" w:color="auto"/>
                        <w:right w:val="none" w:sz="0" w:space="0" w:color="auto"/>
                      </w:divBdr>
                    </w:div>
                  </w:divsChild>
                </w:div>
                <w:div w:id="486019422">
                  <w:marLeft w:val="0"/>
                  <w:marRight w:val="0"/>
                  <w:marTop w:val="0"/>
                  <w:marBottom w:val="0"/>
                  <w:divBdr>
                    <w:top w:val="none" w:sz="0" w:space="0" w:color="auto"/>
                    <w:left w:val="none" w:sz="0" w:space="0" w:color="auto"/>
                    <w:bottom w:val="none" w:sz="0" w:space="0" w:color="auto"/>
                    <w:right w:val="none" w:sz="0" w:space="0" w:color="auto"/>
                  </w:divBdr>
                  <w:divsChild>
                    <w:div w:id="679936491">
                      <w:marLeft w:val="0"/>
                      <w:marRight w:val="0"/>
                      <w:marTop w:val="0"/>
                      <w:marBottom w:val="0"/>
                      <w:divBdr>
                        <w:top w:val="none" w:sz="0" w:space="0" w:color="auto"/>
                        <w:left w:val="none" w:sz="0" w:space="0" w:color="auto"/>
                        <w:bottom w:val="none" w:sz="0" w:space="0" w:color="auto"/>
                        <w:right w:val="none" w:sz="0" w:space="0" w:color="auto"/>
                      </w:divBdr>
                    </w:div>
                  </w:divsChild>
                </w:div>
                <w:div w:id="518281917">
                  <w:marLeft w:val="0"/>
                  <w:marRight w:val="0"/>
                  <w:marTop w:val="0"/>
                  <w:marBottom w:val="0"/>
                  <w:divBdr>
                    <w:top w:val="none" w:sz="0" w:space="0" w:color="auto"/>
                    <w:left w:val="none" w:sz="0" w:space="0" w:color="auto"/>
                    <w:bottom w:val="none" w:sz="0" w:space="0" w:color="auto"/>
                    <w:right w:val="none" w:sz="0" w:space="0" w:color="auto"/>
                  </w:divBdr>
                  <w:divsChild>
                    <w:div w:id="827551219">
                      <w:marLeft w:val="0"/>
                      <w:marRight w:val="0"/>
                      <w:marTop w:val="0"/>
                      <w:marBottom w:val="0"/>
                      <w:divBdr>
                        <w:top w:val="none" w:sz="0" w:space="0" w:color="auto"/>
                        <w:left w:val="none" w:sz="0" w:space="0" w:color="auto"/>
                        <w:bottom w:val="none" w:sz="0" w:space="0" w:color="auto"/>
                        <w:right w:val="none" w:sz="0" w:space="0" w:color="auto"/>
                      </w:divBdr>
                    </w:div>
                  </w:divsChild>
                </w:div>
                <w:div w:id="551117376">
                  <w:marLeft w:val="0"/>
                  <w:marRight w:val="0"/>
                  <w:marTop w:val="0"/>
                  <w:marBottom w:val="0"/>
                  <w:divBdr>
                    <w:top w:val="none" w:sz="0" w:space="0" w:color="auto"/>
                    <w:left w:val="none" w:sz="0" w:space="0" w:color="auto"/>
                    <w:bottom w:val="none" w:sz="0" w:space="0" w:color="auto"/>
                    <w:right w:val="none" w:sz="0" w:space="0" w:color="auto"/>
                  </w:divBdr>
                  <w:divsChild>
                    <w:div w:id="1420249908">
                      <w:marLeft w:val="0"/>
                      <w:marRight w:val="0"/>
                      <w:marTop w:val="0"/>
                      <w:marBottom w:val="0"/>
                      <w:divBdr>
                        <w:top w:val="none" w:sz="0" w:space="0" w:color="auto"/>
                        <w:left w:val="none" w:sz="0" w:space="0" w:color="auto"/>
                        <w:bottom w:val="none" w:sz="0" w:space="0" w:color="auto"/>
                        <w:right w:val="none" w:sz="0" w:space="0" w:color="auto"/>
                      </w:divBdr>
                    </w:div>
                  </w:divsChild>
                </w:div>
                <w:div w:id="650250321">
                  <w:marLeft w:val="0"/>
                  <w:marRight w:val="0"/>
                  <w:marTop w:val="0"/>
                  <w:marBottom w:val="0"/>
                  <w:divBdr>
                    <w:top w:val="none" w:sz="0" w:space="0" w:color="auto"/>
                    <w:left w:val="none" w:sz="0" w:space="0" w:color="auto"/>
                    <w:bottom w:val="none" w:sz="0" w:space="0" w:color="auto"/>
                    <w:right w:val="none" w:sz="0" w:space="0" w:color="auto"/>
                  </w:divBdr>
                  <w:divsChild>
                    <w:div w:id="1636567295">
                      <w:marLeft w:val="0"/>
                      <w:marRight w:val="0"/>
                      <w:marTop w:val="0"/>
                      <w:marBottom w:val="0"/>
                      <w:divBdr>
                        <w:top w:val="none" w:sz="0" w:space="0" w:color="auto"/>
                        <w:left w:val="none" w:sz="0" w:space="0" w:color="auto"/>
                        <w:bottom w:val="none" w:sz="0" w:space="0" w:color="auto"/>
                        <w:right w:val="none" w:sz="0" w:space="0" w:color="auto"/>
                      </w:divBdr>
                    </w:div>
                  </w:divsChild>
                </w:div>
                <w:div w:id="681669709">
                  <w:marLeft w:val="0"/>
                  <w:marRight w:val="0"/>
                  <w:marTop w:val="0"/>
                  <w:marBottom w:val="0"/>
                  <w:divBdr>
                    <w:top w:val="none" w:sz="0" w:space="0" w:color="auto"/>
                    <w:left w:val="none" w:sz="0" w:space="0" w:color="auto"/>
                    <w:bottom w:val="none" w:sz="0" w:space="0" w:color="auto"/>
                    <w:right w:val="none" w:sz="0" w:space="0" w:color="auto"/>
                  </w:divBdr>
                  <w:divsChild>
                    <w:div w:id="426659029">
                      <w:marLeft w:val="0"/>
                      <w:marRight w:val="0"/>
                      <w:marTop w:val="0"/>
                      <w:marBottom w:val="0"/>
                      <w:divBdr>
                        <w:top w:val="none" w:sz="0" w:space="0" w:color="auto"/>
                        <w:left w:val="none" w:sz="0" w:space="0" w:color="auto"/>
                        <w:bottom w:val="none" w:sz="0" w:space="0" w:color="auto"/>
                        <w:right w:val="none" w:sz="0" w:space="0" w:color="auto"/>
                      </w:divBdr>
                    </w:div>
                  </w:divsChild>
                </w:div>
                <w:div w:id="873540051">
                  <w:marLeft w:val="0"/>
                  <w:marRight w:val="0"/>
                  <w:marTop w:val="0"/>
                  <w:marBottom w:val="0"/>
                  <w:divBdr>
                    <w:top w:val="none" w:sz="0" w:space="0" w:color="auto"/>
                    <w:left w:val="none" w:sz="0" w:space="0" w:color="auto"/>
                    <w:bottom w:val="none" w:sz="0" w:space="0" w:color="auto"/>
                    <w:right w:val="none" w:sz="0" w:space="0" w:color="auto"/>
                  </w:divBdr>
                  <w:divsChild>
                    <w:div w:id="1738629635">
                      <w:marLeft w:val="0"/>
                      <w:marRight w:val="0"/>
                      <w:marTop w:val="0"/>
                      <w:marBottom w:val="0"/>
                      <w:divBdr>
                        <w:top w:val="none" w:sz="0" w:space="0" w:color="auto"/>
                        <w:left w:val="none" w:sz="0" w:space="0" w:color="auto"/>
                        <w:bottom w:val="none" w:sz="0" w:space="0" w:color="auto"/>
                        <w:right w:val="none" w:sz="0" w:space="0" w:color="auto"/>
                      </w:divBdr>
                    </w:div>
                  </w:divsChild>
                </w:div>
                <w:div w:id="1071150975">
                  <w:marLeft w:val="0"/>
                  <w:marRight w:val="0"/>
                  <w:marTop w:val="0"/>
                  <w:marBottom w:val="0"/>
                  <w:divBdr>
                    <w:top w:val="none" w:sz="0" w:space="0" w:color="auto"/>
                    <w:left w:val="none" w:sz="0" w:space="0" w:color="auto"/>
                    <w:bottom w:val="none" w:sz="0" w:space="0" w:color="auto"/>
                    <w:right w:val="none" w:sz="0" w:space="0" w:color="auto"/>
                  </w:divBdr>
                  <w:divsChild>
                    <w:div w:id="1384215485">
                      <w:marLeft w:val="0"/>
                      <w:marRight w:val="0"/>
                      <w:marTop w:val="0"/>
                      <w:marBottom w:val="0"/>
                      <w:divBdr>
                        <w:top w:val="none" w:sz="0" w:space="0" w:color="auto"/>
                        <w:left w:val="none" w:sz="0" w:space="0" w:color="auto"/>
                        <w:bottom w:val="none" w:sz="0" w:space="0" w:color="auto"/>
                        <w:right w:val="none" w:sz="0" w:space="0" w:color="auto"/>
                      </w:divBdr>
                    </w:div>
                  </w:divsChild>
                </w:div>
                <w:div w:id="1097293542">
                  <w:marLeft w:val="0"/>
                  <w:marRight w:val="0"/>
                  <w:marTop w:val="0"/>
                  <w:marBottom w:val="0"/>
                  <w:divBdr>
                    <w:top w:val="none" w:sz="0" w:space="0" w:color="auto"/>
                    <w:left w:val="none" w:sz="0" w:space="0" w:color="auto"/>
                    <w:bottom w:val="none" w:sz="0" w:space="0" w:color="auto"/>
                    <w:right w:val="none" w:sz="0" w:space="0" w:color="auto"/>
                  </w:divBdr>
                  <w:divsChild>
                    <w:div w:id="451948128">
                      <w:marLeft w:val="0"/>
                      <w:marRight w:val="0"/>
                      <w:marTop w:val="0"/>
                      <w:marBottom w:val="0"/>
                      <w:divBdr>
                        <w:top w:val="none" w:sz="0" w:space="0" w:color="auto"/>
                        <w:left w:val="none" w:sz="0" w:space="0" w:color="auto"/>
                        <w:bottom w:val="none" w:sz="0" w:space="0" w:color="auto"/>
                        <w:right w:val="none" w:sz="0" w:space="0" w:color="auto"/>
                      </w:divBdr>
                    </w:div>
                  </w:divsChild>
                </w:div>
                <w:div w:id="1520773017">
                  <w:marLeft w:val="0"/>
                  <w:marRight w:val="0"/>
                  <w:marTop w:val="0"/>
                  <w:marBottom w:val="0"/>
                  <w:divBdr>
                    <w:top w:val="none" w:sz="0" w:space="0" w:color="auto"/>
                    <w:left w:val="none" w:sz="0" w:space="0" w:color="auto"/>
                    <w:bottom w:val="none" w:sz="0" w:space="0" w:color="auto"/>
                    <w:right w:val="none" w:sz="0" w:space="0" w:color="auto"/>
                  </w:divBdr>
                  <w:divsChild>
                    <w:div w:id="17127002">
                      <w:marLeft w:val="0"/>
                      <w:marRight w:val="0"/>
                      <w:marTop w:val="0"/>
                      <w:marBottom w:val="0"/>
                      <w:divBdr>
                        <w:top w:val="none" w:sz="0" w:space="0" w:color="auto"/>
                        <w:left w:val="none" w:sz="0" w:space="0" w:color="auto"/>
                        <w:bottom w:val="none" w:sz="0" w:space="0" w:color="auto"/>
                        <w:right w:val="none" w:sz="0" w:space="0" w:color="auto"/>
                      </w:divBdr>
                    </w:div>
                  </w:divsChild>
                </w:div>
                <w:div w:id="1534077071">
                  <w:marLeft w:val="0"/>
                  <w:marRight w:val="0"/>
                  <w:marTop w:val="0"/>
                  <w:marBottom w:val="0"/>
                  <w:divBdr>
                    <w:top w:val="none" w:sz="0" w:space="0" w:color="auto"/>
                    <w:left w:val="none" w:sz="0" w:space="0" w:color="auto"/>
                    <w:bottom w:val="none" w:sz="0" w:space="0" w:color="auto"/>
                    <w:right w:val="none" w:sz="0" w:space="0" w:color="auto"/>
                  </w:divBdr>
                  <w:divsChild>
                    <w:div w:id="2035111394">
                      <w:marLeft w:val="0"/>
                      <w:marRight w:val="0"/>
                      <w:marTop w:val="0"/>
                      <w:marBottom w:val="0"/>
                      <w:divBdr>
                        <w:top w:val="none" w:sz="0" w:space="0" w:color="auto"/>
                        <w:left w:val="none" w:sz="0" w:space="0" w:color="auto"/>
                        <w:bottom w:val="none" w:sz="0" w:space="0" w:color="auto"/>
                        <w:right w:val="none" w:sz="0" w:space="0" w:color="auto"/>
                      </w:divBdr>
                    </w:div>
                  </w:divsChild>
                </w:div>
                <w:div w:id="1576427618">
                  <w:marLeft w:val="0"/>
                  <w:marRight w:val="0"/>
                  <w:marTop w:val="0"/>
                  <w:marBottom w:val="0"/>
                  <w:divBdr>
                    <w:top w:val="none" w:sz="0" w:space="0" w:color="auto"/>
                    <w:left w:val="none" w:sz="0" w:space="0" w:color="auto"/>
                    <w:bottom w:val="none" w:sz="0" w:space="0" w:color="auto"/>
                    <w:right w:val="none" w:sz="0" w:space="0" w:color="auto"/>
                  </w:divBdr>
                  <w:divsChild>
                    <w:div w:id="181626209">
                      <w:marLeft w:val="0"/>
                      <w:marRight w:val="0"/>
                      <w:marTop w:val="0"/>
                      <w:marBottom w:val="0"/>
                      <w:divBdr>
                        <w:top w:val="none" w:sz="0" w:space="0" w:color="auto"/>
                        <w:left w:val="none" w:sz="0" w:space="0" w:color="auto"/>
                        <w:bottom w:val="none" w:sz="0" w:space="0" w:color="auto"/>
                        <w:right w:val="none" w:sz="0" w:space="0" w:color="auto"/>
                      </w:divBdr>
                    </w:div>
                  </w:divsChild>
                </w:div>
                <w:div w:id="1583830328">
                  <w:marLeft w:val="0"/>
                  <w:marRight w:val="0"/>
                  <w:marTop w:val="0"/>
                  <w:marBottom w:val="0"/>
                  <w:divBdr>
                    <w:top w:val="none" w:sz="0" w:space="0" w:color="auto"/>
                    <w:left w:val="none" w:sz="0" w:space="0" w:color="auto"/>
                    <w:bottom w:val="none" w:sz="0" w:space="0" w:color="auto"/>
                    <w:right w:val="none" w:sz="0" w:space="0" w:color="auto"/>
                  </w:divBdr>
                  <w:divsChild>
                    <w:div w:id="1229421382">
                      <w:marLeft w:val="0"/>
                      <w:marRight w:val="0"/>
                      <w:marTop w:val="0"/>
                      <w:marBottom w:val="0"/>
                      <w:divBdr>
                        <w:top w:val="none" w:sz="0" w:space="0" w:color="auto"/>
                        <w:left w:val="none" w:sz="0" w:space="0" w:color="auto"/>
                        <w:bottom w:val="none" w:sz="0" w:space="0" w:color="auto"/>
                        <w:right w:val="none" w:sz="0" w:space="0" w:color="auto"/>
                      </w:divBdr>
                    </w:div>
                  </w:divsChild>
                </w:div>
                <w:div w:id="1592815507">
                  <w:marLeft w:val="0"/>
                  <w:marRight w:val="0"/>
                  <w:marTop w:val="0"/>
                  <w:marBottom w:val="0"/>
                  <w:divBdr>
                    <w:top w:val="none" w:sz="0" w:space="0" w:color="auto"/>
                    <w:left w:val="none" w:sz="0" w:space="0" w:color="auto"/>
                    <w:bottom w:val="none" w:sz="0" w:space="0" w:color="auto"/>
                    <w:right w:val="none" w:sz="0" w:space="0" w:color="auto"/>
                  </w:divBdr>
                  <w:divsChild>
                    <w:div w:id="539825586">
                      <w:marLeft w:val="0"/>
                      <w:marRight w:val="0"/>
                      <w:marTop w:val="0"/>
                      <w:marBottom w:val="0"/>
                      <w:divBdr>
                        <w:top w:val="none" w:sz="0" w:space="0" w:color="auto"/>
                        <w:left w:val="none" w:sz="0" w:space="0" w:color="auto"/>
                        <w:bottom w:val="none" w:sz="0" w:space="0" w:color="auto"/>
                        <w:right w:val="none" w:sz="0" w:space="0" w:color="auto"/>
                      </w:divBdr>
                    </w:div>
                  </w:divsChild>
                </w:div>
                <w:div w:id="1673948339">
                  <w:marLeft w:val="0"/>
                  <w:marRight w:val="0"/>
                  <w:marTop w:val="0"/>
                  <w:marBottom w:val="0"/>
                  <w:divBdr>
                    <w:top w:val="none" w:sz="0" w:space="0" w:color="auto"/>
                    <w:left w:val="none" w:sz="0" w:space="0" w:color="auto"/>
                    <w:bottom w:val="none" w:sz="0" w:space="0" w:color="auto"/>
                    <w:right w:val="none" w:sz="0" w:space="0" w:color="auto"/>
                  </w:divBdr>
                  <w:divsChild>
                    <w:div w:id="680159732">
                      <w:marLeft w:val="0"/>
                      <w:marRight w:val="0"/>
                      <w:marTop w:val="0"/>
                      <w:marBottom w:val="0"/>
                      <w:divBdr>
                        <w:top w:val="none" w:sz="0" w:space="0" w:color="auto"/>
                        <w:left w:val="none" w:sz="0" w:space="0" w:color="auto"/>
                        <w:bottom w:val="none" w:sz="0" w:space="0" w:color="auto"/>
                        <w:right w:val="none" w:sz="0" w:space="0" w:color="auto"/>
                      </w:divBdr>
                    </w:div>
                  </w:divsChild>
                </w:div>
                <w:div w:id="1767723326">
                  <w:marLeft w:val="0"/>
                  <w:marRight w:val="0"/>
                  <w:marTop w:val="0"/>
                  <w:marBottom w:val="0"/>
                  <w:divBdr>
                    <w:top w:val="none" w:sz="0" w:space="0" w:color="auto"/>
                    <w:left w:val="none" w:sz="0" w:space="0" w:color="auto"/>
                    <w:bottom w:val="none" w:sz="0" w:space="0" w:color="auto"/>
                    <w:right w:val="none" w:sz="0" w:space="0" w:color="auto"/>
                  </w:divBdr>
                  <w:divsChild>
                    <w:div w:id="818763945">
                      <w:marLeft w:val="0"/>
                      <w:marRight w:val="0"/>
                      <w:marTop w:val="0"/>
                      <w:marBottom w:val="0"/>
                      <w:divBdr>
                        <w:top w:val="none" w:sz="0" w:space="0" w:color="auto"/>
                        <w:left w:val="none" w:sz="0" w:space="0" w:color="auto"/>
                        <w:bottom w:val="none" w:sz="0" w:space="0" w:color="auto"/>
                        <w:right w:val="none" w:sz="0" w:space="0" w:color="auto"/>
                      </w:divBdr>
                    </w:div>
                  </w:divsChild>
                </w:div>
                <w:div w:id="1849710642">
                  <w:marLeft w:val="0"/>
                  <w:marRight w:val="0"/>
                  <w:marTop w:val="0"/>
                  <w:marBottom w:val="0"/>
                  <w:divBdr>
                    <w:top w:val="none" w:sz="0" w:space="0" w:color="auto"/>
                    <w:left w:val="none" w:sz="0" w:space="0" w:color="auto"/>
                    <w:bottom w:val="none" w:sz="0" w:space="0" w:color="auto"/>
                    <w:right w:val="none" w:sz="0" w:space="0" w:color="auto"/>
                  </w:divBdr>
                  <w:divsChild>
                    <w:div w:id="1043797110">
                      <w:marLeft w:val="0"/>
                      <w:marRight w:val="0"/>
                      <w:marTop w:val="0"/>
                      <w:marBottom w:val="0"/>
                      <w:divBdr>
                        <w:top w:val="none" w:sz="0" w:space="0" w:color="auto"/>
                        <w:left w:val="none" w:sz="0" w:space="0" w:color="auto"/>
                        <w:bottom w:val="none" w:sz="0" w:space="0" w:color="auto"/>
                        <w:right w:val="none" w:sz="0" w:space="0" w:color="auto"/>
                      </w:divBdr>
                    </w:div>
                  </w:divsChild>
                </w:div>
                <w:div w:id="1987582574">
                  <w:marLeft w:val="0"/>
                  <w:marRight w:val="0"/>
                  <w:marTop w:val="0"/>
                  <w:marBottom w:val="0"/>
                  <w:divBdr>
                    <w:top w:val="none" w:sz="0" w:space="0" w:color="auto"/>
                    <w:left w:val="none" w:sz="0" w:space="0" w:color="auto"/>
                    <w:bottom w:val="none" w:sz="0" w:space="0" w:color="auto"/>
                    <w:right w:val="none" w:sz="0" w:space="0" w:color="auto"/>
                  </w:divBdr>
                  <w:divsChild>
                    <w:div w:id="676201509">
                      <w:marLeft w:val="0"/>
                      <w:marRight w:val="0"/>
                      <w:marTop w:val="0"/>
                      <w:marBottom w:val="0"/>
                      <w:divBdr>
                        <w:top w:val="none" w:sz="0" w:space="0" w:color="auto"/>
                        <w:left w:val="none" w:sz="0" w:space="0" w:color="auto"/>
                        <w:bottom w:val="none" w:sz="0" w:space="0" w:color="auto"/>
                        <w:right w:val="none" w:sz="0" w:space="0" w:color="auto"/>
                      </w:divBdr>
                    </w:div>
                  </w:divsChild>
                </w:div>
                <w:div w:id="2065330098">
                  <w:marLeft w:val="0"/>
                  <w:marRight w:val="0"/>
                  <w:marTop w:val="0"/>
                  <w:marBottom w:val="0"/>
                  <w:divBdr>
                    <w:top w:val="none" w:sz="0" w:space="0" w:color="auto"/>
                    <w:left w:val="none" w:sz="0" w:space="0" w:color="auto"/>
                    <w:bottom w:val="none" w:sz="0" w:space="0" w:color="auto"/>
                    <w:right w:val="none" w:sz="0" w:space="0" w:color="auto"/>
                  </w:divBdr>
                  <w:divsChild>
                    <w:div w:id="112342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149886">
          <w:marLeft w:val="0"/>
          <w:marRight w:val="0"/>
          <w:marTop w:val="0"/>
          <w:marBottom w:val="0"/>
          <w:divBdr>
            <w:top w:val="none" w:sz="0" w:space="0" w:color="auto"/>
            <w:left w:val="none" w:sz="0" w:space="0" w:color="auto"/>
            <w:bottom w:val="none" w:sz="0" w:space="0" w:color="auto"/>
            <w:right w:val="none" w:sz="0" w:space="0" w:color="auto"/>
          </w:divBdr>
        </w:div>
      </w:divsChild>
    </w:div>
    <w:div w:id="574435822">
      <w:bodyDiv w:val="1"/>
      <w:marLeft w:val="0"/>
      <w:marRight w:val="0"/>
      <w:marTop w:val="0"/>
      <w:marBottom w:val="0"/>
      <w:divBdr>
        <w:top w:val="none" w:sz="0" w:space="0" w:color="auto"/>
        <w:left w:val="none" w:sz="0" w:space="0" w:color="auto"/>
        <w:bottom w:val="none" w:sz="0" w:space="0" w:color="auto"/>
        <w:right w:val="none" w:sz="0" w:space="0" w:color="auto"/>
      </w:divBdr>
    </w:div>
    <w:div w:id="655492480">
      <w:bodyDiv w:val="1"/>
      <w:marLeft w:val="0"/>
      <w:marRight w:val="0"/>
      <w:marTop w:val="0"/>
      <w:marBottom w:val="0"/>
      <w:divBdr>
        <w:top w:val="none" w:sz="0" w:space="0" w:color="auto"/>
        <w:left w:val="none" w:sz="0" w:space="0" w:color="auto"/>
        <w:bottom w:val="none" w:sz="0" w:space="0" w:color="auto"/>
        <w:right w:val="none" w:sz="0" w:space="0" w:color="auto"/>
      </w:divBdr>
      <w:divsChild>
        <w:div w:id="780415216">
          <w:marLeft w:val="0"/>
          <w:marRight w:val="0"/>
          <w:marTop w:val="0"/>
          <w:marBottom w:val="0"/>
          <w:divBdr>
            <w:top w:val="none" w:sz="0" w:space="0" w:color="auto"/>
            <w:left w:val="none" w:sz="0" w:space="0" w:color="auto"/>
            <w:bottom w:val="none" w:sz="0" w:space="0" w:color="auto"/>
            <w:right w:val="none" w:sz="0" w:space="0" w:color="auto"/>
          </w:divBdr>
        </w:div>
        <w:div w:id="1818066290">
          <w:marLeft w:val="0"/>
          <w:marRight w:val="0"/>
          <w:marTop w:val="0"/>
          <w:marBottom w:val="0"/>
          <w:divBdr>
            <w:top w:val="none" w:sz="0" w:space="0" w:color="auto"/>
            <w:left w:val="none" w:sz="0" w:space="0" w:color="auto"/>
            <w:bottom w:val="none" w:sz="0" w:space="0" w:color="auto"/>
            <w:right w:val="none" w:sz="0" w:space="0" w:color="auto"/>
          </w:divBdr>
        </w:div>
      </w:divsChild>
    </w:div>
    <w:div w:id="711727456">
      <w:bodyDiv w:val="1"/>
      <w:marLeft w:val="0"/>
      <w:marRight w:val="0"/>
      <w:marTop w:val="0"/>
      <w:marBottom w:val="0"/>
      <w:divBdr>
        <w:top w:val="none" w:sz="0" w:space="0" w:color="auto"/>
        <w:left w:val="none" w:sz="0" w:space="0" w:color="auto"/>
        <w:bottom w:val="none" w:sz="0" w:space="0" w:color="auto"/>
        <w:right w:val="none" w:sz="0" w:space="0" w:color="auto"/>
      </w:divBdr>
    </w:div>
    <w:div w:id="742415736">
      <w:bodyDiv w:val="1"/>
      <w:marLeft w:val="0"/>
      <w:marRight w:val="0"/>
      <w:marTop w:val="0"/>
      <w:marBottom w:val="0"/>
      <w:divBdr>
        <w:top w:val="none" w:sz="0" w:space="0" w:color="auto"/>
        <w:left w:val="none" w:sz="0" w:space="0" w:color="auto"/>
        <w:bottom w:val="none" w:sz="0" w:space="0" w:color="auto"/>
        <w:right w:val="none" w:sz="0" w:space="0" w:color="auto"/>
      </w:divBdr>
      <w:divsChild>
        <w:div w:id="151801304">
          <w:marLeft w:val="0"/>
          <w:marRight w:val="0"/>
          <w:marTop w:val="0"/>
          <w:marBottom w:val="0"/>
          <w:divBdr>
            <w:top w:val="none" w:sz="0" w:space="0" w:color="auto"/>
            <w:left w:val="none" w:sz="0" w:space="0" w:color="auto"/>
            <w:bottom w:val="none" w:sz="0" w:space="0" w:color="auto"/>
            <w:right w:val="none" w:sz="0" w:space="0" w:color="auto"/>
          </w:divBdr>
        </w:div>
        <w:div w:id="463425821">
          <w:marLeft w:val="0"/>
          <w:marRight w:val="0"/>
          <w:marTop w:val="0"/>
          <w:marBottom w:val="0"/>
          <w:divBdr>
            <w:top w:val="none" w:sz="0" w:space="0" w:color="auto"/>
            <w:left w:val="none" w:sz="0" w:space="0" w:color="auto"/>
            <w:bottom w:val="none" w:sz="0" w:space="0" w:color="auto"/>
            <w:right w:val="none" w:sz="0" w:space="0" w:color="auto"/>
          </w:divBdr>
          <w:divsChild>
            <w:div w:id="78865566">
              <w:marLeft w:val="-75"/>
              <w:marRight w:val="0"/>
              <w:marTop w:val="30"/>
              <w:marBottom w:val="30"/>
              <w:divBdr>
                <w:top w:val="none" w:sz="0" w:space="0" w:color="auto"/>
                <w:left w:val="none" w:sz="0" w:space="0" w:color="auto"/>
                <w:bottom w:val="none" w:sz="0" w:space="0" w:color="auto"/>
                <w:right w:val="none" w:sz="0" w:space="0" w:color="auto"/>
              </w:divBdr>
              <w:divsChild>
                <w:div w:id="468472977">
                  <w:marLeft w:val="0"/>
                  <w:marRight w:val="0"/>
                  <w:marTop w:val="0"/>
                  <w:marBottom w:val="0"/>
                  <w:divBdr>
                    <w:top w:val="none" w:sz="0" w:space="0" w:color="auto"/>
                    <w:left w:val="none" w:sz="0" w:space="0" w:color="auto"/>
                    <w:bottom w:val="none" w:sz="0" w:space="0" w:color="auto"/>
                    <w:right w:val="none" w:sz="0" w:space="0" w:color="auto"/>
                  </w:divBdr>
                  <w:divsChild>
                    <w:div w:id="1951817919">
                      <w:marLeft w:val="0"/>
                      <w:marRight w:val="0"/>
                      <w:marTop w:val="0"/>
                      <w:marBottom w:val="0"/>
                      <w:divBdr>
                        <w:top w:val="none" w:sz="0" w:space="0" w:color="auto"/>
                        <w:left w:val="none" w:sz="0" w:space="0" w:color="auto"/>
                        <w:bottom w:val="none" w:sz="0" w:space="0" w:color="auto"/>
                        <w:right w:val="none" w:sz="0" w:space="0" w:color="auto"/>
                      </w:divBdr>
                    </w:div>
                  </w:divsChild>
                </w:div>
                <w:div w:id="479658121">
                  <w:marLeft w:val="0"/>
                  <w:marRight w:val="0"/>
                  <w:marTop w:val="0"/>
                  <w:marBottom w:val="0"/>
                  <w:divBdr>
                    <w:top w:val="none" w:sz="0" w:space="0" w:color="auto"/>
                    <w:left w:val="none" w:sz="0" w:space="0" w:color="auto"/>
                    <w:bottom w:val="none" w:sz="0" w:space="0" w:color="auto"/>
                    <w:right w:val="none" w:sz="0" w:space="0" w:color="auto"/>
                  </w:divBdr>
                  <w:divsChild>
                    <w:div w:id="175579616">
                      <w:marLeft w:val="0"/>
                      <w:marRight w:val="0"/>
                      <w:marTop w:val="0"/>
                      <w:marBottom w:val="0"/>
                      <w:divBdr>
                        <w:top w:val="none" w:sz="0" w:space="0" w:color="auto"/>
                        <w:left w:val="none" w:sz="0" w:space="0" w:color="auto"/>
                        <w:bottom w:val="none" w:sz="0" w:space="0" w:color="auto"/>
                        <w:right w:val="none" w:sz="0" w:space="0" w:color="auto"/>
                      </w:divBdr>
                    </w:div>
                  </w:divsChild>
                </w:div>
                <w:div w:id="623652960">
                  <w:marLeft w:val="0"/>
                  <w:marRight w:val="0"/>
                  <w:marTop w:val="0"/>
                  <w:marBottom w:val="0"/>
                  <w:divBdr>
                    <w:top w:val="none" w:sz="0" w:space="0" w:color="auto"/>
                    <w:left w:val="none" w:sz="0" w:space="0" w:color="auto"/>
                    <w:bottom w:val="none" w:sz="0" w:space="0" w:color="auto"/>
                    <w:right w:val="none" w:sz="0" w:space="0" w:color="auto"/>
                  </w:divBdr>
                  <w:divsChild>
                    <w:div w:id="1929802771">
                      <w:marLeft w:val="0"/>
                      <w:marRight w:val="0"/>
                      <w:marTop w:val="0"/>
                      <w:marBottom w:val="0"/>
                      <w:divBdr>
                        <w:top w:val="none" w:sz="0" w:space="0" w:color="auto"/>
                        <w:left w:val="none" w:sz="0" w:space="0" w:color="auto"/>
                        <w:bottom w:val="none" w:sz="0" w:space="0" w:color="auto"/>
                        <w:right w:val="none" w:sz="0" w:space="0" w:color="auto"/>
                      </w:divBdr>
                    </w:div>
                  </w:divsChild>
                </w:div>
                <w:div w:id="1040780990">
                  <w:marLeft w:val="0"/>
                  <w:marRight w:val="0"/>
                  <w:marTop w:val="0"/>
                  <w:marBottom w:val="0"/>
                  <w:divBdr>
                    <w:top w:val="none" w:sz="0" w:space="0" w:color="auto"/>
                    <w:left w:val="none" w:sz="0" w:space="0" w:color="auto"/>
                    <w:bottom w:val="none" w:sz="0" w:space="0" w:color="auto"/>
                    <w:right w:val="none" w:sz="0" w:space="0" w:color="auto"/>
                  </w:divBdr>
                  <w:divsChild>
                    <w:div w:id="1354458928">
                      <w:marLeft w:val="0"/>
                      <w:marRight w:val="0"/>
                      <w:marTop w:val="0"/>
                      <w:marBottom w:val="0"/>
                      <w:divBdr>
                        <w:top w:val="none" w:sz="0" w:space="0" w:color="auto"/>
                        <w:left w:val="none" w:sz="0" w:space="0" w:color="auto"/>
                        <w:bottom w:val="none" w:sz="0" w:space="0" w:color="auto"/>
                        <w:right w:val="none" w:sz="0" w:space="0" w:color="auto"/>
                      </w:divBdr>
                    </w:div>
                  </w:divsChild>
                </w:div>
                <w:div w:id="1083145341">
                  <w:marLeft w:val="0"/>
                  <w:marRight w:val="0"/>
                  <w:marTop w:val="0"/>
                  <w:marBottom w:val="0"/>
                  <w:divBdr>
                    <w:top w:val="none" w:sz="0" w:space="0" w:color="auto"/>
                    <w:left w:val="none" w:sz="0" w:space="0" w:color="auto"/>
                    <w:bottom w:val="none" w:sz="0" w:space="0" w:color="auto"/>
                    <w:right w:val="none" w:sz="0" w:space="0" w:color="auto"/>
                  </w:divBdr>
                  <w:divsChild>
                    <w:div w:id="503979896">
                      <w:marLeft w:val="0"/>
                      <w:marRight w:val="0"/>
                      <w:marTop w:val="0"/>
                      <w:marBottom w:val="0"/>
                      <w:divBdr>
                        <w:top w:val="none" w:sz="0" w:space="0" w:color="auto"/>
                        <w:left w:val="none" w:sz="0" w:space="0" w:color="auto"/>
                        <w:bottom w:val="none" w:sz="0" w:space="0" w:color="auto"/>
                        <w:right w:val="none" w:sz="0" w:space="0" w:color="auto"/>
                      </w:divBdr>
                    </w:div>
                  </w:divsChild>
                </w:div>
                <w:div w:id="1210146524">
                  <w:marLeft w:val="0"/>
                  <w:marRight w:val="0"/>
                  <w:marTop w:val="0"/>
                  <w:marBottom w:val="0"/>
                  <w:divBdr>
                    <w:top w:val="none" w:sz="0" w:space="0" w:color="auto"/>
                    <w:left w:val="none" w:sz="0" w:space="0" w:color="auto"/>
                    <w:bottom w:val="none" w:sz="0" w:space="0" w:color="auto"/>
                    <w:right w:val="none" w:sz="0" w:space="0" w:color="auto"/>
                  </w:divBdr>
                  <w:divsChild>
                    <w:div w:id="2030714232">
                      <w:marLeft w:val="0"/>
                      <w:marRight w:val="0"/>
                      <w:marTop w:val="0"/>
                      <w:marBottom w:val="0"/>
                      <w:divBdr>
                        <w:top w:val="none" w:sz="0" w:space="0" w:color="auto"/>
                        <w:left w:val="none" w:sz="0" w:space="0" w:color="auto"/>
                        <w:bottom w:val="none" w:sz="0" w:space="0" w:color="auto"/>
                        <w:right w:val="none" w:sz="0" w:space="0" w:color="auto"/>
                      </w:divBdr>
                    </w:div>
                  </w:divsChild>
                </w:div>
                <w:div w:id="1226912320">
                  <w:marLeft w:val="0"/>
                  <w:marRight w:val="0"/>
                  <w:marTop w:val="0"/>
                  <w:marBottom w:val="0"/>
                  <w:divBdr>
                    <w:top w:val="none" w:sz="0" w:space="0" w:color="auto"/>
                    <w:left w:val="none" w:sz="0" w:space="0" w:color="auto"/>
                    <w:bottom w:val="none" w:sz="0" w:space="0" w:color="auto"/>
                    <w:right w:val="none" w:sz="0" w:space="0" w:color="auto"/>
                  </w:divBdr>
                  <w:divsChild>
                    <w:div w:id="153424022">
                      <w:marLeft w:val="0"/>
                      <w:marRight w:val="0"/>
                      <w:marTop w:val="0"/>
                      <w:marBottom w:val="0"/>
                      <w:divBdr>
                        <w:top w:val="none" w:sz="0" w:space="0" w:color="auto"/>
                        <w:left w:val="none" w:sz="0" w:space="0" w:color="auto"/>
                        <w:bottom w:val="none" w:sz="0" w:space="0" w:color="auto"/>
                        <w:right w:val="none" w:sz="0" w:space="0" w:color="auto"/>
                      </w:divBdr>
                    </w:div>
                  </w:divsChild>
                </w:div>
                <w:div w:id="1540773861">
                  <w:marLeft w:val="0"/>
                  <w:marRight w:val="0"/>
                  <w:marTop w:val="0"/>
                  <w:marBottom w:val="0"/>
                  <w:divBdr>
                    <w:top w:val="none" w:sz="0" w:space="0" w:color="auto"/>
                    <w:left w:val="none" w:sz="0" w:space="0" w:color="auto"/>
                    <w:bottom w:val="none" w:sz="0" w:space="0" w:color="auto"/>
                    <w:right w:val="none" w:sz="0" w:space="0" w:color="auto"/>
                  </w:divBdr>
                  <w:divsChild>
                    <w:div w:id="1781097194">
                      <w:marLeft w:val="0"/>
                      <w:marRight w:val="0"/>
                      <w:marTop w:val="0"/>
                      <w:marBottom w:val="0"/>
                      <w:divBdr>
                        <w:top w:val="none" w:sz="0" w:space="0" w:color="auto"/>
                        <w:left w:val="none" w:sz="0" w:space="0" w:color="auto"/>
                        <w:bottom w:val="none" w:sz="0" w:space="0" w:color="auto"/>
                        <w:right w:val="none" w:sz="0" w:space="0" w:color="auto"/>
                      </w:divBdr>
                    </w:div>
                  </w:divsChild>
                </w:div>
                <w:div w:id="1579828021">
                  <w:marLeft w:val="0"/>
                  <w:marRight w:val="0"/>
                  <w:marTop w:val="0"/>
                  <w:marBottom w:val="0"/>
                  <w:divBdr>
                    <w:top w:val="none" w:sz="0" w:space="0" w:color="auto"/>
                    <w:left w:val="none" w:sz="0" w:space="0" w:color="auto"/>
                    <w:bottom w:val="none" w:sz="0" w:space="0" w:color="auto"/>
                    <w:right w:val="none" w:sz="0" w:space="0" w:color="auto"/>
                  </w:divBdr>
                  <w:divsChild>
                    <w:div w:id="12925471">
                      <w:marLeft w:val="0"/>
                      <w:marRight w:val="0"/>
                      <w:marTop w:val="0"/>
                      <w:marBottom w:val="0"/>
                      <w:divBdr>
                        <w:top w:val="none" w:sz="0" w:space="0" w:color="auto"/>
                        <w:left w:val="none" w:sz="0" w:space="0" w:color="auto"/>
                        <w:bottom w:val="none" w:sz="0" w:space="0" w:color="auto"/>
                        <w:right w:val="none" w:sz="0" w:space="0" w:color="auto"/>
                      </w:divBdr>
                    </w:div>
                  </w:divsChild>
                </w:div>
                <w:div w:id="1824539419">
                  <w:marLeft w:val="0"/>
                  <w:marRight w:val="0"/>
                  <w:marTop w:val="0"/>
                  <w:marBottom w:val="0"/>
                  <w:divBdr>
                    <w:top w:val="none" w:sz="0" w:space="0" w:color="auto"/>
                    <w:left w:val="none" w:sz="0" w:space="0" w:color="auto"/>
                    <w:bottom w:val="none" w:sz="0" w:space="0" w:color="auto"/>
                    <w:right w:val="none" w:sz="0" w:space="0" w:color="auto"/>
                  </w:divBdr>
                  <w:divsChild>
                    <w:div w:id="1677538137">
                      <w:marLeft w:val="0"/>
                      <w:marRight w:val="0"/>
                      <w:marTop w:val="0"/>
                      <w:marBottom w:val="0"/>
                      <w:divBdr>
                        <w:top w:val="none" w:sz="0" w:space="0" w:color="auto"/>
                        <w:left w:val="none" w:sz="0" w:space="0" w:color="auto"/>
                        <w:bottom w:val="none" w:sz="0" w:space="0" w:color="auto"/>
                        <w:right w:val="none" w:sz="0" w:space="0" w:color="auto"/>
                      </w:divBdr>
                    </w:div>
                  </w:divsChild>
                </w:div>
                <w:div w:id="1904441415">
                  <w:marLeft w:val="0"/>
                  <w:marRight w:val="0"/>
                  <w:marTop w:val="0"/>
                  <w:marBottom w:val="0"/>
                  <w:divBdr>
                    <w:top w:val="none" w:sz="0" w:space="0" w:color="auto"/>
                    <w:left w:val="none" w:sz="0" w:space="0" w:color="auto"/>
                    <w:bottom w:val="none" w:sz="0" w:space="0" w:color="auto"/>
                    <w:right w:val="none" w:sz="0" w:space="0" w:color="auto"/>
                  </w:divBdr>
                  <w:divsChild>
                    <w:div w:id="27610951">
                      <w:marLeft w:val="0"/>
                      <w:marRight w:val="0"/>
                      <w:marTop w:val="0"/>
                      <w:marBottom w:val="0"/>
                      <w:divBdr>
                        <w:top w:val="none" w:sz="0" w:space="0" w:color="auto"/>
                        <w:left w:val="none" w:sz="0" w:space="0" w:color="auto"/>
                        <w:bottom w:val="none" w:sz="0" w:space="0" w:color="auto"/>
                        <w:right w:val="none" w:sz="0" w:space="0" w:color="auto"/>
                      </w:divBdr>
                    </w:div>
                  </w:divsChild>
                </w:div>
                <w:div w:id="2015716029">
                  <w:marLeft w:val="0"/>
                  <w:marRight w:val="0"/>
                  <w:marTop w:val="0"/>
                  <w:marBottom w:val="0"/>
                  <w:divBdr>
                    <w:top w:val="none" w:sz="0" w:space="0" w:color="auto"/>
                    <w:left w:val="none" w:sz="0" w:space="0" w:color="auto"/>
                    <w:bottom w:val="none" w:sz="0" w:space="0" w:color="auto"/>
                    <w:right w:val="none" w:sz="0" w:space="0" w:color="auto"/>
                  </w:divBdr>
                  <w:divsChild>
                    <w:div w:id="1341664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76829">
          <w:marLeft w:val="0"/>
          <w:marRight w:val="0"/>
          <w:marTop w:val="0"/>
          <w:marBottom w:val="0"/>
          <w:divBdr>
            <w:top w:val="none" w:sz="0" w:space="0" w:color="auto"/>
            <w:left w:val="none" w:sz="0" w:space="0" w:color="auto"/>
            <w:bottom w:val="none" w:sz="0" w:space="0" w:color="auto"/>
            <w:right w:val="none" w:sz="0" w:space="0" w:color="auto"/>
          </w:divBdr>
        </w:div>
        <w:div w:id="1640064859">
          <w:marLeft w:val="0"/>
          <w:marRight w:val="0"/>
          <w:marTop w:val="0"/>
          <w:marBottom w:val="0"/>
          <w:divBdr>
            <w:top w:val="none" w:sz="0" w:space="0" w:color="auto"/>
            <w:left w:val="none" w:sz="0" w:space="0" w:color="auto"/>
            <w:bottom w:val="none" w:sz="0" w:space="0" w:color="auto"/>
            <w:right w:val="none" w:sz="0" w:space="0" w:color="auto"/>
          </w:divBdr>
        </w:div>
        <w:div w:id="1958176533">
          <w:marLeft w:val="0"/>
          <w:marRight w:val="0"/>
          <w:marTop w:val="0"/>
          <w:marBottom w:val="0"/>
          <w:divBdr>
            <w:top w:val="none" w:sz="0" w:space="0" w:color="auto"/>
            <w:left w:val="none" w:sz="0" w:space="0" w:color="auto"/>
            <w:bottom w:val="none" w:sz="0" w:space="0" w:color="auto"/>
            <w:right w:val="none" w:sz="0" w:space="0" w:color="auto"/>
          </w:divBdr>
        </w:div>
      </w:divsChild>
    </w:div>
    <w:div w:id="746808425">
      <w:bodyDiv w:val="1"/>
      <w:marLeft w:val="0"/>
      <w:marRight w:val="0"/>
      <w:marTop w:val="0"/>
      <w:marBottom w:val="0"/>
      <w:divBdr>
        <w:top w:val="none" w:sz="0" w:space="0" w:color="auto"/>
        <w:left w:val="none" w:sz="0" w:space="0" w:color="auto"/>
        <w:bottom w:val="none" w:sz="0" w:space="0" w:color="auto"/>
        <w:right w:val="none" w:sz="0" w:space="0" w:color="auto"/>
      </w:divBdr>
      <w:divsChild>
        <w:div w:id="272634405">
          <w:marLeft w:val="0"/>
          <w:marRight w:val="0"/>
          <w:marTop w:val="0"/>
          <w:marBottom w:val="0"/>
          <w:divBdr>
            <w:top w:val="none" w:sz="0" w:space="0" w:color="auto"/>
            <w:left w:val="none" w:sz="0" w:space="0" w:color="auto"/>
            <w:bottom w:val="none" w:sz="0" w:space="0" w:color="auto"/>
            <w:right w:val="none" w:sz="0" w:space="0" w:color="auto"/>
          </w:divBdr>
        </w:div>
        <w:div w:id="740561177">
          <w:marLeft w:val="0"/>
          <w:marRight w:val="0"/>
          <w:marTop w:val="0"/>
          <w:marBottom w:val="0"/>
          <w:divBdr>
            <w:top w:val="none" w:sz="0" w:space="0" w:color="auto"/>
            <w:left w:val="none" w:sz="0" w:space="0" w:color="auto"/>
            <w:bottom w:val="none" w:sz="0" w:space="0" w:color="auto"/>
            <w:right w:val="none" w:sz="0" w:space="0" w:color="auto"/>
          </w:divBdr>
        </w:div>
        <w:div w:id="936521659">
          <w:marLeft w:val="0"/>
          <w:marRight w:val="0"/>
          <w:marTop w:val="0"/>
          <w:marBottom w:val="0"/>
          <w:divBdr>
            <w:top w:val="none" w:sz="0" w:space="0" w:color="auto"/>
            <w:left w:val="none" w:sz="0" w:space="0" w:color="auto"/>
            <w:bottom w:val="none" w:sz="0" w:space="0" w:color="auto"/>
            <w:right w:val="none" w:sz="0" w:space="0" w:color="auto"/>
          </w:divBdr>
        </w:div>
      </w:divsChild>
    </w:div>
    <w:div w:id="827407786">
      <w:bodyDiv w:val="1"/>
      <w:marLeft w:val="0"/>
      <w:marRight w:val="0"/>
      <w:marTop w:val="0"/>
      <w:marBottom w:val="0"/>
      <w:divBdr>
        <w:top w:val="none" w:sz="0" w:space="0" w:color="auto"/>
        <w:left w:val="none" w:sz="0" w:space="0" w:color="auto"/>
        <w:bottom w:val="none" w:sz="0" w:space="0" w:color="auto"/>
        <w:right w:val="none" w:sz="0" w:space="0" w:color="auto"/>
      </w:divBdr>
      <w:divsChild>
        <w:div w:id="6295424">
          <w:marLeft w:val="0"/>
          <w:marRight w:val="0"/>
          <w:marTop w:val="0"/>
          <w:marBottom w:val="0"/>
          <w:divBdr>
            <w:top w:val="none" w:sz="0" w:space="0" w:color="auto"/>
            <w:left w:val="none" w:sz="0" w:space="0" w:color="auto"/>
            <w:bottom w:val="none" w:sz="0" w:space="0" w:color="auto"/>
            <w:right w:val="none" w:sz="0" w:space="0" w:color="auto"/>
          </w:divBdr>
        </w:div>
        <w:div w:id="11031899">
          <w:marLeft w:val="0"/>
          <w:marRight w:val="0"/>
          <w:marTop w:val="0"/>
          <w:marBottom w:val="0"/>
          <w:divBdr>
            <w:top w:val="none" w:sz="0" w:space="0" w:color="auto"/>
            <w:left w:val="none" w:sz="0" w:space="0" w:color="auto"/>
            <w:bottom w:val="none" w:sz="0" w:space="0" w:color="auto"/>
            <w:right w:val="none" w:sz="0" w:space="0" w:color="auto"/>
          </w:divBdr>
        </w:div>
        <w:div w:id="21900316">
          <w:marLeft w:val="0"/>
          <w:marRight w:val="0"/>
          <w:marTop w:val="0"/>
          <w:marBottom w:val="0"/>
          <w:divBdr>
            <w:top w:val="none" w:sz="0" w:space="0" w:color="auto"/>
            <w:left w:val="none" w:sz="0" w:space="0" w:color="auto"/>
            <w:bottom w:val="none" w:sz="0" w:space="0" w:color="auto"/>
            <w:right w:val="none" w:sz="0" w:space="0" w:color="auto"/>
          </w:divBdr>
        </w:div>
        <w:div w:id="71782822">
          <w:marLeft w:val="0"/>
          <w:marRight w:val="0"/>
          <w:marTop w:val="0"/>
          <w:marBottom w:val="0"/>
          <w:divBdr>
            <w:top w:val="none" w:sz="0" w:space="0" w:color="auto"/>
            <w:left w:val="none" w:sz="0" w:space="0" w:color="auto"/>
            <w:bottom w:val="none" w:sz="0" w:space="0" w:color="auto"/>
            <w:right w:val="none" w:sz="0" w:space="0" w:color="auto"/>
          </w:divBdr>
        </w:div>
        <w:div w:id="95683942">
          <w:marLeft w:val="0"/>
          <w:marRight w:val="0"/>
          <w:marTop w:val="0"/>
          <w:marBottom w:val="0"/>
          <w:divBdr>
            <w:top w:val="none" w:sz="0" w:space="0" w:color="auto"/>
            <w:left w:val="none" w:sz="0" w:space="0" w:color="auto"/>
            <w:bottom w:val="none" w:sz="0" w:space="0" w:color="auto"/>
            <w:right w:val="none" w:sz="0" w:space="0" w:color="auto"/>
          </w:divBdr>
        </w:div>
        <w:div w:id="107895982">
          <w:marLeft w:val="0"/>
          <w:marRight w:val="0"/>
          <w:marTop w:val="0"/>
          <w:marBottom w:val="0"/>
          <w:divBdr>
            <w:top w:val="none" w:sz="0" w:space="0" w:color="auto"/>
            <w:left w:val="none" w:sz="0" w:space="0" w:color="auto"/>
            <w:bottom w:val="none" w:sz="0" w:space="0" w:color="auto"/>
            <w:right w:val="none" w:sz="0" w:space="0" w:color="auto"/>
          </w:divBdr>
          <w:divsChild>
            <w:div w:id="214855651">
              <w:marLeft w:val="-75"/>
              <w:marRight w:val="0"/>
              <w:marTop w:val="30"/>
              <w:marBottom w:val="30"/>
              <w:divBdr>
                <w:top w:val="none" w:sz="0" w:space="0" w:color="auto"/>
                <w:left w:val="none" w:sz="0" w:space="0" w:color="auto"/>
                <w:bottom w:val="none" w:sz="0" w:space="0" w:color="auto"/>
                <w:right w:val="none" w:sz="0" w:space="0" w:color="auto"/>
              </w:divBdr>
              <w:divsChild>
                <w:div w:id="21444399">
                  <w:marLeft w:val="0"/>
                  <w:marRight w:val="0"/>
                  <w:marTop w:val="0"/>
                  <w:marBottom w:val="0"/>
                  <w:divBdr>
                    <w:top w:val="none" w:sz="0" w:space="0" w:color="auto"/>
                    <w:left w:val="none" w:sz="0" w:space="0" w:color="auto"/>
                    <w:bottom w:val="none" w:sz="0" w:space="0" w:color="auto"/>
                    <w:right w:val="none" w:sz="0" w:space="0" w:color="auto"/>
                  </w:divBdr>
                  <w:divsChild>
                    <w:div w:id="1327324810">
                      <w:marLeft w:val="0"/>
                      <w:marRight w:val="0"/>
                      <w:marTop w:val="0"/>
                      <w:marBottom w:val="0"/>
                      <w:divBdr>
                        <w:top w:val="none" w:sz="0" w:space="0" w:color="auto"/>
                        <w:left w:val="none" w:sz="0" w:space="0" w:color="auto"/>
                        <w:bottom w:val="none" w:sz="0" w:space="0" w:color="auto"/>
                        <w:right w:val="none" w:sz="0" w:space="0" w:color="auto"/>
                      </w:divBdr>
                    </w:div>
                    <w:div w:id="2038846546">
                      <w:marLeft w:val="0"/>
                      <w:marRight w:val="0"/>
                      <w:marTop w:val="0"/>
                      <w:marBottom w:val="0"/>
                      <w:divBdr>
                        <w:top w:val="none" w:sz="0" w:space="0" w:color="auto"/>
                        <w:left w:val="none" w:sz="0" w:space="0" w:color="auto"/>
                        <w:bottom w:val="none" w:sz="0" w:space="0" w:color="auto"/>
                        <w:right w:val="none" w:sz="0" w:space="0" w:color="auto"/>
                      </w:divBdr>
                    </w:div>
                  </w:divsChild>
                </w:div>
                <w:div w:id="37052138">
                  <w:marLeft w:val="0"/>
                  <w:marRight w:val="0"/>
                  <w:marTop w:val="0"/>
                  <w:marBottom w:val="0"/>
                  <w:divBdr>
                    <w:top w:val="none" w:sz="0" w:space="0" w:color="auto"/>
                    <w:left w:val="none" w:sz="0" w:space="0" w:color="auto"/>
                    <w:bottom w:val="none" w:sz="0" w:space="0" w:color="auto"/>
                    <w:right w:val="none" w:sz="0" w:space="0" w:color="auto"/>
                  </w:divBdr>
                  <w:divsChild>
                    <w:div w:id="1092778982">
                      <w:marLeft w:val="0"/>
                      <w:marRight w:val="0"/>
                      <w:marTop w:val="0"/>
                      <w:marBottom w:val="0"/>
                      <w:divBdr>
                        <w:top w:val="none" w:sz="0" w:space="0" w:color="auto"/>
                        <w:left w:val="none" w:sz="0" w:space="0" w:color="auto"/>
                        <w:bottom w:val="none" w:sz="0" w:space="0" w:color="auto"/>
                        <w:right w:val="none" w:sz="0" w:space="0" w:color="auto"/>
                      </w:divBdr>
                    </w:div>
                    <w:div w:id="1124887813">
                      <w:marLeft w:val="0"/>
                      <w:marRight w:val="0"/>
                      <w:marTop w:val="0"/>
                      <w:marBottom w:val="0"/>
                      <w:divBdr>
                        <w:top w:val="none" w:sz="0" w:space="0" w:color="auto"/>
                        <w:left w:val="none" w:sz="0" w:space="0" w:color="auto"/>
                        <w:bottom w:val="none" w:sz="0" w:space="0" w:color="auto"/>
                        <w:right w:val="none" w:sz="0" w:space="0" w:color="auto"/>
                      </w:divBdr>
                    </w:div>
                  </w:divsChild>
                </w:div>
                <w:div w:id="187791979">
                  <w:marLeft w:val="0"/>
                  <w:marRight w:val="0"/>
                  <w:marTop w:val="0"/>
                  <w:marBottom w:val="0"/>
                  <w:divBdr>
                    <w:top w:val="none" w:sz="0" w:space="0" w:color="auto"/>
                    <w:left w:val="none" w:sz="0" w:space="0" w:color="auto"/>
                    <w:bottom w:val="none" w:sz="0" w:space="0" w:color="auto"/>
                    <w:right w:val="none" w:sz="0" w:space="0" w:color="auto"/>
                  </w:divBdr>
                  <w:divsChild>
                    <w:div w:id="630865314">
                      <w:marLeft w:val="0"/>
                      <w:marRight w:val="0"/>
                      <w:marTop w:val="0"/>
                      <w:marBottom w:val="0"/>
                      <w:divBdr>
                        <w:top w:val="none" w:sz="0" w:space="0" w:color="auto"/>
                        <w:left w:val="none" w:sz="0" w:space="0" w:color="auto"/>
                        <w:bottom w:val="none" w:sz="0" w:space="0" w:color="auto"/>
                        <w:right w:val="none" w:sz="0" w:space="0" w:color="auto"/>
                      </w:divBdr>
                    </w:div>
                  </w:divsChild>
                </w:div>
                <w:div w:id="230039119">
                  <w:marLeft w:val="0"/>
                  <w:marRight w:val="0"/>
                  <w:marTop w:val="0"/>
                  <w:marBottom w:val="0"/>
                  <w:divBdr>
                    <w:top w:val="none" w:sz="0" w:space="0" w:color="auto"/>
                    <w:left w:val="none" w:sz="0" w:space="0" w:color="auto"/>
                    <w:bottom w:val="none" w:sz="0" w:space="0" w:color="auto"/>
                    <w:right w:val="none" w:sz="0" w:space="0" w:color="auto"/>
                  </w:divBdr>
                  <w:divsChild>
                    <w:div w:id="1588148654">
                      <w:marLeft w:val="0"/>
                      <w:marRight w:val="0"/>
                      <w:marTop w:val="0"/>
                      <w:marBottom w:val="0"/>
                      <w:divBdr>
                        <w:top w:val="none" w:sz="0" w:space="0" w:color="auto"/>
                        <w:left w:val="none" w:sz="0" w:space="0" w:color="auto"/>
                        <w:bottom w:val="none" w:sz="0" w:space="0" w:color="auto"/>
                        <w:right w:val="none" w:sz="0" w:space="0" w:color="auto"/>
                      </w:divBdr>
                    </w:div>
                    <w:div w:id="1623076634">
                      <w:marLeft w:val="0"/>
                      <w:marRight w:val="0"/>
                      <w:marTop w:val="0"/>
                      <w:marBottom w:val="0"/>
                      <w:divBdr>
                        <w:top w:val="none" w:sz="0" w:space="0" w:color="auto"/>
                        <w:left w:val="none" w:sz="0" w:space="0" w:color="auto"/>
                        <w:bottom w:val="none" w:sz="0" w:space="0" w:color="auto"/>
                        <w:right w:val="none" w:sz="0" w:space="0" w:color="auto"/>
                      </w:divBdr>
                    </w:div>
                  </w:divsChild>
                </w:div>
                <w:div w:id="253443099">
                  <w:marLeft w:val="0"/>
                  <w:marRight w:val="0"/>
                  <w:marTop w:val="0"/>
                  <w:marBottom w:val="0"/>
                  <w:divBdr>
                    <w:top w:val="none" w:sz="0" w:space="0" w:color="auto"/>
                    <w:left w:val="none" w:sz="0" w:space="0" w:color="auto"/>
                    <w:bottom w:val="none" w:sz="0" w:space="0" w:color="auto"/>
                    <w:right w:val="none" w:sz="0" w:space="0" w:color="auto"/>
                  </w:divBdr>
                  <w:divsChild>
                    <w:div w:id="1616138766">
                      <w:marLeft w:val="0"/>
                      <w:marRight w:val="0"/>
                      <w:marTop w:val="0"/>
                      <w:marBottom w:val="0"/>
                      <w:divBdr>
                        <w:top w:val="none" w:sz="0" w:space="0" w:color="auto"/>
                        <w:left w:val="none" w:sz="0" w:space="0" w:color="auto"/>
                        <w:bottom w:val="none" w:sz="0" w:space="0" w:color="auto"/>
                        <w:right w:val="none" w:sz="0" w:space="0" w:color="auto"/>
                      </w:divBdr>
                    </w:div>
                  </w:divsChild>
                </w:div>
                <w:div w:id="265505960">
                  <w:marLeft w:val="0"/>
                  <w:marRight w:val="0"/>
                  <w:marTop w:val="0"/>
                  <w:marBottom w:val="0"/>
                  <w:divBdr>
                    <w:top w:val="none" w:sz="0" w:space="0" w:color="auto"/>
                    <w:left w:val="none" w:sz="0" w:space="0" w:color="auto"/>
                    <w:bottom w:val="none" w:sz="0" w:space="0" w:color="auto"/>
                    <w:right w:val="none" w:sz="0" w:space="0" w:color="auto"/>
                  </w:divBdr>
                  <w:divsChild>
                    <w:div w:id="476075818">
                      <w:marLeft w:val="0"/>
                      <w:marRight w:val="0"/>
                      <w:marTop w:val="0"/>
                      <w:marBottom w:val="0"/>
                      <w:divBdr>
                        <w:top w:val="none" w:sz="0" w:space="0" w:color="auto"/>
                        <w:left w:val="none" w:sz="0" w:space="0" w:color="auto"/>
                        <w:bottom w:val="none" w:sz="0" w:space="0" w:color="auto"/>
                        <w:right w:val="none" w:sz="0" w:space="0" w:color="auto"/>
                      </w:divBdr>
                    </w:div>
                  </w:divsChild>
                </w:div>
                <w:div w:id="265699117">
                  <w:marLeft w:val="0"/>
                  <w:marRight w:val="0"/>
                  <w:marTop w:val="0"/>
                  <w:marBottom w:val="0"/>
                  <w:divBdr>
                    <w:top w:val="none" w:sz="0" w:space="0" w:color="auto"/>
                    <w:left w:val="none" w:sz="0" w:space="0" w:color="auto"/>
                    <w:bottom w:val="none" w:sz="0" w:space="0" w:color="auto"/>
                    <w:right w:val="none" w:sz="0" w:space="0" w:color="auto"/>
                  </w:divBdr>
                  <w:divsChild>
                    <w:div w:id="1308827444">
                      <w:marLeft w:val="0"/>
                      <w:marRight w:val="0"/>
                      <w:marTop w:val="0"/>
                      <w:marBottom w:val="0"/>
                      <w:divBdr>
                        <w:top w:val="none" w:sz="0" w:space="0" w:color="auto"/>
                        <w:left w:val="none" w:sz="0" w:space="0" w:color="auto"/>
                        <w:bottom w:val="none" w:sz="0" w:space="0" w:color="auto"/>
                        <w:right w:val="none" w:sz="0" w:space="0" w:color="auto"/>
                      </w:divBdr>
                    </w:div>
                  </w:divsChild>
                </w:div>
                <w:div w:id="292558579">
                  <w:marLeft w:val="0"/>
                  <w:marRight w:val="0"/>
                  <w:marTop w:val="0"/>
                  <w:marBottom w:val="0"/>
                  <w:divBdr>
                    <w:top w:val="none" w:sz="0" w:space="0" w:color="auto"/>
                    <w:left w:val="none" w:sz="0" w:space="0" w:color="auto"/>
                    <w:bottom w:val="none" w:sz="0" w:space="0" w:color="auto"/>
                    <w:right w:val="none" w:sz="0" w:space="0" w:color="auto"/>
                  </w:divBdr>
                  <w:divsChild>
                    <w:div w:id="1209534128">
                      <w:marLeft w:val="0"/>
                      <w:marRight w:val="0"/>
                      <w:marTop w:val="0"/>
                      <w:marBottom w:val="0"/>
                      <w:divBdr>
                        <w:top w:val="none" w:sz="0" w:space="0" w:color="auto"/>
                        <w:left w:val="none" w:sz="0" w:space="0" w:color="auto"/>
                        <w:bottom w:val="none" w:sz="0" w:space="0" w:color="auto"/>
                        <w:right w:val="none" w:sz="0" w:space="0" w:color="auto"/>
                      </w:divBdr>
                    </w:div>
                  </w:divsChild>
                </w:div>
                <w:div w:id="310330381">
                  <w:marLeft w:val="0"/>
                  <w:marRight w:val="0"/>
                  <w:marTop w:val="0"/>
                  <w:marBottom w:val="0"/>
                  <w:divBdr>
                    <w:top w:val="none" w:sz="0" w:space="0" w:color="auto"/>
                    <w:left w:val="none" w:sz="0" w:space="0" w:color="auto"/>
                    <w:bottom w:val="none" w:sz="0" w:space="0" w:color="auto"/>
                    <w:right w:val="none" w:sz="0" w:space="0" w:color="auto"/>
                  </w:divBdr>
                  <w:divsChild>
                    <w:div w:id="1700350798">
                      <w:marLeft w:val="0"/>
                      <w:marRight w:val="0"/>
                      <w:marTop w:val="0"/>
                      <w:marBottom w:val="0"/>
                      <w:divBdr>
                        <w:top w:val="none" w:sz="0" w:space="0" w:color="auto"/>
                        <w:left w:val="none" w:sz="0" w:space="0" w:color="auto"/>
                        <w:bottom w:val="none" w:sz="0" w:space="0" w:color="auto"/>
                        <w:right w:val="none" w:sz="0" w:space="0" w:color="auto"/>
                      </w:divBdr>
                    </w:div>
                    <w:div w:id="2007244051">
                      <w:marLeft w:val="0"/>
                      <w:marRight w:val="0"/>
                      <w:marTop w:val="0"/>
                      <w:marBottom w:val="0"/>
                      <w:divBdr>
                        <w:top w:val="none" w:sz="0" w:space="0" w:color="auto"/>
                        <w:left w:val="none" w:sz="0" w:space="0" w:color="auto"/>
                        <w:bottom w:val="none" w:sz="0" w:space="0" w:color="auto"/>
                        <w:right w:val="none" w:sz="0" w:space="0" w:color="auto"/>
                      </w:divBdr>
                    </w:div>
                  </w:divsChild>
                </w:div>
                <w:div w:id="712657508">
                  <w:marLeft w:val="0"/>
                  <w:marRight w:val="0"/>
                  <w:marTop w:val="0"/>
                  <w:marBottom w:val="0"/>
                  <w:divBdr>
                    <w:top w:val="none" w:sz="0" w:space="0" w:color="auto"/>
                    <w:left w:val="none" w:sz="0" w:space="0" w:color="auto"/>
                    <w:bottom w:val="none" w:sz="0" w:space="0" w:color="auto"/>
                    <w:right w:val="none" w:sz="0" w:space="0" w:color="auto"/>
                  </w:divBdr>
                  <w:divsChild>
                    <w:div w:id="1372418327">
                      <w:marLeft w:val="0"/>
                      <w:marRight w:val="0"/>
                      <w:marTop w:val="0"/>
                      <w:marBottom w:val="0"/>
                      <w:divBdr>
                        <w:top w:val="none" w:sz="0" w:space="0" w:color="auto"/>
                        <w:left w:val="none" w:sz="0" w:space="0" w:color="auto"/>
                        <w:bottom w:val="none" w:sz="0" w:space="0" w:color="auto"/>
                        <w:right w:val="none" w:sz="0" w:space="0" w:color="auto"/>
                      </w:divBdr>
                    </w:div>
                  </w:divsChild>
                </w:div>
                <w:div w:id="712732647">
                  <w:marLeft w:val="0"/>
                  <w:marRight w:val="0"/>
                  <w:marTop w:val="0"/>
                  <w:marBottom w:val="0"/>
                  <w:divBdr>
                    <w:top w:val="none" w:sz="0" w:space="0" w:color="auto"/>
                    <w:left w:val="none" w:sz="0" w:space="0" w:color="auto"/>
                    <w:bottom w:val="none" w:sz="0" w:space="0" w:color="auto"/>
                    <w:right w:val="none" w:sz="0" w:space="0" w:color="auto"/>
                  </w:divBdr>
                  <w:divsChild>
                    <w:div w:id="1899437709">
                      <w:marLeft w:val="0"/>
                      <w:marRight w:val="0"/>
                      <w:marTop w:val="0"/>
                      <w:marBottom w:val="0"/>
                      <w:divBdr>
                        <w:top w:val="none" w:sz="0" w:space="0" w:color="auto"/>
                        <w:left w:val="none" w:sz="0" w:space="0" w:color="auto"/>
                        <w:bottom w:val="none" w:sz="0" w:space="0" w:color="auto"/>
                        <w:right w:val="none" w:sz="0" w:space="0" w:color="auto"/>
                      </w:divBdr>
                    </w:div>
                  </w:divsChild>
                </w:div>
                <w:div w:id="794523015">
                  <w:marLeft w:val="0"/>
                  <w:marRight w:val="0"/>
                  <w:marTop w:val="0"/>
                  <w:marBottom w:val="0"/>
                  <w:divBdr>
                    <w:top w:val="none" w:sz="0" w:space="0" w:color="auto"/>
                    <w:left w:val="none" w:sz="0" w:space="0" w:color="auto"/>
                    <w:bottom w:val="none" w:sz="0" w:space="0" w:color="auto"/>
                    <w:right w:val="none" w:sz="0" w:space="0" w:color="auto"/>
                  </w:divBdr>
                  <w:divsChild>
                    <w:div w:id="428543755">
                      <w:marLeft w:val="0"/>
                      <w:marRight w:val="0"/>
                      <w:marTop w:val="0"/>
                      <w:marBottom w:val="0"/>
                      <w:divBdr>
                        <w:top w:val="none" w:sz="0" w:space="0" w:color="auto"/>
                        <w:left w:val="none" w:sz="0" w:space="0" w:color="auto"/>
                        <w:bottom w:val="none" w:sz="0" w:space="0" w:color="auto"/>
                        <w:right w:val="none" w:sz="0" w:space="0" w:color="auto"/>
                      </w:divBdr>
                    </w:div>
                  </w:divsChild>
                </w:div>
                <w:div w:id="821969052">
                  <w:marLeft w:val="0"/>
                  <w:marRight w:val="0"/>
                  <w:marTop w:val="0"/>
                  <w:marBottom w:val="0"/>
                  <w:divBdr>
                    <w:top w:val="none" w:sz="0" w:space="0" w:color="auto"/>
                    <w:left w:val="none" w:sz="0" w:space="0" w:color="auto"/>
                    <w:bottom w:val="none" w:sz="0" w:space="0" w:color="auto"/>
                    <w:right w:val="none" w:sz="0" w:space="0" w:color="auto"/>
                  </w:divBdr>
                  <w:divsChild>
                    <w:div w:id="1446927314">
                      <w:marLeft w:val="0"/>
                      <w:marRight w:val="0"/>
                      <w:marTop w:val="0"/>
                      <w:marBottom w:val="0"/>
                      <w:divBdr>
                        <w:top w:val="none" w:sz="0" w:space="0" w:color="auto"/>
                        <w:left w:val="none" w:sz="0" w:space="0" w:color="auto"/>
                        <w:bottom w:val="none" w:sz="0" w:space="0" w:color="auto"/>
                        <w:right w:val="none" w:sz="0" w:space="0" w:color="auto"/>
                      </w:divBdr>
                    </w:div>
                    <w:div w:id="2107849741">
                      <w:marLeft w:val="0"/>
                      <w:marRight w:val="0"/>
                      <w:marTop w:val="0"/>
                      <w:marBottom w:val="0"/>
                      <w:divBdr>
                        <w:top w:val="none" w:sz="0" w:space="0" w:color="auto"/>
                        <w:left w:val="none" w:sz="0" w:space="0" w:color="auto"/>
                        <w:bottom w:val="none" w:sz="0" w:space="0" w:color="auto"/>
                        <w:right w:val="none" w:sz="0" w:space="0" w:color="auto"/>
                      </w:divBdr>
                    </w:div>
                  </w:divsChild>
                </w:div>
                <w:div w:id="934442683">
                  <w:marLeft w:val="0"/>
                  <w:marRight w:val="0"/>
                  <w:marTop w:val="0"/>
                  <w:marBottom w:val="0"/>
                  <w:divBdr>
                    <w:top w:val="none" w:sz="0" w:space="0" w:color="auto"/>
                    <w:left w:val="none" w:sz="0" w:space="0" w:color="auto"/>
                    <w:bottom w:val="none" w:sz="0" w:space="0" w:color="auto"/>
                    <w:right w:val="none" w:sz="0" w:space="0" w:color="auto"/>
                  </w:divBdr>
                  <w:divsChild>
                    <w:div w:id="1229807844">
                      <w:marLeft w:val="0"/>
                      <w:marRight w:val="0"/>
                      <w:marTop w:val="0"/>
                      <w:marBottom w:val="0"/>
                      <w:divBdr>
                        <w:top w:val="none" w:sz="0" w:space="0" w:color="auto"/>
                        <w:left w:val="none" w:sz="0" w:space="0" w:color="auto"/>
                        <w:bottom w:val="none" w:sz="0" w:space="0" w:color="auto"/>
                        <w:right w:val="none" w:sz="0" w:space="0" w:color="auto"/>
                      </w:divBdr>
                    </w:div>
                  </w:divsChild>
                </w:div>
                <w:div w:id="957297594">
                  <w:marLeft w:val="0"/>
                  <w:marRight w:val="0"/>
                  <w:marTop w:val="0"/>
                  <w:marBottom w:val="0"/>
                  <w:divBdr>
                    <w:top w:val="none" w:sz="0" w:space="0" w:color="auto"/>
                    <w:left w:val="none" w:sz="0" w:space="0" w:color="auto"/>
                    <w:bottom w:val="none" w:sz="0" w:space="0" w:color="auto"/>
                    <w:right w:val="none" w:sz="0" w:space="0" w:color="auto"/>
                  </w:divBdr>
                  <w:divsChild>
                    <w:div w:id="1285384381">
                      <w:marLeft w:val="0"/>
                      <w:marRight w:val="0"/>
                      <w:marTop w:val="0"/>
                      <w:marBottom w:val="0"/>
                      <w:divBdr>
                        <w:top w:val="none" w:sz="0" w:space="0" w:color="auto"/>
                        <w:left w:val="none" w:sz="0" w:space="0" w:color="auto"/>
                        <w:bottom w:val="none" w:sz="0" w:space="0" w:color="auto"/>
                        <w:right w:val="none" w:sz="0" w:space="0" w:color="auto"/>
                      </w:divBdr>
                    </w:div>
                  </w:divsChild>
                </w:div>
                <w:div w:id="963078890">
                  <w:marLeft w:val="0"/>
                  <w:marRight w:val="0"/>
                  <w:marTop w:val="0"/>
                  <w:marBottom w:val="0"/>
                  <w:divBdr>
                    <w:top w:val="none" w:sz="0" w:space="0" w:color="auto"/>
                    <w:left w:val="none" w:sz="0" w:space="0" w:color="auto"/>
                    <w:bottom w:val="none" w:sz="0" w:space="0" w:color="auto"/>
                    <w:right w:val="none" w:sz="0" w:space="0" w:color="auto"/>
                  </w:divBdr>
                  <w:divsChild>
                    <w:div w:id="631599073">
                      <w:marLeft w:val="0"/>
                      <w:marRight w:val="0"/>
                      <w:marTop w:val="0"/>
                      <w:marBottom w:val="0"/>
                      <w:divBdr>
                        <w:top w:val="none" w:sz="0" w:space="0" w:color="auto"/>
                        <w:left w:val="none" w:sz="0" w:space="0" w:color="auto"/>
                        <w:bottom w:val="none" w:sz="0" w:space="0" w:color="auto"/>
                        <w:right w:val="none" w:sz="0" w:space="0" w:color="auto"/>
                      </w:divBdr>
                    </w:div>
                  </w:divsChild>
                </w:div>
                <w:div w:id="1008369208">
                  <w:marLeft w:val="0"/>
                  <w:marRight w:val="0"/>
                  <w:marTop w:val="0"/>
                  <w:marBottom w:val="0"/>
                  <w:divBdr>
                    <w:top w:val="none" w:sz="0" w:space="0" w:color="auto"/>
                    <w:left w:val="none" w:sz="0" w:space="0" w:color="auto"/>
                    <w:bottom w:val="none" w:sz="0" w:space="0" w:color="auto"/>
                    <w:right w:val="none" w:sz="0" w:space="0" w:color="auto"/>
                  </w:divBdr>
                  <w:divsChild>
                    <w:div w:id="972708922">
                      <w:marLeft w:val="0"/>
                      <w:marRight w:val="0"/>
                      <w:marTop w:val="0"/>
                      <w:marBottom w:val="0"/>
                      <w:divBdr>
                        <w:top w:val="none" w:sz="0" w:space="0" w:color="auto"/>
                        <w:left w:val="none" w:sz="0" w:space="0" w:color="auto"/>
                        <w:bottom w:val="none" w:sz="0" w:space="0" w:color="auto"/>
                        <w:right w:val="none" w:sz="0" w:space="0" w:color="auto"/>
                      </w:divBdr>
                    </w:div>
                    <w:div w:id="1112700748">
                      <w:marLeft w:val="0"/>
                      <w:marRight w:val="0"/>
                      <w:marTop w:val="0"/>
                      <w:marBottom w:val="0"/>
                      <w:divBdr>
                        <w:top w:val="none" w:sz="0" w:space="0" w:color="auto"/>
                        <w:left w:val="none" w:sz="0" w:space="0" w:color="auto"/>
                        <w:bottom w:val="none" w:sz="0" w:space="0" w:color="auto"/>
                        <w:right w:val="none" w:sz="0" w:space="0" w:color="auto"/>
                      </w:divBdr>
                    </w:div>
                  </w:divsChild>
                </w:div>
                <w:div w:id="1047488378">
                  <w:marLeft w:val="0"/>
                  <w:marRight w:val="0"/>
                  <w:marTop w:val="0"/>
                  <w:marBottom w:val="0"/>
                  <w:divBdr>
                    <w:top w:val="none" w:sz="0" w:space="0" w:color="auto"/>
                    <w:left w:val="none" w:sz="0" w:space="0" w:color="auto"/>
                    <w:bottom w:val="none" w:sz="0" w:space="0" w:color="auto"/>
                    <w:right w:val="none" w:sz="0" w:space="0" w:color="auto"/>
                  </w:divBdr>
                  <w:divsChild>
                    <w:div w:id="940333864">
                      <w:marLeft w:val="0"/>
                      <w:marRight w:val="0"/>
                      <w:marTop w:val="0"/>
                      <w:marBottom w:val="0"/>
                      <w:divBdr>
                        <w:top w:val="none" w:sz="0" w:space="0" w:color="auto"/>
                        <w:left w:val="none" w:sz="0" w:space="0" w:color="auto"/>
                        <w:bottom w:val="none" w:sz="0" w:space="0" w:color="auto"/>
                        <w:right w:val="none" w:sz="0" w:space="0" w:color="auto"/>
                      </w:divBdr>
                    </w:div>
                  </w:divsChild>
                </w:div>
                <w:div w:id="1074159695">
                  <w:marLeft w:val="0"/>
                  <w:marRight w:val="0"/>
                  <w:marTop w:val="0"/>
                  <w:marBottom w:val="0"/>
                  <w:divBdr>
                    <w:top w:val="none" w:sz="0" w:space="0" w:color="auto"/>
                    <w:left w:val="none" w:sz="0" w:space="0" w:color="auto"/>
                    <w:bottom w:val="none" w:sz="0" w:space="0" w:color="auto"/>
                    <w:right w:val="none" w:sz="0" w:space="0" w:color="auto"/>
                  </w:divBdr>
                  <w:divsChild>
                    <w:div w:id="738551160">
                      <w:marLeft w:val="0"/>
                      <w:marRight w:val="0"/>
                      <w:marTop w:val="0"/>
                      <w:marBottom w:val="0"/>
                      <w:divBdr>
                        <w:top w:val="none" w:sz="0" w:space="0" w:color="auto"/>
                        <w:left w:val="none" w:sz="0" w:space="0" w:color="auto"/>
                        <w:bottom w:val="none" w:sz="0" w:space="0" w:color="auto"/>
                        <w:right w:val="none" w:sz="0" w:space="0" w:color="auto"/>
                      </w:divBdr>
                    </w:div>
                    <w:div w:id="1851024666">
                      <w:marLeft w:val="0"/>
                      <w:marRight w:val="0"/>
                      <w:marTop w:val="0"/>
                      <w:marBottom w:val="0"/>
                      <w:divBdr>
                        <w:top w:val="none" w:sz="0" w:space="0" w:color="auto"/>
                        <w:left w:val="none" w:sz="0" w:space="0" w:color="auto"/>
                        <w:bottom w:val="none" w:sz="0" w:space="0" w:color="auto"/>
                        <w:right w:val="none" w:sz="0" w:space="0" w:color="auto"/>
                      </w:divBdr>
                    </w:div>
                  </w:divsChild>
                </w:div>
                <w:div w:id="1080058988">
                  <w:marLeft w:val="0"/>
                  <w:marRight w:val="0"/>
                  <w:marTop w:val="0"/>
                  <w:marBottom w:val="0"/>
                  <w:divBdr>
                    <w:top w:val="none" w:sz="0" w:space="0" w:color="auto"/>
                    <w:left w:val="none" w:sz="0" w:space="0" w:color="auto"/>
                    <w:bottom w:val="none" w:sz="0" w:space="0" w:color="auto"/>
                    <w:right w:val="none" w:sz="0" w:space="0" w:color="auto"/>
                  </w:divBdr>
                  <w:divsChild>
                    <w:div w:id="1616983699">
                      <w:marLeft w:val="0"/>
                      <w:marRight w:val="0"/>
                      <w:marTop w:val="0"/>
                      <w:marBottom w:val="0"/>
                      <w:divBdr>
                        <w:top w:val="none" w:sz="0" w:space="0" w:color="auto"/>
                        <w:left w:val="none" w:sz="0" w:space="0" w:color="auto"/>
                        <w:bottom w:val="none" w:sz="0" w:space="0" w:color="auto"/>
                        <w:right w:val="none" w:sz="0" w:space="0" w:color="auto"/>
                      </w:divBdr>
                    </w:div>
                  </w:divsChild>
                </w:div>
                <w:div w:id="1142039763">
                  <w:marLeft w:val="0"/>
                  <w:marRight w:val="0"/>
                  <w:marTop w:val="0"/>
                  <w:marBottom w:val="0"/>
                  <w:divBdr>
                    <w:top w:val="none" w:sz="0" w:space="0" w:color="auto"/>
                    <w:left w:val="none" w:sz="0" w:space="0" w:color="auto"/>
                    <w:bottom w:val="none" w:sz="0" w:space="0" w:color="auto"/>
                    <w:right w:val="none" w:sz="0" w:space="0" w:color="auto"/>
                  </w:divBdr>
                  <w:divsChild>
                    <w:div w:id="1732077867">
                      <w:marLeft w:val="0"/>
                      <w:marRight w:val="0"/>
                      <w:marTop w:val="0"/>
                      <w:marBottom w:val="0"/>
                      <w:divBdr>
                        <w:top w:val="none" w:sz="0" w:space="0" w:color="auto"/>
                        <w:left w:val="none" w:sz="0" w:space="0" w:color="auto"/>
                        <w:bottom w:val="none" w:sz="0" w:space="0" w:color="auto"/>
                        <w:right w:val="none" w:sz="0" w:space="0" w:color="auto"/>
                      </w:divBdr>
                    </w:div>
                  </w:divsChild>
                </w:div>
                <w:div w:id="1162619970">
                  <w:marLeft w:val="0"/>
                  <w:marRight w:val="0"/>
                  <w:marTop w:val="0"/>
                  <w:marBottom w:val="0"/>
                  <w:divBdr>
                    <w:top w:val="none" w:sz="0" w:space="0" w:color="auto"/>
                    <w:left w:val="none" w:sz="0" w:space="0" w:color="auto"/>
                    <w:bottom w:val="none" w:sz="0" w:space="0" w:color="auto"/>
                    <w:right w:val="none" w:sz="0" w:space="0" w:color="auto"/>
                  </w:divBdr>
                  <w:divsChild>
                    <w:div w:id="168951880">
                      <w:marLeft w:val="0"/>
                      <w:marRight w:val="0"/>
                      <w:marTop w:val="0"/>
                      <w:marBottom w:val="0"/>
                      <w:divBdr>
                        <w:top w:val="none" w:sz="0" w:space="0" w:color="auto"/>
                        <w:left w:val="none" w:sz="0" w:space="0" w:color="auto"/>
                        <w:bottom w:val="none" w:sz="0" w:space="0" w:color="auto"/>
                        <w:right w:val="none" w:sz="0" w:space="0" w:color="auto"/>
                      </w:divBdr>
                    </w:div>
                  </w:divsChild>
                </w:div>
                <w:div w:id="1184172488">
                  <w:marLeft w:val="0"/>
                  <w:marRight w:val="0"/>
                  <w:marTop w:val="0"/>
                  <w:marBottom w:val="0"/>
                  <w:divBdr>
                    <w:top w:val="none" w:sz="0" w:space="0" w:color="auto"/>
                    <w:left w:val="none" w:sz="0" w:space="0" w:color="auto"/>
                    <w:bottom w:val="none" w:sz="0" w:space="0" w:color="auto"/>
                    <w:right w:val="none" w:sz="0" w:space="0" w:color="auto"/>
                  </w:divBdr>
                  <w:divsChild>
                    <w:div w:id="594247542">
                      <w:marLeft w:val="0"/>
                      <w:marRight w:val="0"/>
                      <w:marTop w:val="0"/>
                      <w:marBottom w:val="0"/>
                      <w:divBdr>
                        <w:top w:val="none" w:sz="0" w:space="0" w:color="auto"/>
                        <w:left w:val="none" w:sz="0" w:space="0" w:color="auto"/>
                        <w:bottom w:val="none" w:sz="0" w:space="0" w:color="auto"/>
                        <w:right w:val="none" w:sz="0" w:space="0" w:color="auto"/>
                      </w:divBdr>
                    </w:div>
                    <w:div w:id="876352209">
                      <w:marLeft w:val="0"/>
                      <w:marRight w:val="0"/>
                      <w:marTop w:val="0"/>
                      <w:marBottom w:val="0"/>
                      <w:divBdr>
                        <w:top w:val="none" w:sz="0" w:space="0" w:color="auto"/>
                        <w:left w:val="none" w:sz="0" w:space="0" w:color="auto"/>
                        <w:bottom w:val="none" w:sz="0" w:space="0" w:color="auto"/>
                        <w:right w:val="none" w:sz="0" w:space="0" w:color="auto"/>
                      </w:divBdr>
                    </w:div>
                    <w:div w:id="1478574973">
                      <w:marLeft w:val="0"/>
                      <w:marRight w:val="0"/>
                      <w:marTop w:val="0"/>
                      <w:marBottom w:val="0"/>
                      <w:divBdr>
                        <w:top w:val="none" w:sz="0" w:space="0" w:color="auto"/>
                        <w:left w:val="none" w:sz="0" w:space="0" w:color="auto"/>
                        <w:bottom w:val="none" w:sz="0" w:space="0" w:color="auto"/>
                        <w:right w:val="none" w:sz="0" w:space="0" w:color="auto"/>
                      </w:divBdr>
                    </w:div>
                    <w:div w:id="1829133884">
                      <w:marLeft w:val="0"/>
                      <w:marRight w:val="0"/>
                      <w:marTop w:val="0"/>
                      <w:marBottom w:val="0"/>
                      <w:divBdr>
                        <w:top w:val="none" w:sz="0" w:space="0" w:color="auto"/>
                        <w:left w:val="none" w:sz="0" w:space="0" w:color="auto"/>
                        <w:bottom w:val="none" w:sz="0" w:space="0" w:color="auto"/>
                        <w:right w:val="none" w:sz="0" w:space="0" w:color="auto"/>
                      </w:divBdr>
                    </w:div>
                  </w:divsChild>
                </w:div>
                <w:div w:id="1202132811">
                  <w:marLeft w:val="0"/>
                  <w:marRight w:val="0"/>
                  <w:marTop w:val="0"/>
                  <w:marBottom w:val="0"/>
                  <w:divBdr>
                    <w:top w:val="none" w:sz="0" w:space="0" w:color="auto"/>
                    <w:left w:val="none" w:sz="0" w:space="0" w:color="auto"/>
                    <w:bottom w:val="none" w:sz="0" w:space="0" w:color="auto"/>
                    <w:right w:val="none" w:sz="0" w:space="0" w:color="auto"/>
                  </w:divBdr>
                  <w:divsChild>
                    <w:div w:id="1873418774">
                      <w:marLeft w:val="0"/>
                      <w:marRight w:val="0"/>
                      <w:marTop w:val="0"/>
                      <w:marBottom w:val="0"/>
                      <w:divBdr>
                        <w:top w:val="none" w:sz="0" w:space="0" w:color="auto"/>
                        <w:left w:val="none" w:sz="0" w:space="0" w:color="auto"/>
                        <w:bottom w:val="none" w:sz="0" w:space="0" w:color="auto"/>
                        <w:right w:val="none" w:sz="0" w:space="0" w:color="auto"/>
                      </w:divBdr>
                    </w:div>
                  </w:divsChild>
                </w:div>
                <w:div w:id="1206866289">
                  <w:marLeft w:val="0"/>
                  <w:marRight w:val="0"/>
                  <w:marTop w:val="0"/>
                  <w:marBottom w:val="0"/>
                  <w:divBdr>
                    <w:top w:val="none" w:sz="0" w:space="0" w:color="auto"/>
                    <w:left w:val="none" w:sz="0" w:space="0" w:color="auto"/>
                    <w:bottom w:val="none" w:sz="0" w:space="0" w:color="auto"/>
                    <w:right w:val="none" w:sz="0" w:space="0" w:color="auto"/>
                  </w:divBdr>
                  <w:divsChild>
                    <w:div w:id="1538739337">
                      <w:marLeft w:val="0"/>
                      <w:marRight w:val="0"/>
                      <w:marTop w:val="0"/>
                      <w:marBottom w:val="0"/>
                      <w:divBdr>
                        <w:top w:val="none" w:sz="0" w:space="0" w:color="auto"/>
                        <w:left w:val="none" w:sz="0" w:space="0" w:color="auto"/>
                        <w:bottom w:val="none" w:sz="0" w:space="0" w:color="auto"/>
                        <w:right w:val="none" w:sz="0" w:space="0" w:color="auto"/>
                      </w:divBdr>
                    </w:div>
                  </w:divsChild>
                </w:div>
                <w:div w:id="1226599044">
                  <w:marLeft w:val="0"/>
                  <w:marRight w:val="0"/>
                  <w:marTop w:val="0"/>
                  <w:marBottom w:val="0"/>
                  <w:divBdr>
                    <w:top w:val="none" w:sz="0" w:space="0" w:color="auto"/>
                    <w:left w:val="none" w:sz="0" w:space="0" w:color="auto"/>
                    <w:bottom w:val="none" w:sz="0" w:space="0" w:color="auto"/>
                    <w:right w:val="none" w:sz="0" w:space="0" w:color="auto"/>
                  </w:divBdr>
                  <w:divsChild>
                    <w:div w:id="1441728251">
                      <w:marLeft w:val="0"/>
                      <w:marRight w:val="0"/>
                      <w:marTop w:val="0"/>
                      <w:marBottom w:val="0"/>
                      <w:divBdr>
                        <w:top w:val="none" w:sz="0" w:space="0" w:color="auto"/>
                        <w:left w:val="none" w:sz="0" w:space="0" w:color="auto"/>
                        <w:bottom w:val="none" w:sz="0" w:space="0" w:color="auto"/>
                        <w:right w:val="none" w:sz="0" w:space="0" w:color="auto"/>
                      </w:divBdr>
                    </w:div>
                    <w:div w:id="1523088701">
                      <w:marLeft w:val="0"/>
                      <w:marRight w:val="0"/>
                      <w:marTop w:val="0"/>
                      <w:marBottom w:val="0"/>
                      <w:divBdr>
                        <w:top w:val="none" w:sz="0" w:space="0" w:color="auto"/>
                        <w:left w:val="none" w:sz="0" w:space="0" w:color="auto"/>
                        <w:bottom w:val="none" w:sz="0" w:space="0" w:color="auto"/>
                        <w:right w:val="none" w:sz="0" w:space="0" w:color="auto"/>
                      </w:divBdr>
                    </w:div>
                  </w:divsChild>
                </w:div>
                <w:div w:id="1232157199">
                  <w:marLeft w:val="0"/>
                  <w:marRight w:val="0"/>
                  <w:marTop w:val="0"/>
                  <w:marBottom w:val="0"/>
                  <w:divBdr>
                    <w:top w:val="none" w:sz="0" w:space="0" w:color="auto"/>
                    <w:left w:val="none" w:sz="0" w:space="0" w:color="auto"/>
                    <w:bottom w:val="none" w:sz="0" w:space="0" w:color="auto"/>
                    <w:right w:val="none" w:sz="0" w:space="0" w:color="auto"/>
                  </w:divBdr>
                  <w:divsChild>
                    <w:div w:id="1472558934">
                      <w:marLeft w:val="0"/>
                      <w:marRight w:val="0"/>
                      <w:marTop w:val="0"/>
                      <w:marBottom w:val="0"/>
                      <w:divBdr>
                        <w:top w:val="none" w:sz="0" w:space="0" w:color="auto"/>
                        <w:left w:val="none" w:sz="0" w:space="0" w:color="auto"/>
                        <w:bottom w:val="none" w:sz="0" w:space="0" w:color="auto"/>
                        <w:right w:val="none" w:sz="0" w:space="0" w:color="auto"/>
                      </w:divBdr>
                    </w:div>
                  </w:divsChild>
                </w:div>
                <w:div w:id="1252737503">
                  <w:marLeft w:val="0"/>
                  <w:marRight w:val="0"/>
                  <w:marTop w:val="0"/>
                  <w:marBottom w:val="0"/>
                  <w:divBdr>
                    <w:top w:val="none" w:sz="0" w:space="0" w:color="auto"/>
                    <w:left w:val="none" w:sz="0" w:space="0" w:color="auto"/>
                    <w:bottom w:val="none" w:sz="0" w:space="0" w:color="auto"/>
                    <w:right w:val="none" w:sz="0" w:space="0" w:color="auto"/>
                  </w:divBdr>
                  <w:divsChild>
                    <w:div w:id="1538398198">
                      <w:marLeft w:val="0"/>
                      <w:marRight w:val="0"/>
                      <w:marTop w:val="0"/>
                      <w:marBottom w:val="0"/>
                      <w:divBdr>
                        <w:top w:val="none" w:sz="0" w:space="0" w:color="auto"/>
                        <w:left w:val="none" w:sz="0" w:space="0" w:color="auto"/>
                        <w:bottom w:val="none" w:sz="0" w:space="0" w:color="auto"/>
                        <w:right w:val="none" w:sz="0" w:space="0" w:color="auto"/>
                      </w:divBdr>
                    </w:div>
                    <w:div w:id="1569533140">
                      <w:marLeft w:val="0"/>
                      <w:marRight w:val="0"/>
                      <w:marTop w:val="0"/>
                      <w:marBottom w:val="0"/>
                      <w:divBdr>
                        <w:top w:val="none" w:sz="0" w:space="0" w:color="auto"/>
                        <w:left w:val="none" w:sz="0" w:space="0" w:color="auto"/>
                        <w:bottom w:val="none" w:sz="0" w:space="0" w:color="auto"/>
                        <w:right w:val="none" w:sz="0" w:space="0" w:color="auto"/>
                      </w:divBdr>
                    </w:div>
                  </w:divsChild>
                </w:div>
                <w:div w:id="1326318488">
                  <w:marLeft w:val="0"/>
                  <w:marRight w:val="0"/>
                  <w:marTop w:val="0"/>
                  <w:marBottom w:val="0"/>
                  <w:divBdr>
                    <w:top w:val="none" w:sz="0" w:space="0" w:color="auto"/>
                    <w:left w:val="none" w:sz="0" w:space="0" w:color="auto"/>
                    <w:bottom w:val="none" w:sz="0" w:space="0" w:color="auto"/>
                    <w:right w:val="none" w:sz="0" w:space="0" w:color="auto"/>
                  </w:divBdr>
                  <w:divsChild>
                    <w:div w:id="888877682">
                      <w:marLeft w:val="0"/>
                      <w:marRight w:val="0"/>
                      <w:marTop w:val="0"/>
                      <w:marBottom w:val="0"/>
                      <w:divBdr>
                        <w:top w:val="none" w:sz="0" w:space="0" w:color="auto"/>
                        <w:left w:val="none" w:sz="0" w:space="0" w:color="auto"/>
                        <w:bottom w:val="none" w:sz="0" w:space="0" w:color="auto"/>
                        <w:right w:val="none" w:sz="0" w:space="0" w:color="auto"/>
                      </w:divBdr>
                    </w:div>
                  </w:divsChild>
                </w:div>
                <w:div w:id="1347291544">
                  <w:marLeft w:val="0"/>
                  <w:marRight w:val="0"/>
                  <w:marTop w:val="0"/>
                  <w:marBottom w:val="0"/>
                  <w:divBdr>
                    <w:top w:val="none" w:sz="0" w:space="0" w:color="auto"/>
                    <w:left w:val="none" w:sz="0" w:space="0" w:color="auto"/>
                    <w:bottom w:val="none" w:sz="0" w:space="0" w:color="auto"/>
                    <w:right w:val="none" w:sz="0" w:space="0" w:color="auto"/>
                  </w:divBdr>
                  <w:divsChild>
                    <w:div w:id="45682808">
                      <w:marLeft w:val="0"/>
                      <w:marRight w:val="0"/>
                      <w:marTop w:val="0"/>
                      <w:marBottom w:val="0"/>
                      <w:divBdr>
                        <w:top w:val="none" w:sz="0" w:space="0" w:color="auto"/>
                        <w:left w:val="none" w:sz="0" w:space="0" w:color="auto"/>
                        <w:bottom w:val="none" w:sz="0" w:space="0" w:color="auto"/>
                        <w:right w:val="none" w:sz="0" w:space="0" w:color="auto"/>
                      </w:divBdr>
                    </w:div>
                  </w:divsChild>
                </w:div>
                <w:div w:id="1353803882">
                  <w:marLeft w:val="0"/>
                  <w:marRight w:val="0"/>
                  <w:marTop w:val="0"/>
                  <w:marBottom w:val="0"/>
                  <w:divBdr>
                    <w:top w:val="none" w:sz="0" w:space="0" w:color="auto"/>
                    <w:left w:val="none" w:sz="0" w:space="0" w:color="auto"/>
                    <w:bottom w:val="none" w:sz="0" w:space="0" w:color="auto"/>
                    <w:right w:val="none" w:sz="0" w:space="0" w:color="auto"/>
                  </w:divBdr>
                  <w:divsChild>
                    <w:div w:id="2036956094">
                      <w:marLeft w:val="0"/>
                      <w:marRight w:val="0"/>
                      <w:marTop w:val="0"/>
                      <w:marBottom w:val="0"/>
                      <w:divBdr>
                        <w:top w:val="none" w:sz="0" w:space="0" w:color="auto"/>
                        <w:left w:val="none" w:sz="0" w:space="0" w:color="auto"/>
                        <w:bottom w:val="none" w:sz="0" w:space="0" w:color="auto"/>
                        <w:right w:val="none" w:sz="0" w:space="0" w:color="auto"/>
                      </w:divBdr>
                    </w:div>
                  </w:divsChild>
                </w:div>
                <w:div w:id="1359812934">
                  <w:marLeft w:val="0"/>
                  <w:marRight w:val="0"/>
                  <w:marTop w:val="0"/>
                  <w:marBottom w:val="0"/>
                  <w:divBdr>
                    <w:top w:val="none" w:sz="0" w:space="0" w:color="auto"/>
                    <w:left w:val="none" w:sz="0" w:space="0" w:color="auto"/>
                    <w:bottom w:val="none" w:sz="0" w:space="0" w:color="auto"/>
                    <w:right w:val="none" w:sz="0" w:space="0" w:color="auto"/>
                  </w:divBdr>
                  <w:divsChild>
                    <w:div w:id="920526088">
                      <w:marLeft w:val="0"/>
                      <w:marRight w:val="0"/>
                      <w:marTop w:val="0"/>
                      <w:marBottom w:val="0"/>
                      <w:divBdr>
                        <w:top w:val="none" w:sz="0" w:space="0" w:color="auto"/>
                        <w:left w:val="none" w:sz="0" w:space="0" w:color="auto"/>
                        <w:bottom w:val="none" w:sz="0" w:space="0" w:color="auto"/>
                        <w:right w:val="none" w:sz="0" w:space="0" w:color="auto"/>
                      </w:divBdr>
                    </w:div>
                    <w:div w:id="2052414545">
                      <w:marLeft w:val="0"/>
                      <w:marRight w:val="0"/>
                      <w:marTop w:val="0"/>
                      <w:marBottom w:val="0"/>
                      <w:divBdr>
                        <w:top w:val="none" w:sz="0" w:space="0" w:color="auto"/>
                        <w:left w:val="none" w:sz="0" w:space="0" w:color="auto"/>
                        <w:bottom w:val="none" w:sz="0" w:space="0" w:color="auto"/>
                        <w:right w:val="none" w:sz="0" w:space="0" w:color="auto"/>
                      </w:divBdr>
                    </w:div>
                  </w:divsChild>
                </w:div>
                <w:div w:id="1426220932">
                  <w:marLeft w:val="0"/>
                  <w:marRight w:val="0"/>
                  <w:marTop w:val="0"/>
                  <w:marBottom w:val="0"/>
                  <w:divBdr>
                    <w:top w:val="none" w:sz="0" w:space="0" w:color="auto"/>
                    <w:left w:val="none" w:sz="0" w:space="0" w:color="auto"/>
                    <w:bottom w:val="none" w:sz="0" w:space="0" w:color="auto"/>
                    <w:right w:val="none" w:sz="0" w:space="0" w:color="auto"/>
                  </w:divBdr>
                  <w:divsChild>
                    <w:div w:id="396437832">
                      <w:marLeft w:val="0"/>
                      <w:marRight w:val="0"/>
                      <w:marTop w:val="0"/>
                      <w:marBottom w:val="0"/>
                      <w:divBdr>
                        <w:top w:val="none" w:sz="0" w:space="0" w:color="auto"/>
                        <w:left w:val="none" w:sz="0" w:space="0" w:color="auto"/>
                        <w:bottom w:val="none" w:sz="0" w:space="0" w:color="auto"/>
                        <w:right w:val="none" w:sz="0" w:space="0" w:color="auto"/>
                      </w:divBdr>
                    </w:div>
                  </w:divsChild>
                </w:div>
                <w:div w:id="1456023000">
                  <w:marLeft w:val="0"/>
                  <w:marRight w:val="0"/>
                  <w:marTop w:val="0"/>
                  <w:marBottom w:val="0"/>
                  <w:divBdr>
                    <w:top w:val="none" w:sz="0" w:space="0" w:color="auto"/>
                    <w:left w:val="none" w:sz="0" w:space="0" w:color="auto"/>
                    <w:bottom w:val="none" w:sz="0" w:space="0" w:color="auto"/>
                    <w:right w:val="none" w:sz="0" w:space="0" w:color="auto"/>
                  </w:divBdr>
                  <w:divsChild>
                    <w:div w:id="1621034710">
                      <w:marLeft w:val="0"/>
                      <w:marRight w:val="0"/>
                      <w:marTop w:val="0"/>
                      <w:marBottom w:val="0"/>
                      <w:divBdr>
                        <w:top w:val="none" w:sz="0" w:space="0" w:color="auto"/>
                        <w:left w:val="none" w:sz="0" w:space="0" w:color="auto"/>
                        <w:bottom w:val="none" w:sz="0" w:space="0" w:color="auto"/>
                        <w:right w:val="none" w:sz="0" w:space="0" w:color="auto"/>
                      </w:divBdr>
                    </w:div>
                    <w:div w:id="1888226778">
                      <w:marLeft w:val="0"/>
                      <w:marRight w:val="0"/>
                      <w:marTop w:val="0"/>
                      <w:marBottom w:val="0"/>
                      <w:divBdr>
                        <w:top w:val="none" w:sz="0" w:space="0" w:color="auto"/>
                        <w:left w:val="none" w:sz="0" w:space="0" w:color="auto"/>
                        <w:bottom w:val="none" w:sz="0" w:space="0" w:color="auto"/>
                        <w:right w:val="none" w:sz="0" w:space="0" w:color="auto"/>
                      </w:divBdr>
                    </w:div>
                  </w:divsChild>
                </w:div>
                <w:div w:id="1479952437">
                  <w:marLeft w:val="0"/>
                  <w:marRight w:val="0"/>
                  <w:marTop w:val="0"/>
                  <w:marBottom w:val="0"/>
                  <w:divBdr>
                    <w:top w:val="none" w:sz="0" w:space="0" w:color="auto"/>
                    <w:left w:val="none" w:sz="0" w:space="0" w:color="auto"/>
                    <w:bottom w:val="none" w:sz="0" w:space="0" w:color="auto"/>
                    <w:right w:val="none" w:sz="0" w:space="0" w:color="auto"/>
                  </w:divBdr>
                  <w:divsChild>
                    <w:div w:id="591856943">
                      <w:marLeft w:val="0"/>
                      <w:marRight w:val="0"/>
                      <w:marTop w:val="0"/>
                      <w:marBottom w:val="0"/>
                      <w:divBdr>
                        <w:top w:val="none" w:sz="0" w:space="0" w:color="auto"/>
                        <w:left w:val="none" w:sz="0" w:space="0" w:color="auto"/>
                        <w:bottom w:val="none" w:sz="0" w:space="0" w:color="auto"/>
                        <w:right w:val="none" w:sz="0" w:space="0" w:color="auto"/>
                      </w:divBdr>
                    </w:div>
                  </w:divsChild>
                </w:div>
                <w:div w:id="1611476136">
                  <w:marLeft w:val="0"/>
                  <w:marRight w:val="0"/>
                  <w:marTop w:val="0"/>
                  <w:marBottom w:val="0"/>
                  <w:divBdr>
                    <w:top w:val="none" w:sz="0" w:space="0" w:color="auto"/>
                    <w:left w:val="none" w:sz="0" w:space="0" w:color="auto"/>
                    <w:bottom w:val="none" w:sz="0" w:space="0" w:color="auto"/>
                    <w:right w:val="none" w:sz="0" w:space="0" w:color="auto"/>
                  </w:divBdr>
                  <w:divsChild>
                    <w:div w:id="1997956272">
                      <w:marLeft w:val="0"/>
                      <w:marRight w:val="0"/>
                      <w:marTop w:val="0"/>
                      <w:marBottom w:val="0"/>
                      <w:divBdr>
                        <w:top w:val="none" w:sz="0" w:space="0" w:color="auto"/>
                        <w:left w:val="none" w:sz="0" w:space="0" w:color="auto"/>
                        <w:bottom w:val="none" w:sz="0" w:space="0" w:color="auto"/>
                        <w:right w:val="none" w:sz="0" w:space="0" w:color="auto"/>
                      </w:divBdr>
                    </w:div>
                  </w:divsChild>
                </w:div>
                <w:div w:id="1618870367">
                  <w:marLeft w:val="0"/>
                  <w:marRight w:val="0"/>
                  <w:marTop w:val="0"/>
                  <w:marBottom w:val="0"/>
                  <w:divBdr>
                    <w:top w:val="none" w:sz="0" w:space="0" w:color="auto"/>
                    <w:left w:val="none" w:sz="0" w:space="0" w:color="auto"/>
                    <w:bottom w:val="none" w:sz="0" w:space="0" w:color="auto"/>
                    <w:right w:val="none" w:sz="0" w:space="0" w:color="auto"/>
                  </w:divBdr>
                  <w:divsChild>
                    <w:div w:id="1488327834">
                      <w:marLeft w:val="0"/>
                      <w:marRight w:val="0"/>
                      <w:marTop w:val="0"/>
                      <w:marBottom w:val="0"/>
                      <w:divBdr>
                        <w:top w:val="none" w:sz="0" w:space="0" w:color="auto"/>
                        <w:left w:val="none" w:sz="0" w:space="0" w:color="auto"/>
                        <w:bottom w:val="none" w:sz="0" w:space="0" w:color="auto"/>
                        <w:right w:val="none" w:sz="0" w:space="0" w:color="auto"/>
                      </w:divBdr>
                    </w:div>
                  </w:divsChild>
                </w:div>
                <w:div w:id="1678801150">
                  <w:marLeft w:val="0"/>
                  <w:marRight w:val="0"/>
                  <w:marTop w:val="0"/>
                  <w:marBottom w:val="0"/>
                  <w:divBdr>
                    <w:top w:val="none" w:sz="0" w:space="0" w:color="auto"/>
                    <w:left w:val="none" w:sz="0" w:space="0" w:color="auto"/>
                    <w:bottom w:val="none" w:sz="0" w:space="0" w:color="auto"/>
                    <w:right w:val="none" w:sz="0" w:space="0" w:color="auto"/>
                  </w:divBdr>
                  <w:divsChild>
                    <w:div w:id="926884112">
                      <w:marLeft w:val="0"/>
                      <w:marRight w:val="0"/>
                      <w:marTop w:val="0"/>
                      <w:marBottom w:val="0"/>
                      <w:divBdr>
                        <w:top w:val="none" w:sz="0" w:space="0" w:color="auto"/>
                        <w:left w:val="none" w:sz="0" w:space="0" w:color="auto"/>
                        <w:bottom w:val="none" w:sz="0" w:space="0" w:color="auto"/>
                        <w:right w:val="none" w:sz="0" w:space="0" w:color="auto"/>
                      </w:divBdr>
                    </w:div>
                  </w:divsChild>
                </w:div>
                <w:div w:id="1689134355">
                  <w:marLeft w:val="0"/>
                  <w:marRight w:val="0"/>
                  <w:marTop w:val="0"/>
                  <w:marBottom w:val="0"/>
                  <w:divBdr>
                    <w:top w:val="none" w:sz="0" w:space="0" w:color="auto"/>
                    <w:left w:val="none" w:sz="0" w:space="0" w:color="auto"/>
                    <w:bottom w:val="none" w:sz="0" w:space="0" w:color="auto"/>
                    <w:right w:val="none" w:sz="0" w:space="0" w:color="auto"/>
                  </w:divBdr>
                  <w:divsChild>
                    <w:div w:id="1176961520">
                      <w:marLeft w:val="0"/>
                      <w:marRight w:val="0"/>
                      <w:marTop w:val="0"/>
                      <w:marBottom w:val="0"/>
                      <w:divBdr>
                        <w:top w:val="none" w:sz="0" w:space="0" w:color="auto"/>
                        <w:left w:val="none" w:sz="0" w:space="0" w:color="auto"/>
                        <w:bottom w:val="none" w:sz="0" w:space="0" w:color="auto"/>
                        <w:right w:val="none" w:sz="0" w:space="0" w:color="auto"/>
                      </w:divBdr>
                    </w:div>
                    <w:div w:id="1721712023">
                      <w:marLeft w:val="0"/>
                      <w:marRight w:val="0"/>
                      <w:marTop w:val="0"/>
                      <w:marBottom w:val="0"/>
                      <w:divBdr>
                        <w:top w:val="none" w:sz="0" w:space="0" w:color="auto"/>
                        <w:left w:val="none" w:sz="0" w:space="0" w:color="auto"/>
                        <w:bottom w:val="none" w:sz="0" w:space="0" w:color="auto"/>
                        <w:right w:val="none" w:sz="0" w:space="0" w:color="auto"/>
                      </w:divBdr>
                    </w:div>
                  </w:divsChild>
                </w:div>
                <w:div w:id="1708798278">
                  <w:marLeft w:val="0"/>
                  <w:marRight w:val="0"/>
                  <w:marTop w:val="0"/>
                  <w:marBottom w:val="0"/>
                  <w:divBdr>
                    <w:top w:val="none" w:sz="0" w:space="0" w:color="auto"/>
                    <w:left w:val="none" w:sz="0" w:space="0" w:color="auto"/>
                    <w:bottom w:val="none" w:sz="0" w:space="0" w:color="auto"/>
                    <w:right w:val="none" w:sz="0" w:space="0" w:color="auto"/>
                  </w:divBdr>
                  <w:divsChild>
                    <w:div w:id="1734622585">
                      <w:marLeft w:val="0"/>
                      <w:marRight w:val="0"/>
                      <w:marTop w:val="0"/>
                      <w:marBottom w:val="0"/>
                      <w:divBdr>
                        <w:top w:val="none" w:sz="0" w:space="0" w:color="auto"/>
                        <w:left w:val="none" w:sz="0" w:space="0" w:color="auto"/>
                        <w:bottom w:val="none" w:sz="0" w:space="0" w:color="auto"/>
                        <w:right w:val="none" w:sz="0" w:space="0" w:color="auto"/>
                      </w:divBdr>
                    </w:div>
                  </w:divsChild>
                </w:div>
                <w:div w:id="1791243620">
                  <w:marLeft w:val="0"/>
                  <w:marRight w:val="0"/>
                  <w:marTop w:val="0"/>
                  <w:marBottom w:val="0"/>
                  <w:divBdr>
                    <w:top w:val="none" w:sz="0" w:space="0" w:color="auto"/>
                    <w:left w:val="none" w:sz="0" w:space="0" w:color="auto"/>
                    <w:bottom w:val="none" w:sz="0" w:space="0" w:color="auto"/>
                    <w:right w:val="none" w:sz="0" w:space="0" w:color="auto"/>
                  </w:divBdr>
                  <w:divsChild>
                    <w:div w:id="1760560511">
                      <w:marLeft w:val="0"/>
                      <w:marRight w:val="0"/>
                      <w:marTop w:val="0"/>
                      <w:marBottom w:val="0"/>
                      <w:divBdr>
                        <w:top w:val="none" w:sz="0" w:space="0" w:color="auto"/>
                        <w:left w:val="none" w:sz="0" w:space="0" w:color="auto"/>
                        <w:bottom w:val="none" w:sz="0" w:space="0" w:color="auto"/>
                        <w:right w:val="none" w:sz="0" w:space="0" w:color="auto"/>
                      </w:divBdr>
                    </w:div>
                  </w:divsChild>
                </w:div>
                <w:div w:id="1843817133">
                  <w:marLeft w:val="0"/>
                  <w:marRight w:val="0"/>
                  <w:marTop w:val="0"/>
                  <w:marBottom w:val="0"/>
                  <w:divBdr>
                    <w:top w:val="none" w:sz="0" w:space="0" w:color="auto"/>
                    <w:left w:val="none" w:sz="0" w:space="0" w:color="auto"/>
                    <w:bottom w:val="none" w:sz="0" w:space="0" w:color="auto"/>
                    <w:right w:val="none" w:sz="0" w:space="0" w:color="auto"/>
                  </w:divBdr>
                  <w:divsChild>
                    <w:div w:id="1845195400">
                      <w:marLeft w:val="0"/>
                      <w:marRight w:val="0"/>
                      <w:marTop w:val="0"/>
                      <w:marBottom w:val="0"/>
                      <w:divBdr>
                        <w:top w:val="none" w:sz="0" w:space="0" w:color="auto"/>
                        <w:left w:val="none" w:sz="0" w:space="0" w:color="auto"/>
                        <w:bottom w:val="none" w:sz="0" w:space="0" w:color="auto"/>
                        <w:right w:val="none" w:sz="0" w:space="0" w:color="auto"/>
                      </w:divBdr>
                    </w:div>
                  </w:divsChild>
                </w:div>
                <w:div w:id="1851020829">
                  <w:marLeft w:val="0"/>
                  <w:marRight w:val="0"/>
                  <w:marTop w:val="0"/>
                  <w:marBottom w:val="0"/>
                  <w:divBdr>
                    <w:top w:val="none" w:sz="0" w:space="0" w:color="auto"/>
                    <w:left w:val="none" w:sz="0" w:space="0" w:color="auto"/>
                    <w:bottom w:val="none" w:sz="0" w:space="0" w:color="auto"/>
                    <w:right w:val="none" w:sz="0" w:space="0" w:color="auto"/>
                  </w:divBdr>
                  <w:divsChild>
                    <w:div w:id="335811795">
                      <w:marLeft w:val="0"/>
                      <w:marRight w:val="0"/>
                      <w:marTop w:val="0"/>
                      <w:marBottom w:val="0"/>
                      <w:divBdr>
                        <w:top w:val="none" w:sz="0" w:space="0" w:color="auto"/>
                        <w:left w:val="none" w:sz="0" w:space="0" w:color="auto"/>
                        <w:bottom w:val="none" w:sz="0" w:space="0" w:color="auto"/>
                        <w:right w:val="none" w:sz="0" w:space="0" w:color="auto"/>
                      </w:divBdr>
                    </w:div>
                  </w:divsChild>
                </w:div>
                <w:div w:id="1915047909">
                  <w:marLeft w:val="0"/>
                  <w:marRight w:val="0"/>
                  <w:marTop w:val="0"/>
                  <w:marBottom w:val="0"/>
                  <w:divBdr>
                    <w:top w:val="none" w:sz="0" w:space="0" w:color="auto"/>
                    <w:left w:val="none" w:sz="0" w:space="0" w:color="auto"/>
                    <w:bottom w:val="none" w:sz="0" w:space="0" w:color="auto"/>
                    <w:right w:val="none" w:sz="0" w:space="0" w:color="auto"/>
                  </w:divBdr>
                  <w:divsChild>
                    <w:div w:id="2135520851">
                      <w:marLeft w:val="0"/>
                      <w:marRight w:val="0"/>
                      <w:marTop w:val="0"/>
                      <w:marBottom w:val="0"/>
                      <w:divBdr>
                        <w:top w:val="none" w:sz="0" w:space="0" w:color="auto"/>
                        <w:left w:val="none" w:sz="0" w:space="0" w:color="auto"/>
                        <w:bottom w:val="none" w:sz="0" w:space="0" w:color="auto"/>
                        <w:right w:val="none" w:sz="0" w:space="0" w:color="auto"/>
                      </w:divBdr>
                    </w:div>
                  </w:divsChild>
                </w:div>
                <w:div w:id="1942956900">
                  <w:marLeft w:val="0"/>
                  <w:marRight w:val="0"/>
                  <w:marTop w:val="0"/>
                  <w:marBottom w:val="0"/>
                  <w:divBdr>
                    <w:top w:val="none" w:sz="0" w:space="0" w:color="auto"/>
                    <w:left w:val="none" w:sz="0" w:space="0" w:color="auto"/>
                    <w:bottom w:val="none" w:sz="0" w:space="0" w:color="auto"/>
                    <w:right w:val="none" w:sz="0" w:space="0" w:color="auto"/>
                  </w:divBdr>
                  <w:divsChild>
                    <w:div w:id="1156531221">
                      <w:marLeft w:val="0"/>
                      <w:marRight w:val="0"/>
                      <w:marTop w:val="0"/>
                      <w:marBottom w:val="0"/>
                      <w:divBdr>
                        <w:top w:val="none" w:sz="0" w:space="0" w:color="auto"/>
                        <w:left w:val="none" w:sz="0" w:space="0" w:color="auto"/>
                        <w:bottom w:val="none" w:sz="0" w:space="0" w:color="auto"/>
                        <w:right w:val="none" w:sz="0" w:space="0" w:color="auto"/>
                      </w:divBdr>
                    </w:div>
                    <w:div w:id="173554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18152">
          <w:marLeft w:val="0"/>
          <w:marRight w:val="0"/>
          <w:marTop w:val="0"/>
          <w:marBottom w:val="0"/>
          <w:divBdr>
            <w:top w:val="none" w:sz="0" w:space="0" w:color="auto"/>
            <w:left w:val="none" w:sz="0" w:space="0" w:color="auto"/>
            <w:bottom w:val="none" w:sz="0" w:space="0" w:color="auto"/>
            <w:right w:val="none" w:sz="0" w:space="0" w:color="auto"/>
          </w:divBdr>
        </w:div>
        <w:div w:id="120925440">
          <w:marLeft w:val="0"/>
          <w:marRight w:val="0"/>
          <w:marTop w:val="0"/>
          <w:marBottom w:val="0"/>
          <w:divBdr>
            <w:top w:val="none" w:sz="0" w:space="0" w:color="auto"/>
            <w:left w:val="none" w:sz="0" w:space="0" w:color="auto"/>
            <w:bottom w:val="none" w:sz="0" w:space="0" w:color="auto"/>
            <w:right w:val="none" w:sz="0" w:space="0" w:color="auto"/>
          </w:divBdr>
        </w:div>
        <w:div w:id="162093171">
          <w:marLeft w:val="0"/>
          <w:marRight w:val="0"/>
          <w:marTop w:val="0"/>
          <w:marBottom w:val="0"/>
          <w:divBdr>
            <w:top w:val="none" w:sz="0" w:space="0" w:color="auto"/>
            <w:left w:val="none" w:sz="0" w:space="0" w:color="auto"/>
            <w:bottom w:val="none" w:sz="0" w:space="0" w:color="auto"/>
            <w:right w:val="none" w:sz="0" w:space="0" w:color="auto"/>
          </w:divBdr>
        </w:div>
        <w:div w:id="185556797">
          <w:marLeft w:val="0"/>
          <w:marRight w:val="0"/>
          <w:marTop w:val="0"/>
          <w:marBottom w:val="0"/>
          <w:divBdr>
            <w:top w:val="none" w:sz="0" w:space="0" w:color="auto"/>
            <w:left w:val="none" w:sz="0" w:space="0" w:color="auto"/>
            <w:bottom w:val="none" w:sz="0" w:space="0" w:color="auto"/>
            <w:right w:val="none" w:sz="0" w:space="0" w:color="auto"/>
          </w:divBdr>
        </w:div>
        <w:div w:id="193815284">
          <w:marLeft w:val="0"/>
          <w:marRight w:val="0"/>
          <w:marTop w:val="0"/>
          <w:marBottom w:val="0"/>
          <w:divBdr>
            <w:top w:val="none" w:sz="0" w:space="0" w:color="auto"/>
            <w:left w:val="none" w:sz="0" w:space="0" w:color="auto"/>
            <w:bottom w:val="none" w:sz="0" w:space="0" w:color="auto"/>
            <w:right w:val="none" w:sz="0" w:space="0" w:color="auto"/>
          </w:divBdr>
        </w:div>
        <w:div w:id="263459896">
          <w:marLeft w:val="0"/>
          <w:marRight w:val="0"/>
          <w:marTop w:val="0"/>
          <w:marBottom w:val="0"/>
          <w:divBdr>
            <w:top w:val="none" w:sz="0" w:space="0" w:color="auto"/>
            <w:left w:val="none" w:sz="0" w:space="0" w:color="auto"/>
            <w:bottom w:val="none" w:sz="0" w:space="0" w:color="auto"/>
            <w:right w:val="none" w:sz="0" w:space="0" w:color="auto"/>
          </w:divBdr>
        </w:div>
        <w:div w:id="319701010">
          <w:marLeft w:val="0"/>
          <w:marRight w:val="0"/>
          <w:marTop w:val="0"/>
          <w:marBottom w:val="0"/>
          <w:divBdr>
            <w:top w:val="none" w:sz="0" w:space="0" w:color="auto"/>
            <w:left w:val="none" w:sz="0" w:space="0" w:color="auto"/>
            <w:bottom w:val="none" w:sz="0" w:space="0" w:color="auto"/>
            <w:right w:val="none" w:sz="0" w:space="0" w:color="auto"/>
          </w:divBdr>
        </w:div>
        <w:div w:id="344327033">
          <w:marLeft w:val="0"/>
          <w:marRight w:val="0"/>
          <w:marTop w:val="0"/>
          <w:marBottom w:val="0"/>
          <w:divBdr>
            <w:top w:val="none" w:sz="0" w:space="0" w:color="auto"/>
            <w:left w:val="none" w:sz="0" w:space="0" w:color="auto"/>
            <w:bottom w:val="none" w:sz="0" w:space="0" w:color="auto"/>
            <w:right w:val="none" w:sz="0" w:space="0" w:color="auto"/>
          </w:divBdr>
        </w:div>
        <w:div w:id="380593935">
          <w:marLeft w:val="0"/>
          <w:marRight w:val="0"/>
          <w:marTop w:val="0"/>
          <w:marBottom w:val="0"/>
          <w:divBdr>
            <w:top w:val="none" w:sz="0" w:space="0" w:color="auto"/>
            <w:left w:val="none" w:sz="0" w:space="0" w:color="auto"/>
            <w:bottom w:val="none" w:sz="0" w:space="0" w:color="auto"/>
            <w:right w:val="none" w:sz="0" w:space="0" w:color="auto"/>
          </w:divBdr>
        </w:div>
        <w:div w:id="450127985">
          <w:marLeft w:val="0"/>
          <w:marRight w:val="0"/>
          <w:marTop w:val="0"/>
          <w:marBottom w:val="0"/>
          <w:divBdr>
            <w:top w:val="none" w:sz="0" w:space="0" w:color="auto"/>
            <w:left w:val="none" w:sz="0" w:space="0" w:color="auto"/>
            <w:bottom w:val="none" w:sz="0" w:space="0" w:color="auto"/>
            <w:right w:val="none" w:sz="0" w:space="0" w:color="auto"/>
          </w:divBdr>
        </w:div>
        <w:div w:id="458455072">
          <w:marLeft w:val="0"/>
          <w:marRight w:val="0"/>
          <w:marTop w:val="0"/>
          <w:marBottom w:val="0"/>
          <w:divBdr>
            <w:top w:val="none" w:sz="0" w:space="0" w:color="auto"/>
            <w:left w:val="none" w:sz="0" w:space="0" w:color="auto"/>
            <w:bottom w:val="none" w:sz="0" w:space="0" w:color="auto"/>
            <w:right w:val="none" w:sz="0" w:space="0" w:color="auto"/>
          </w:divBdr>
        </w:div>
        <w:div w:id="466312762">
          <w:marLeft w:val="0"/>
          <w:marRight w:val="0"/>
          <w:marTop w:val="0"/>
          <w:marBottom w:val="0"/>
          <w:divBdr>
            <w:top w:val="none" w:sz="0" w:space="0" w:color="auto"/>
            <w:left w:val="none" w:sz="0" w:space="0" w:color="auto"/>
            <w:bottom w:val="none" w:sz="0" w:space="0" w:color="auto"/>
            <w:right w:val="none" w:sz="0" w:space="0" w:color="auto"/>
          </w:divBdr>
        </w:div>
        <w:div w:id="526068986">
          <w:marLeft w:val="0"/>
          <w:marRight w:val="0"/>
          <w:marTop w:val="0"/>
          <w:marBottom w:val="0"/>
          <w:divBdr>
            <w:top w:val="none" w:sz="0" w:space="0" w:color="auto"/>
            <w:left w:val="none" w:sz="0" w:space="0" w:color="auto"/>
            <w:bottom w:val="none" w:sz="0" w:space="0" w:color="auto"/>
            <w:right w:val="none" w:sz="0" w:space="0" w:color="auto"/>
          </w:divBdr>
        </w:div>
        <w:div w:id="532577567">
          <w:marLeft w:val="0"/>
          <w:marRight w:val="0"/>
          <w:marTop w:val="0"/>
          <w:marBottom w:val="0"/>
          <w:divBdr>
            <w:top w:val="none" w:sz="0" w:space="0" w:color="auto"/>
            <w:left w:val="none" w:sz="0" w:space="0" w:color="auto"/>
            <w:bottom w:val="none" w:sz="0" w:space="0" w:color="auto"/>
            <w:right w:val="none" w:sz="0" w:space="0" w:color="auto"/>
          </w:divBdr>
        </w:div>
        <w:div w:id="552158200">
          <w:marLeft w:val="0"/>
          <w:marRight w:val="0"/>
          <w:marTop w:val="0"/>
          <w:marBottom w:val="0"/>
          <w:divBdr>
            <w:top w:val="none" w:sz="0" w:space="0" w:color="auto"/>
            <w:left w:val="none" w:sz="0" w:space="0" w:color="auto"/>
            <w:bottom w:val="none" w:sz="0" w:space="0" w:color="auto"/>
            <w:right w:val="none" w:sz="0" w:space="0" w:color="auto"/>
          </w:divBdr>
        </w:div>
        <w:div w:id="565409544">
          <w:marLeft w:val="0"/>
          <w:marRight w:val="0"/>
          <w:marTop w:val="0"/>
          <w:marBottom w:val="0"/>
          <w:divBdr>
            <w:top w:val="none" w:sz="0" w:space="0" w:color="auto"/>
            <w:left w:val="none" w:sz="0" w:space="0" w:color="auto"/>
            <w:bottom w:val="none" w:sz="0" w:space="0" w:color="auto"/>
            <w:right w:val="none" w:sz="0" w:space="0" w:color="auto"/>
          </w:divBdr>
        </w:div>
        <w:div w:id="577518243">
          <w:marLeft w:val="0"/>
          <w:marRight w:val="0"/>
          <w:marTop w:val="0"/>
          <w:marBottom w:val="0"/>
          <w:divBdr>
            <w:top w:val="none" w:sz="0" w:space="0" w:color="auto"/>
            <w:left w:val="none" w:sz="0" w:space="0" w:color="auto"/>
            <w:bottom w:val="none" w:sz="0" w:space="0" w:color="auto"/>
            <w:right w:val="none" w:sz="0" w:space="0" w:color="auto"/>
          </w:divBdr>
        </w:div>
        <w:div w:id="655063160">
          <w:marLeft w:val="0"/>
          <w:marRight w:val="0"/>
          <w:marTop w:val="0"/>
          <w:marBottom w:val="0"/>
          <w:divBdr>
            <w:top w:val="none" w:sz="0" w:space="0" w:color="auto"/>
            <w:left w:val="none" w:sz="0" w:space="0" w:color="auto"/>
            <w:bottom w:val="none" w:sz="0" w:space="0" w:color="auto"/>
            <w:right w:val="none" w:sz="0" w:space="0" w:color="auto"/>
          </w:divBdr>
        </w:div>
        <w:div w:id="716972733">
          <w:marLeft w:val="0"/>
          <w:marRight w:val="0"/>
          <w:marTop w:val="0"/>
          <w:marBottom w:val="0"/>
          <w:divBdr>
            <w:top w:val="none" w:sz="0" w:space="0" w:color="auto"/>
            <w:left w:val="none" w:sz="0" w:space="0" w:color="auto"/>
            <w:bottom w:val="none" w:sz="0" w:space="0" w:color="auto"/>
            <w:right w:val="none" w:sz="0" w:space="0" w:color="auto"/>
          </w:divBdr>
        </w:div>
        <w:div w:id="735394207">
          <w:marLeft w:val="0"/>
          <w:marRight w:val="0"/>
          <w:marTop w:val="0"/>
          <w:marBottom w:val="0"/>
          <w:divBdr>
            <w:top w:val="none" w:sz="0" w:space="0" w:color="auto"/>
            <w:left w:val="none" w:sz="0" w:space="0" w:color="auto"/>
            <w:bottom w:val="none" w:sz="0" w:space="0" w:color="auto"/>
            <w:right w:val="none" w:sz="0" w:space="0" w:color="auto"/>
          </w:divBdr>
        </w:div>
        <w:div w:id="792215000">
          <w:marLeft w:val="0"/>
          <w:marRight w:val="0"/>
          <w:marTop w:val="0"/>
          <w:marBottom w:val="0"/>
          <w:divBdr>
            <w:top w:val="none" w:sz="0" w:space="0" w:color="auto"/>
            <w:left w:val="none" w:sz="0" w:space="0" w:color="auto"/>
            <w:bottom w:val="none" w:sz="0" w:space="0" w:color="auto"/>
            <w:right w:val="none" w:sz="0" w:space="0" w:color="auto"/>
          </w:divBdr>
          <w:divsChild>
            <w:div w:id="1429154627">
              <w:marLeft w:val="-75"/>
              <w:marRight w:val="0"/>
              <w:marTop w:val="30"/>
              <w:marBottom w:val="30"/>
              <w:divBdr>
                <w:top w:val="none" w:sz="0" w:space="0" w:color="auto"/>
                <w:left w:val="none" w:sz="0" w:space="0" w:color="auto"/>
                <w:bottom w:val="none" w:sz="0" w:space="0" w:color="auto"/>
                <w:right w:val="none" w:sz="0" w:space="0" w:color="auto"/>
              </w:divBdr>
              <w:divsChild>
                <w:div w:id="23021965">
                  <w:marLeft w:val="0"/>
                  <w:marRight w:val="0"/>
                  <w:marTop w:val="0"/>
                  <w:marBottom w:val="0"/>
                  <w:divBdr>
                    <w:top w:val="none" w:sz="0" w:space="0" w:color="auto"/>
                    <w:left w:val="none" w:sz="0" w:space="0" w:color="auto"/>
                    <w:bottom w:val="none" w:sz="0" w:space="0" w:color="auto"/>
                    <w:right w:val="none" w:sz="0" w:space="0" w:color="auto"/>
                  </w:divBdr>
                  <w:divsChild>
                    <w:div w:id="2004697830">
                      <w:marLeft w:val="0"/>
                      <w:marRight w:val="0"/>
                      <w:marTop w:val="0"/>
                      <w:marBottom w:val="0"/>
                      <w:divBdr>
                        <w:top w:val="none" w:sz="0" w:space="0" w:color="auto"/>
                        <w:left w:val="none" w:sz="0" w:space="0" w:color="auto"/>
                        <w:bottom w:val="none" w:sz="0" w:space="0" w:color="auto"/>
                        <w:right w:val="none" w:sz="0" w:space="0" w:color="auto"/>
                      </w:divBdr>
                    </w:div>
                  </w:divsChild>
                </w:div>
                <w:div w:id="290744290">
                  <w:marLeft w:val="0"/>
                  <w:marRight w:val="0"/>
                  <w:marTop w:val="0"/>
                  <w:marBottom w:val="0"/>
                  <w:divBdr>
                    <w:top w:val="none" w:sz="0" w:space="0" w:color="auto"/>
                    <w:left w:val="none" w:sz="0" w:space="0" w:color="auto"/>
                    <w:bottom w:val="none" w:sz="0" w:space="0" w:color="auto"/>
                    <w:right w:val="none" w:sz="0" w:space="0" w:color="auto"/>
                  </w:divBdr>
                  <w:divsChild>
                    <w:div w:id="1779330379">
                      <w:marLeft w:val="0"/>
                      <w:marRight w:val="0"/>
                      <w:marTop w:val="0"/>
                      <w:marBottom w:val="0"/>
                      <w:divBdr>
                        <w:top w:val="none" w:sz="0" w:space="0" w:color="auto"/>
                        <w:left w:val="none" w:sz="0" w:space="0" w:color="auto"/>
                        <w:bottom w:val="none" w:sz="0" w:space="0" w:color="auto"/>
                        <w:right w:val="none" w:sz="0" w:space="0" w:color="auto"/>
                      </w:divBdr>
                    </w:div>
                  </w:divsChild>
                </w:div>
                <w:div w:id="398481114">
                  <w:marLeft w:val="0"/>
                  <w:marRight w:val="0"/>
                  <w:marTop w:val="0"/>
                  <w:marBottom w:val="0"/>
                  <w:divBdr>
                    <w:top w:val="none" w:sz="0" w:space="0" w:color="auto"/>
                    <w:left w:val="none" w:sz="0" w:space="0" w:color="auto"/>
                    <w:bottom w:val="none" w:sz="0" w:space="0" w:color="auto"/>
                    <w:right w:val="none" w:sz="0" w:space="0" w:color="auto"/>
                  </w:divBdr>
                  <w:divsChild>
                    <w:div w:id="1509365625">
                      <w:marLeft w:val="0"/>
                      <w:marRight w:val="0"/>
                      <w:marTop w:val="0"/>
                      <w:marBottom w:val="0"/>
                      <w:divBdr>
                        <w:top w:val="none" w:sz="0" w:space="0" w:color="auto"/>
                        <w:left w:val="none" w:sz="0" w:space="0" w:color="auto"/>
                        <w:bottom w:val="none" w:sz="0" w:space="0" w:color="auto"/>
                        <w:right w:val="none" w:sz="0" w:space="0" w:color="auto"/>
                      </w:divBdr>
                    </w:div>
                  </w:divsChild>
                </w:div>
                <w:div w:id="678581952">
                  <w:marLeft w:val="0"/>
                  <w:marRight w:val="0"/>
                  <w:marTop w:val="0"/>
                  <w:marBottom w:val="0"/>
                  <w:divBdr>
                    <w:top w:val="none" w:sz="0" w:space="0" w:color="auto"/>
                    <w:left w:val="none" w:sz="0" w:space="0" w:color="auto"/>
                    <w:bottom w:val="none" w:sz="0" w:space="0" w:color="auto"/>
                    <w:right w:val="none" w:sz="0" w:space="0" w:color="auto"/>
                  </w:divBdr>
                  <w:divsChild>
                    <w:div w:id="1179463517">
                      <w:marLeft w:val="0"/>
                      <w:marRight w:val="0"/>
                      <w:marTop w:val="0"/>
                      <w:marBottom w:val="0"/>
                      <w:divBdr>
                        <w:top w:val="none" w:sz="0" w:space="0" w:color="auto"/>
                        <w:left w:val="none" w:sz="0" w:space="0" w:color="auto"/>
                        <w:bottom w:val="none" w:sz="0" w:space="0" w:color="auto"/>
                        <w:right w:val="none" w:sz="0" w:space="0" w:color="auto"/>
                      </w:divBdr>
                    </w:div>
                  </w:divsChild>
                </w:div>
                <w:div w:id="962466132">
                  <w:marLeft w:val="0"/>
                  <w:marRight w:val="0"/>
                  <w:marTop w:val="0"/>
                  <w:marBottom w:val="0"/>
                  <w:divBdr>
                    <w:top w:val="none" w:sz="0" w:space="0" w:color="auto"/>
                    <w:left w:val="none" w:sz="0" w:space="0" w:color="auto"/>
                    <w:bottom w:val="none" w:sz="0" w:space="0" w:color="auto"/>
                    <w:right w:val="none" w:sz="0" w:space="0" w:color="auto"/>
                  </w:divBdr>
                  <w:divsChild>
                    <w:div w:id="88039852">
                      <w:marLeft w:val="0"/>
                      <w:marRight w:val="0"/>
                      <w:marTop w:val="0"/>
                      <w:marBottom w:val="0"/>
                      <w:divBdr>
                        <w:top w:val="none" w:sz="0" w:space="0" w:color="auto"/>
                        <w:left w:val="none" w:sz="0" w:space="0" w:color="auto"/>
                        <w:bottom w:val="none" w:sz="0" w:space="0" w:color="auto"/>
                        <w:right w:val="none" w:sz="0" w:space="0" w:color="auto"/>
                      </w:divBdr>
                    </w:div>
                  </w:divsChild>
                </w:div>
                <w:div w:id="1037973417">
                  <w:marLeft w:val="0"/>
                  <w:marRight w:val="0"/>
                  <w:marTop w:val="0"/>
                  <w:marBottom w:val="0"/>
                  <w:divBdr>
                    <w:top w:val="none" w:sz="0" w:space="0" w:color="auto"/>
                    <w:left w:val="none" w:sz="0" w:space="0" w:color="auto"/>
                    <w:bottom w:val="none" w:sz="0" w:space="0" w:color="auto"/>
                    <w:right w:val="none" w:sz="0" w:space="0" w:color="auto"/>
                  </w:divBdr>
                  <w:divsChild>
                    <w:div w:id="1303773632">
                      <w:marLeft w:val="0"/>
                      <w:marRight w:val="0"/>
                      <w:marTop w:val="0"/>
                      <w:marBottom w:val="0"/>
                      <w:divBdr>
                        <w:top w:val="none" w:sz="0" w:space="0" w:color="auto"/>
                        <w:left w:val="none" w:sz="0" w:space="0" w:color="auto"/>
                        <w:bottom w:val="none" w:sz="0" w:space="0" w:color="auto"/>
                        <w:right w:val="none" w:sz="0" w:space="0" w:color="auto"/>
                      </w:divBdr>
                    </w:div>
                  </w:divsChild>
                </w:div>
                <w:div w:id="1118841788">
                  <w:marLeft w:val="0"/>
                  <w:marRight w:val="0"/>
                  <w:marTop w:val="0"/>
                  <w:marBottom w:val="0"/>
                  <w:divBdr>
                    <w:top w:val="none" w:sz="0" w:space="0" w:color="auto"/>
                    <w:left w:val="none" w:sz="0" w:space="0" w:color="auto"/>
                    <w:bottom w:val="none" w:sz="0" w:space="0" w:color="auto"/>
                    <w:right w:val="none" w:sz="0" w:space="0" w:color="auto"/>
                  </w:divBdr>
                  <w:divsChild>
                    <w:div w:id="1094936295">
                      <w:marLeft w:val="0"/>
                      <w:marRight w:val="0"/>
                      <w:marTop w:val="0"/>
                      <w:marBottom w:val="0"/>
                      <w:divBdr>
                        <w:top w:val="none" w:sz="0" w:space="0" w:color="auto"/>
                        <w:left w:val="none" w:sz="0" w:space="0" w:color="auto"/>
                        <w:bottom w:val="none" w:sz="0" w:space="0" w:color="auto"/>
                        <w:right w:val="none" w:sz="0" w:space="0" w:color="auto"/>
                      </w:divBdr>
                    </w:div>
                  </w:divsChild>
                </w:div>
                <w:div w:id="1590232046">
                  <w:marLeft w:val="0"/>
                  <w:marRight w:val="0"/>
                  <w:marTop w:val="0"/>
                  <w:marBottom w:val="0"/>
                  <w:divBdr>
                    <w:top w:val="none" w:sz="0" w:space="0" w:color="auto"/>
                    <w:left w:val="none" w:sz="0" w:space="0" w:color="auto"/>
                    <w:bottom w:val="none" w:sz="0" w:space="0" w:color="auto"/>
                    <w:right w:val="none" w:sz="0" w:space="0" w:color="auto"/>
                  </w:divBdr>
                  <w:divsChild>
                    <w:div w:id="352149420">
                      <w:marLeft w:val="0"/>
                      <w:marRight w:val="0"/>
                      <w:marTop w:val="0"/>
                      <w:marBottom w:val="0"/>
                      <w:divBdr>
                        <w:top w:val="none" w:sz="0" w:space="0" w:color="auto"/>
                        <w:left w:val="none" w:sz="0" w:space="0" w:color="auto"/>
                        <w:bottom w:val="none" w:sz="0" w:space="0" w:color="auto"/>
                        <w:right w:val="none" w:sz="0" w:space="0" w:color="auto"/>
                      </w:divBdr>
                    </w:div>
                  </w:divsChild>
                </w:div>
                <w:div w:id="1628586815">
                  <w:marLeft w:val="0"/>
                  <w:marRight w:val="0"/>
                  <w:marTop w:val="0"/>
                  <w:marBottom w:val="0"/>
                  <w:divBdr>
                    <w:top w:val="none" w:sz="0" w:space="0" w:color="auto"/>
                    <w:left w:val="none" w:sz="0" w:space="0" w:color="auto"/>
                    <w:bottom w:val="none" w:sz="0" w:space="0" w:color="auto"/>
                    <w:right w:val="none" w:sz="0" w:space="0" w:color="auto"/>
                  </w:divBdr>
                  <w:divsChild>
                    <w:div w:id="2031711199">
                      <w:marLeft w:val="0"/>
                      <w:marRight w:val="0"/>
                      <w:marTop w:val="0"/>
                      <w:marBottom w:val="0"/>
                      <w:divBdr>
                        <w:top w:val="none" w:sz="0" w:space="0" w:color="auto"/>
                        <w:left w:val="none" w:sz="0" w:space="0" w:color="auto"/>
                        <w:bottom w:val="none" w:sz="0" w:space="0" w:color="auto"/>
                        <w:right w:val="none" w:sz="0" w:space="0" w:color="auto"/>
                      </w:divBdr>
                    </w:div>
                  </w:divsChild>
                </w:div>
                <w:div w:id="1870604607">
                  <w:marLeft w:val="0"/>
                  <w:marRight w:val="0"/>
                  <w:marTop w:val="0"/>
                  <w:marBottom w:val="0"/>
                  <w:divBdr>
                    <w:top w:val="none" w:sz="0" w:space="0" w:color="auto"/>
                    <w:left w:val="none" w:sz="0" w:space="0" w:color="auto"/>
                    <w:bottom w:val="none" w:sz="0" w:space="0" w:color="auto"/>
                    <w:right w:val="none" w:sz="0" w:space="0" w:color="auto"/>
                  </w:divBdr>
                  <w:divsChild>
                    <w:div w:id="402220125">
                      <w:marLeft w:val="0"/>
                      <w:marRight w:val="0"/>
                      <w:marTop w:val="0"/>
                      <w:marBottom w:val="0"/>
                      <w:divBdr>
                        <w:top w:val="none" w:sz="0" w:space="0" w:color="auto"/>
                        <w:left w:val="none" w:sz="0" w:space="0" w:color="auto"/>
                        <w:bottom w:val="none" w:sz="0" w:space="0" w:color="auto"/>
                        <w:right w:val="none" w:sz="0" w:space="0" w:color="auto"/>
                      </w:divBdr>
                    </w:div>
                  </w:divsChild>
                </w:div>
                <w:div w:id="1927571580">
                  <w:marLeft w:val="0"/>
                  <w:marRight w:val="0"/>
                  <w:marTop w:val="0"/>
                  <w:marBottom w:val="0"/>
                  <w:divBdr>
                    <w:top w:val="none" w:sz="0" w:space="0" w:color="auto"/>
                    <w:left w:val="none" w:sz="0" w:space="0" w:color="auto"/>
                    <w:bottom w:val="none" w:sz="0" w:space="0" w:color="auto"/>
                    <w:right w:val="none" w:sz="0" w:space="0" w:color="auto"/>
                  </w:divBdr>
                  <w:divsChild>
                    <w:div w:id="1446803407">
                      <w:marLeft w:val="0"/>
                      <w:marRight w:val="0"/>
                      <w:marTop w:val="0"/>
                      <w:marBottom w:val="0"/>
                      <w:divBdr>
                        <w:top w:val="none" w:sz="0" w:space="0" w:color="auto"/>
                        <w:left w:val="none" w:sz="0" w:space="0" w:color="auto"/>
                        <w:bottom w:val="none" w:sz="0" w:space="0" w:color="auto"/>
                        <w:right w:val="none" w:sz="0" w:space="0" w:color="auto"/>
                      </w:divBdr>
                    </w:div>
                  </w:divsChild>
                </w:div>
                <w:div w:id="1946425712">
                  <w:marLeft w:val="0"/>
                  <w:marRight w:val="0"/>
                  <w:marTop w:val="0"/>
                  <w:marBottom w:val="0"/>
                  <w:divBdr>
                    <w:top w:val="none" w:sz="0" w:space="0" w:color="auto"/>
                    <w:left w:val="none" w:sz="0" w:space="0" w:color="auto"/>
                    <w:bottom w:val="none" w:sz="0" w:space="0" w:color="auto"/>
                    <w:right w:val="none" w:sz="0" w:space="0" w:color="auto"/>
                  </w:divBdr>
                  <w:divsChild>
                    <w:div w:id="169495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801129">
          <w:marLeft w:val="0"/>
          <w:marRight w:val="0"/>
          <w:marTop w:val="0"/>
          <w:marBottom w:val="0"/>
          <w:divBdr>
            <w:top w:val="none" w:sz="0" w:space="0" w:color="auto"/>
            <w:left w:val="none" w:sz="0" w:space="0" w:color="auto"/>
            <w:bottom w:val="none" w:sz="0" w:space="0" w:color="auto"/>
            <w:right w:val="none" w:sz="0" w:space="0" w:color="auto"/>
          </w:divBdr>
        </w:div>
        <w:div w:id="809060387">
          <w:marLeft w:val="0"/>
          <w:marRight w:val="0"/>
          <w:marTop w:val="0"/>
          <w:marBottom w:val="0"/>
          <w:divBdr>
            <w:top w:val="none" w:sz="0" w:space="0" w:color="auto"/>
            <w:left w:val="none" w:sz="0" w:space="0" w:color="auto"/>
            <w:bottom w:val="none" w:sz="0" w:space="0" w:color="auto"/>
            <w:right w:val="none" w:sz="0" w:space="0" w:color="auto"/>
          </w:divBdr>
        </w:div>
        <w:div w:id="851261831">
          <w:marLeft w:val="0"/>
          <w:marRight w:val="0"/>
          <w:marTop w:val="0"/>
          <w:marBottom w:val="0"/>
          <w:divBdr>
            <w:top w:val="none" w:sz="0" w:space="0" w:color="auto"/>
            <w:left w:val="none" w:sz="0" w:space="0" w:color="auto"/>
            <w:bottom w:val="none" w:sz="0" w:space="0" w:color="auto"/>
            <w:right w:val="none" w:sz="0" w:space="0" w:color="auto"/>
          </w:divBdr>
        </w:div>
        <w:div w:id="861170392">
          <w:marLeft w:val="0"/>
          <w:marRight w:val="0"/>
          <w:marTop w:val="0"/>
          <w:marBottom w:val="0"/>
          <w:divBdr>
            <w:top w:val="none" w:sz="0" w:space="0" w:color="auto"/>
            <w:left w:val="none" w:sz="0" w:space="0" w:color="auto"/>
            <w:bottom w:val="none" w:sz="0" w:space="0" w:color="auto"/>
            <w:right w:val="none" w:sz="0" w:space="0" w:color="auto"/>
          </w:divBdr>
        </w:div>
        <w:div w:id="874394475">
          <w:marLeft w:val="0"/>
          <w:marRight w:val="0"/>
          <w:marTop w:val="0"/>
          <w:marBottom w:val="0"/>
          <w:divBdr>
            <w:top w:val="none" w:sz="0" w:space="0" w:color="auto"/>
            <w:left w:val="none" w:sz="0" w:space="0" w:color="auto"/>
            <w:bottom w:val="none" w:sz="0" w:space="0" w:color="auto"/>
            <w:right w:val="none" w:sz="0" w:space="0" w:color="auto"/>
          </w:divBdr>
        </w:div>
        <w:div w:id="913003566">
          <w:marLeft w:val="0"/>
          <w:marRight w:val="0"/>
          <w:marTop w:val="0"/>
          <w:marBottom w:val="0"/>
          <w:divBdr>
            <w:top w:val="none" w:sz="0" w:space="0" w:color="auto"/>
            <w:left w:val="none" w:sz="0" w:space="0" w:color="auto"/>
            <w:bottom w:val="none" w:sz="0" w:space="0" w:color="auto"/>
            <w:right w:val="none" w:sz="0" w:space="0" w:color="auto"/>
          </w:divBdr>
        </w:div>
        <w:div w:id="928779459">
          <w:marLeft w:val="0"/>
          <w:marRight w:val="0"/>
          <w:marTop w:val="0"/>
          <w:marBottom w:val="0"/>
          <w:divBdr>
            <w:top w:val="none" w:sz="0" w:space="0" w:color="auto"/>
            <w:left w:val="none" w:sz="0" w:space="0" w:color="auto"/>
            <w:bottom w:val="none" w:sz="0" w:space="0" w:color="auto"/>
            <w:right w:val="none" w:sz="0" w:space="0" w:color="auto"/>
          </w:divBdr>
        </w:div>
        <w:div w:id="968827814">
          <w:marLeft w:val="0"/>
          <w:marRight w:val="0"/>
          <w:marTop w:val="0"/>
          <w:marBottom w:val="0"/>
          <w:divBdr>
            <w:top w:val="none" w:sz="0" w:space="0" w:color="auto"/>
            <w:left w:val="none" w:sz="0" w:space="0" w:color="auto"/>
            <w:bottom w:val="none" w:sz="0" w:space="0" w:color="auto"/>
            <w:right w:val="none" w:sz="0" w:space="0" w:color="auto"/>
          </w:divBdr>
        </w:div>
        <w:div w:id="996495426">
          <w:marLeft w:val="0"/>
          <w:marRight w:val="0"/>
          <w:marTop w:val="0"/>
          <w:marBottom w:val="0"/>
          <w:divBdr>
            <w:top w:val="none" w:sz="0" w:space="0" w:color="auto"/>
            <w:left w:val="none" w:sz="0" w:space="0" w:color="auto"/>
            <w:bottom w:val="none" w:sz="0" w:space="0" w:color="auto"/>
            <w:right w:val="none" w:sz="0" w:space="0" w:color="auto"/>
          </w:divBdr>
        </w:div>
        <w:div w:id="1057897064">
          <w:marLeft w:val="0"/>
          <w:marRight w:val="0"/>
          <w:marTop w:val="0"/>
          <w:marBottom w:val="0"/>
          <w:divBdr>
            <w:top w:val="none" w:sz="0" w:space="0" w:color="auto"/>
            <w:left w:val="none" w:sz="0" w:space="0" w:color="auto"/>
            <w:bottom w:val="none" w:sz="0" w:space="0" w:color="auto"/>
            <w:right w:val="none" w:sz="0" w:space="0" w:color="auto"/>
          </w:divBdr>
        </w:div>
        <w:div w:id="1069156886">
          <w:marLeft w:val="0"/>
          <w:marRight w:val="0"/>
          <w:marTop w:val="0"/>
          <w:marBottom w:val="0"/>
          <w:divBdr>
            <w:top w:val="none" w:sz="0" w:space="0" w:color="auto"/>
            <w:left w:val="none" w:sz="0" w:space="0" w:color="auto"/>
            <w:bottom w:val="none" w:sz="0" w:space="0" w:color="auto"/>
            <w:right w:val="none" w:sz="0" w:space="0" w:color="auto"/>
          </w:divBdr>
        </w:div>
        <w:div w:id="1108696978">
          <w:marLeft w:val="0"/>
          <w:marRight w:val="0"/>
          <w:marTop w:val="0"/>
          <w:marBottom w:val="0"/>
          <w:divBdr>
            <w:top w:val="none" w:sz="0" w:space="0" w:color="auto"/>
            <w:left w:val="none" w:sz="0" w:space="0" w:color="auto"/>
            <w:bottom w:val="none" w:sz="0" w:space="0" w:color="auto"/>
            <w:right w:val="none" w:sz="0" w:space="0" w:color="auto"/>
          </w:divBdr>
        </w:div>
        <w:div w:id="1112481427">
          <w:marLeft w:val="0"/>
          <w:marRight w:val="0"/>
          <w:marTop w:val="0"/>
          <w:marBottom w:val="0"/>
          <w:divBdr>
            <w:top w:val="none" w:sz="0" w:space="0" w:color="auto"/>
            <w:left w:val="none" w:sz="0" w:space="0" w:color="auto"/>
            <w:bottom w:val="none" w:sz="0" w:space="0" w:color="auto"/>
            <w:right w:val="none" w:sz="0" w:space="0" w:color="auto"/>
          </w:divBdr>
        </w:div>
        <w:div w:id="1140153570">
          <w:marLeft w:val="0"/>
          <w:marRight w:val="0"/>
          <w:marTop w:val="0"/>
          <w:marBottom w:val="0"/>
          <w:divBdr>
            <w:top w:val="none" w:sz="0" w:space="0" w:color="auto"/>
            <w:left w:val="none" w:sz="0" w:space="0" w:color="auto"/>
            <w:bottom w:val="none" w:sz="0" w:space="0" w:color="auto"/>
            <w:right w:val="none" w:sz="0" w:space="0" w:color="auto"/>
          </w:divBdr>
        </w:div>
        <w:div w:id="1168522443">
          <w:marLeft w:val="0"/>
          <w:marRight w:val="0"/>
          <w:marTop w:val="0"/>
          <w:marBottom w:val="0"/>
          <w:divBdr>
            <w:top w:val="none" w:sz="0" w:space="0" w:color="auto"/>
            <w:left w:val="none" w:sz="0" w:space="0" w:color="auto"/>
            <w:bottom w:val="none" w:sz="0" w:space="0" w:color="auto"/>
            <w:right w:val="none" w:sz="0" w:space="0" w:color="auto"/>
          </w:divBdr>
        </w:div>
        <w:div w:id="1174999768">
          <w:marLeft w:val="0"/>
          <w:marRight w:val="0"/>
          <w:marTop w:val="0"/>
          <w:marBottom w:val="0"/>
          <w:divBdr>
            <w:top w:val="none" w:sz="0" w:space="0" w:color="auto"/>
            <w:left w:val="none" w:sz="0" w:space="0" w:color="auto"/>
            <w:bottom w:val="none" w:sz="0" w:space="0" w:color="auto"/>
            <w:right w:val="none" w:sz="0" w:space="0" w:color="auto"/>
          </w:divBdr>
        </w:div>
        <w:div w:id="1248617167">
          <w:marLeft w:val="0"/>
          <w:marRight w:val="0"/>
          <w:marTop w:val="0"/>
          <w:marBottom w:val="0"/>
          <w:divBdr>
            <w:top w:val="none" w:sz="0" w:space="0" w:color="auto"/>
            <w:left w:val="none" w:sz="0" w:space="0" w:color="auto"/>
            <w:bottom w:val="none" w:sz="0" w:space="0" w:color="auto"/>
            <w:right w:val="none" w:sz="0" w:space="0" w:color="auto"/>
          </w:divBdr>
        </w:div>
        <w:div w:id="1262839095">
          <w:marLeft w:val="0"/>
          <w:marRight w:val="0"/>
          <w:marTop w:val="0"/>
          <w:marBottom w:val="0"/>
          <w:divBdr>
            <w:top w:val="none" w:sz="0" w:space="0" w:color="auto"/>
            <w:left w:val="none" w:sz="0" w:space="0" w:color="auto"/>
            <w:bottom w:val="none" w:sz="0" w:space="0" w:color="auto"/>
            <w:right w:val="none" w:sz="0" w:space="0" w:color="auto"/>
          </w:divBdr>
        </w:div>
        <w:div w:id="1269119889">
          <w:marLeft w:val="0"/>
          <w:marRight w:val="0"/>
          <w:marTop w:val="0"/>
          <w:marBottom w:val="0"/>
          <w:divBdr>
            <w:top w:val="none" w:sz="0" w:space="0" w:color="auto"/>
            <w:left w:val="none" w:sz="0" w:space="0" w:color="auto"/>
            <w:bottom w:val="none" w:sz="0" w:space="0" w:color="auto"/>
            <w:right w:val="none" w:sz="0" w:space="0" w:color="auto"/>
          </w:divBdr>
        </w:div>
        <w:div w:id="1296182342">
          <w:marLeft w:val="0"/>
          <w:marRight w:val="0"/>
          <w:marTop w:val="0"/>
          <w:marBottom w:val="0"/>
          <w:divBdr>
            <w:top w:val="none" w:sz="0" w:space="0" w:color="auto"/>
            <w:left w:val="none" w:sz="0" w:space="0" w:color="auto"/>
            <w:bottom w:val="none" w:sz="0" w:space="0" w:color="auto"/>
            <w:right w:val="none" w:sz="0" w:space="0" w:color="auto"/>
          </w:divBdr>
        </w:div>
        <w:div w:id="1371421851">
          <w:marLeft w:val="0"/>
          <w:marRight w:val="0"/>
          <w:marTop w:val="0"/>
          <w:marBottom w:val="0"/>
          <w:divBdr>
            <w:top w:val="none" w:sz="0" w:space="0" w:color="auto"/>
            <w:left w:val="none" w:sz="0" w:space="0" w:color="auto"/>
            <w:bottom w:val="none" w:sz="0" w:space="0" w:color="auto"/>
            <w:right w:val="none" w:sz="0" w:space="0" w:color="auto"/>
          </w:divBdr>
        </w:div>
        <w:div w:id="1377268212">
          <w:marLeft w:val="0"/>
          <w:marRight w:val="0"/>
          <w:marTop w:val="0"/>
          <w:marBottom w:val="0"/>
          <w:divBdr>
            <w:top w:val="none" w:sz="0" w:space="0" w:color="auto"/>
            <w:left w:val="none" w:sz="0" w:space="0" w:color="auto"/>
            <w:bottom w:val="none" w:sz="0" w:space="0" w:color="auto"/>
            <w:right w:val="none" w:sz="0" w:space="0" w:color="auto"/>
          </w:divBdr>
        </w:div>
        <w:div w:id="1380662834">
          <w:marLeft w:val="0"/>
          <w:marRight w:val="0"/>
          <w:marTop w:val="0"/>
          <w:marBottom w:val="0"/>
          <w:divBdr>
            <w:top w:val="none" w:sz="0" w:space="0" w:color="auto"/>
            <w:left w:val="none" w:sz="0" w:space="0" w:color="auto"/>
            <w:bottom w:val="none" w:sz="0" w:space="0" w:color="auto"/>
            <w:right w:val="none" w:sz="0" w:space="0" w:color="auto"/>
          </w:divBdr>
        </w:div>
        <w:div w:id="1385326267">
          <w:marLeft w:val="0"/>
          <w:marRight w:val="0"/>
          <w:marTop w:val="0"/>
          <w:marBottom w:val="0"/>
          <w:divBdr>
            <w:top w:val="none" w:sz="0" w:space="0" w:color="auto"/>
            <w:left w:val="none" w:sz="0" w:space="0" w:color="auto"/>
            <w:bottom w:val="none" w:sz="0" w:space="0" w:color="auto"/>
            <w:right w:val="none" w:sz="0" w:space="0" w:color="auto"/>
          </w:divBdr>
        </w:div>
        <w:div w:id="1471170570">
          <w:marLeft w:val="0"/>
          <w:marRight w:val="0"/>
          <w:marTop w:val="0"/>
          <w:marBottom w:val="0"/>
          <w:divBdr>
            <w:top w:val="none" w:sz="0" w:space="0" w:color="auto"/>
            <w:left w:val="none" w:sz="0" w:space="0" w:color="auto"/>
            <w:bottom w:val="none" w:sz="0" w:space="0" w:color="auto"/>
            <w:right w:val="none" w:sz="0" w:space="0" w:color="auto"/>
          </w:divBdr>
        </w:div>
        <w:div w:id="1488010117">
          <w:marLeft w:val="0"/>
          <w:marRight w:val="0"/>
          <w:marTop w:val="0"/>
          <w:marBottom w:val="0"/>
          <w:divBdr>
            <w:top w:val="none" w:sz="0" w:space="0" w:color="auto"/>
            <w:left w:val="none" w:sz="0" w:space="0" w:color="auto"/>
            <w:bottom w:val="none" w:sz="0" w:space="0" w:color="auto"/>
            <w:right w:val="none" w:sz="0" w:space="0" w:color="auto"/>
          </w:divBdr>
          <w:divsChild>
            <w:div w:id="1349943097">
              <w:marLeft w:val="-75"/>
              <w:marRight w:val="0"/>
              <w:marTop w:val="30"/>
              <w:marBottom w:val="30"/>
              <w:divBdr>
                <w:top w:val="none" w:sz="0" w:space="0" w:color="auto"/>
                <w:left w:val="none" w:sz="0" w:space="0" w:color="auto"/>
                <w:bottom w:val="none" w:sz="0" w:space="0" w:color="auto"/>
                <w:right w:val="none" w:sz="0" w:space="0" w:color="auto"/>
              </w:divBdr>
              <w:divsChild>
                <w:div w:id="179592837">
                  <w:marLeft w:val="0"/>
                  <w:marRight w:val="0"/>
                  <w:marTop w:val="0"/>
                  <w:marBottom w:val="0"/>
                  <w:divBdr>
                    <w:top w:val="none" w:sz="0" w:space="0" w:color="auto"/>
                    <w:left w:val="none" w:sz="0" w:space="0" w:color="auto"/>
                    <w:bottom w:val="none" w:sz="0" w:space="0" w:color="auto"/>
                    <w:right w:val="none" w:sz="0" w:space="0" w:color="auto"/>
                  </w:divBdr>
                  <w:divsChild>
                    <w:div w:id="1443453161">
                      <w:marLeft w:val="0"/>
                      <w:marRight w:val="0"/>
                      <w:marTop w:val="0"/>
                      <w:marBottom w:val="0"/>
                      <w:divBdr>
                        <w:top w:val="none" w:sz="0" w:space="0" w:color="auto"/>
                        <w:left w:val="none" w:sz="0" w:space="0" w:color="auto"/>
                        <w:bottom w:val="none" w:sz="0" w:space="0" w:color="auto"/>
                        <w:right w:val="none" w:sz="0" w:space="0" w:color="auto"/>
                      </w:divBdr>
                    </w:div>
                  </w:divsChild>
                </w:div>
                <w:div w:id="415714294">
                  <w:marLeft w:val="0"/>
                  <w:marRight w:val="0"/>
                  <w:marTop w:val="0"/>
                  <w:marBottom w:val="0"/>
                  <w:divBdr>
                    <w:top w:val="none" w:sz="0" w:space="0" w:color="auto"/>
                    <w:left w:val="none" w:sz="0" w:space="0" w:color="auto"/>
                    <w:bottom w:val="none" w:sz="0" w:space="0" w:color="auto"/>
                    <w:right w:val="none" w:sz="0" w:space="0" w:color="auto"/>
                  </w:divBdr>
                  <w:divsChild>
                    <w:div w:id="953095090">
                      <w:marLeft w:val="0"/>
                      <w:marRight w:val="0"/>
                      <w:marTop w:val="0"/>
                      <w:marBottom w:val="0"/>
                      <w:divBdr>
                        <w:top w:val="none" w:sz="0" w:space="0" w:color="auto"/>
                        <w:left w:val="none" w:sz="0" w:space="0" w:color="auto"/>
                        <w:bottom w:val="none" w:sz="0" w:space="0" w:color="auto"/>
                        <w:right w:val="none" w:sz="0" w:space="0" w:color="auto"/>
                      </w:divBdr>
                    </w:div>
                  </w:divsChild>
                </w:div>
                <w:div w:id="1065445840">
                  <w:marLeft w:val="0"/>
                  <w:marRight w:val="0"/>
                  <w:marTop w:val="0"/>
                  <w:marBottom w:val="0"/>
                  <w:divBdr>
                    <w:top w:val="none" w:sz="0" w:space="0" w:color="auto"/>
                    <w:left w:val="none" w:sz="0" w:space="0" w:color="auto"/>
                    <w:bottom w:val="none" w:sz="0" w:space="0" w:color="auto"/>
                    <w:right w:val="none" w:sz="0" w:space="0" w:color="auto"/>
                  </w:divBdr>
                  <w:divsChild>
                    <w:div w:id="891229571">
                      <w:marLeft w:val="0"/>
                      <w:marRight w:val="0"/>
                      <w:marTop w:val="0"/>
                      <w:marBottom w:val="0"/>
                      <w:divBdr>
                        <w:top w:val="none" w:sz="0" w:space="0" w:color="auto"/>
                        <w:left w:val="none" w:sz="0" w:space="0" w:color="auto"/>
                        <w:bottom w:val="none" w:sz="0" w:space="0" w:color="auto"/>
                        <w:right w:val="none" w:sz="0" w:space="0" w:color="auto"/>
                      </w:divBdr>
                    </w:div>
                  </w:divsChild>
                </w:div>
                <w:div w:id="1105729255">
                  <w:marLeft w:val="0"/>
                  <w:marRight w:val="0"/>
                  <w:marTop w:val="0"/>
                  <w:marBottom w:val="0"/>
                  <w:divBdr>
                    <w:top w:val="none" w:sz="0" w:space="0" w:color="auto"/>
                    <w:left w:val="none" w:sz="0" w:space="0" w:color="auto"/>
                    <w:bottom w:val="none" w:sz="0" w:space="0" w:color="auto"/>
                    <w:right w:val="none" w:sz="0" w:space="0" w:color="auto"/>
                  </w:divBdr>
                  <w:divsChild>
                    <w:div w:id="2045909996">
                      <w:marLeft w:val="0"/>
                      <w:marRight w:val="0"/>
                      <w:marTop w:val="0"/>
                      <w:marBottom w:val="0"/>
                      <w:divBdr>
                        <w:top w:val="none" w:sz="0" w:space="0" w:color="auto"/>
                        <w:left w:val="none" w:sz="0" w:space="0" w:color="auto"/>
                        <w:bottom w:val="none" w:sz="0" w:space="0" w:color="auto"/>
                        <w:right w:val="none" w:sz="0" w:space="0" w:color="auto"/>
                      </w:divBdr>
                    </w:div>
                  </w:divsChild>
                </w:div>
                <w:div w:id="1123766346">
                  <w:marLeft w:val="0"/>
                  <w:marRight w:val="0"/>
                  <w:marTop w:val="0"/>
                  <w:marBottom w:val="0"/>
                  <w:divBdr>
                    <w:top w:val="none" w:sz="0" w:space="0" w:color="auto"/>
                    <w:left w:val="none" w:sz="0" w:space="0" w:color="auto"/>
                    <w:bottom w:val="none" w:sz="0" w:space="0" w:color="auto"/>
                    <w:right w:val="none" w:sz="0" w:space="0" w:color="auto"/>
                  </w:divBdr>
                  <w:divsChild>
                    <w:div w:id="2032102276">
                      <w:marLeft w:val="0"/>
                      <w:marRight w:val="0"/>
                      <w:marTop w:val="0"/>
                      <w:marBottom w:val="0"/>
                      <w:divBdr>
                        <w:top w:val="none" w:sz="0" w:space="0" w:color="auto"/>
                        <w:left w:val="none" w:sz="0" w:space="0" w:color="auto"/>
                        <w:bottom w:val="none" w:sz="0" w:space="0" w:color="auto"/>
                        <w:right w:val="none" w:sz="0" w:space="0" w:color="auto"/>
                      </w:divBdr>
                    </w:div>
                  </w:divsChild>
                </w:div>
                <w:div w:id="1317222734">
                  <w:marLeft w:val="0"/>
                  <w:marRight w:val="0"/>
                  <w:marTop w:val="0"/>
                  <w:marBottom w:val="0"/>
                  <w:divBdr>
                    <w:top w:val="none" w:sz="0" w:space="0" w:color="auto"/>
                    <w:left w:val="none" w:sz="0" w:space="0" w:color="auto"/>
                    <w:bottom w:val="none" w:sz="0" w:space="0" w:color="auto"/>
                    <w:right w:val="none" w:sz="0" w:space="0" w:color="auto"/>
                  </w:divBdr>
                  <w:divsChild>
                    <w:div w:id="1113401389">
                      <w:marLeft w:val="0"/>
                      <w:marRight w:val="0"/>
                      <w:marTop w:val="0"/>
                      <w:marBottom w:val="0"/>
                      <w:divBdr>
                        <w:top w:val="none" w:sz="0" w:space="0" w:color="auto"/>
                        <w:left w:val="none" w:sz="0" w:space="0" w:color="auto"/>
                        <w:bottom w:val="none" w:sz="0" w:space="0" w:color="auto"/>
                        <w:right w:val="none" w:sz="0" w:space="0" w:color="auto"/>
                      </w:divBdr>
                    </w:div>
                  </w:divsChild>
                </w:div>
                <w:div w:id="1649630591">
                  <w:marLeft w:val="0"/>
                  <w:marRight w:val="0"/>
                  <w:marTop w:val="0"/>
                  <w:marBottom w:val="0"/>
                  <w:divBdr>
                    <w:top w:val="none" w:sz="0" w:space="0" w:color="auto"/>
                    <w:left w:val="none" w:sz="0" w:space="0" w:color="auto"/>
                    <w:bottom w:val="none" w:sz="0" w:space="0" w:color="auto"/>
                    <w:right w:val="none" w:sz="0" w:space="0" w:color="auto"/>
                  </w:divBdr>
                  <w:divsChild>
                    <w:div w:id="626467221">
                      <w:marLeft w:val="0"/>
                      <w:marRight w:val="0"/>
                      <w:marTop w:val="0"/>
                      <w:marBottom w:val="0"/>
                      <w:divBdr>
                        <w:top w:val="none" w:sz="0" w:space="0" w:color="auto"/>
                        <w:left w:val="none" w:sz="0" w:space="0" w:color="auto"/>
                        <w:bottom w:val="none" w:sz="0" w:space="0" w:color="auto"/>
                        <w:right w:val="none" w:sz="0" w:space="0" w:color="auto"/>
                      </w:divBdr>
                    </w:div>
                  </w:divsChild>
                </w:div>
                <w:div w:id="1789350897">
                  <w:marLeft w:val="0"/>
                  <w:marRight w:val="0"/>
                  <w:marTop w:val="0"/>
                  <w:marBottom w:val="0"/>
                  <w:divBdr>
                    <w:top w:val="none" w:sz="0" w:space="0" w:color="auto"/>
                    <w:left w:val="none" w:sz="0" w:space="0" w:color="auto"/>
                    <w:bottom w:val="none" w:sz="0" w:space="0" w:color="auto"/>
                    <w:right w:val="none" w:sz="0" w:space="0" w:color="auto"/>
                  </w:divBdr>
                  <w:divsChild>
                    <w:div w:id="1985232533">
                      <w:marLeft w:val="0"/>
                      <w:marRight w:val="0"/>
                      <w:marTop w:val="0"/>
                      <w:marBottom w:val="0"/>
                      <w:divBdr>
                        <w:top w:val="none" w:sz="0" w:space="0" w:color="auto"/>
                        <w:left w:val="none" w:sz="0" w:space="0" w:color="auto"/>
                        <w:bottom w:val="none" w:sz="0" w:space="0" w:color="auto"/>
                        <w:right w:val="none" w:sz="0" w:space="0" w:color="auto"/>
                      </w:divBdr>
                    </w:div>
                  </w:divsChild>
                </w:div>
                <w:div w:id="2056659550">
                  <w:marLeft w:val="0"/>
                  <w:marRight w:val="0"/>
                  <w:marTop w:val="0"/>
                  <w:marBottom w:val="0"/>
                  <w:divBdr>
                    <w:top w:val="none" w:sz="0" w:space="0" w:color="auto"/>
                    <w:left w:val="none" w:sz="0" w:space="0" w:color="auto"/>
                    <w:bottom w:val="none" w:sz="0" w:space="0" w:color="auto"/>
                    <w:right w:val="none" w:sz="0" w:space="0" w:color="auto"/>
                  </w:divBdr>
                  <w:divsChild>
                    <w:div w:id="1812823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598137">
          <w:marLeft w:val="0"/>
          <w:marRight w:val="0"/>
          <w:marTop w:val="0"/>
          <w:marBottom w:val="0"/>
          <w:divBdr>
            <w:top w:val="none" w:sz="0" w:space="0" w:color="auto"/>
            <w:left w:val="none" w:sz="0" w:space="0" w:color="auto"/>
            <w:bottom w:val="none" w:sz="0" w:space="0" w:color="auto"/>
            <w:right w:val="none" w:sz="0" w:space="0" w:color="auto"/>
          </w:divBdr>
          <w:divsChild>
            <w:div w:id="169225178">
              <w:marLeft w:val="0"/>
              <w:marRight w:val="0"/>
              <w:marTop w:val="0"/>
              <w:marBottom w:val="0"/>
              <w:divBdr>
                <w:top w:val="none" w:sz="0" w:space="0" w:color="auto"/>
                <w:left w:val="none" w:sz="0" w:space="0" w:color="auto"/>
                <w:bottom w:val="none" w:sz="0" w:space="0" w:color="auto"/>
                <w:right w:val="none" w:sz="0" w:space="0" w:color="auto"/>
              </w:divBdr>
            </w:div>
            <w:div w:id="414057255">
              <w:marLeft w:val="0"/>
              <w:marRight w:val="0"/>
              <w:marTop w:val="0"/>
              <w:marBottom w:val="0"/>
              <w:divBdr>
                <w:top w:val="none" w:sz="0" w:space="0" w:color="auto"/>
                <w:left w:val="none" w:sz="0" w:space="0" w:color="auto"/>
                <w:bottom w:val="none" w:sz="0" w:space="0" w:color="auto"/>
                <w:right w:val="none" w:sz="0" w:space="0" w:color="auto"/>
              </w:divBdr>
            </w:div>
            <w:div w:id="578097091">
              <w:marLeft w:val="0"/>
              <w:marRight w:val="0"/>
              <w:marTop w:val="0"/>
              <w:marBottom w:val="0"/>
              <w:divBdr>
                <w:top w:val="none" w:sz="0" w:space="0" w:color="auto"/>
                <w:left w:val="none" w:sz="0" w:space="0" w:color="auto"/>
                <w:bottom w:val="none" w:sz="0" w:space="0" w:color="auto"/>
                <w:right w:val="none" w:sz="0" w:space="0" w:color="auto"/>
              </w:divBdr>
            </w:div>
            <w:div w:id="676616980">
              <w:marLeft w:val="0"/>
              <w:marRight w:val="0"/>
              <w:marTop w:val="0"/>
              <w:marBottom w:val="0"/>
              <w:divBdr>
                <w:top w:val="none" w:sz="0" w:space="0" w:color="auto"/>
                <w:left w:val="none" w:sz="0" w:space="0" w:color="auto"/>
                <w:bottom w:val="none" w:sz="0" w:space="0" w:color="auto"/>
                <w:right w:val="none" w:sz="0" w:space="0" w:color="auto"/>
              </w:divBdr>
            </w:div>
            <w:div w:id="1115518053">
              <w:marLeft w:val="0"/>
              <w:marRight w:val="0"/>
              <w:marTop w:val="0"/>
              <w:marBottom w:val="0"/>
              <w:divBdr>
                <w:top w:val="none" w:sz="0" w:space="0" w:color="auto"/>
                <w:left w:val="none" w:sz="0" w:space="0" w:color="auto"/>
                <w:bottom w:val="none" w:sz="0" w:space="0" w:color="auto"/>
                <w:right w:val="none" w:sz="0" w:space="0" w:color="auto"/>
              </w:divBdr>
            </w:div>
            <w:div w:id="1122723135">
              <w:marLeft w:val="0"/>
              <w:marRight w:val="0"/>
              <w:marTop w:val="0"/>
              <w:marBottom w:val="0"/>
              <w:divBdr>
                <w:top w:val="none" w:sz="0" w:space="0" w:color="auto"/>
                <w:left w:val="none" w:sz="0" w:space="0" w:color="auto"/>
                <w:bottom w:val="none" w:sz="0" w:space="0" w:color="auto"/>
                <w:right w:val="none" w:sz="0" w:space="0" w:color="auto"/>
              </w:divBdr>
            </w:div>
            <w:div w:id="1186021771">
              <w:marLeft w:val="0"/>
              <w:marRight w:val="0"/>
              <w:marTop w:val="0"/>
              <w:marBottom w:val="0"/>
              <w:divBdr>
                <w:top w:val="none" w:sz="0" w:space="0" w:color="auto"/>
                <w:left w:val="none" w:sz="0" w:space="0" w:color="auto"/>
                <w:bottom w:val="none" w:sz="0" w:space="0" w:color="auto"/>
                <w:right w:val="none" w:sz="0" w:space="0" w:color="auto"/>
              </w:divBdr>
            </w:div>
            <w:div w:id="1308127560">
              <w:marLeft w:val="0"/>
              <w:marRight w:val="0"/>
              <w:marTop w:val="0"/>
              <w:marBottom w:val="0"/>
              <w:divBdr>
                <w:top w:val="none" w:sz="0" w:space="0" w:color="auto"/>
                <w:left w:val="none" w:sz="0" w:space="0" w:color="auto"/>
                <w:bottom w:val="none" w:sz="0" w:space="0" w:color="auto"/>
                <w:right w:val="none" w:sz="0" w:space="0" w:color="auto"/>
              </w:divBdr>
            </w:div>
            <w:div w:id="1310405167">
              <w:marLeft w:val="0"/>
              <w:marRight w:val="0"/>
              <w:marTop w:val="0"/>
              <w:marBottom w:val="0"/>
              <w:divBdr>
                <w:top w:val="none" w:sz="0" w:space="0" w:color="auto"/>
                <w:left w:val="none" w:sz="0" w:space="0" w:color="auto"/>
                <w:bottom w:val="none" w:sz="0" w:space="0" w:color="auto"/>
                <w:right w:val="none" w:sz="0" w:space="0" w:color="auto"/>
              </w:divBdr>
            </w:div>
            <w:div w:id="1324511078">
              <w:marLeft w:val="0"/>
              <w:marRight w:val="0"/>
              <w:marTop w:val="0"/>
              <w:marBottom w:val="0"/>
              <w:divBdr>
                <w:top w:val="none" w:sz="0" w:space="0" w:color="auto"/>
                <w:left w:val="none" w:sz="0" w:space="0" w:color="auto"/>
                <w:bottom w:val="none" w:sz="0" w:space="0" w:color="auto"/>
                <w:right w:val="none" w:sz="0" w:space="0" w:color="auto"/>
              </w:divBdr>
            </w:div>
            <w:div w:id="1612056068">
              <w:marLeft w:val="0"/>
              <w:marRight w:val="0"/>
              <w:marTop w:val="0"/>
              <w:marBottom w:val="0"/>
              <w:divBdr>
                <w:top w:val="none" w:sz="0" w:space="0" w:color="auto"/>
                <w:left w:val="none" w:sz="0" w:space="0" w:color="auto"/>
                <w:bottom w:val="none" w:sz="0" w:space="0" w:color="auto"/>
                <w:right w:val="none" w:sz="0" w:space="0" w:color="auto"/>
              </w:divBdr>
            </w:div>
            <w:div w:id="1685746474">
              <w:marLeft w:val="0"/>
              <w:marRight w:val="0"/>
              <w:marTop w:val="0"/>
              <w:marBottom w:val="0"/>
              <w:divBdr>
                <w:top w:val="none" w:sz="0" w:space="0" w:color="auto"/>
                <w:left w:val="none" w:sz="0" w:space="0" w:color="auto"/>
                <w:bottom w:val="none" w:sz="0" w:space="0" w:color="auto"/>
                <w:right w:val="none" w:sz="0" w:space="0" w:color="auto"/>
              </w:divBdr>
            </w:div>
            <w:div w:id="1801219262">
              <w:marLeft w:val="0"/>
              <w:marRight w:val="0"/>
              <w:marTop w:val="0"/>
              <w:marBottom w:val="0"/>
              <w:divBdr>
                <w:top w:val="none" w:sz="0" w:space="0" w:color="auto"/>
                <w:left w:val="none" w:sz="0" w:space="0" w:color="auto"/>
                <w:bottom w:val="none" w:sz="0" w:space="0" w:color="auto"/>
                <w:right w:val="none" w:sz="0" w:space="0" w:color="auto"/>
              </w:divBdr>
            </w:div>
            <w:div w:id="1845822106">
              <w:marLeft w:val="0"/>
              <w:marRight w:val="0"/>
              <w:marTop w:val="0"/>
              <w:marBottom w:val="0"/>
              <w:divBdr>
                <w:top w:val="none" w:sz="0" w:space="0" w:color="auto"/>
                <w:left w:val="none" w:sz="0" w:space="0" w:color="auto"/>
                <w:bottom w:val="none" w:sz="0" w:space="0" w:color="auto"/>
                <w:right w:val="none" w:sz="0" w:space="0" w:color="auto"/>
              </w:divBdr>
            </w:div>
          </w:divsChild>
        </w:div>
        <w:div w:id="1634672896">
          <w:marLeft w:val="0"/>
          <w:marRight w:val="0"/>
          <w:marTop w:val="0"/>
          <w:marBottom w:val="0"/>
          <w:divBdr>
            <w:top w:val="none" w:sz="0" w:space="0" w:color="auto"/>
            <w:left w:val="none" w:sz="0" w:space="0" w:color="auto"/>
            <w:bottom w:val="none" w:sz="0" w:space="0" w:color="auto"/>
            <w:right w:val="none" w:sz="0" w:space="0" w:color="auto"/>
          </w:divBdr>
        </w:div>
        <w:div w:id="1662998470">
          <w:marLeft w:val="0"/>
          <w:marRight w:val="0"/>
          <w:marTop w:val="0"/>
          <w:marBottom w:val="0"/>
          <w:divBdr>
            <w:top w:val="none" w:sz="0" w:space="0" w:color="auto"/>
            <w:left w:val="none" w:sz="0" w:space="0" w:color="auto"/>
            <w:bottom w:val="none" w:sz="0" w:space="0" w:color="auto"/>
            <w:right w:val="none" w:sz="0" w:space="0" w:color="auto"/>
          </w:divBdr>
        </w:div>
        <w:div w:id="1666392411">
          <w:marLeft w:val="0"/>
          <w:marRight w:val="0"/>
          <w:marTop w:val="0"/>
          <w:marBottom w:val="0"/>
          <w:divBdr>
            <w:top w:val="none" w:sz="0" w:space="0" w:color="auto"/>
            <w:left w:val="none" w:sz="0" w:space="0" w:color="auto"/>
            <w:bottom w:val="none" w:sz="0" w:space="0" w:color="auto"/>
            <w:right w:val="none" w:sz="0" w:space="0" w:color="auto"/>
          </w:divBdr>
        </w:div>
        <w:div w:id="1693914972">
          <w:marLeft w:val="0"/>
          <w:marRight w:val="0"/>
          <w:marTop w:val="0"/>
          <w:marBottom w:val="0"/>
          <w:divBdr>
            <w:top w:val="none" w:sz="0" w:space="0" w:color="auto"/>
            <w:left w:val="none" w:sz="0" w:space="0" w:color="auto"/>
            <w:bottom w:val="none" w:sz="0" w:space="0" w:color="auto"/>
            <w:right w:val="none" w:sz="0" w:space="0" w:color="auto"/>
          </w:divBdr>
        </w:div>
        <w:div w:id="1772118104">
          <w:marLeft w:val="0"/>
          <w:marRight w:val="0"/>
          <w:marTop w:val="0"/>
          <w:marBottom w:val="0"/>
          <w:divBdr>
            <w:top w:val="none" w:sz="0" w:space="0" w:color="auto"/>
            <w:left w:val="none" w:sz="0" w:space="0" w:color="auto"/>
            <w:bottom w:val="none" w:sz="0" w:space="0" w:color="auto"/>
            <w:right w:val="none" w:sz="0" w:space="0" w:color="auto"/>
          </w:divBdr>
        </w:div>
        <w:div w:id="1781995737">
          <w:marLeft w:val="0"/>
          <w:marRight w:val="0"/>
          <w:marTop w:val="0"/>
          <w:marBottom w:val="0"/>
          <w:divBdr>
            <w:top w:val="none" w:sz="0" w:space="0" w:color="auto"/>
            <w:left w:val="none" w:sz="0" w:space="0" w:color="auto"/>
            <w:bottom w:val="none" w:sz="0" w:space="0" w:color="auto"/>
            <w:right w:val="none" w:sz="0" w:space="0" w:color="auto"/>
          </w:divBdr>
        </w:div>
        <w:div w:id="1801260035">
          <w:marLeft w:val="0"/>
          <w:marRight w:val="0"/>
          <w:marTop w:val="0"/>
          <w:marBottom w:val="0"/>
          <w:divBdr>
            <w:top w:val="none" w:sz="0" w:space="0" w:color="auto"/>
            <w:left w:val="none" w:sz="0" w:space="0" w:color="auto"/>
            <w:bottom w:val="none" w:sz="0" w:space="0" w:color="auto"/>
            <w:right w:val="none" w:sz="0" w:space="0" w:color="auto"/>
          </w:divBdr>
        </w:div>
        <w:div w:id="1864132183">
          <w:marLeft w:val="0"/>
          <w:marRight w:val="0"/>
          <w:marTop w:val="0"/>
          <w:marBottom w:val="0"/>
          <w:divBdr>
            <w:top w:val="none" w:sz="0" w:space="0" w:color="auto"/>
            <w:left w:val="none" w:sz="0" w:space="0" w:color="auto"/>
            <w:bottom w:val="none" w:sz="0" w:space="0" w:color="auto"/>
            <w:right w:val="none" w:sz="0" w:space="0" w:color="auto"/>
          </w:divBdr>
        </w:div>
        <w:div w:id="1870751223">
          <w:marLeft w:val="0"/>
          <w:marRight w:val="0"/>
          <w:marTop w:val="0"/>
          <w:marBottom w:val="0"/>
          <w:divBdr>
            <w:top w:val="none" w:sz="0" w:space="0" w:color="auto"/>
            <w:left w:val="none" w:sz="0" w:space="0" w:color="auto"/>
            <w:bottom w:val="none" w:sz="0" w:space="0" w:color="auto"/>
            <w:right w:val="none" w:sz="0" w:space="0" w:color="auto"/>
          </w:divBdr>
        </w:div>
        <w:div w:id="1890338865">
          <w:marLeft w:val="0"/>
          <w:marRight w:val="0"/>
          <w:marTop w:val="0"/>
          <w:marBottom w:val="0"/>
          <w:divBdr>
            <w:top w:val="none" w:sz="0" w:space="0" w:color="auto"/>
            <w:left w:val="none" w:sz="0" w:space="0" w:color="auto"/>
            <w:bottom w:val="none" w:sz="0" w:space="0" w:color="auto"/>
            <w:right w:val="none" w:sz="0" w:space="0" w:color="auto"/>
          </w:divBdr>
        </w:div>
        <w:div w:id="1927222292">
          <w:marLeft w:val="0"/>
          <w:marRight w:val="0"/>
          <w:marTop w:val="0"/>
          <w:marBottom w:val="0"/>
          <w:divBdr>
            <w:top w:val="none" w:sz="0" w:space="0" w:color="auto"/>
            <w:left w:val="none" w:sz="0" w:space="0" w:color="auto"/>
            <w:bottom w:val="none" w:sz="0" w:space="0" w:color="auto"/>
            <w:right w:val="none" w:sz="0" w:space="0" w:color="auto"/>
          </w:divBdr>
          <w:divsChild>
            <w:div w:id="1681544935">
              <w:marLeft w:val="-75"/>
              <w:marRight w:val="0"/>
              <w:marTop w:val="30"/>
              <w:marBottom w:val="30"/>
              <w:divBdr>
                <w:top w:val="none" w:sz="0" w:space="0" w:color="auto"/>
                <w:left w:val="none" w:sz="0" w:space="0" w:color="auto"/>
                <w:bottom w:val="none" w:sz="0" w:space="0" w:color="auto"/>
                <w:right w:val="none" w:sz="0" w:space="0" w:color="auto"/>
              </w:divBdr>
              <w:divsChild>
                <w:div w:id="53744977">
                  <w:marLeft w:val="0"/>
                  <w:marRight w:val="0"/>
                  <w:marTop w:val="0"/>
                  <w:marBottom w:val="0"/>
                  <w:divBdr>
                    <w:top w:val="none" w:sz="0" w:space="0" w:color="auto"/>
                    <w:left w:val="none" w:sz="0" w:space="0" w:color="auto"/>
                    <w:bottom w:val="none" w:sz="0" w:space="0" w:color="auto"/>
                    <w:right w:val="none" w:sz="0" w:space="0" w:color="auto"/>
                  </w:divBdr>
                  <w:divsChild>
                    <w:div w:id="1733234342">
                      <w:marLeft w:val="0"/>
                      <w:marRight w:val="0"/>
                      <w:marTop w:val="0"/>
                      <w:marBottom w:val="0"/>
                      <w:divBdr>
                        <w:top w:val="none" w:sz="0" w:space="0" w:color="auto"/>
                        <w:left w:val="none" w:sz="0" w:space="0" w:color="auto"/>
                        <w:bottom w:val="none" w:sz="0" w:space="0" w:color="auto"/>
                        <w:right w:val="none" w:sz="0" w:space="0" w:color="auto"/>
                      </w:divBdr>
                    </w:div>
                  </w:divsChild>
                </w:div>
                <w:div w:id="56904630">
                  <w:marLeft w:val="0"/>
                  <w:marRight w:val="0"/>
                  <w:marTop w:val="0"/>
                  <w:marBottom w:val="0"/>
                  <w:divBdr>
                    <w:top w:val="none" w:sz="0" w:space="0" w:color="auto"/>
                    <w:left w:val="none" w:sz="0" w:space="0" w:color="auto"/>
                    <w:bottom w:val="none" w:sz="0" w:space="0" w:color="auto"/>
                    <w:right w:val="none" w:sz="0" w:space="0" w:color="auto"/>
                  </w:divBdr>
                  <w:divsChild>
                    <w:div w:id="764426751">
                      <w:marLeft w:val="0"/>
                      <w:marRight w:val="0"/>
                      <w:marTop w:val="0"/>
                      <w:marBottom w:val="0"/>
                      <w:divBdr>
                        <w:top w:val="none" w:sz="0" w:space="0" w:color="auto"/>
                        <w:left w:val="none" w:sz="0" w:space="0" w:color="auto"/>
                        <w:bottom w:val="none" w:sz="0" w:space="0" w:color="auto"/>
                        <w:right w:val="none" w:sz="0" w:space="0" w:color="auto"/>
                      </w:divBdr>
                    </w:div>
                  </w:divsChild>
                </w:div>
                <w:div w:id="156576430">
                  <w:marLeft w:val="0"/>
                  <w:marRight w:val="0"/>
                  <w:marTop w:val="0"/>
                  <w:marBottom w:val="0"/>
                  <w:divBdr>
                    <w:top w:val="none" w:sz="0" w:space="0" w:color="auto"/>
                    <w:left w:val="none" w:sz="0" w:space="0" w:color="auto"/>
                    <w:bottom w:val="none" w:sz="0" w:space="0" w:color="auto"/>
                    <w:right w:val="none" w:sz="0" w:space="0" w:color="auto"/>
                  </w:divBdr>
                  <w:divsChild>
                    <w:div w:id="573049473">
                      <w:marLeft w:val="0"/>
                      <w:marRight w:val="0"/>
                      <w:marTop w:val="0"/>
                      <w:marBottom w:val="0"/>
                      <w:divBdr>
                        <w:top w:val="none" w:sz="0" w:space="0" w:color="auto"/>
                        <w:left w:val="none" w:sz="0" w:space="0" w:color="auto"/>
                        <w:bottom w:val="none" w:sz="0" w:space="0" w:color="auto"/>
                        <w:right w:val="none" w:sz="0" w:space="0" w:color="auto"/>
                      </w:divBdr>
                    </w:div>
                  </w:divsChild>
                </w:div>
                <w:div w:id="166676077">
                  <w:marLeft w:val="0"/>
                  <w:marRight w:val="0"/>
                  <w:marTop w:val="0"/>
                  <w:marBottom w:val="0"/>
                  <w:divBdr>
                    <w:top w:val="none" w:sz="0" w:space="0" w:color="auto"/>
                    <w:left w:val="none" w:sz="0" w:space="0" w:color="auto"/>
                    <w:bottom w:val="none" w:sz="0" w:space="0" w:color="auto"/>
                    <w:right w:val="none" w:sz="0" w:space="0" w:color="auto"/>
                  </w:divBdr>
                  <w:divsChild>
                    <w:div w:id="2069306884">
                      <w:marLeft w:val="0"/>
                      <w:marRight w:val="0"/>
                      <w:marTop w:val="0"/>
                      <w:marBottom w:val="0"/>
                      <w:divBdr>
                        <w:top w:val="none" w:sz="0" w:space="0" w:color="auto"/>
                        <w:left w:val="none" w:sz="0" w:space="0" w:color="auto"/>
                        <w:bottom w:val="none" w:sz="0" w:space="0" w:color="auto"/>
                        <w:right w:val="none" w:sz="0" w:space="0" w:color="auto"/>
                      </w:divBdr>
                    </w:div>
                  </w:divsChild>
                </w:div>
                <w:div w:id="212541399">
                  <w:marLeft w:val="0"/>
                  <w:marRight w:val="0"/>
                  <w:marTop w:val="0"/>
                  <w:marBottom w:val="0"/>
                  <w:divBdr>
                    <w:top w:val="none" w:sz="0" w:space="0" w:color="auto"/>
                    <w:left w:val="none" w:sz="0" w:space="0" w:color="auto"/>
                    <w:bottom w:val="none" w:sz="0" w:space="0" w:color="auto"/>
                    <w:right w:val="none" w:sz="0" w:space="0" w:color="auto"/>
                  </w:divBdr>
                  <w:divsChild>
                    <w:div w:id="1616982366">
                      <w:marLeft w:val="0"/>
                      <w:marRight w:val="0"/>
                      <w:marTop w:val="0"/>
                      <w:marBottom w:val="0"/>
                      <w:divBdr>
                        <w:top w:val="none" w:sz="0" w:space="0" w:color="auto"/>
                        <w:left w:val="none" w:sz="0" w:space="0" w:color="auto"/>
                        <w:bottom w:val="none" w:sz="0" w:space="0" w:color="auto"/>
                        <w:right w:val="none" w:sz="0" w:space="0" w:color="auto"/>
                      </w:divBdr>
                    </w:div>
                  </w:divsChild>
                </w:div>
                <w:div w:id="296691826">
                  <w:marLeft w:val="0"/>
                  <w:marRight w:val="0"/>
                  <w:marTop w:val="0"/>
                  <w:marBottom w:val="0"/>
                  <w:divBdr>
                    <w:top w:val="none" w:sz="0" w:space="0" w:color="auto"/>
                    <w:left w:val="none" w:sz="0" w:space="0" w:color="auto"/>
                    <w:bottom w:val="none" w:sz="0" w:space="0" w:color="auto"/>
                    <w:right w:val="none" w:sz="0" w:space="0" w:color="auto"/>
                  </w:divBdr>
                  <w:divsChild>
                    <w:div w:id="602081057">
                      <w:marLeft w:val="0"/>
                      <w:marRight w:val="0"/>
                      <w:marTop w:val="0"/>
                      <w:marBottom w:val="0"/>
                      <w:divBdr>
                        <w:top w:val="none" w:sz="0" w:space="0" w:color="auto"/>
                        <w:left w:val="none" w:sz="0" w:space="0" w:color="auto"/>
                        <w:bottom w:val="none" w:sz="0" w:space="0" w:color="auto"/>
                        <w:right w:val="none" w:sz="0" w:space="0" w:color="auto"/>
                      </w:divBdr>
                    </w:div>
                  </w:divsChild>
                </w:div>
                <w:div w:id="421874126">
                  <w:marLeft w:val="0"/>
                  <w:marRight w:val="0"/>
                  <w:marTop w:val="0"/>
                  <w:marBottom w:val="0"/>
                  <w:divBdr>
                    <w:top w:val="none" w:sz="0" w:space="0" w:color="auto"/>
                    <w:left w:val="none" w:sz="0" w:space="0" w:color="auto"/>
                    <w:bottom w:val="none" w:sz="0" w:space="0" w:color="auto"/>
                    <w:right w:val="none" w:sz="0" w:space="0" w:color="auto"/>
                  </w:divBdr>
                  <w:divsChild>
                    <w:div w:id="1629973509">
                      <w:marLeft w:val="0"/>
                      <w:marRight w:val="0"/>
                      <w:marTop w:val="0"/>
                      <w:marBottom w:val="0"/>
                      <w:divBdr>
                        <w:top w:val="none" w:sz="0" w:space="0" w:color="auto"/>
                        <w:left w:val="none" w:sz="0" w:space="0" w:color="auto"/>
                        <w:bottom w:val="none" w:sz="0" w:space="0" w:color="auto"/>
                        <w:right w:val="none" w:sz="0" w:space="0" w:color="auto"/>
                      </w:divBdr>
                    </w:div>
                  </w:divsChild>
                </w:div>
                <w:div w:id="431314828">
                  <w:marLeft w:val="0"/>
                  <w:marRight w:val="0"/>
                  <w:marTop w:val="0"/>
                  <w:marBottom w:val="0"/>
                  <w:divBdr>
                    <w:top w:val="none" w:sz="0" w:space="0" w:color="auto"/>
                    <w:left w:val="none" w:sz="0" w:space="0" w:color="auto"/>
                    <w:bottom w:val="none" w:sz="0" w:space="0" w:color="auto"/>
                    <w:right w:val="none" w:sz="0" w:space="0" w:color="auto"/>
                  </w:divBdr>
                  <w:divsChild>
                    <w:div w:id="1967657392">
                      <w:marLeft w:val="0"/>
                      <w:marRight w:val="0"/>
                      <w:marTop w:val="0"/>
                      <w:marBottom w:val="0"/>
                      <w:divBdr>
                        <w:top w:val="none" w:sz="0" w:space="0" w:color="auto"/>
                        <w:left w:val="none" w:sz="0" w:space="0" w:color="auto"/>
                        <w:bottom w:val="none" w:sz="0" w:space="0" w:color="auto"/>
                        <w:right w:val="none" w:sz="0" w:space="0" w:color="auto"/>
                      </w:divBdr>
                    </w:div>
                  </w:divsChild>
                </w:div>
                <w:div w:id="433786898">
                  <w:marLeft w:val="0"/>
                  <w:marRight w:val="0"/>
                  <w:marTop w:val="0"/>
                  <w:marBottom w:val="0"/>
                  <w:divBdr>
                    <w:top w:val="none" w:sz="0" w:space="0" w:color="auto"/>
                    <w:left w:val="none" w:sz="0" w:space="0" w:color="auto"/>
                    <w:bottom w:val="none" w:sz="0" w:space="0" w:color="auto"/>
                    <w:right w:val="none" w:sz="0" w:space="0" w:color="auto"/>
                  </w:divBdr>
                  <w:divsChild>
                    <w:div w:id="817527477">
                      <w:marLeft w:val="0"/>
                      <w:marRight w:val="0"/>
                      <w:marTop w:val="0"/>
                      <w:marBottom w:val="0"/>
                      <w:divBdr>
                        <w:top w:val="none" w:sz="0" w:space="0" w:color="auto"/>
                        <w:left w:val="none" w:sz="0" w:space="0" w:color="auto"/>
                        <w:bottom w:val="none" w:sz="0" w:space="0" w:color="auto"/>
                        <w:right w:val="none" w:sz="0" w:space="0" w:color="auto"/>
                      </w:divBdr>
                    </w:div>
                  </w:divsChild>
                </w:div>
                <w:div w:id="484972048">
                  <w:marLeft w:val="0"/>
                  <w:marRight w:val="0"/>
                  <w:marTop w:val="0"/>
                  <w:marBottom w:val="0"/>
                  <w:divBdr>
                    <w:top w:val="none" w:sz="0" w:space="0" w:color="auto"/>
                    <w:left w:val="none" w:sz="0" w:space="0" w:color="auto"/>
                    <w:bottom w:val="none" w:sz="0" w:space="0" w:color="auto"/>
                    <w:right w:val="none" w:sz="0" w:space="0" w:color="auto"/>
                  </w:divBdr>
                  <w:divsChild>
                    <w:div w:id="1933733589">
                      <w:marLeft w:val="0"/>
                      <w:marRight w:val="0"/>
                      <w:marTop w:val="0"/>
                      <w:marBottom w:val="0"/>
                      <w:divBdr>
                        <w:top w:val="none" w:sz="0" w:space="0" w:color="auto"/>
                        <w:left w:val="none" w:sz="0" w:space="0" w:color="auto"/>
                        <w:bottom w:val="none" w:sz="0" w:space="0" w:color="auto"/>
                        <w:right w:val="none" w:sz="0" w:space="0" w:color="auto"/>
                      </w:divBdr>
                    </w:div>
                  </w:divsChild>
                </w:div>
                <w:div w:id="486366358">
                  <w:marLeft w:val="0"/>
                  <w:marRight w:val="0"/>
                  <w:marTop w:val="0"/>
                  <w:marBottom w:val="0"/>
                  <w:divBdr>
                    <w:top w:val="none" w:sz="0" w:space="0" w:color="auto"/>
                    <w:left w:val="none" w:sz="0" w:space="0" w:color="auto"/>
                    <w:bottom w:val="none" w:sz="0" w:space="0" w:color="auto"/>
                    <w:right w:val="none" w:sz="0" w:space="0" w:color="auto"/>
                  </w:divBdr>
                  <w:divsChild>
                    <w:div w:id="1346205979">
                      <w:marLeft w:val="0"/>
                      <w:marRight w:val="0"/>
                      <w:marTop w:val="0"/>
                      <w:marBottom w:val="0"/>
                      <w:divBdr>
                        <w:top w:val="none" w:sz="0" w:space="0" w:color="auto"/>
                        <w:left w:val="none" w:sz="0" w:space="0" w:color="auto"/>
                        <w:bottom w:val="none" w:sz="0" w:space="0" w:color="auto"/>
                        <w:right w:val="none" w:sz="0" w:space="0" w:color="auto"/>
                      </w:divBdr>
                    </w:div>
                  </w:divsChild>
                </w:div>
                <w:div w:id="491794763">
                  <w:marLeft w:val="0"/>
                  <w:marRight w:val="0"/>
                  <w:marTop w:val="0"/>
                  <w:marBottom w:val="0"/>
                  <w:divBdr>
                    <w:top w:val="none" w:sz="0" w:space="0" w:color="auto"/>
                    <w:left w:val="none" w:sz="0" w:space="0" w:color="auto"/>
                    <w:bottom w:val="none" w:sz="0" w:space="0" w:color="auto"/>
                    <w:right w:val="none" w:sz="0" w:space="0" w:color="auto"/>
                  </w:divBdr>
                  <w:divsChild>
                    <w:div w:id="896163774">
                      <w:marLeft w:val="0"/>
                      <w:marRight w:val="0"/>
                      <w:marTop w:val="0"/>
                      <w:marBottom w:val="0"/>
                      <w:divBdr>
                        <w:top w:val="none" w:sz="0" w:space="0" w:color="auto"/>
                        <w:left w:val="none" w:sz="0" w:space="0" w:color="auto"/>
                        <w:bottom w:val="none" w:sz="0" w:space="0" w:color="auto"/>
                        <w:right w:val="none" w:sz="0" w:space="0" w:color="auto"/>
                      </w:divBdr>
                    </w:div>
                  </w:divsChild>
                </w:div>
                <w:div w:id="528221132">
                  <w:marLeft w:val="0"/>
                  <w:marRight w:val="0"/>
                  <w:marTop w:val="0"/>
                  <w:marBottom w:val="0"/>
                  <w:divBdr>
                    <w:top w:val="none" w:sz="0" w:space="0" w:color="auto"/>
                    <w:left w:val="none" w:sz="0" w:space="0" w:color="auto"/>
                    <w:bottom w:val="none" w:sz="0" w:space="0" w:color="auto"/>
                    <w:right w:val="none" w:sz="0" w:space="0" w:color="auto"/>
                  </w:divBdr>
                  <w:divsChild>
                    <w:div w:id="2060128561">
                      <w:marLeft w:val="0"/>
                      <w:marRight w:val="0"/>
                      <w:marTop w:val="0"/>
                      <w:marBottom w:val="0"/>
                      <w:divBdr>
                        <w:top w:val="none" w:sz="0" w:space="0" w:color="auto"/>
                        <w:left w:val="none" w:sz="0" w:space="0" w:color="auto"/>
                        <w:bottom w:val="none" w:sz="0" w:space="0" w:color="auto"/>
                        <w:right w:val="none" w:sz="0" w:space="0" w:color="auto"/>
                      </w:divBdr>
                    </w:div>
                  </w:divsChild>
                </w:div>
                <w:div w:id="768739671">
                  <w:marLeft w:val="0"/>
                  <w:marRight w:val="0"/>
                  <w:marTop w:val="0"/>
                  <w:marBottom w:val="0"/>
                  <w:divBdr>
                    <w:top w:val="none" w:sz="0" w:space="0" w:color="auto"/>
                    <w:left w:val="none" w:sz="0" w:space="0" w:color="auto"/>
                    <w:bottom w:val="none" w:sz="0" w:space="0" w:color="auto"/>
                    <w:right w:val="none" w:sz="0" w:space="0" w:color="auto"/>
                  </w:divBdr>
                  <w:divsChild>
                    <w:div w:id="1390880792">
                      <w:marLeft w:val="0"/>
                      <w:marRight w:val="0"/>
                      <w:marTop w:val="0"/>
                      <w:marBottom w:val="0"/>
                      <w:divBdr>
                        <w:top w:val="none" w:sz="0" w:space="0" w:color="auto"/>
                        <w:left w:val="none" w:sz="0" w:space="0" w:color="auto"/>
                        <w:bottom w:val="none" w:sz="0" w:space="0" w:color="auto"/>
                        <w:right w:val="none" w:sz="0" w:space="0" w:color="auto"/>
                      </w:divBdr>
                    </w:div>
                  </w:divsChild>
                </w:div>
                <w:div w:id="856236263">
                  <w:marLeft w:val="0"/>
                  <w:marRight w:val="0"/>
                  <w:marTop w:val="0"/>
                  <w:marBottom w:val="0"/>
                  <w:divBdr>
                    <w:top w:val="none" w:sz="0" w:space="0" w:color="auto"/>
                    <w:left w:val="none" w:sz="0" w:space="0" w:color="auto"/>
                    <w:bottom w:val="none" w:sz="0" w:space="0" w:color="auto"/>
                    <w:right w:val="none" w:sz="0" w:space="0" w:color="auto"/>
                  </w:divBdr>
                  <w:divsChild>
                    <w:div w:id="1406951255">
                      <w:marLeft w:val="0"/>
                      <w:marRight w:val="0"/>
                      <w:marTop w:val="0"/>
                      <w:marBottom w:val="0"/>
                      <w:divBdr>
                        <w:top w:val="none" w:sz="0" w:space="0" w:color="auto"/>
                        <w:left w:val="none" w:sz="0" w:space="0" w:color="auto"/>
                        <w:bottom w:val="none" w:sz="0" w:space="0" w:color="auto"/>
                        <w:right w:val="none" w:sz="0" w:space="0" w:color="auto"/>
                      </w:divBdr>
                    </w:div>
                  </w:divsChild>
                </w:div>
                <w:div w:id="895554862">
                  <w:marLeft w:val="0"/>
                  <w:marRight w:val="0"/>
                  <w:marTop w:val="0"/>
                  <w:marBottom w:val="0"/>
                  <w:divBdr>
                    <w:top w:val="none" w:sz="0" w:space="0" w:color="auto"/>
                    <w:left w:val="none" w:sz="0" w:space="0" w:color="auto"/>
                    <w:bottom w:val="none" w:sz="0" w:space="0" w:color="auto"/>
                    <w:right w:val="none" w:sz="0" w:space="0" w:color="auto"/>
                  </w:divBdr>
                  <w:divsChild>
                    <w:div w:id="817260723">
                      <w:marLeft w:val="0"/>
                      <w:marRight w:val="0"/>
                      <w:marTop w:val="0"/>
                      <w:marBottom w:val="0"/>
                      <w:divBdr>
                        <w:top w:val="none" w:sz="0" w:space="0" w:color="auto"/>
                        <w:left w:val="none" w:sz="0" w:space="0" w:color="auto"/>
                        <w:bottom w:val="none" w:sz="0" w:space="0" w:color="auto"/>
                        <w:right w:val="none" w:sz="0" w:space="0" w:color="auto"/>
                      </w:divBdr>
                    </w:div>
                  </w:divsChild>
                </w:div>
                <w:div w:id="989363143">
                  <w:marLeft w:val="0"/>
                  <w:marRight w:val="0"/>
                  <w:marTop w:val="0"/>
                  <w:marBottom w:val="0"/>
                  <w:divBdr>
                    <w:top w:val="none" w:sz="0" w:space="0" w:color="auto"/>
                    <w:left w:val="none" w:sz="0" w:space="0" w:color="auto"/>
                    <w:bottom w:val="none" w:sz="0" w:space="0" w:color="auto"/>
                    <w:right w:val="none" w:sz="0" w:space="0" w:color="auto"/>
                  </w:divBdr>
                  <w:divsChild>
                    <w:div w:id="1153257622">
                      <w:marLeft w:val="0"/>
                      <w:marRight w:val="0"/>
                      <w:marTop w:val="0"/>
                      <w:marBottom w:val="0"/>
                      <w:divBdr>
                        <w:top w:val="none" w:sz="0" w:space="0" w:color="auto"/>
                        <w:left w:val="none" w:sz="0" w:space="0" w:color="auto"/>
                        <w:bottom w:val="none" w:sz="0" w:space="0" w:color="auto"/>
                        <w:right w:val="none" w:sz="0" w:space="0" w:color="auto"/>
                      </w:divBdr>
                    </w:div>
                  </w:divsChild>
                </w:div>
                <w:div w:id="1008603428">
                  <w:marLeft w:val="0"/>
                  <w:marRight w:val="0"/>
                  <w:marTop w:val="0"/>
                  <w:marBottom w:val="0"/>
                  <w:divBdr>
                    <w:top w:val="none" w:sz="0" w:space="0" w:color="auto"/>
                    <w:left w:val="none" w:sz="0" w:space="0" w:color="auto"/>
                    <w:bottom w:val="none" w:sz="0" w:space="0" w:color="auto"/>
                    <w:right w:val="none" w:sz="0" w:space="0" w:color="auto"/>
                  </w:divBdr>
                  <w:divsChild>
                    <w:div w:id="822740667">
                      <w:marLeft w:val="0"/>
                      <w:marRight w:val="0"/>
                      <w:marTop w:val="0"/>
                      <w:marBottom w:val="0"/>
                      <w:divBdr>
                        <w:top w:val="none" w:sz="0" w:space="0" w:color="auto"/>
                        <w:left w:val="none" w:sz="0" w:space="0" w:color="auto"/>
                        <w:bottom w:val="none" w:sz="0" w:space="0" w:color="auto"/>
                        <w:right w:val="none" w:sz="0" w:space="0" w:color="auto"/>
                      </w:divBdr>
                    </w:div>
                  </w:divsChild>
                </w:div>
                <w:div w:id="1060052272">
                  <w:marLeft w:val="0"/>
                  <w:marRight w:val="0"/>
                  <w:marTop w:val="0"/>
                  <w:marBottom w:val="0"/>
                  <w:divBdr>
                    <w:top w:val="none" w:sz="0" w:space="0" w:color="auto"/>
                    <w:left w:val="none" w:sz="0" w:space="0" w:color="auto"/>
                    <w:bottom w:val="none" w:sz="0" w:space="0" w:color="auto"/>
                    <w:right w:val="none" w:sz="0" w:space="0" w:color="auto"/>
                  </w:divBdr>
                  <w:divsChild>
                    <w:div w:id="526286842">
                      <w:marLeft w:val="0"/>
                      <w:marRight w:val="0"/>
                      <w:marTop w:val="0"/>
                      <w:marBottom w:val="0"/>
                      <w:divBdr>
                        <w:top w:val="none" w:sz="0" w:space="0" w:color="auto"/>
                        <w:left w:val="none" w:sz="0" w:space="0" w:color="auto"/>
                        <w:bottom w:val="none" w:sz="0" w:space="0" w:color="auto"/>
                        <w:right w:val="none" w:sz="0" w:space="0" w:color="auto"/>
                      </w:divBdr>
                    </w:div>
                  </w:divsChild>
                </w:div>
                <w:div w:id="1084257566">
                  <w:marLeft w:val="0"/>
                  <w:marRight w:val="0"/>
                  <w:marTop w:val="0"/>
                  <w:marBottom w:val="0"/>
                  <w:divBdr>
                    <w:top w:val="none" w:sz="0" w:space="0" w:color="auto"/>
                    <w:left w:val="none" w:sz="0" w:space="0" w:color="auto"/>
                    <w:bottom w:val="none" w:sz="0" w:space="0" w:color="auto"/>
                    <w:right w:val="none" w:sz="0" w:space="0" w:color="auto"/>
                  </w:divBdr>
                  <w:divsChild>
                    <w:div w:id="961615608">
                      <w:marLeft w:val="0"/>
                      <w:marRight w:val="0"/>
                      <w:marTop w:val="0"/>
                      <w:marBottom w:val="0"/>
                      <w:divBdr>
                        <w:top w:val="none" w:sz="0" w:space="0" w:color="auto"/>
                        <w:left w:val="none" w:sz="0" w:space="0" w:color="auto"/>
                        <w:bottom w:val="none" w:sz="0" w:space="0" w:color="auto"/>
                        <w:right w:val="none" w:sz="0" w:space="0" w:color="auto"/>
                      </w:divBdr>
                    </w:div>
                  </w:divsChild>
                </w:div>
                <w:div w:id="1111126924">
                  <w:marLeft w:val="0"/>
                  <w:marRight w:val="0"/>
                  <w:marTop w:val="0"/>
                  <w:marBottom w:val="0"/>
                  <w:divBdr>
                    <w:top w:val="none" w:sz="0" w:space="0" w:color="auto"/>
                    <w:left w:val="none" w:sz="0" w:space="0" w:color="auto"/>
                    <w:bottom w:val="none" w:sz="0" w:space="0" w:color="auto"/>
                    <w:right w:val="none" w:sz="0" w:space="0" w:color="auto"/>
                  </w:divBdr>
                  <w:divsChild>
                    <w:div w:id="2105567084">
                      <w:marLeft w:val="0"/>
                      <w:marRight w:val="0"/>
                      <w:marTop w:val="0"/>
                      <w:marBottom w:val="0"/>
                      <w:divBdr>
                        <w:top w:val="none" w:sz="0" w:space="0" w:color="auto"/>
                        <w:left w:val="none" w:sz="0" w:space="0" w:color="auto"/>
                        <w:bottom w:val="none" w:sz="0" w:space="0" w:color="auto"/>
                        <w:right w:val="none" w:sz="0" w:space="0" w:color="auto"/>
                      </w:divBdr>
                    </w:div>
                  </w:divsChild>
                </w:div>
                <w:div w:id="1127818677">
                  <w:marLeft w:val="0"/>
                  <w:marRight w:val="0"/>
                  <w:marTop w:val="0"/>
                  <w:marBottom w:val="0"/>
                  <w:divBdr>
                    <w:top w:val="none" w:sz="0" w:space="0" w:color="auto"/>
                    <w:left w:val="none" w:sz="0" w:space="0" w:color="auto"/>
                    <w:bottom w:val="none" w:sz="0" w:space="0" w:color="auto"/>
                    <w:right w:val="none" w:sz="0" w:space="0" w:color="auto"/>
                  </w:divBdr>
                  <w:divsChild>
                    <w:div w:id="641470644">
                      <w:marLeft w:val="0"/>
                      <w:marRight w:val="0"/>
                      <w:marTop w:val="0"/>
                      <w:marBottom w:val="0"/>
                      <w:divBdr>
                        <w:top w:val="none" w:sz="0" w:space="0" w:color="auto"/>
                        <w:left w:val="none" w:sz="0" w:space="0" w:color="auto"/>
                        <w:bottom w:val="none" w:sz="0" w:space="0" w:color="auto"/>
                        <w:right w:val="none" w:sz="0" w:space="0" w:color="auto"/>
                      </w:divBdr>
                    </w:div>
                  </w:divsChild>
                </w:div>
                <w:div w:id="1386685712">
                  <w:marLeft w:val="0"/>
                  <w:marRight w:val="0"/>
                  <w:marTop w:val="0"/>
                  <w:marBottom w:val="0"/>
                  <w:divBdr>
                    <w:top w:val="none" w:sz="0" w:space="0" w:color="auto"/>
                    <w:left w:val="none" w:sz="0" w:space="0" w:color="auto"/>
                    <w:bottom w:val="none" w:sz="0" w:space="0" w:color="auto"/>
                    <w:right w:val="none" w:sz="0" w:space="0" w:color="auto"/>
                  </w:divBdr>
                  <w:divsChild>
                    <w:div w:id="259720705">
                      <w:marLeft w:val="0"/>
                      <w:marRight w:val="0"/>
                      <w:marTop w:val="0"/>
                      <w:marBottom w:val="0"/>
                      <w:divBdr>
                        <w:top w:val="none" w:sz="0" w:space="0" w:color="auto"/>
                        <w:left w:val="none" w:sz="0" w:space="0" w:color="auto"/>
                        <w:bottom w:val="none" w:sz="0" w:space="0" w:color="auto"/>
                        <w:right w:val="none" w:sz="0" w:space="0" w:color="auto"/>
                      </w:divBdr>
                    </w:div>
                  </w:divsChild>
                </w:div>
                <w:div w:id="1395808570">
                  <w:marLeft w:val="0"/>
                  <w:marRight w:val="0"/>
                  <w:marTop w:val="0"/>
                  <w:marBottom w:val="0"/>
                  <w:divBdr>
                    <w:top w:val="none" w:sz="0" w:space="0" w:color="auto"/>
                    <w:left w:val="none" w:sz="0" w:space="0" w:color="auto"/>
                    <w:bottom w:val="none" w:sz="0" w:space="0" w:color="auto"/>
                    <w:right w:val="none" w:sz="0" w:space="0" w:color="auto"/>
                  </w:divBdr>
                  <w:divsChild>
                    <w:div w:id="901990140">
                      <w:marLeft w:val="0"/>
                      <w:marRight w:val="0"/>
                      <w:marTop w:val="0"/>
                      <w:marBottom w:val="0"/>
                      <w:divBdr>
                        <w:top w:val="none" w:sz="0" w:space="0" w:color="auto"/>
                        <w:left w:val="none" w:sz="0" w:space="0" w:color="auto"/>
                        <w:bottom w:val="none" w:sz="0" w:space="0" w:color="auto"/>
                        <w:right w:val="none" w:sz="0" w:space="0" w:color="auto"/>
                      </w:divBdr>
                    </w:div>
                  </w:divsChild>
                </w:div>
                <w:div w:id="1440879848">
                  <w:marLeft w:val="0"/>
                  <w:marRight w:val="0"/>
                  <w:marTop w:val="0"/>
                  <w:marBottom w:val="0"/>
                  <w:divBdr>
                    <w:top w:val="none" w:sz="0" w:space="0" w:color="auto"/>
                    <w:left w:val="none" w:sz="0" w:space="0" w:color="auto"/>
                    <w:bottom w:val="none" w:sz="0" w:space="0" w:color="auto"/>
                    <w:right w:val="none" w:sz="0" w:space="0" w:color="auto"/>
                  </w:divBdr>
                  <w:divsChild>
                    <w:div w:id="62457899">
                      <w:marLeft w:val="0"/>
                      <w:marRight w:val="0"/>
                      <w:marTop w:val="0"/>
                      <w:marBottom w:val="0"/>
                      <w:divBdr>
                        <w:top w:val="none" w:sz="0" w:space="0" w:color="auto"/>
                        <w:left w:val="none" w:sz="0" w:space="0" w:color="auto"/>
                        <w:bottom w:val="none" w:sz="0" w:space="0" w:color="auto"/>
                        <w:right w:val="none" w:sz="0" w:space="0" w:color="auto"/>
                      </w:divBdr>
                    </w:div>
                  </w:divsChild>
                </w:div>
                <w:div w:id="1584291148">
                  <w:marLeft w:val="0"/>
                  <w:marRight w:val="0"/>
                  <w:marTop w:val="0"/>
                  <w:marBottom w:val="0"/>
                  <w:divBdr>
                    <w:top w:val="none" w:sz="0" w:space="0" w:color="auto"/>
                    <w:left w:val="none" w:sz="0" w:space="0" w:color="auto"/>
                    <w:bottom w:val="none" w:sz="0" w:space="0" w:color="auto"/>
                    <w:right w:val="none" w:sz="0" w:space="0" w:color="auto"/>
                  </w:divBdr>
                  <w:divsChild>
                    <w:div w:id="2068915749">
                      <w:marLeft w:val="0"/>
                      <w:marRight w:val="0"/>
                      <w:marTop w:val="0"/>
                      <w:marBottom w:val="0"/>
                      <w:divBdr>
                        <w:top w:val="none" w:sz="0" w:space="0" w:color="auto"/>
                        <w:left w:val="none" w:sz="0" w:space="0" w:color="auto"/>
                        <w:bottom w:val="none" w:sz="0" w:space="0" w:color="auto"/>
                        <w:right w:val="none" w:sz="0" w:space="0" w:color="auto"/>
                      </w:divBdr>
                    </w:div>
                  </w:divsChild>
                </w:div>
                <w:div w:id="1607932008">
                  <w:marLeft w:val="0"/>
                  <w:marRight w:val="0"/>
                  <w:marTop w:val="0"/>
                  <w:marBottom w:val="0"/>
                  <w:divBdr>
                    <w:top w:val="none" w:sz="0" w:space="0" w:color="auto"/>
                    <w:left w:val="none" w:sz="0" w:space="0" w:color="auto"/>
                    <w:bottom w:val="none" w:sz="0" w:space="0" w:color="auto"/>
                    <w:right w:val="none" w:sz="0" w:space="0" w:color="auto"/>
                  </w:divBdr>
                  <w:divsChild>
                    <w:div w:id="889417068">
                      <w:marLeft w:val="0"/>
                      <w:marRight w:val="0"/>
                      <w:marTop w:val="0"/>
                      <w:marBottom w:val="0"/>
                      <w:divBdr>
                        <w:top w:val="none" w:sz="0" w:space="0" w:color="auto"/>
                        <w:left w:val="none" w:sz="0" w:space="0" w:color="auto"/>
                        <w:bottom w:val="none" w:sz="0" w:space="0" w:color="auto"/>
                        <w:right w:val="none" w:sz="0" w:space="0" w:color="auto"/>
                      </w:divBdr>
                    </w:div>
                  </w:divsChild>
                </w:div>
                <w:div w:id="1622951577">
                  <w:marLeft w:val="0"/>
                  <w:marRight w:val="0"/>
                  <w:marTop w:val="0"/>
                  <w:marBottom w:val="0"/>
                  <w:divBdr>
                    <w:top w:val="none" w:sz="0" w:space="0" w:color="auto"/>
                    <w:left w:val="none" w:sz="0" w:space="0" w:color="auto"/>
                    <w:bottom w:val="none" w:sz="0" w:space="0" w:color="auto"/>
                    <w:right w:val="none" w:sz="0" w:space="0" w:color="auto"/>
                  </w:divBdr>
                  <w:divsChild>
                    <w:div w:id="378940144">
                      <w:marLeft w:val="0"/>
                      <w:marRight w:val="0"/>
                      <w:marTop w:val="0"/>
                      <w:marBottom w:val="0"/>
                      <w:divBdr>
                        <w:top w:val="none" w:sz="0" w:space="0" w:color="auto"/>
                        <w:left w:val="none" w:sz="0" w:space="0" w:color="auto"/>
                        <w:bottom w:val="none" w:sz="0" w:space="0" w:color="auto"/>
                        <w:right w:val="none" w:sz="0" w:space="0" w:color="auto"/>
                      </w:divBdr>
                    </w:div>
                  </w:divsChild>
                </w:div>
                <w:div w:id="1752315024">
                  <w:marLeft w:val="0"/>
                  <w:marRight w:val="0"/>
                  <w:marTop w:val="0"/>
                  <w:marBottom w:val="0"/>
                  <w:divBdr>
                    <w:top w:val="none" w:sz="0" w:space="0" w:color="auto"/>
                    <w:left w:val="none" w:sz="0" w:space="0" w:color="auto"/>
                    <w:bottom w:val="none" w:sz="0" w:space="0" w:color="auto"/>
                    <w:right w:val="none" w:sz="0" w:space="0" w:color="auto"/>
                  </w:divBdr>
                  <w:divsChild>
                    <w:div w:id="1415781844">
                      <w:marLeft w:val="0"/>
                      <w:marRight w:val="0"/>
                      <w:marTop w:val="0"/>
                      <w:marBottom w:val="0"/>
                      <w:divBdr>
                        <w:top w:val="none" w:sz="0" w:space="0" w:color="auto"/>
                        <w:left w:val="none" w:sz="0" w:space="0" w:color="auto"/>
                        <w:bottom w:val="none" w:sz="0" w:space="0" w:color="auto"/>
                        <w:right w:val="none" w:sz="0" w:space="0" w:color="auto"/>
                      </w:divBdr>
                    </w:div>
                  </w:divsChild>
                </w:div>
                <w:div w:id="1824354091">
                  <w:marLeft w:val="0"/>
                  <w:marRight w:val="0"/>
                  <w:marTop w:val="0"/>
                  <w:marBottom w:val="0"/>
                  <w:divBdr>
                    <w:top w:val="none" w:sz="0" w:space="0" w:color="auto"/>
                    <w:left w:val="none" w:sz="0" w:space="0" w:color="auto"/>
                    <w:bottom w:val="none" w:sz="0" w:space="0" w:color="auto"/>
                    <w:right w:val="none" w:sz="0" w:space="0" w:color="auto"/>
                  </w:divBdr>
                  <w:divsChild>
                    <w:div w:id="1781796824">
                      <w:marLeft w:val="0"/>
                      <w:marRight w:val="0"/>
                      <w:marTop w:val="0"/>
                      <w:marBottom w:val="0"/>
                      <w:divBdr>
                        <w:top w:val="none" w:sz="0" w:space="0" w:color="auto"/>
                        <w:left w:val="none" w:sz="0" w:space="0" w:color="auto"/>
                        <w:bottom w:val="none" w:sz="0" w:space="0" w:color="auto"/>
                        <w:right w:val="none" w:sz="0" w:space="0" w:color="auto"/>
                      </w:divBdr>
                    </w:div>
                  </w:divsChild>
                </w:div>
                <w:div w:id="1880707267">
                  <w:marLeft w:val="0"/>
                  <w:marRight w:val="0"/>
                  <w:marTop w:val="0"/>
                  <w:marBottom w:val="0"/>
                  <w:divBdr>
                    <w:top w:val="none" w:sz="0" w:space="0" w:color="auto"/>
                    <w:left w:val="none" w:sz="0" w:space="0" w:color="auto"/>
                    <w:bottom w:val="none" w:sz="0" w:space="0" w:color="auto"/>
                    <w:right w:val="none" w:sz="0" w:space="0" w:color="auto"/>
                  </w:divBdr>
                  <w:divsChild>
                    <w:div w:id="520583796">
                      <w:marLeft w:val="0"/>
                      <w:marRight w:val="0"/>
                      <w:marTop w:val="0"/>
                      <w:marBottom w:val="0"/>
                      <w:divBdr>
                        <w:top w:val="none" w:sz="0" w:space="0" w:color="auto"/>
                        <w:left w:val="none" w:sz="0" w:space="0" w:color="auto"/>
                        <w:bottom w:val="none" w:sz="0" w:space="0" w:color="auto"/>
                        <w:right w:val="none" w:sz="0" w:space="0" w:color="auto"/>
                      </w:divBdr>
                    </w:div>
                  </w:divsChild>
                </w:div>
                <w:div w:id="2053964091">
                  <w:marLeft w:val="0"/>
                  <w:marRight w:val="0"/>
                  <w:marTop w:val="0"/>
                  <w:marBottom w:val="0"/>
                  <w:divBdr>
                    <w:top w:val="none" w:sz="0" w:space="0" w:color="auto"/>
                    <w:left w:val="none" w:sz="0" w:space="0" w:color="auto"/>
                    <w:bottom w:val="none" w:sz="0" w:space="0" w:color="auto"/>
                    <w:right w:val="none" w:sz="0" w:space="0" w:color="auto"/>
                  </w:divBdr>
                  <w:divsChild>
                    <w:div w:id="114724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952416">
          <w:marLeft w:val="0"/>
          <w:marRight w:val="0"/>
          <w:marTop w:val="0"/>
          <w:marBottom w:val="0"/>
          <w:divBdr>
            <w:top w:val="none" w:sz="0" w:space="0" w:color="auto"/>
            <w:left w:val="none" w:sz="0" w:space="0" w:color="auto"/>
            <w:bottom w:val="none" w:sz="0" w:space="0" w:color="auto"/>
            <w:right w:val="none" w:sz="0" w:space="0" w:color="auto"/>
          </w:divBdr>
          <w:divsChild>
            <w:div w:id="712312141">
              <w:marLeft w:val="-75"/>
              <w:marRight w:val="0"/>
              <w:marTop w:val="30"/>
              <w:marBottom w:val="30"/>
              <w:divBdr>
                <w:top w:val="none" w:sz="0" w:space="0" w:color="auto"/>
                <w:left w:val="none" w:sz="0" w:space="0" w:color="auto"/>
                <w:bottom w:val="none" w:sz="0" w:space="0" w:color="auto"/>
                <w:right w:val="none" w:sz="0" w:space="0" w:color="auto"/>
              </w:divBdr>
              <w:divsChild>
                <w:div w:id="181821813">
                  <w:marLeft w:val="0"/>
                  <w:marRight w:val="0"/>
                  <w:marTop w:val="0"/>
                  <w:marBottom w:val="0"/>
                  <w:divBdr>
                    <w:top w:val="none" w:sz="0" w:space="0" w:color="auto"/>
                    <w:left w:val="none" w:sz="0" w:space="0" w:color="auto"/>
                    <w:bottom w:val="none" w:sz="0" w:space="0" w:color="auto"/>
                    <w:right w:val="none" w:sz="0" w:space="0" w:color="auto"/>
                  </w:divBdr>
                  <w:divsChild>
                    <w:div w:id="358245320">
                      <w:marLeft w:val="0"/>
                      <w:marRight w:val="0"/>
                      <w:marTop w:val="0"/>
                      <w:marBottom w:val="0"/>
                      <w:divBdr>
                        <w:top w:val="none" w:sz="0" w:space="0" w:color="auto"/>
                        <w:left w:val="none" w:sz="0" w:space="0" w:color="auto"/>
                        <w:bottom w:val="none" w:sz="0" w:space="0" w:color="auto"/>
                        <w:right w:val="none" w:sz="0" w:space="0" w:color="auto"/>
                      </w:divBdr>
                    </w:div>
                  </w:divsChild>
                </w:div>
                <w:div w:id="228805870">
                  <w:marLeft w:val="0"/>
                  <w:marRight w:val="0"/>
                  <w:marTop w:val="0"/>
                  <w:marBottom w:val="0"/>
                  <w:divBdr>
                    <w:top w:val="none" w:sz="0" w:space="0" w:color="auto"/>
                    <w:left w:val="none" w:sz="0" w:space="0" w:color="auto"/>
                    <w:bottom w:val="none" w:sz="0" w:space="0" w:color="auto"/>
                    <w:right w:val="none" w:sz="0" w:space="0" w:color="auto"/>
                  </w:divBdr>
                  <w:divsChild>
                    <w:div w:id="707874802">
                      <w:marLeft w:val="0"/>
                      <w:marRight w:val="0"/>
                      <w:marTop w:val="0"/>
                      <w:marBottom w:val="0"/>
                      <w:divBdr>
                        <w:top w:val="none" w:sz="0" w:space="0" w:color="auto"/>
                        <w:left w:val="none" w:sz="0" w:space="0" w:color="auto"/>
                        <w:bottom w:val="none" w:sz="0" w:space="0" w:color="auto"/>
                        <w:right w:val="none" w:sz="0" w:space="0" w:color="auto"/>
                      </w:divBdr>
                    </w:div>
                  </w:divsChild>
                </w:div>
                <w:div w:id="378625269">
                  <w:marLeft w:val="0"/>
                  <w:marRight w:val="0"/>
                  <w:marTop w:val="0"/>
                  <w:marBottom w:val="0"/>
                  <w:divBdr>
                    <w:top w:val="none" w:sz="0" w:space="0" w:color="auto"/>
                    <w:left w:val="none" w:sz="0" w:space="0" w:color="auto"/>
                    <w:bottom w:val="none" w:sz="0" w:space="0" w:color="auto"/>
                    <w:right w:val="none" w:sz="0" w:space="0" w:color="auto"/>
                  </w:divBdr>
                  <w:divsChild>
                    <w:div w:id="1199121971">
                      <w:marLeft w:val="0"/>
                      <w:marRight w:val="0"/>
                      <w:marTop w:val="0"/>
                      <w:marBottom w:val="0"/>
                      <w:divBdr>
                        <w:top w:val="none" w:sz="0" w:space="0" w:color="auto"/>
                        <w:left w:val="none" w:sz="0" w:space="0" w:color="auto"/>
                        <w:bottom w:val="none" w:sz="0" w:space="0" w:color="auto"/>
                        <w:right w:val="none" w:sz="0" w:space="0" w:color="auto"/>
                      </w:divBdr>
                    </w:div>
                  </w:divsChild>
                </w:div>
                <w:div w:id="650595594">
                  <w:marLeft w:val="0"/>
                  <w:marRight w:val="0"/>
                  <w:marTop w:val="0"/>
                  <w:marBottom w:val="0"/>
                  <w:divBdr>
                    <w:top w:val="none" w:sz="0" w:space="0" w:color="auto"/>
                    <w:left w:val="none" w:sz="0" w:space="0" w:color="auto"/>
                    <w:bottom w:val="none" w:sz="0" w:space="0" w:color="auto"/>
                    <w:right w:val="none" w:sz="0" w:space="0" w:color="auto"/>
                  </w:divBdr>
                  <w:divsChild>
                    <w:div w:id="527375119">
                      <w:marLeft w:val="0"/>
                      <w:marRight w:val="0"/>
                      <w:marTop w:val="0"/>
                      <w:marBottom w:val="0"/>
                      <w:divBdr>
                        <w:top w:val="none" w:sz="0" w:space="0" w:color="auto"/>
                        <w:left w:val="none" w:sz="0" w:space="0" w:color="auto"/>
                        <w:bottom w:val="none" w:sz="0" w:space="0" w:color="auto"/>
                        <w:right w:val="none" w:sz="0" w:space="0" w:color="auto"/>
                      </w:divBdr>
                    </w:div>
                  </w:divsChild>
                </w:div>
                <w:div w:id="656805850">
                  <w:marLeft w:val="0"/>
                  <w:marRight w:val="0"/>
                  <w:marTop w:val="0"/>
                  <w:marBottom w:val="0"/>
                  <w:divBdr>
                    <w:top w:val="none" w:sz="0" w:space="0" w:color="auto"/>
                    <w:left w:val="none" w:sz="0" w:space="0" w:color="auto"/>
                    <w:bottom w:val="none" w:sz="0" w:space="0" w:color="auto"/>
                    <w:right w:val="none" w:sz="0" w:space="0" w:color="auto"/>
                  </w:divBdr>
                  <w:divsChild>
                    <w:div w:id="2082361844">
                      <w:marLeft w:val="0"/>
                      <w:marRight w:val="0"/>
                      <w:marTop w:val="0"/>
                      <w:marBottom w:val="0"/>
                      <w:divBdr>
                        <w:top w:val="none" w:sz="0" w:space="0" w:color="auto"/>
                        <w:left w:val="none" w:sz="0" w:space="0" w:color="auto"/>
                        <w:bottom w:val="none" w:sz="0" w:space="0" w:color="auto"/>
                        <w:right w:val="none" w:sz="0" w:space="0" w:color="auto"/>
                      </w:divBdr>
                    </w:div>
                  </w:divsChild>
                </w:div>
                <w:div w:id="687681227">
                  <w:marLeft w:val="0"/>
                  <w:marRight w:val="0"/>
                  <w:marTop w:val="0"/>
                  <w:marBottom w:val="0"/>
                  <w:divBdr>
                    <w:top w:val="none" w:sz="0" w:space="0" w:color="auto"/>
                    <w:left w:val="none" w:sz="0" w:space="0" w:color="auto"/>
                    <w:bottom w:val="none" w:sz="0" w:space="0" w:color="auto"/>
                    <w:right w:val="none" w:sz="0" w:space="0" w:color="auto"/>
                  </w:divBdr>
                  <w:divsChild>
                    <w:div w:id="1863087387">
                      <w:marLeft w:val="0"/>
                      <w:marRight w:val="0"/>
                      <w:marTop w:val="0"/>
                      <w:marBottom w:val="0"/>
                      <w:divBdr>
                        <w:top w:val="none" w:sz="0" w:space="0" w:color="auto"/>
                        <w:left w:val="none" w:sz="0" w:space="0" w:color="auto"/>
                        <w:bottom w:val="none" w:sz="0" w:space="0" w:color="auto"/>
                        <w:right w:val="none" w:sz="0" w:space="0" w:color="auto"/>
                      </w:divBdr>
                    </w:div>
                  </w:divsChild>
                </w:div>
                <w:div w:id="755982143">
                  <w:marLeft w:val="0"/>
                  <w:marRight w:val="0"/>
                  <w:marTop w:val="0"/>
                  <w:marBottom w:val="0"/>
                  <w:divBdr>
                    <w:top w:val="none" w:sz="0" w:space="0" w:color="auto"/>
                    <w:left w:val="none" w:sz="0" w:space="0" w:color="auto"/>
                    <w:bottom w:val="none" w:sz="0" w:space="0" w:color="auto"/>
                    <w:right w:val="none" w:sz="0" w:space="0" w:color="auto"/>
                  </w:divBdr>
                  <w:divsChild>
                    <w:div w:id="1788815374">
                      <w:marLeft w:val="0"/>
                      <w:marRight w:val="0"/>
                      <w:marTop w:val="0"/>
                      <w:marBottom w:val="0"/>
                      <w:divBdr>
                        <w:top w:val="none" w:sz="0" w:space="0" w:color="auto"/>
                        <w:left w:val="none" w:sz="0" w:space="0" w:color="auto"/>
                        <w:bottom w:val="none" w:sz="0" w:space="0" w:color="auto"/>
                        <w:right w:val="none" w:sz="0" w:space="0" w:color="auto"/>
                      </w:divBdr>
                    </w:div>
                  </w:divsChild>
                </w:div>
                <w:div w:id="1104230967">
                  <w:marLeft w:val="0"/>
                  <w:marRight w:val="0"/>
                  <w:marTop w:val="0"/>
                  <w:marBottom w:val="0"/>
                  <w:divBdr>
                    <w:top w:val="none" w:sz="0" w:space="0" w:color="auto"/>
                    <w:left w:val="none" w:sz="0" w:space="0" w:color="auto"/>
                    <w:bottom w:val="none" w:sz="0" w:space="0" w:color="auto"/>
                    <w:right w:val="none" w:sz="0" w:space="0" w:color="auto"/>
                  </w:divBdr>
                  <w:divsChild>
                    <w:div w:id="1841047143">
                      <w:marLeft w:val="0"/>
                      <w:marRight w:val="0"/>
                      <w:marTop w:val="0"/>
                      <w:marBottom w:val="0"/>
                      <w:divBdr>
                        <w:top w:val="none" w:sz="0" w:space="0" w:color="auto"/>
                        <w:left w:val="none" w:sz="0" w:space="0" w:color="auto"/>
                        <w:bottom w:val="none" w:sz="0" w:space="0" w:color="auto"/>
                        <w:right w:val="none" w:sz="0" w:space="0" w:color="auto"/>
                      </w:divBdr>
                    </w:div>
                  </w:divsChild>
                </w:div>
                <w:div w:id="1286696975">
                  <w:marLeft w:val="0"/>
                  <w:marRight w:val="0"/>
                  <w:marTop w:val="0"/>
                  <w:marBottom w:val="0"/>
                  <w:divBdr>
                    <w:top w:val="none" w:sz="0" w:space="0" w:color="auto"/>
                    <w:left w:val="none" w:sz="0" w:space="0" w:color="auto"/>
                    <w:bottom w:val="none" w:sz="0" w:space="0" w:color="auto"/>
                    <w:right w:val="none" w:sz="0" w:space="0" w:color="auto"/>
                  </w:divBdr>
                  <w:divsChild>
                    <w:div w:id="241959037">
                      <w:marLeft w:val="0"/>
                      <w:marRight w:val="0"/>
                      <w:marTop w:val="0"/>
                      <w:marBottom w:val="0"/>
                      <w:divBdr>
                        <w:top w:val="none" w:sz="0" w:space="0" w:color="auto"/>
                        <w:left w:val="none" w:sz="0" w:space="0" w:color="auto"/>
                        <w:bottom w:val="none" w:sz="0" w:space="0" w:color="auto"/>
                        <w:right w:val="none" w:sz="0" w:space="0" w:color="auto"/>
                      </w:divBdr>
                    </w:div>
                  </w:divsChild>
                </w:div>
                <w:div w:id="1700541797">
                  <w:marLeft w:val="0"/>
                  <w:marRight w:val="0"/>
                  <w:marTop w:val="0"/>
                  <w:marBottom w:val="0"/>
                  <w:divBdr>
                    <w:top w:val="none" w:sz="0" w:space="0" w:color="auto"/>
                    <w:left w:val="none" w:sz="0" w:space="0" w:color="auto"/>
                    <w:bottom w:val="none" w:sz="0" w:space="0" w:color="auto"/>
                    <w:right w:val="none" w:sz="0" w:space="0" w:color="auto"/>
                  </w:divBdr>
                  <w:divsChild>
                    <w:div w:id="1710493730">
                      <w:marLeft w:val="0"/>
                      <w:marRight w:val="0"/>
                      <w:marTop w:val="0"/>
                      <w:marBottom w:val="0"/>
                      <w:divBdr>
                        <w:top w:val="none" w:sz="0" w:space="0" w:color="auto"/>
                        <w:left w:val="none" w:sz="0" w:space="0" w:color="auto"/>
                        <w:bottom w:val="none" w:sz="0" w:space="0" w:color="auto"/>
                        <w:right w:val="none" w:sz="0" w:space="0" w:color="auto"/>
                      </w:divBdr>
                    </w:div>
                  </w:divsChild>
                </w:div>
                <w:div w:id="1788891756">
                  <w:marLeft w:val="0"/>
                  <w:marRight w:val="0"/>
                  <w:marTop w:val="0"/>
                  <w:marBottom w:val="0"/>
                  <w:divBdr>
                    <w:top w:val="none" w:sz="0" w:space="0" w:color="auto"/>
                    <w:left w:val="none" w:sz="0" w:space="0" w:color="auto"/>
                    <w:bottom w:val="none" w:sz="0" w:space="0" w:color="auto"/>
                    <w:right w:val="none" w:sz="0" w:space="0" w:color="auto"/>
                  </w:divBdr>
                  <w:divsChild>
                    <w:div w:id="626547474">
                      <w:marLeft w:val="0"/>
                      <w:marRight w:val="0"/>
                      <w:marTop w:val="0"/>
                      <w:marBottom w:val="0"/>
                      <w:divBdr>
                        <w:top w:val="none" w:sz="0" w:space="0" w:color="auto"/>
                        <w:left w:val="none" w:sz="0" w:space="0" w:color="auto"/>
                        <w:bottom w:val="none" w:sz="0" w:space="0" w:color="auto"/>
                        <w:right w:val="none" w:sz="0" w:space="0" w:color="auto"/>
                      </w:divBdr>
                    </w:div>
                  </w:divsChild>
                </w:div>
                <w:div w:id="1902322553">
                  <w:marLeft w:val="0"/>
                  <w:marRight w:val="0"/>
                  <w:marTop w:val="0"/>
                  <w:marBottom w:val="0"/>
                  <w:divBdr>
                    <w:top w:val="none" w:sz="0" w:space="0" w:color="auto"/>
                    <w:left w:val="none" w:sz="0" w:space="0" w:color="auto"/>
                    <w:bottom w:val="none" w:sz="0" w:space="0" w:color="auto"/>
                    <w:right w:val="none" w:sz="0" w:space="0" w:color="auto"/>
                  </w:divBdr>
                  <w:divsChild>
                    <w:div w:id="139974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868327">
          <w:marLeft w:val="0"/>
          <w:marRight w:val="0"/>
          <w:marTop w:val="0"/>
          <w:marBottom w:val="0"/>
          <w:divBdr>
            <w:top w:val="none" w:sz="0" w:space="0" w:color="auto"/>
            <w:left w:val="none" w:sz="0" w:space="0" w:color="auto"/>
            <w:bottom w:val="none" w:sz="0" w:space="0" w:color="auto"/>
            <w:right w:val="none" w:sz="0" w:space="0" w:color="auto"/>
          </w:divBdr>
        </w:div>
        <w:div w:id="2083258782">
          <w:marLeft w:val="0"/>
          <w:marRight w:val="0"/>
          <w:marTop w:val="0"/>
          <w:marBottom w:val="0"/>
          <w:divBdr>
            <w:top w:val="none" w:sz="0" w:space="0" w:color="auto"/>
            <w:left w:val="none" w:sz="0" w:space="0" w:color="auto"/>
            <w:bottom w:val="none" w:sz="0" w:space="0" w:color="auto"/>
            <w:right w:val="none" w:sz="0" w:space="0" w:color="auto"/>
          </w:divBdr>
        </w:div>
        <w:div w:id="2094542107">
          <w:marLeft w:val="0"/>
          <w:marRight w:val="0"/>
          <w:marTop w:val="0"/>
          <w:marBottom w:val="0"/>
          <w:divBdr>
            <w:top w:val="none" w:sz="0" w:space="0" w:color="auto"/>
            <w:left w:val="none" w:sz="0" w:space="0" w:color="auto"/>
            <w:bottom w:val="none" w:sz="0" w:space="0" w:color="auto"/>
            <w:right w:val="none" w:sz="0" w:space="0" w:color="auto"/>
          </w:divBdr>
        </w:div>
        <w:div w:id="2094885692">
          <w:marLeft w:val="0"/>
          <w:marRight w:val="0"/>
          <w:marTop w:val="0"/>
          <w:marBottom w:val="0"/>
          <w:divBdr>
            <w:top w:val="none" w:sz="0" w:space="0" w:color="auto"/>
            <w:left w:val="none" w:sz="0" w:space="0" w:color="auto"/>
            <w:bottom w:val="none" w:sz="0" w:space="0" w:color="auto"/>
            <w:right w:val="none" w:sz="0" w:space="0" w:color="auto"/>
          </w:divBdr>
        </w:div>
        <w:div w:id="2111125877">
          <w:marLeft w:val="0"/>
          <w:marRight w:val="0"/>
          <w:marTop w:val="0"/>
          <w:marBottom w:val="0"/>
          <w:divBdr>
            <w:top w:val="none" w:sz="0" w:space="0" w:color="auto"/>
            <w:left w:val="none" w:sz="0" w:space="0" w:color="auto"/>
            <w:bottom w:val="none" w:sz="0" w:space="0" w:color="auto"/>
            <w:right w:val="none" w:sz="0" w:space="0" w:color="auto"/>
          </w:divBdr>
        </w:div>
        <w:div w:id="2138789446">
          <w:marLeft w:val="0"/>
          <w:marRight w:val="0"/>
          <w:marTop w:val="0"/>
          <w:marBottom w:val="0"/>
          <w:divBdr>
            <w:top w:val="none" w:sz="0" w:space="0" w:color="auto"/>
            <w:left w:val="none" w:sz="0" w:space="0" w:color="auto"/>
            <w:bottom w:val="none" w:sz="0" w:space="0" w:color="auto"/>
            <w:right w:val="none" w:sz="0" w:space="0" w:color="auto"/>
          </w:divBdr>
        </w:div>
      </w:divsChild>
    </w:div>
    <w:div w:id="891767287">
      <w:bodyDiv w:val="1"/>
      <w:marLeft w:val="0"/>
      <w:marRight w:val="0"/>
      <w:marTop w:val="0"/>
      <w:marBottom w:val="0"/>
      <w:divBdr>
        <w:top w:val="none" w:sz="0" w:space="0" w:color="auto"/>
        <w:left w:val="none" w:sz="0" w:space="0" w:color="auto"/>
        <w:bottom w:val="none" w:sz="0" w:space="0" w:color="auto"/>
        <w:right w:val="none" w:sz="0" w:space="0" w:color="auto"/>
      </w:divBdr>
      <w:divsChild>
        <w:div w:id="129858789">
          <w:marLeft w:val="0"/>
          <w:marRight w:val="0"/>
          <w:marTop w:val="0"/>
          <w:marBottom w:val="0"/>
          <w:divBdr>
            <w:top w:val="none" w:sz="0" w:space="0" w:color="auto"/>
            <w:left w:val="none" w:sz="0" w:space="0" w:color="auto"/>
            <w:bottom w:val="none" w:sz="0" w:space="0" w:color="auto"/>
            <w:right w:val="none" w:sz="0" w:space="0" w:color="auto"/>
          </w:divBdr>
        </w:div>
        <w:div w:id="476918393">
          <w:marLeft w:val="0"/>
          <w:marRight w:val="0"/>
          <w:marTop w:val="0"/>
          <w:marBottom w:val="0"/>
          <w:divBdr>
            <w:top w:val="none" w:sz="0" w:space="0" w:color="auto"/>
            <w:left w:val="none" w:sz="0" w:space="0" w:color="auto"/>
            <w:bottom w:val="none" w:sz="0" w:space="0" w:color="auto"/>
            <w:right w:val="none" w:sz="0" w:space="0" w:color="auto"/>
          </w:divBdr>
        </w:div>
        <w:div w:id="560095820">
          <w:marLeft w:val="0"/>
          <w:marRight w:val="0"/>
          <w:marTop w:val="0"/>
          <w:marBottom w:val="0"/>
          <w:divBdr>
            <w:top w:val="none" w:sz="0" w:space="0" w:color="auto"/>
            <w:left w:val="none" w:sz="0" w:space="0" w:color="auto"/>
            <w:bottom w:val="none" w:sz="0" w:space="0" w:color="auto"/>
            <w:right w:val="none" w:sz="0" w:space="0" w:color="auto"/>
          </w:divBdr>
        </w:div>
        <w:div w:id="1410807526">
          <w:marLeft w:val="0"/>
          <w:marRight w:val="0"/>
          <w:marTop w:val="0"/>
          <w:marBottom w:val="0"/>
          <w:divBdr>
            <w:top w:val="none" w:sz="0" w:space="0" w:color="auto"/>
            <w:left w:val="none" w:sz="0" w:space="0" w:color="auto"/>
            <w:bottom w:val="none" w:sz="0" w:space="0" w:color="auto"/>
            <w:right w:val="none" w:sz="0" w:space="0" w:color="auto"/>
          </w:divBdr>
          <w:divsChild>
            <w:div w:id="1781100164">
              <w:marLeft w:val="-75"/>
              <w:marRight w:val="0"/>
              <w:marTop w:val="30"/>
              <w:marBottom w:val="30"/>
              <w:divBdr>
                <w:top w:val="none" w:sz="0" w:space="0" w:color="auto"/>
                <w:left w:val="none" w:sz="0" w:space="0" w:color="auto"/>
                <w:bottom w:val="none" w:sz="0" w:space="0" w:color="auto"/>
                <w:right w:val="none" w:sz="0" w:space="0" w:color="auto"/>
              </w:divBdr>
              <w:divsChild>
                <w:div w:id="52895301">
                  <w:marLeft w:val="0"/>
                  <w:marRight w:val="0"/>
                  <w:marTop w:val="0"/>
                  <w:marBottom w:val="0"/>
                  <w:divBdr>
                    <w:top w:val="none" w:sz="0" w:space="0" w:color="auto"/>
                    <w:left w:val="none" w:sz="0" w:space="0" w:color="auto"/>
                    <w:bottom w:val="none" w:sz="0" w:space="0" w:color="auto"/>
                    <w:right w:val="none" w:sz="0" w:space="0" w:color="auto"/>
                  </w:divBdr>
                  <w:divsChild>
                    <w:div w:id="396173938">
                      <w:marLeft w:val="0"/>
                      <w:marRight w:val="0"/>
                      <w:marTop w:val="0"/>
                      <w:marBottom w:val="0"/>
                      <w:divBdr>
                        <w:top w:val="none" w:sz="0" w:space="0" w:color="auto"/>
                        <w:left w:val="none" w:sz="0" w:space="0" w:color="auto"/>
                        <w:bottom w:val="none" w:sz="0" w:space="0" w:color="auto"/>
                        <w:right w:val="none" w:sz="0" w:space="0" w:color="auto"/>
                      </w:divBdr>
                    </w:div>
                  </w:divsChild>
                </w:div>
                <w:div w:id="414862245">
                  <w:marLeft w:val="0"/>
                  <w:marRight w:val="0"/>
                  <w:marTop w:val="0"/>
                  <w:marBottom w:val="0"/>
                  <w:divBdr>
                    <w:top w:val="none" w:sz="0" w:space="0" w:color="auto"/>
                    <w:left w:val="none" w:sz="0" w:space="0" w:color="auto"/>
                    <w:bottom w:val="none" w:sz="0" w:space="0" w:color="auto"/>
                    <w:right w:val="none" w:sz="0" w:space="0" w:color="auto"/>
                  </w:divBdr>
                  <w:divsChild>
                    <w:div w:id="1719548616">
                      <w:marLeft w:val="0"/>
                      <w:marRight w:val="0"/>
                      <w:marTop w:val="0"/>
                      <w:marBottom w:val="0"/>
                      <w:divBdr>
                        <w:top w:val="none" w:sz="0" w:space="0" w:color="auto"/>
                        <w:left w:val="none" w:sz="0" w:space="0" w:color="auto"/>
                        <w:bottom w:val="none" w:sz="0" w:space="0" w:color="auto"/>
                        <w:right w:val="none" w:sz="0" w:space="0" w:color="auto"/>
                      </w:divBdr>
                    </w:div>
                  </w:divsChild>
                </w:div>
                <w:div w:id="592712114">
                  <w:marLeft w:val="0"/>
                  <w:marRight w:val="0"/>
                  <w:marTop w:val="0"/>
                  <w:marBottom w:val="0"/>
                  <w:divBdr>
                    <w:top w:val="none" w:sz="0" w:space="0" w:color="auto"/>
                    <w:left w:val="none" w:sz="0" w:space="0" w:color="auto"/>
                    <w:bottom w:val="none" w:sz="0" w:space="0" w:color="auto"/>
                    <w:right w:val="none" w:sz="0" w:space="0" w:color="auto"/>
                  </w:divBdr>
                  <w:divsChild>
                    <w:div w:id="2057966284">
                      <w:marLeft w:val="0"/>
                      <w:marRight w:val="0"/>
                      <w:marTop w:val="0"/>
                      <w:marBottom w:val="0"/>
                      <w:divBdr>
                        <w:top w:val="none" w:sz="0" w:space="0" w:color="auto"/>
                        <w:left w:val="none" w:sz="0" w:space="0" w:color="auto"/>
                        <w:bottom w:val="none" w:sz="0" w:space="0" w:color="auto"/>
                        <w:right w:val="none" w:sz="0" w:space="0" w:color="auto"/>
                      </w:divBdr>
                    </w:div>
                  </w:divsChild>
                </w:div>
                <w:div w:id="738290245">
                  <w:marLeft w:val="0"/>
                  <w:marRight w:val="0"/>
                  <w:marTop w:val="0"/>
                  <w:marBottom w:val="0"/>
                  <w:divBdr>
                    <w:top w:val="none" w:sz="0" w:space="0" w:color="auto"/>
                    <w:left w:val="none" w:sz="0" w:space="0" w:color="auto"/>
                    <w:bottom w:val="none" w:sz="0" w:space="0" w:color="auto"/>
                    <w:right w:val="none" w:sz="0" w:space="0" w:color="auto"/>
                  </w:divBdr>
                  <w:divsChild>
                    <w:div w:id="1405105781">
                      <w:marLeft w:val="0"/>
                      <w:marRight w:val="0"/>
                      <w:marTop w:val="0"/>
                      <w:marBottom w:val="0"/>
                      <w:divBdr>
                        <w:top w:val="none" w:sz="0" w:space="0" w:color="auto"/>
                        <w:left w:val="none" w:sz="0" w:space="0" w:color="auto"/>
                        <w:bottom w:val="none" w:sz="0" w:space="0" w:color="auto"/>
                        <w:right w:val="none" w:sz="0" w:space="0" w:color="auto"/>
                      </w:divBdr>
                    </w:div>
                  </w:divsChild>
                </w:div>
                <w:div w:id="974944734">
                  <w:marLeft w:val="0"/>
                  <w:marRight w:val="0"/>
                  <w:marTop w:val="0"/>
                  <w:marBottom w:val="0"/>
                  <w:divBdr>
                    <w:top w:val="none" w:sz="0" w:space="0" w:color="auto"/>
                    <w:left w:val="none" w:sz="0" w:space="0" w:color="auto"/>
                    <w:bottom w:val="none" w:sz="0" w:space="0" w:color="auto"/>
                    <w:right w:val="none" w:sz="0" w:space="0" w:color="auto"/>
                  </w:divBdr>
                  <w:divsChild>
                    <w:div w:id="1943763795">
                      <w:marLeft w:val="0"/>
                      <w:marRight w:val="0"/>
                      <w:marTop w:val="0"/>
                      <w:marBottom w:val="0"/>
                      <w:divBdr>
                        <w:top w:val="none" w:sz="0" w:space="0" w:color="auto"/>
                        <w:left w:val="none" w:sz="0" w:space="0" w:color="auto"/>
                        <w:bottom w:val="none" w:sz="0" w:space="0" w:color="auto"/>
                        <w:right w:val="none" w:sz="0" w:space="0" w:color="auto"/>
                      </w:divBdr>
                    </w:div>
                  </w:divsChild>
                </w:div>
                <w:div w:id="979505864">
                  <w:marLeft w:val="0"/>
                  <w:marRight w:val="0"/>
                  <w:marTop w:val="0"/>
                  <w:marBottom w:val="0"/>
                  <w:divBdr>
                    <w:top w:val="none" w:sz="0" w:space="0" w:color="auto"/>
                    <w:left w:val="none" w:sz="0" w:space="0" w:color="auto"/>
                    <w:bottom w:val="none" w:sz="0" w:space="0" w:color="auto"/>
                    <w:right w:val="none" w:sz="0" w:space="0" w:color="auto"/>
                  </w:divBdr>
                  <w:divsChild>
                    <w:div w:id="946037955">
                      <w:marLeft w:val="0"/>
                      <w:marRight w:val="0"/>
                      <w:marTop w:val="0"/>
                      <w:marBottom w:val="0"/>
                      <w:divBdr>
                        <w:top w:val="none" w:sz="0" w:space="0" w:color="auto"/>
                        <w:left w:val="none" w:sz="0" w:space="0" w:color="auto"/>
                        <w:bottom w:val="none" w:sz="0" w:space="0" w:color="auto"/>
                        <w:right w:val="none" w:sz="0" w:space="0" w:color="auto"/>
                      </w:divBdr>
                    </w:div>
                  </w:divsChild>
                </w:div>
                <w:div w:id="986324728">
                  <w:marLeft w:val="0"/>
                  <w:marRight w:val="0"/>
                  <w:marTop w:val="0"/>
                  <w:marBottom w:val="0"/>
                  <w:divBdr>
                    <w:top w:val="none" w:sz="0" w:space="0" w:color="auto"/>
                    <w:left w:val="none" w:sz="0" w:space="0" w:color="auto"/>
                    <w:bottom w:val="none" w:sz="0" w:space="0" w:color="auto"/>
                    <w:right w:val="none" w:sz="0" w:space="0" w:color="auto"/>
                  </w:divBdr>
                  <w:divsChild>
                    <w:div w:id="1890729032">
                      <w:marLeft w:val="0"/>
                      <w:marRight w:val="0"/>
                      <w:marTop w:val="0"/>
                      <w:marBottom w:val="0"/>
                      <w:divBdr>
                        <w:top w:val="none" w:sz="0" w:space="0" w:color="auto"/>
                        <w:left w:val="none" w:sz="0" w:space="0" w:color="auto"/>
                        <w:bottom w:val="none" w:sz="0" w:space="0" w:color="auto"/>
                        <w:right w:val="none" w:sz="0" w:space="0" w:color="auto"/>
                      </w:divBdr>
                    </w:div>
                  </w:divsChild>
                </w:div>
                <w:div w:id="1096244389">
                  <w:marLeft w:val="0"/>
                  <w:marRight w:val="0"/>
                  <w:marTop w:val="0"/>
                  <w:marBottom w:val="0"/>
                  <w:divBdr>
                    <w:top w:val="none" w:sz="0" w:space="0" w:color="auto"/>
                    <w:left w:val="none" w:sz="0" w:space="0" w:color="auto"/>
                    <w:bottom w:val="none" w:sz="0" w:space="0" w:color="auto"/>
                    <w:right w:val="none" w:sz="0" w:space="0" w:color="auto"/>
                  </w:divBdr>
                  <w:divsChild>
                    <w:div w:id="910582052">
                      <w:marLeft w:val="0"/>
                      <w:marRight w:val="0"/>
                      <w:marTop w:val="0"/>
                      <w:marBottom w:val="0"/>
                      <w:divBdr>
                        <w:top w:val="none" w:sz="0" w:space="0" w:color="auto"/>
                        <w:left w:val="none" w:sz="0" w:space="0" w:color="auto"/>
                        <w:bottom w:val="none" w:sz="0" w:space="0" w:color="auto"/>
                        <w:right w:val="none" w:sz="0" w:space="0" w:color="auto"/>
                      </w:divBdr>
                    </w:div>
                  </w:divsChild>
                </w:div>
                <w:div w:id="1504321851">
                  <w:marLeft w:val="0"/>
                  <w:marRight w:val="0"/>
                  <w:marTop w:val="0"/>
                  <w:marBottom w:val="0"/>
                  <w:divBdr>
                    <w:top w:val="none" w:sz="0" w:space="0" w:color="auto"/>
                    <w:left w:val="none" w:sz="0" w:space="0" w:color="auto"/>
                    <w:bottom w:val="none" w:sz="0" w:space="0" w:color="auto"/>
                    <w:right w:val="none" w:sz="0" w:space="0" w:color="auto"/>
                  </w:divBdr>
                  <w:divsChild>
                    <w:div w:id="1091583766">
                      <w:marLeft w:val="0"/>
                      <w:marRight w:val="0"/>
                      <w:marTop w:val="0"/>
                      <w:marBottom w:val="0"/>
                      <w:divBdr>
                        <w:top w:val="none" w:sz="0" w:space="0" w:color="auto"/>
                        <w:left w:val="none" w:sz="0" w:space="0" w:color="auto"/>
                        <w:bottom w:val="none" w:sz="0" w:space="0" w:color="auto"/>
                        <w:right w:val="none" w:sz="0" w:space="0" w:color="auto"/>
                      </w:divBdr>
                    </w:div>
                  </w:divsChild>
                </w:div>
                <w:div w:id="1602226713">
                  <w:marLeft w:val="0"/>
                  <w:marRight w:val="0"/>
                  <w:marTop w:val="0"/>
                  <w:marBottom w:val="0"/>
                  <w:divBdr>
                    <w:top w:val="none" w:sz="0" w:space="0" w:color="auto"/>
                    <w:left w:val="none" w:sz="0" w:space="0" w:color="auto"/>
                    <w:bottom w:val="none" w:sz="0" w:space="0" w:color="auto"/>
                    <w:right w:val="none" w:sz="0" w:space="0" w:color="auto"/>
                  </w:divBdr>
                  <w:divsChild>
                    <w:div w:id="1638679929">
                      <w:marLeft w:val="0"/>
                      <w:marRight w:val="0"/>
                      <w:marTop w:val="0"/>
                      <w:marBottom w:val="0"/>
                      <w:divBdr>
                        <w:top w:val="none" w:sz="0" w:space="0" w:color="auto"/>
                        <w:left w:val="none" w:sz="0" w:space="0" w:color="auto"/>
                        <w:bottom w:val="none" w:sz="0" w:space="0" w:color="auto"/>
                        <w:right w:val="none" w:sz="0" w:space="0" w:color="auto"/>
                      </w:divBdr>
                    </w:div>
                  </w:divsChild>
                </w:div>
                <w:div w:id="1672180572">
                  <w:marLeft w:val="0"/>
                  <w:marRight w:val="0"/>
                  <w:marTop w:val="0"/>
                  <w:marBottom w:val="0"/>
                  <w:divBdr>
                    <w:top w:val="none" w:sz="0" w:space="0" w:color="auto"/>
                    <w:left w:val="none" w:sz="0" w:space="0" w:color="auto"/>
                    <w:bottom w:val="none" w:sz="0" w:space="0" w:color="auto"/>
                    <w:right w:val="none" w:sz="0" w:space="0" w:color="auto"/>
                  </w:divBdr>
                  <w:divsChild>
                    <w:div w:id="236482320">
                      <w:marLeft w:val="0"/>
                      <w:marRight w:val="0"/>
                      <w:marTop w:val="0"/>
                      <w:marBottom w:val="0"/>
                      <w:divBdr>
                        <w:top w:val="none" w:sz="0" w:space="0" w:color="auto"/>
                        <w:left w:val="none" w:sz="0" w:space="0" w:color="auto"/>
                        <w:bottom w:val="none" w:sz="0" w:space="0" w:color="auto"/>
                        <w:right w:val="none" w:sz="0" w:space="0" w:color="auto"/>
                      </w:divBdr>
                    </w:div>
                  </w:divsChild>
                </w:div>
                <w:div w:id="2024892671">
                  <w:marLeft w:val="0"/>
                  <w:marRight w:val="0"/>
                  <w:marTop w:val="0"/>
                  <w:marBottom w:val="0"/>
                  <w:divBdr>
                    <w:top w:val="none" w:sz="0" w:space="0" w:color="auto"/>
                    <w:left w:val="none" w:sz="0" w:space="0" w:color="auto"/>
                    <w:bottom w:val="none" w:sz="0" w:space="0" w:color="auto"/>
                    <w:right w:val="none" w:sz="0" w:space="0" w:color="auto"/>
                  </w:divBdr>
                  <w:divsChild>
                    <w:div w:id="924461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093098">
          <w:marLeft w:val="0"/>
          <w:marRight w:val="0"/>
          <w:marTop w:val="0"/>
          <w:marBottom w:val="0"/>
          <w:divBdr>
            <w:top w:val="none" w:sz="0" w:space="0" w:color="auto"/>
            <w:left w:val="none" w:sz="0" w:space="0" w:color="auto"/>
            <w:bottom w:val="none" w:sz="0" w:space="0" w:color="auto"/>
            <w:right w:val="none" w:sz="0" w:space="0" w:color="auto"/>
          </w:divBdr>
        </w:div>
      </w:divsChild>
    </w:div>
    <w:div w:id="932668974">
      <w:bodyDiv w:val="1"/>
      <w:marLeft w:val="0"/>
      <w:marRight w:val="0"/>
      <w:marTop w:val="0"/>
      <w:marBottom w:val="0"/>
      <w:divBdr>
        <w:top w:val="none" w:sz="0" w:space="0" w:color="auto"/>
        <w:left w:val="none" w:sz="0" w:space="0" w:color="auto"/>
        <w:bottom w:val="none" w:sz="0" w:space="0" w:color="auto"/>
        <w:right w:val="none" w:sz="0" w:space="0" w:color="auto"/>
      </w:divBdr>
    </w:div>
    <w:div w:id="1069032855">
      <w:bodyDiv w:val="1"/>
      <w:marLeft w:val="0"/>
      <w:marRight w:val="0"/>
      <w:marTop w:val="0"/>
      <w:marBottom w:val="0"/>
      <w:divBdr>
        <w:top w:val="none" w:sz="0" w:space="0" w:color="auto"/>
        <w:left w:val="none" w:sz="0" w:space="0" w:color="auto"/>
        <w:bottom w:val="none" w:sz="0" w:space="0" w:color="auto"/>
        <w:right w:val="none" w:sz="0" w:space="0" w:color="auto"/>
      </w:divBdr>
      <w:divsChild>
        <w:div w:id="496386861">
          <w:marLeft w:val="0"/>
          <w:marRight w:val="0"/>
          <w:marTop w:val="0"/>
          <w:marBottom w:val="0"/>
          <w:divBdr>
            <w:top w:val="none" w:sz="0" w:space="0" w:color="auto"/>
            <w:left w:val="none" w:sz="0" w:space="0" w:color="auto"/>
            <w:bottom w:val="none" w:sz="0" w:space="0" w:color="auto"/>
            <w:right w:val="none" w:sz="0" w:space="0" w:color="auto"/>
          </w:divBdr>
        </w:div>
        <w:div w:id="1583177725">
          <w:marLeft w:val="0"/>
          <w:marRight w:val="0"/>
          <w:marTop w:val="0"/>
          <w:marBottom w:val="0"/>
          <w:divBdr>
            <w:top w:val="none" w:sz="0" w:space="0" w:color="auto"/>
            <w:left w:val="none" w:sz="0" w:space="0" w:color="auto"/>
            <w:bottom w:val="none" w:sz="0" w:space="0" w:color="auto"/>
            <w:right w:val="none" w:sz="0" w:space="0" w:color="auto"/>
          </w:divBdr>
        </w:div>
        <w:div w:id="1681161250">
          <w:marLeft w:val="0"/>
          <w:marRight w:val="0"/>
          <w:marTop w:val="0"/>
          <w:marBottom w:val="0"/>
          <w:divBdr>
            <w:top w:val="none" w:sz="0" w:space="0" w:color="auto"/>
            <w:left w:val="none" w:sz="0" w:space="0" w:color="auto"/>
            <w:bottom w:val="none" w:sz="0" w:space="0" w:color="auto"/>
            <w:right w:val="none" w:sz="0" w:space="0" w:color="auto"/>
          </w:divBdr>
        </w:div>
      </w:divsChild>
    </w:div>
    <w:div w:id="1126121437">
      <w:bodyDiv w:val="1"/>
      <w:marLeft w:val="0"/>
      <w:marRight w:val="0"/>
      <w:marTop w:val="0"/>
      <w:marBottom w:val="0"/>
      <w:divBdr>
        <w:top w:val="none" w:sz="0" w:space="0" w:color="auto"/>
        <w:left w:val="none" w:sz="0" w:space="0" w:color="auto"/>
        <w:bottom w:val="none" w:sz="0" w:space="0" w:color="auto"/>
        <w:right w:val="none" w:sz="0" w:space="0" w:color="auto"/>
      </w:divBdr>
    </w:div>
    <w:div w:id="1215891889">
      <w:bodyDiv w:val="1"/>
      <w:marLeft w:val="0"/>
      <w:marRight w:val="0"/>
      <w:marTop w:val="0"/>
      <w:marBottom w:val="0"/>
      <w:divBdr>
        <w:top w:val="none" w:sz="0" w:space="0" w:color="auto"/>
        <w:left w:val="none" w:sz="0" w:space="0" w:color="auto"/>
        <w:bottom w:val="none" w:sz="0" w:space="0" w:color="auto"/>
        <w:right w:val="none" w:sz="0" w:space="0" w:color="auto"/>
      </w:divBdr>
      <w:divsChild>
        <w:div w:id="81031464">
          <w:marLeft w:val="0"/>
          <w:marRight w:val="0"/>
          <w:marTop w:val="0"/>
          <w:marBottom w:val="0"/>
          <w:divBdr>
            <w:top w:val="none" w:sz="0" w:space="0" w:color="auto"/>
            <w:left w:val="none" w:sz="0" w:space="0" w:color="auto"/>
            <w:bottom w:val="none" w:sz="0" w:space="0" w:color="auto"/>
            <w:right w:val="none" w:sz="0" w:space="0" w:color="auto"/>
          </w:divBdr>
        </w:div>
        <w:div w:id="97219510">
          <w:marLeft w:val="0"/>
          <w:marRight w:val="0"/>
          <w:marTop w:val="0"/>
          <w:marBottom w:val="0"/>
          <w:divBdr>
            <w:top w:val="none" w:sz="0" w:space="0" w:color="auto"/>
            <w:left w:val="none" w:sz="0" w:space="0" w:color="auto"/>
            <w:bottom w:val="none" w:sz="0" w:space="0" w:color="auto"/>
            <w:right w:val="none" w:sz="0" w:space="0" w:color="auto"/>
          </w:divBdr>
        </w:div>
        <w:div w:id="354120127">
          <w:marLeft w:val="0"/>
          <w:marRight w:val="0"/>
          <w:marTop w:val="0"/>
          <w:marBottom w:val="0"/>
          <w:divBdr>
            <w:top w:val="none" w:sz="0" w:space="0" w:color="auto"/>
            <w:left w:val="none" w:sz="0" w:space="0" w:color="auto"/>
            <w:bottom w:val="none" w:sz="0" w:space="0" w:color="auto"/>
            <w:right w:val="none" w:sz="0" w:space="0" w:color="auto"/>
          </w:divBdr>
        </w:div>
        <w:div w:id="723716941">
          <w:marLeft w:val="0"/>
          <w:marRight w:val="0"/>
          <w:marTop w:val="0"/>
          <w:marBottom w:val="0"/>
          <w:divBdr>
            <w:top w:val="none" w:sz="0" w:space="0" w:color="auto"/>
            <w:left w:val="none" w:sz="0" w:space="0" w:color="auto"/>
            <w:bottom w:val="none" w:sz="0" w:space="0" w:color="auto"/>
            <w:right w:val="none" w:sz="0" w:space="0" w:color="auto"/>
          </w:divBdr>
          <w:divsChild>
            <w:div w:id="740098720">
              <w:marLeft w:val="-75"/>
              <w:marRight w:val="0"/>
              <w:marTop w:val="30"/>
              <w:marBottom w:val="30"/>
              <w:divBdr>
                <w:top w:val="none" w:sz="0" w:space="0" w:color="auto"/>
                <w:left w:val="none" w:sz="0" w:space="0" w:color="auto"/>
                <w:bottom w:val="none" w:sz="0" w:space="0" w:color="auto"/>
                <w:right w:val="none" w:sz="0" w:space="0" w:color="auto"/>
              </w:divBdr>
              <w:divsChild>
                <w:div w:id="39985606">
                  <w:marLeft w:val="0"/>
                  <w:marRight w:val="0"/>
                  <w:marTop w:val="0"/>
                  <w:marBottom w:val="0"/>
                  <w:divBdr>
                    <w:top w:val="none" w:sz="0" w:space="0" w:color="auto"/>
                    <w:left w:val="none" w:sz="0" w:space="0" w:color="auto"/>
                    <w:bottom w:val="none" w:sz="0" w:space="0" w:color="auto"/>
                    <w:right w:val="none" w:sz="0" w:space="0" w:color="auto"/>
                  </w:divBdr>
                  <w:divsChild>
                    <w:div w:id="1754929310">
                      <w:marLeft w:val="0"/>
                      <w:marRight w:val="0"/>
                      <w:marTop w:val="0"/>
                      <w:marBottom w:val="0"/>
                      <w:divBdr>
                        <w:top w:val="none" w:sz="0" w:space="0" w:color="auto"/>
                        <w:left w:val="none" w:sz="0" w:space="0" w:color="auto"/>
                        <w:bottom w:val="none" w:sz="0" w:space="0" w:color="auto"/>
                        <w:right w:val="none" w:sz="0" w:space="0" w:color="auto"/>
                      </w:divBdr>
                    </w:div>
                  </w:divsChild>
                </w:div>
                <w:div w:id="90972939">
                  <w:marLeft w:val="0"/>
                  <w:marRight w:val="0"/>
                  <w:marTop w:val="0"/>
                  <w:marBottom w:val="0"/>
                  <w:divBdr>
                    <w:top w:val="none" w:sz="0" w:space="0" w:color="auto"/>
                    <w:left w:val="none" w:sz="0" w:space="0" w:color="auto"/>
                    <w:bottom w:val="none" w:sz="0" w:space="0" w:color="auto"/>
                    <w:right w:val="none" w:sz="0" w:space="0" w:color="auto"/>
                  </w:divBdr>
                  <w:divsChild>
                    <w:div w:id="1703281034">
                      <w:marLeft w:val="0"/>
                      <w:marRight w:val="0"/>
                      <w:marTop w:val="0"/>
                      <w:marBottom w:val="0"/>
                      <w:divBdr>
                        <w:top w:val="none" w:sz="0" w:space="0" w:color="auto"/>
                        <w:left w:val="none" w:sz="0" w:space="0" w:color="auto"/>
                        <w:bottom w:val="none" w:sz="0" w:space="0" w:color="auto"/>
                        <w:right w:val="none" w:sz="0" w:space="0" w:color="auto"/>
                      </w:divBdr>
                    </w:div>
                  </w:divsChild>
                </w:div>
                <w:div w:id="160315375">
                  <w:marLeft w:val="0"/>
                  <w:marRight w:val="0"/>
                  <w:marTop w:val="0"/>
                  <w:marBottom w:val="0"/>
                  <w:divBdr>
                    <w:top w:val="none" w:sz="0" w:space="0" w:color="auto"/>
                    <w:left w:val="none" w:sz="0" w:space="0" w:color="auto"/>
                    <w:bottom w:val="none" w:sz="0" w:space="0" w:color="auto"/>
                    <w:right w:val="none" w:sz="0" w:space="0" w:color="auto"/>
                  </w:divBdr>
                  <w:divsChild>
                    <w:div w:id="313723821">
                      <w:marLeft w:val="0"/>
                      <w:marRight w:val="0"/>
                      <w:marTop w:val="0"/>
                      <w:marBottom w:val="0"/>
                      <w:divBdr>
                        <w:top w:val="none" w:sz="0" w:space="0" w:color="auto"/>
                        <w:left w:val="none" w:sz="0" w:space="0" w:color="auto"/>
                        <w:bottom w:val="none" w:sz="0" w:space="0" w:color="auto"/>
                        <w:right w:val="none" w:sz="0" w:space="0" w:color="auto"/>
                      </w:divBdr>
                    </w:div>
                  </w:divsChild>
                </w:div>
                <w:div w:id="287512445">
                  <w:marLeft w:val="0"/>
                  <w:marRight w:val="0"/>
                  <w:marTop w:val="0"/>
                  <w:marBottom w:val="0"/>
                  <w:divBdr>
                    <w:top w:val="none" w:sz="0" w:space="0" w:color="auto"/>
                    <w:left w:val="none" w:sz="0" w:space="0" w:color="auto"/>
                    <w:bottom w:val="none" w:sz="0" w:space="0" w:color="auto"/>
                    <w:right w:val="none" w:sz="0" w:space="0" w:color="auto"/>
                  </w:divBdr>
                  <w:divsChild>
                    <w:div w:id="1223903921">
                      <w:marLeft w:val="0"/>
                      <w:marRight w:val="0"/>
                      <w:marTop w:val="0"/>
                      <w:marBottom w:val="0"/>
                      <w:divBdr>
                        <w:top w:val="none" w:sz="0" w:space="0" w:color="auto"/>
                        <w:left w:val="none" w:sz="0" w:space="0" w:color="auto"/>
                        <w:bottom w:val="none" w:sz="0" w:space="0" w:color="auto"/>
                        <w:right w:val="none" w:sz="0" w:space="0" w:color="auto"/>
                      </w:divBdr>
                    </w:div>
                  </w:divsChild>
                </w:div>
                <w:div w:id="517428716">
                  <w:marLeft w:val="0"/>
                  <w:marRight w:val="0"/>
                  <w:marTop w:val="0"/>
                  <w:marBottom w:val="0"/>
                  <w:divBdr>
                    <w:top w:val="none" w:sz="0" w:space="0" w:color="auto"/>
                    <w:left w:val="none" w:sz="0" w:space="0" w:color="auto"/>
                    <w:bottom w:val="none" w:sz="0" w:space="0" w:color="auto"/>
                    <w:right w:val="none" w:sz="0" w:space="0" w:color="auto"/>
                  </w:divBdr>
                  <w:divsChild>
                    <w:div w:id="1388718841">
                      <w:marLeft w:val="0"/>
                      <w:marRight w:val="0"/>
                      <w:marTop w:val="0"/>
                      <w:marBottom w:val="0"/>
                      <w:divBdr>
                        <w:top w:val="none" w:sz="0" w:space="0" w:color="auto"/>
                        <w:left w:val="none" w:sz="0" w:space="0" w:color="auto"/>
                        <w:bottom w:val="none" w:sz="0" w:space="0" w:color="auto"/>
                        <w:right w:val="none" w:sz="0" w:space="0" w:color="auto"/>
                      </w:divBdr>
                    </w:div>
                  </w:divsChild>
                </w:div>
                <w:div w:id="565993328">
                  <w:marLeft w:val="0"/>
                  <w:marRight w:val="0"/>
                  <w:marTop w:val="0"/>
                  <w:marBottom w:val="0"/>
                  <w:divBdr>
                    <w:top w:val="none" w:sz="0" w:space="0" w:color="auto"/>
                    <w:left w:val="none" w:sz="0" w:space="0" w:color="auto"/>
                    <w:bottom w:val="none" w:sz="0" w:space="0" w:color="auto"/>
                    <w:right w:val="none" w:sz="0" w:space="0" w:color="auto"/>
                  </w:divBdr>
                  <w:divsChild>
                    <w:div w:id="2047291666">
                      <w:marLeft w:val="0"/>
                      <w:marRight w:val="0"/>
                      <w:marTop w:val="0"/>
                      <w:marBottom w:val="0"/>
                      <w:divBdr>
                        <w:top w:val="none" w:sz="0" w:space="0" w:color="auto"/>
                        <w:left w:val="none" w:sz="0" w:space="0" w:color="auto"/>
                        <w:bottom w:val="none" w:sz="0" w:space="0" w:color="auto"/>
                        <w:right w:val="none" w:sz="0" w:space="0" w:color="auto"/>
                      </w:divBdr>
                    </w:div>
                  </w:divsChild>
                </w:div>
                <w:div w:id="1205946446">
                  <w:marLeft w:val="0"/>
                  <w:marRight w:val="0"/>
                  <w:marTop w:val="0"/>
                  <w:marBottom w:val="0"/>
                  <w:divBdr>
                    <w:top w:val="none" w:sz="0" w:space="0" w:color="auto"/>
                    <w:left w:val="none" w:sz="0" w:space="0" w:color="auto"/>
                    <w:bottom w:val="none" w:sz="0" w:space="0" w:color="auto"/>
                    <w:right w:val="none" w:sz="0" w:space="0" w:color="auto"/>
                  </w:divBdr>
                  <w:divsChild>
                    <w:div w:id="1171292084">
                      <w:marLeft w:val="0"/>
                      <w:marRight w:val="0"/>
                      <w:marTop w:val="0"/>
                      <w:marBottom w:val="0"/>
                      <w:divBdr>
                        <w:top w:val="none" w:sz="0" w:space="0" w:color="auto"/>
                        <w:left w:val="none" w:sz="0" w:space="0" w:color="auto"/>
                        <w:bottom w:val="none" w:sz="0" w:space="0" w:color="auto"/>
                        <w:right w:val="none" w:sz="0" w:space="0" w:color="auto"/>
                      </w:divBdr>
                    </w:div>
                  </w:divsChild>
                </w:div>
                <w:div w:id="1258636168">
                  <w:marLeft w:val="0"/>
                  <w:marRight w:val="0"/>
                  <w:marTop w:val="0"/>
                  <w:marBottom w:val="0"/>
                  <w:divBdr>
                    <w:top w:val="none" w:sz="0" w:space="0" w:color="auto"/>
                    <w:left w:val="none" w:sz="0" w:space="0" w:color="auto"/>
                    <w:bottom w:val="none" w:sz="0" w:space="0" w:color="auto"/>
                    <w:right w:val="none" w:sz="0" w:space="0" w:color="auto"/>
                  </w:divBdr>
                  <w:divsChild>
                    <w:div w:id="1775980541">
                      <w:marLeft w:val="0"/>
                      <w:marRight w:val="0"/>
                      <w:marTop w:val="0"/>
                      <w:marBottom w:val="0"/>
                      <w:divBdr>
                        <w:top w:val="none" w:sz="0" w:space="0" w:color="auto"/>
                        <w:left w:val="none" w:sz="0" w:space="0" w:color="auto"/>
                        <w:bottom w:val="none" w:sz="0" w:space="0" w:color="auto"/>
                        <w:right w:val="none" w:sz="0" w:space="0" w:color="auto"/>
                      </w:divBdr>
                    </w:div>
                  </w:divsChild>
                </w:div>
                <w:div w:id="1384057201">
                  <w:marLeft w:val="0"/>
                  <w:marRight w:val="0"/>
                  <w:marTop w:val="0"/>
                  <w:marBottom w:val="0"/>
                  <w:divBdr>
                    <w:top w:val="none" w:sz="0" w:space="0" w:color="auto"/>
                    <w:left w:val="none" w:sz="0" w:space="0" w:color="auto"/>
                    <w:bottom w:val="none" w:sz="0" w:space="0" w:color="auto"/>
                    <w:right w:val="none" w:sz="0" w:space="0" w:color="auto"/>
                  </w:divBdr>
                  <w:divsChild>
                    <w:div w:id="1307737699">
                      <w:marLeft w:val="0"/>
                      <w:marRight w:val="0"/>
                      <w:marTop w:val="0"/>
                      <w:marBottom w:val="0"/>
                      <w:divBdr>
                        <w:top w:val="none" w:sz="0" w:space="0" w:color="auto"/>
                        <w:left w:val="none" w:sz="0" w:space="0" w:color="auto"/>
                        <w:bottom w:val="none" w:sz="0" w:space="0" w:color="auto"/>
                        <w:right w:val="none" w:sz="0" w:space="0" w:color="auto"/>
                      </w:divBdr>
                    </w:div>
                  </w:divsChild>
                </w:div>
                <w:div w:id="1434934734">
                  <w:marLeft w:val="0"/>
                  <w:marRight w:val="0"/>
                  <w:marTop w:val="0"/>
                  <w:marBottom w:val="0"/>
                  <w:divBdr>
                    <w:top w:val="none" w:sz="0" w:space="0" w:color="auto"/>
                    <w:left w:val="none" w:sz="0" w:space="0" w:color="auto"/>
                    <w:bottom w:val="none" w:sz="0" w:space="0" w:color="auto"/>
                    <w:right w:val="none" w:sz="0" w:space="0" w:color="auto"/>
                  </w:divBdr>
                  <w:divsChild>
                    <w:div w:id="1911385391">
                      <w:marLeft w:val="0"/>
                      <w:marRight w:val="0"/>
                      <w:marTop w:val="0"/>
                      <w:marBottom w:val="0"/>
                      <w:divBdr>
                        <w:top w:val="none" w:sz="0" w:space="0" w:color="auto"/>
                        <w:left w:val="none" w:sz="0" w:space="0" w:color="auto"/>
                        <w:bottom w:val="none" w:sz="0" w:space="0" w:color="auto"/>
                        <w:right w:val="none" w:sz="0" w:space="0" w:color="auto"/>
                      </w:divBdr>
                    </w:div>
                  </w:divsChild>
                </w:div>
                <w:div w:id="1603875492">
                  <w:marLeft w:val="0"/>
                  <w:marRight w:val="0"/>
                  <w:marTop w:val="0"/>
                  <w:marBottom w:val="0"/>
                  <w:divBdr>
                    <w:top w:val="none" w:sz="0" w:space="0" w:color="auto"/>
                    <w:left w:val="none" w:sz="0" w:space="0" w:color="auto"/>
                    <w:bottom w:val="none" w:sz="0" w:space="0" w:color="auto"/>
                    <w:right w:val="none" w:sz="0" w:space="0" w:color="auto"/>
                  </w:divBdr>
                  <w:divsChild>
                    <w:div w:id="1171722680">
                      <w:marLeft w:val="0"/>
                      <w:marRight w:val="0"/>
                      <w:marTop w:val="0"/>
                      <w:marBottom w:val="0"/>
                      <w:divBdr>
                        <w:top w:val="none" w:sz="0" w:space="0" w:color="auto"/>
                        <w:left w:val="none" w:sz="0" w:space="0" w:color="auto"/>
                        <w:bottom w:val="none" w:sz="0" w:space="0" w:color="auto"/>
                        <w:right w:val="none" w:sz="0" w:space="0" w:color="auto"/>
                      </w:divBdr>
                    </w:div>
                  </w:divsChild>
                </w:div>
                <w:div w:id="1804423068">
                  <w:marLeft w:val="0"/>
                  <w:marRight w:val="0"/>
                  <w:marTop w:val="0"/>
                  <w:marBottom w:val="0"/>
                  <w:divBdr>
                    <w:top w:val="none" w:sz="0" w:space="0" w:color="auto"/>
                    <w:left w:val="none" w:sz="0" w:space="0" w:color="auto"/>
                    <w:bottom w:val="none" w:sz="0" w:space="0" w:color="auto"/>
                    <w:right w:val="none" w:sz="0" w:space="0" w:color="auto"/>
                  </w:divBdr>
                  <w:divsChild>
                    <w:div w:id="109867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071778">
          <w:marLeft w:val="0"/>
          <w:marRight w:val="0"/>
          <w:marTop w:val="0"/>
          <w:marBottom w:val="0"/>
          <w:divBdr>
            <w:top w:val="none" w:sz="0" w:space="0" w:color="auto"/>
            <w:left w:val="none" w:sz="0" w:space="0" w:color="auto"/>
            <w:bottom w:val="none" w:sz="0" w:space="0" w:color="auto"/>
            <w:right w:val="none" w:sz="0" w:space="0" w:color="auto"/>
          </w:divBdr>
        </w:div>
        <w:div w:id="1101880319">
          <w:marLeft w:val="0"/>
          <w:marRight w:val="0"/>
          <w:marTop w:val="0"/>
          <w:marBottom w:val="0"/>
          <w:divBdr>
            <w:top w:val="none" w:sz="0" w:space="0" w:color="auto"/>
            <w:left w:val="none" w:sz="0" w:space="0" w:color="auto"/>
            <w:bottom w:val="none" w:sz="0" w:space="0" w:color="auto"/>
            <w:right w:val="none" w:sz="0" w:space="0" w:color="auto"/>
          </w:divBdr>
        </w:div>
        <w:div w:id="1195998734">
          <w:marLeft w:val="0"/>
          <w:marRight w:val="0"/>
          <w:marTop w:val="0"/>
          <w:marBottom w:val="0"/>
          <w:divBdr>
            <w:top w:val="none" w:sz="0" w:space="0" w:color="auto"/>
            <w:left w:val="none" w:sz="0" w:space="0" w:color="auto"/>
            <w:bottom w:val="none" w:sz="0" w:space="0" w:color="auto"/>
            <w:right w:val="none" w:sz="0" w:space="0" w:color="auto"/>
          </w:divBdr>
        </w:div>
        <w:div w:id="1236357885">
          <w:marLeft w:val="0"/>
          <w:marRight w:val="0"/>
          <w:marTop w:val="0"/>
          <w:marBottom w:val="0"/>
          <w:divBdr>
            <w:top w:val="none" w:sz="0" w:space="0" w:color="auto"/>
            <w:left w:val="none" w:sz="0" w:space="0" w:color="auto"/>
            <w:bottom w:val="none" w:sz="0" w:space="0" w:color="auto"/>
            <w:right w:val="none" w:sz="0" w:space="0" w:color="auto"/>
          </w:divBdr>
        </w:div>
        <w:div w:id="1354764434">
          <w:marLeft w:val="0"/>
          <w:marRight w:val="0"/>
          <w:marTop w:val="0"/>
          <w:marBottom w:val="0"/>
          <w:divBdr>
            <w:top w:val="none" w:sz="0" w:space="0" w:color="auto"/>
            <w:left w:val="none" w:sz="0" w:space="0" w:color="auto"/>
            <w:bottom w:val="none" w:sz="0" w:space="0" w:color="auto"/>
            <w:right w:val="none" w:sz="0" w:space="0" w:color="auto"/>
          </w:divBdr>
        </w:div>
        <w:div w:id="2032366623">
          <w:marLeft w:val="0"/>
          <w:marRight w:val="0"/>
          <w:marTop w:val="0"/>
          <w:marBottom w:val="0"/>
          <w:divBdr>
            <w:top w:val="none" w:sz="0" w:space="0" w:color="auto"/>
            <w:left w:val="none" w:sz="0" w:space="0" w:color="auto"/>
            <w:bottom w:val="none" w:sz="0" w:space="0" w:color="auto"/>
            <w:right w:val="none" w:sz="0" w:space="0" w:color="auto"/>
          </w:divBdr>
        </w:div>
        <w:div w:id="2118938581">
          <w:marLeft w:val="0"/>
          <w:marRight w:val="0"/>
          <w:marTop w:val="0"/>
          <w:marBottom w:val="0"/>
          <w:divBdr>
            <w:top w:val="none" w:sz="0" w:space="0" w:color="auto"/>
            <w:left w:val="none" w:sz="0" w:space="0" w:color="auto"/>
            <w:bottom w:val="none" w:sz="0" w:space="0" w:color="auto"/>
            <w:right w:val="none" w:sz="0" w:space="0" w:color="auto"/>
          </w:divBdr>
        </w:div>
      </w:divsChild>
    </w:div>
    <w:div w:id="1254514120">
      <w:bodyDiv w:val="1"/>
      <w:marLeft w:val="0"/>
      <w:marRight w:val="0"/>
      <w:marTop w:val="0"/>
      <w:marBottom w:val="0"/>
      <w:divBdr>
        <w:top w:val="none" w:sz="0" w:space="0" w:color="auto"/>
        <w:left w:val="none" w:sz="0" w:space="0" w:color="auto"/>
        <w:bottom w:val="none" w:sz="0" w:space="0" w:color="auto"/>
        <w:right w:val="none" w:sz="0" w:space="0" w:color="auto"/>
      </w:divBdr>
      <w:divsChild>
        <w:div w:id="1684016451">
          <w:marLeft w:val="0"/>
          <w:marRight w:val="0"/>
          <w:marTop w:val="0"/>
          <w:marBottom w:val="0"/>
          <w:divBdr>
            <w:top w:val="none" w:sz="0" w:space="0" w:color="auto"/>
            <w:left w:val="none" w:sz="0" w:space="0" w:color="auto"/>
            <w:bottom w:val="none" w:sz="0" w:space="0" w:color="auto"/>
            <w:right w:val="none" w:sz="0" w:space="0" w:color="auto"/>
          </w:divBdr>
          <w:divsChild>
            <w:div w:id="1794012441">
              <w:marLeft w:val="0"/>
              <w:marRight w:val="0"/>
              <w:marTop w:val="0"/>
              <w:marBottom w:val="0"/>
              <w:divBdr>
                <w:top w:val="none" w:sz="0" w:space="0" w:color="auto"/>
                <w:left w:val="none" w:sz="0" w:space="0" w:color="auto"/>
                <w:bottom w:val="none" w:sz="0" w:space="0" w:color="auto"/>
                <w:right w:val="none" w:sz="0" w:space="0" w:color="auto"/>
              </w:divBdr>
              <w:divsChild>
                <w:div w:id="126962953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274945573">
      <w:bodyDiv w:val="1"/>
      <w:marLeft w:val="0"/>
      <w:marRight w:val="0"/>
      <w:marTop w:val="0"/>
      <w:marBottom w:val="0"/>
      <w:divBdr>
        <w:top w:val="none" w:sz="0" w:space="0" w:color="auto"/>
        <w:left w:val="none" w:sz="0" w:space="0" w:color="auto"/>
        <w:bottom w:val="none" w:sz="0" w:space="0" w:color="auto"/>
        <w:right w:val="none" w:sz="0" w:space="0" w:color="auto"/>
      </w:divBdr>
      <w:divsChild>
        <w:div w:id="193350059">
          <w:marLeft w:val="0"/>
          <w:marRight w:val="0"/>
          <w:marTop w:val="0"/>
          <w:marBottom w:val="0"/>
          <w:divBdr>
            <w:top w:val="none" w:sz="0" w:space="0" w:color="auto"/>
            <w:left w:val="none" w:sz="0" w:space="0" w:color="auto"/>
            <w:bottom w:val="none" w:sz="0" w:space="0" w:color="auto"/>
            <w:right w:val="none" w:sz="0" w:space="0" w:color="auto"/>
          </w:divBdr>
        </w:div>
        <w:div w:id="278075588">
          <w:marLeft w:val="0"/>
          <w:marRight w:val="0"/>
          <w:marTop w:val="0"/>
          <w:marBottom w:val="0"/>
          <w:divBdr>
            <w:top w:val="none" w:sz="0" w:space="0" w:color="auto"/>
            <w:left w:val="none" w:sz="0" w:space="0" w:color="auto"/>
            <w:bottom w:val="none" w:sz="0" w:space="0" w:color="auto"/>
            <w:right w:val="none" w:sz="0" w:space="0" w:color="auto"/>
          </w:divBdr>
        </w:div>
        <w:div w:id="324404846">
          <w:marLeft w:val="0"/>
          <w:marRight w:val="0"/>
          <w:marTop w:val="0"/>
          <w:marBottom w:val="0"/>
          <w:divBdr>
            <w:top w:val="none" w:sz="0" w:space="0" w:color="auto"/>
            <w:left w:val="none" w:sz="0" w:space="0" w:color="auto"/>
            <w:bottom w:val="none" w:sz="0" w:space="0" w:color="auto"/>
            <w:right w:val="none" w:sz="0" w:space="0" w:color="auto"/>
          </w:divBdr>
        </w:div>
        <w:div w:id="432626579">
          <w:marLeft w:val="0"/>
          <w:marRight w:val="0"/>
          <w:marTop w:val="0"/>
          <w:marBottom w:val="0"/>
          <w:divBdr>
            <w:top w:val="none" w:sz="0" w:space="0" w:color="auto"/>
            <w:left w:val="none" w:sz="0" w:space="0" w:color="auto"/>
            <w:bottom w:val="none" w:sz="0" w:space="0" w:color="auto"/>
            <w:right w:val="none" w:sz="0" w:space="0" w:color="auto"/>
          </w:divBdr>
        </w:div>
        <w:div w:id="703946571">
          <w:marLeft w:val="0"/>
          <w:marRight w:val="0"/>
          <w:marTop w:val="0"/>
          <w:marBottom w:val="0"/>
          <w:divBdr>
            <w:top w:val="none" w:sz="0" w:space="0" w:color="auto"/>
            <w:left w:val="none" w:sz="0" w:space="0" w:color="auto"/>
            <w:bottom w:val="none" w:sz="0" w:space="0" w:color="auto"/>
            <w:right w:val="none" w:sz="0" w:space="0" w:color="auto"/>
          </w:divBdr>
        </w:div>
        <w:div w:id="808547173">
          <w:marLeft w:val="0"/>
          <w:marRight w:val="0"/>
          <w:marTop w:val="0"/>
          <w:marBottom w:val="0"/>
          <w:divBdr>
            <w:top w:val="none" w:sz="0" w:space="0" w:color="auto"/>
            <w:left w:val="none" w:sz="0" w:space="0" w:color="auto"/>
            <w:bottom w:val="none" w:sz="0" w:space="0" w:color="auto"/>
            <w:right w:val="none" w:sz="0" w:space="0" w:color="auto"/>
          </w:divBdr>
        </w:div>
        <w:div w:id="822310611">
          <w:marLeft w:val="0"/>
          <w:marRight w:val="0"/>
          <w:marTop w:val="0"/>
          <w:marBottom w:val="0"/>
          <w:divBdr>
            <w:top w:val="none" w:sz="0" w:space="0" w:color="auto"/>
            <w:left w:val="none" w:sz="0" w:space="0" w:color="auto"/>
            <w:bottom w:val="none" w:sz="0" w:space="0" w:color="auto"/>
            <w:right w:val="none" w:sz="0" w:space="0" w:color="auto"/>
          </w:divBdr>
        </w:div>
        <w:div w:id="1178233378">
          <w:marLeft w:val="0"/>
          <w:marRight w:val="0"/>
          <w:marTop w:val="0"/>
          <w:marBottom w:val="0"/>
          <w:divBdr>
            <w:top w:val="none" w:sz="0" w:space="0" w:color="auto"/>
            <w:left w:val="none" w:sz="0" w:space="0" w:color="auto"/>
            <w:bottom w:val="none" w:sz="0" w:space="0" w:color="auto"/>
            <w:right w:val="none" w:sz="0" w:space="0" w:color="auto"/>
          </w:divBdr>
        </w:div>
        <w:div w:id="1320620767">
          <w:marLeft w:val="0"/>
          <w:marRight w:val="0"/>
          <w:marTop w:val="0"/>
          <w:marBottom w:val="0"/>
          <w:divBdr>
            <w:top w:val="none" w:sz="0" w:space="0" w:color="auto"/>
            <w:left w:val="none" w:sz="0" w:space="0" w:color="auto"/>
            <w:bottom w:val="none" w:sz="0" w:space="0" w:color="auto"/>
            <w:right w:val="none" w:sz="0" w:space="0" w:color="auto"/>
          </w:divBdr>
        </w:div>
        <w:div w:id="1792240204">
          <w:marLeft w:val="0"/>
          <w:marRight w:val="0"/>
          <w:marTop w:val="0"/>
          <w:marBottom w:val="0"/>
          <w:divBdr>
            <w:top w:val="none" w:sz="0" w:space="0" w:color="auto"/>
            <w:left w:val="none" w:sz="0" w:space="0" w:color="auto"/>
            <w:bottom w:val="none" w:sz="0" w:space="0" w:color="auto"/>
            <w:right w:val="none" w:sz="0" w:space="0" w:color="auto"/>
          </w:divBdr>
          <w:divsChild>
            <w:div w:id="530727370">
              <w:marLeft w:val="-75"/>
              <w:marRight w:val="0"/>
              <w:marTop w:val="30"/>
              <w:marBottom w:val="30"/>
              <w:divBdr>
                <w:top w:val="none" w:sz="0" w:space="0" w:color="auto"/>
                <w:left w:val="none" w:sz="0" w:space="0" w:color="auto"/>
                <w:bottom w:val="none" w:sz="0" w:space="0" w:color="auto"/>
                <w:right w:val="none" w:sz="0" w:space="0" w:color="auto"/>
              </w:divBdr>
              <w:divsChild>
                <w:div w:id="39943589">
                  <w:marLeft w:val="0"/>
                  <w:marRight w:val="0"/>
                  <w:marTop w:val="0"/>
                  <w:marBottom w:val="0"/>
                  <w:divBdr>
                    <w:top w:val="none" w:sz="0" w:space="0" w:color="auto"/>
                    <w:left w:val="none" w:sz="0" w:space="0" w:color="auto"/>
                    <w:bottom w:val="none" w:sz="0" w:space="0" w:color="auto"/>
                    <w:right w:val="none" w:sz="0" w:space="0" w:color="auto"/>
                  </w:divBdr>
                  <w:divsChild>
                    <w:div w:id="1902248163">
                      <w:marLeft w:val="0"/>
                      <w:marRight w:val="0"/>
                      <w:marTop w:val="0"/>
                      <w:marBottom w:val="0"/>
                      <w:divBdr>
                        <w:top w:val="none" w:sz="0" w:space="0" w:color="auto"/>
                        <w:left w:val="none" w:sz="0" w:space="0" w:color="auto"/>
                        <w:bottom w:val="none" w:sz="0" w:space="0" w:color="auto"/>
                        <w:right w:val="none" w:sz="0" w:space="0" w:color="auto"/>
                      </w:divBdr>
                    </w:div>
                  </w:divsChild>
                </w:div>
                <w:div w:id="217479959">
                  <w:marLeft w:val="0"/>
                  <w:marRight w:val="0"/>
                  <w:marTop w:val="0"/>
                  <w:marBottom w:val="0"/>
                  <w:divBdr>
                    <w:top w:val="none" w:sz="0" w:space="0" w:color="auto"/>
                    <w:left w:val="none" w:sz="0" w:space="0" w:color="auto"/>
                    <w:bottom w:val="none" w:sz="0" w:space="0" w:color="auto"/>
                    <w:right w:val="none" w:sz="0" w:space="0" w:color="auto"/>
                  </w:divBdr>
                  <w:divsChild>
                    <w:div w:id="1048606912">
                      <w:marLeft w:val="0"/>
                      <w:marRight w:val="0"/>
                      <w:marTop w:val="0"/>
                      <w:marBottom w:val="0"/>
                      <w:divBdr>
                        <w:top w:val="none" w:sz="0" w:space="0" w:color="auto"/>
                        <w:left w:val="none" w:sz="0" w:space="0" w:color="auto"/>
                        <w:bottom w:val="none" w:sz="0" w:space="0" w:color="auto"/>
                        <w:right w:val="none" w:sz="0" w:space="0" w:color="auto"/>
                      </w:divBdr>
                    </w:div>
                  </w:divsChild>
                </w:div>
                <w:div w:id="651518301">
                  <w:marLeft w:val="0"/>
                  <w:marRight w:val="0"/>
                  <w:marTop w:val="0"/>
                  <w:marBottom w:val="0"/>
                  <w:divBdr>
                    <w:top w:val="none" w:sz="0" w:space="0" w:color="auto"/>
                    <w:left w:val="none" w:sz="0" w:space="0" w:color="auto"/>
                    <w:bottom w:val="none" w:sz="0" w:space="0" w:color="auto"/>
                    <w:right w:val="none" w:sz="0" w:space="0" w:color="auto"/>
                  </w:divBdr>
                  <w:divsChild>
                    <w:div w:id="1631664393">
                      <w:marLeft w:val="0"/>
                      <w:marRight w:val="0"/>
                      <w:marTop w:val="0"/>
                      <w:marBottom w:val="0"/>
                      <w:divBdr>
                        <w:top w:val="none" w:sz="0" w:space="0" w:color="auto"/>
                        <w:left w:val="none" w:sz="0" w:space="0" w:color="auto"/>
                        <w:bottom w:val="none" w:sz="0" w:space="0" w:color="auto"/>
                        <w:right w:val="none" w:sz="0" w:space="0" w:color="auto"/>
                      </w:divBdr>
                    </w:div>
                  </w:divsChild>
                </w:div>
                <w:div w:id="821580937">
                  <w:marLeft w:val="0"/>
                  <w:marRight w:val="0"/>
                  <w:marTop w:val="0"/>
                  <w:marBottom w:val="0"/>
                  <w:divBdr>
                    <w:top w:val="none" w:sz="0" w:space="0" w:color="auto"/>
                    <w:left w:val="none" w:sz="0" w:space="0" w:color="auto"/>
                    <w:bottom w:val="none" w:sz="0" w:space="0" w:color="auto"/>
                    <w:right w:val="none" w:sz="0" w:space="0" w:color="auto"/>
                  </w:divBdr>
                  <w:divsChild>
                    <w:div w:id="2142771496">
                      <w:marLeft w:val="0"/>
                      <w:marRight w:val="0"/>
                      <w:marTop w:val="0"/>
                      <w:marBottom w:val="0"/>
                      <w:divBdr>
                        <w:top w:val="none" w:sz="0" w:space="0" w:color="auto"/>
                        <w:left w:val="none" w:sz="0" w:space="0" w:color="auto"/>
                        <w:bottom w:val="none" w:sz="0" w:space="0" w:color="auto"/>
                        <w:right w:val="none" w:sz="0" w:space="0" w:color="auto"/>
                      </w:divBdr>
                    </w:div>
                  </w:divsChild>
                </w:div>
                <w:div w:id="871260358">
                  <w:marLeft w:val="0"/>
                  <w:marRight w:val="0"/>
                  <w:marTop w:val="0"/>
                  <w:marBottom w:val="0"/>
                  <w:divBdr>
                    <w:top w:val="none" w:sz="0" w:space="0" w:color="auto"/>
                    <w:left w:val="none" w:sz="0" w:space="0" w:color="auto"/>
                    <w:bottom w:val="none" w:sz="0" w:space="0" w:color="auto"/>
                    <w:right w:val="none" w:sz="0" w:space="0" w:color="auto"/>
                  </w:divBdr>
                  <w:divsChild>
                    <w:div w:id="1298220198">
                      <w:marLeft w:val="0"/>
                      <w:marRight w:val="0"/>
                      <w:marTop w:val="0"/>
                      <w:marBottom w:val="0"/>
                      <w:divBdr>
                        <w:top w:val="none" w:sz="0" w:space="0" w:color="auto"/>
                        <w:left w:val="none" w:sz="0" w:space="0" w:color="auto"/>
                        <w:bottom w:val="none" w:sz="0" w:space="0" w:color="auto"/>
                        <w:right w:val="none" w:sz="0" w:space="0" w:color="auto"/>
                      </w:divBdr>
                    </w:div>
                  </w:divsChild>
                </w:div>
                <w:div w:id="950236321">
                  <w:marLeft w:val="0"/>
                  <w:marRight w:val="0"/>
                  <w:marTop w:val="0"/>
                  <w:marBottom w:val="0"/>
                  <w:divBdr>
                    <w:top w:val="none" w:sz="0" w:space="0" w:color="auto"/>
                    <w:left w:val="none" w:sz="0" w:space="0" w:color="auto"/>
                    <w:bottom w:val="none" w:sz="0" w:space="0" w:color="auto"/>
                    <w:right w:val="none" w:sz="0" w:space="0" w:color="auto"/>
                  </w:divBdr>
                  <w:divsChild>
                    <w:div w:id="203644305">
                      <w:marLeft w:val="0"/>
                      <w:marRight w:val="0"/>
                      <w:marTop w:val="0"/>
                      <w:marBottom w:val="0"/>
                      <w:divBdr>
                        <w:top w:val="none" w:sz="0" w:space="0" w:color="auto"/>
                        <w:left w:val="none" w:sz="0" w:space="0" w:color="auto"/>
                        <w:bottom w:val="none" w:sz="0" w:space="0" w:color="auto"/>
                        <w:right w:val="none" w:sz="0" w:space="0" w:color="auto"/>
                      </w:divBdr>
                    </w:div>
                  </w:divsChild>
                </w:div>
                <w:div w:id="1100370103">
                  <w:marLeft w:val="0"/>
                  <w:marRight w:val="0"/>
                  <w:marTop w:val="0"/>
                  <w:marBottom w:val="0"/>
                  <w:divBdr>
                    <w:top w:val="none" w:sz="0" w:space="0" w:color="auto"/>
                    <w:left w:val="none" w:sz="0" w:space="0" w:color="auto"/>
                    <w:bottom w:val="none" w:sz="0" w:space="0" w:color="auto"/>
                    <w:right w:val="none" w:sz="0" w:space="0" w:color="auto"/>
                  </w:divBdr>
                  <w:divsChild>
                    <w:div w:id="934365040">
                      <w:marLeft w:val="0"/>
                      <w:marRight w:val="0"/>
                      <w:marTop w:val="0"/>
                      <w:marBottom w:val="0"/>
                      <w:divBdr>
                        <w:top w:val="none" w:sz="0" w:space="0" w:color="auto"/>
                        <w:left w:val="none" w:sz="0" w:space="0" w:color="auto"/>
                        <w:bottom w:val="none" w:sz="0" w:space="0" w:color="auto"/>
                        <w:right w:val="none" w:sz="0" w:space="0" w:color="auto"/>
                      </w:divBdr>
                    </w:div>
                  </w:divsChild>
                </w:div>
                <w:div w:id="1137995725">
                  <w:marLeft w:val="0"/>
                  <w:marRight w:val="0"/>
                  <w:marTop w:val="0"/>
                  <w:marBottom w:val="0"/>
                  <w:divBdr>
                    <w:top w:val="none" w:sz="0" w:space="0" w:color="auto"/>
                    <w:left w:val="none" w:sz="0" w:space="0" w:color="auto"/>
                    <w:bottom w:val="none" w:sz="0" w:space="0" w:color="auto"/>
                    <w:right w:val="none" w:sz="0" w:space="0" w:color="auto"/>
                  </w:divBdr>
                  <w:divsChild>
                    <w:div w:id="416833251">
                      <w:marLeft w:val="0"/>
                      <w:marRight w:val="0"/>
                      <w:marTop w:val="0"/>
                      <w:marBottom w:val="0"/>
                      <w:divBdr>
                        <w:top w:val="none" w:sz="0" w:space="0" w:color="auto"/>
                        <w:left w:val="none" w:sz="0" w:space="0" w:color="auto"/>
                        <w:bottom w:val="none" w:sz="0" w:space="0" w:color="auto"/>
                        <w:right w:val="none" w:sz="0" w:space="0" w:color="auto"/>
                      </w:divBdr>
                    </w:div>
                  </w:divsChild>
                </w:div>
                <w:div w:id="1211384906">
                  <w:marLeft w:val="0"/>
                  <w:marRight w:val="0"/>
                  <w:marTop w:val="0"/>
                  <w:marBottom w:val="0"/>
                  <w:divBdr>
                    <w:top w:val="none" w:sz="0" w:space="0" w:color="auto"/>
                    <w:left w:val="none" w:sz="0" w:space="0" w:color="auto"/>
                    <w:bottom w:val="none" w:sz="0" w:space="0" w:color="auto"/>
                    <w:right w:val="none" w:sz="0" w:space="0" w:color="auto"/>
                  </w:divBdr>
                  <w:divsChild>
                    <w:div w:id="1170948606">
                      <w:marLeft w:val="0"/>
                      <w:marRight w:val="0"/>
                      <w:marTop w:val="0"/>
                      <w:marBottom w:val="0"/>
                      <w:divBdr>
                        <w:top w:val="none" w:sz="0" w:space="0" w:color="auto"/>
                        <w:left w:val="none" w:sz="0" w:space="0" w:color="auto"/>
                        <w:bottom w:val="none" w:sz="0" w:space="0" w:color="auto"/>
                        <w:right w:val="none" w:sz="0" w:space="0" w:color="auto"/>
                      </w:divBdr>
                    </w:div>
                  </w:divsChild>
                </w:div>
                <w:div w:id="1431702824">
                  <w:marLeft w:val="0"/>
                  <w:marRight w:val="0"/>
                  <w:marTop w:val="0"/>
                  <w:marBottom w:val="0"/>
                  <w:divBdr>
                    <w:top w:val="none" w:sz="0" w:space="0" w:color="auto"/>
                    <w:left w:val="none" w:sz="0" w:space="0" w:color="auto"/>
                    <w:bottom w:val="none" w:sz="0" w:space="0" w:color="auto"/>
                    <w:right w:val="none" w:sz="0" w:space="0" w:color="auto"/>
                  </w:divBdr>
                  <w:divsChild>
                    <w:div w:id="1776319852">
                      <w:marLeft w:val="0"/>
                      <w:marRight w:val="0"/>
                      <w:marTop w:val="0"/>
                      <w:marBottom w:val="0"/>
                      <w:divBdr>
                        <w:top w:val="none" w:sz="0" w:space="0" w:color="auto"/>
                        <w:left w:val="none" w:sz="0" w:space="0" w:color="auto"/>
                        <w:bottom w:val="none" w:sz="0" w:space="0" w:color="auto"/>
                        <w:right w:val="none" w:sz="0" w:space="0" w:color="auto"/>
                      </w:divBdr>
                    </w:div>
                  </w:divsChild>
                </w:div>
                <w:div w:id="1668438138">
                  <w:marLeft w:val="0"/>
                  <w:marRight w:val="0"/>
                  <w:marTop w:val="0"/>
                  <w:marBottom w:val="0"/>
                  <w:divBdr>
                    <w:top w:val="none" w:sz="0" w:space="0" w:color="auto"/>
                    <w:left w:val="none" w:sz="0" w:space="0" w:color="auto"/>
                    <w:bottom w:val="none" w:sz="0" w:space="0" w:color="auto"/>
                    <w:right w:val="none" w:sz="0" w:space="0" w:color="auto"/>
                  </w:divBdr>
                  <w:divsChild>
                    <w:div w:id="1342513070">
                      <w:marLeft w:val="0"/>
                      <w:marRight w:val="0"/>
                      <w:marTop w:val="0"/>
                      <w:marBottom w:val="0"/>
                      <w:divBdr>
                        <w:top w:val="none" w:sz="0" w:space="0" w:color="auto"/>
                        <w:left w:val="none" w:sz="0" w:space="0" w:color="auto"/>
                        <w:bottom w:val="none" w:sz="0" w:space="0" w:color="auto"/>
                        <w:right w:val="none" w:sz="0" w:space="0" w:color="auto"/>
                      </w:divBdr>
                    </w:div>
                  </w:divsChild>
                </w:div>
                <w:div w:id="2094626264">
                  <w:marLeft w:val="0"/>
                  <w:marRight w:val="0"/>
                  <w:marTop w:val="0"/>
                  <w:marBottom w:val="0"/>
                  <w:divBdr>
                    <w:top w:val="none" w:sz="0" w:space="0" w:color="auto"/>
                    <w:left w:val="none" w:sz="0" w:space="0" w:color="auto"/>
                    <w:bottom w:val="none" w:sz="0" w:space="0" w:color="auto"/>
                    <w:right w:val="none" w:sz="0" w:space="0" w:color="auto"/>
                  </w:divBdr>
                  <w:divsChild>
                    <w:div w:id="160094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237316">
          <w:marLeft w:val="0"/>
          <w:marRight w:val="0"/>
          <w:marTop w:val="0"/>
          <w:marBottom w:val="0"/>
          <w:divBdr>
            <w:top w:val="none" w:sz="0" w:space="0" w:color="auto"/>
            <w:left w:val="none" w:sz="0" w:space="0" w:color="auto"/>
            <w:bottom w:val="none" w:sz="0" w:space="0" w:color="auto"/>
            <w:right w:val="none" w:sz="0" w:space="0" w:color="auto"/>
          </w:divBdr>
        </w:div>
      </w:divsChild>
    </w:div>
    <w:div w:id="1377509574">
      <w:bodyDiv w:val="1"/>
      <w:marLeft w:val="0"/>
      <w:marRight w:val="0"/>
      <w:marTop w:val="0"/>
      <w:marBottom w:val="0"/>
      <w:divBdr>
        <w:top w:val="none" w:sz="0" w:space="0" w:color="auto"/>
        <w:left w:val="none" w:sz="0" w:space="0" w:color="auto"/>
        <w:bottom w:val="none" w:sz="0" w:space="0" w:color="auto"/>
        <w:right w:val="none" w:sz="0" w:space="0" w:color="auto"/>
      </w:divBdr>
      <w:divsChild>
        <w:div w:id="24908803">
          <w:marLeft w:val="0"/>
          <w:marRight w:val="0"/>
          <w:marTop w:val="0"/>
          <w:marBottom w:val="0"/>
          <w:divBdr>
            <w:top w:val="none" w:sz="0" w:space="0" w:color="auto"/>
            <w:left w:val="none" w:sz="0" w:space="0" w:color="auto"/>
            <w:bottom w:val="none" w:sz="0" w:space="0" w:color="auto"/>
            <w:right w:val="none" w:sz="0" w:space="0" w:color="auto"/>
          </w:divBdr>
        </w:div>
        <w:div w:id="46228068">
          <w:marLeft w:val="0"/>
          <w:marRight w:val="0"/>
          <w:marTop w:val="0"/>
          <w:marBottom w:val="0"/>
          <w:divBdr>
            <w:top w:val="none" w:sz="0" w:space="0" w:color="auto"/>
            <w:left w:val="none" w:sz="0" w:space="0" w:color="auto"/>
            <w:bottom w:val="none" w:sz="0" w:space="0" w:color="auto"/>
            <w:right w:val="none" w:sz="0" w:space="0" w:color="auto"/>
          </w:divBdr>
          <w:divsChild>
            <w:div w:id="566573403">
              <w:marLeft w:val="-75"/>
              <w:marRight w:val="0"/>
              <w:marTop w:val="30"/>
              <w:marBottom w:val="30"/>
              <w:divBdr>
                <w:top w:val="none" w:sz="0" w:space="0" w:color="auto"/>
                <w:left w:val="none" w:sz="0" w:space="0" w:color="auto"/>
                <w:bottom w:val="none" w:sz="0" w:space="0" w:color="auto"/>
                <w:right w:val="none" w:sz="0" w:space="0" w:color="auto"/>
              </w:divBdr>
              <w:divsChild>
                <w:div w:id="665152">
                  <w:marLeft w:val="0"/>
                  <w:marRight w:val="0"/>
                  <w:marTop w:val="0"/>
                  <w:marBottom w:val="0"/>
                  <w:divBdr>
                    <w:top w:val="none" w:sz="0" w:space="0" w:color="auto"/>
                    <w:left w:val="none" w:sz="0" w:space="0" w:color="auto"/>
                    <w:bottom w:val="none" w:sz="0" w:space="0" w:color="auto"/>
                    <w:right w:val="none" w:sz="0" w:space="0" w:color="auto"/>
                  </w:divBdr>
                  <w:divsChild>
                    <w:div w:id="432363786">
                      <w:marLeft w:val="0"/>
                      <w:marRight w:val="0"/>
                      <w:marTop w:val="0"/>
                      <w:marBottom w:val="0"/>
                      <w:divBdr>
                        <w:top w:val="none" w:sz="0" w:space="0" w:color="auto"/>
                        <w:left w:val="none" w:sz="0" w:space="0" w:color="auto"/>
                        <w:bottom w:val="none" w:sz="0" w:space="0" w:color="auto"/>
                        <w:right w:val="none" w:sz="0" w:space="0" w:color="auto"/>
                      </w:divBdr>
                    </w:div>
                  </w:divsChild>
                </w:div>
                <w:div w:id="17434952">
                  <w:marLeft w:val="0"/>
                  <w:marRight w:val="0"/>
                  <w:marTop w:val="0"/>
                  <w:marBottom w:val="0"/>
                  <w:divBdr>
                    <w:top w:val="none" w:sz="0" w:space="0" w:color="auto"/>
                    <w:left w:val="none" w:sz="0" w:space="0" w:color="auto"/>
                    <w:bottom w:val="none" w:sz="0" w:space="0" w:color="auto"/>
                    <w:right w:val="none" w:sz="0" w:space="0" w:color="auto"/>
                  </w:divBdr>
                  <w:divsChild>
                    <w:div w:id="1646931137">
                      <w:marLeft w:val="0"/>
                      <w:marRight w:val="0"/>
                      <w:marTop w:val="0"/>
                      <w:marBottom w:val="0"/>
                      <w:divBdr>
                        <w:top w:val="none" w:sz="0" w:space="0" w:color="auto"/>
                        <w:left w:val="none" w:sz="0" w:space="0" w:color="auto"/>
                        <w:bottom w:val="none" w:sz="0" w:space="0" w:color="auto"/>
                        <w:right w:val="none" w:sz="0" w:space="0" w:color="auto"/>
                      </w:divBdr>
                    </w:div>
                  </w:divsChild>
                </w:div>
                <w:div w:id="81991321">
                  <w:marLeft w:val="0"/>
                  <w:marRight w:val="0"/>
                  <w:marTop w:val="0"/>
                  <w:marBottom w:val="0"/>
                  <w:divBdr>
                    <w:top w:val="none" w:sz="0" w:space="0" w:color="auto"/>
                    <w:left w:val="none" w:sz="0" w:space="0" w:color="auto"/>
                    <w:bottom w:val="none" w:sz="0" w:space="0" w:color="auto"/>
                    <w:right w:val="none" w:sz="0" w:space="0" w:color="auto"/>
                  </w:divBdr>
                  <w:divsChild>
                    <w:div w:id="1214193353">
                      <w:marLeft w:val="0"/>
                      <w:marRight w:val="0"/>
                      <w:marTop w:val="0"/>
                      <w:marBottom w:val="0"/>
                      <w:divBdr>
                        <w:top w:val="none" w:sz="0" w:space="0" w:color="auto"/>
                        <w:left w:val="none" w:sz="0" w:space="0" w:color="auto"/>
                        <w:bottom w:val="none" w:sz="0" w:space="0" w:color="auto"/>
                        <w:right w:val="none" w:sz="0" w:space="0" w:color="auto"/>
                      </w:divBdr>
                    </w:div>
                  </w:divsChild>
                </w:div>
                <w:div w:id="182787412">
                  <w:marLeft w:val="0"/>
                  <w:marRight w:val="0"/>
                  <w:marTop w:val="0"/>
                  <w:marBottom w:val="0"/>
                  <w:divBdr>
                    <w:top w:val="none" w:sz="0" w:space="0" w:color="auto"/>
                    <w:left w:val="none" w:sz="0" w:space="0" w:color="auto"/>
                    <w:bottom w:val="none" w:sz="0" w:space="0" w:color="auto"/>
                    <w:right w:val="none" w:sz="0" w:space="0" w:color="auto"/>
                  </w:divBdr>
                  <w:divsChild>
                    <w:div w:id="30694500">
                      <w:marLeft w:val="0"/>
                      <w:marRight w:val="0"/>
                      <w:marTop w:val="0"/>
                      <w:marBottom w:val="0"/>
                      <w:divBdr>
                        <w:top w:val="none" w:sz="0" w:space="0" w:color="auto"/>
                        <w:left w:val="none" w:sz="0" w:space="0" w:color="auto"/>
                        <w:bottom w:val="none" w:sz="0" w:space="0" w:color="auto"/>
                        <w:right w:val="none" w:sz="0" w:space="0" w:color="auto"/>
                      </w:divBdr>
                    </w:div>
                    <w:div w:id="270404112">
                      <w:marLeft w:val="0"/>
                      <w:marRight w:val="0"/>
                      <w:marTop w:val="0"/>
                      <w:marBottom w:val="0"/>
                      <w:divBdr>
                        <w:top w:val="none" w:sz="0" w:space="0" w:color="auto"/>
                        <w:left w:val="none" w:sz="0" w:space="0" w:color="auto"/>
                        <w:bottom w:val="none" w:sz="0" w:space="0" w:color="auto"/>
                        <w:right w:val="none" w:sz="0" w:space="0" w:color="auto"/>
                      </w:divBdr>
                    </w:div>
                  </w:divsChild>
                </w:div>
                <w:div w:id="187836541">
                  <w:marLeft w:val="0"/>
                  <w:marRight w:val="0"/>
                  <w:marTop w:val="0"/>
                  <w:marBottom w:val="0"/>
                  <w:divBdr>
                    <w:top w:val="none" w:sz="0" w:space="0" w:color="auto"/>
                    <w:left w:val="none" w:sz="0" w:space="0" w:color="auto"/>
                    <w:bottom w:val="none" w:sz="0" w:space="0" w:color="auto"/>
                    <w:right w:val="none" w:sz="0" w:space="0" w:color="auto"/>
                  </w:divBdr>
                  <w:divsChild>
                    <w:div w:id="1077940509">
                      <w:marLeft w:val="0"/>
                      <w:marRight w:val="0"/>
                      <w:marTop w:val="0"/>
                      <w:marBottom w:val="0"/>
                      <w:divBdr>
                        <w:top w:val="none" w:sz="0" w:space="0" w:color="auto"/>
                        <w:left w:val="none" w:sz="0" w:space="0" w:color="auto"/>
                        <w:bottom w:val="none" w:sz="0" w:space="0" w:color="auto"/>
                        <w:right w:val="none" w:sz="0" w:space="0" w:color="auto"/>
                      </w:divBdr>
                    </w:div>
                  </w:divsChild>
                </w:div>
                <w:div w:id="193661103">
                  <w:marLeft w:val="0"/>
                  <w:marRight w:val="0"/>
                  <w:marTop w:val="0"/>
                  <w:marBottom w:val="0"/>
                  <w:divBdr>
                    <w:top w:val="none" w:sz="0" w:space="0" w:color="auto"/>
                    <w:left w:val="none" w:sz="0" w:space="0" w:color="auto"/>
                    <w:bottom w:val="none" w:sz="0" w:space="0" w:color="auto"/>
                    <w:right w:val="none" w:sz="0" w:space="0" w:color="auto"/>
                  </w:divBdr>
                  <w:divsChild>
                    <w:div w:id="1585413042">
                      <w:marLeft w:val="0"/>
                      <w:marRight w:val="0"/>
                      <w:marTop w:val="0"/>
                      <w:marBottom w:val="0"/>
                      <w:divBdr>
                        <w:top w:val="none" w:sz="0" w:space="0" w:color="auto"/>
                        <w:left w:val="none" w:sz="0" w:space="0" w:color="auto"/>
                        <w:bottom w:val="none" w:sz="0" w:space="0" w:color="auto"/>
                        <w:right w:val="none" w:sz="0" w:space="0" w:color="auto"/>
                      </w:divBdr>
                    </w:div>
                  </w:divsChild>
                </w:div>
                <w:div w:id="229461218">
                  <w:marLeft w:val="0"/>
                  <w:marRight w:val="0"/>
                  <w:marTop w:val="0"/>
                  <w:marBottom w:val="0"/>
                  <w:divBdr>
                    <w:top w:val="none" w:sz="0" w:space="0" w:color="auto"/>
                    <w:left w:val="none" w:sz="0" w:space="0" w:color="auto"/>
                    <w:bottom w:val="none" w:sz="0" w:space="0" w:color="auto"/>
                    <w:right w:val="none" w:sz="0" w:space="0" w:color="auto"/>
                  </w:divBdr>
                  <w:divsChild>
                    <w:div w:id="1299069813">
                      <w:marLeft w:val="0"/>
                      <w:marRight w:val="0"/>
                      <w:marTop w:val="0"/>
                      <w:marBottom w:val="0"/>
                      <w:divBdr>
                        <w:top w:val="none" w:sz="0" w:space="0" w:color="auto"/>
                        <w:left w:val="none" w:sz="0" w:space="0" w:color="auto"/>
                        <w:bottom w:val="none" w:sz="0" w:space="0" w:color="auto"/>
                        <w:right w:val="none" w:sz="0" w:space="0" w:color="auto"/>
                      </w:divBdr>
                    </w:div>
                  </w:divsChild>
                </w:div>
                <w:div w:id="361782494">
                  <w:marLeft w:val="0"/>
                  <w:marRight w:val="0"/>
                  <w:marTop w:val="0"/>
                  <w:marBottom w:val="0"/>
                  <w:divBdr>
                    <w:top w:val="none" w:sz="0" w:space="0" w:color="auto"/>
                    <w:left w:val="none" w:sz="0" w:space="0" w:color="auto"/>
                    <w:bottom w:val="none" w:sz="0" w:space="0" w:color="auto"/>
                    <w:right w:val="none" w:sz="0" w:space="0" w:color="auto"/>
                  </w:divBdr>
                  <w:divsChild>
                    <w:div w:id="559754162">
                      <w:marLeft w:val="0"/>
                      <w:marRight w:val="0"/>
                      <w:marTop w:val="0"/>
                      <w:marBottom w:val="0"/>
                      <w:divBdr>
                        <w:top w:val="none" w:sz="0" w:space="0" w:color="auto"/>
                        <w:left w:val="none" w:sz="0" w:space="0" w:color="auto"/>
                        <w:bottom w:val="none" w:sz="0" w:space="0" w:color="auto"/>
                        <w:right w:val="none" w:sz="0" w:space="0" w:color="auto"/>
                      </w:divBdr>
                    </w:div>
                    <w:div w:id="1301499777">
                      <w:marLeft w:val="0"/>
                      <w:marRight w:val="0"/>
                      <w:marTop w:val="0"/>
                      <w:marBottom w:val="0"/>
                      <w:divBdr>
                        <w:top w:val="none" w:sz="0" w:space="0" w:color="auto"/>
                        <w:left w:val="none" w:sz="0" w:space="0" w:color="auto"/>
                        <w:bottom w:val="none" w:sz="0" w:space="0" w:color="auto"/>
                        <w:right w:val="none" w:sz="0" w:space="0" w:color="auto"/>
                      </w:divBdr>
                    </w:div>
                  </w:divsChild>
                </w:div>
                <w:div w:id="416757225">
                  <w:marLeft w:val="0"/>
                  <w:marRight w:val="0"/>
                  <w:marTop w:val="0"/>
                  <w:marBottom w:val="0"/>
                  <w:divBdr>
                    <w:top w:val="none" w:sz="0" w:space="0" w:color="auto"/>
                    <w:left w:val="none" w:sz="0" w:space="0" w:color="auto"/>
                    <w:bottom w:val="none" w:sz="0" w:space="0" w:color="auto"/>
                    <w:right w:val="none" w:sz="0" w:space="0" w:color="auto"/>
                  </w:divBdr>
                  <w:divsChild>
                    <w:div w:id="845630260">
                      <w:marLeft w:val="0"/>
                      <w:marRight w:val="0"/>
                      <w:marTop w:val="0"/>
                      <w:marBottom w:val="0"/>
                      <w:divBdr>
                        <w:top w:val="none" w:sz="0" w:space="0" w:color="auto"/>
                        <w:left w:val="none" w:sz="0" w:space="0" w:color="auto"/>
                        <w:bottom w:val="none" w:sz="0" w:space="0" w:color="auto"/>
                        <w:right w:val="none" w:sz="0" w:space="0" w:color="auto"/>
                      </w:divBdr>
                    </w:div>
                  </w:divsChild>
                </w:div>
                <w:div w:id="466121651">
                  <w:marLeft w:val="0"/>
                  <w:marRight w:val="0"/>
                  <w:marTop w:val="0"/>
                  <w:marBottom w:val="0"/>
                  <w:divBdr>
                    <w:top w:val="none" w:sz="0" w:space="0" w:color="auto"/>
                    <w:left w:val="none" w:sz="0" w:space="0" w:color="auto"/>
                    <w:bottom w:val="none" w:sz="0" w:space="0" w:color="auto"/>
                    <w:right w:val="none" w:sz="0" w:space="0" w:color="auto"/>
                  </w:divBdr>
                  <w:divsChild>
                    <w:div w:id="288439921">
                      <w:marLeft w:val="0"/>
                      <w:marRight w:val="0"/>
                      <w:marTop w:val="0"/>
                      <w:marBottom w:val="0"/>
                      <w:divBdr>
                        <w:top w:val="none" w:sz="0" w:space="0" w:color="auto"/>
                        <w:left w:val="none" w:sz="0" w:space="0" w:color="auto"/>
                        <w:bottom w:val="none" w:sz="0" w:space="0" w:color="auto"/>
                        <w:right w:val="none" w:sz="0" w:space="0" w:color="auto"/>
                      </w:divBdr>
                    </w:div>
                  </w:divsChild>
                </w:div>
                <w:div w:id="531770196">
                  <w:marLeft w:val="0"/>
                  <w:marRight w:val="0"/>
                  <w:marTop w:val="0"/>
                  <w:marBottom w:val="0"/>
                  <w:divBdr>
                    <w:top w:val="none" w:sz="0" w:space="0" w:color="auto"/>
                    <w:left w:val="none" w:sz="0" w:space="0" w:color="auto"/>
                    <w:bottom w:val="none" w:sz="0" w:space="0" w:color="auto"/>
                    <w:right w:val="none" w:sz="0" w:space="0" w:color="auto"/>
                  </w:divBdr>
                  <w:divsChild>
                    <w:div w:id="1031224725">
                      <w:marLeft w:val="0"/>
                      <w:marRight w:val="0"/>
                      <w:marTop w:val="0"/>
                      <w:marBottom w:val="0"/>
                      <w:divBdr>
                        <w:top w:val="none" w:sz="0" w:space="0" w:color="auto"/>
                        <w:left w:val="none" w:sz="0" w:space="0" w:color="auto"/>
                        <w:bottom w:val="none" w:sz="0" w:space="0" w:color="auto"/>
                        <w:right w:val="none" w:sz="0" w:space="0" w:color="auto"/>
                      </w:divBdr>
                    </w:div>
                    <w:div w:id="1231117633">
                      <w:marLeft w:val="0"/>
                      <w:marRight w:val="0"/>
                      <w:marTop w:val="0"/>
                      <w:marBottom w:val="0"/>
                      <w:divBdr>
                        <w:top w:val="none" w:sz="0" w:space="0" w:color="auto"/>
                        <w:left w:val="none" w:sz="0" w:space="0" w:color="auto"/>
                        <w:bottom w:val="none" w:sz="0" w:space="0" w:color="auto"/>
                        <w:right w:val="none" w:sz="0" w:space="0" w:color="auto"/>
                      </w:divBdr>
                    </w:div>
                  </w:divsChild>
                </w:div>
                <w:div w:id="543952125">
                  <w:marLeft w:val="0"/>
                  <w:marRight w:val="0"/>
                  <w:marTop w:val="0"/>
                  <w:marBottom w:val="0"/>
                  <w:divBdr>
                    <w:top w:val="none" w:sz="0" w:space="0" w:color="auto"/>
                    <w:left w:val="none" w:sz="0" w:space="0" w:color="auto"/>
                    <w:bottom w:val="none" w:sz="0" w:space="0" w:color="auto"/>
                    <w:right w:val="none" w:sz="0" w:space="0" w:color="auto"/>
                  </w:divBdr>
                  <w:divsChild>
                    <w:div w:id="1975528262">
                      <w:marLeft w:val="0"/>
                      <w:marRight w:val="0"/>
                      <w:marTop w:val="0"/>
                      <w:marBottom w:val="0"/>
                      <w:divBdr>
                        <w:top w:val="none" w:sz="0" w:space="0" w:color="auto"/>
                        <w:left w:val="none" w:sz="0" w:space="0" w:color="auto"/>
                        <w:bottom w:val="none" w:sz="0" w:space="0" w:color="auto"/>
                        <w:right w:val="none" w:sz="0" w:space="0" w:color="auto"/>
                      </w:divBdr>
                    </w:div>
                  </w:divsChild>
                </w:div>
                <w:div w:id="587033705">
                  <w:marLeft w:val="0"/>
                  <w:marRight w:val="0"/>
                  <w:marTop w:val="0"/>
                  <w:marBottom w:val="0"/>
                  <w:divBdr>
                    <w:top w:val="none" w:sz="0" w:space="0" w:color="auto"/>
                    <w:left w:val="none" w:sz="0" w:space="0" w:color="auto"/>
                    <w:bottom w:val="none" w:sz="0" w:space="0" w:color="auto"/>
                    <w:right w:val="none" w:sz="0" w:space="0" w:color="auto"/>
                  </w:divBdr>
                  <w:divsChild>
                    <w:div w:id="907813070">
                      <w:marLeft w:val="0"/>
                      <w:marRight w:val="0"/>
                      <w:marTop w:val="0"/>
                      <w:marBottom w:val="0"/>
                      <w:divBdr>
                        <w:top w:val="none" w:sz="0" w:space="0" w:color="auto"/>
                        <w:left w:val="none" w:sz="0" w:space="0" w:color="auto"/>
                        <w:bottom w:val="none" w:sz="0" w:space="0" w:color="auto"/>
                        <w:right w:val="none" w:sz="0" w:space="0" w:color="auto"/>
                      </w:divBdr>
                    </w:div>
                  </w:divsChild>
                </w:div>
                <w:div w:id="615984892">
                  <w:marLeft w:val="0"/>
                  <w:marRight w:val="0"/>
                  <w:marTop w:val="0"/>
                  <w:marBottom w:val="0"/>
                  <w:divBdr>
                    <w:top w:val="none" w:sz="0" w:space="0" w:color="auto"/>
                    <w:left w:val="none" w:sz="0" w:space="0" w:color="auto"/>
                    <w:bottom w:val="none" w:sz="0" w:space="0" w:color="auto"/>
                    <w:right w:val="none" w:sz="0" w:space="0" w:color="auto"/>
                  </w:divBdr>
                  <w:divsChild>
                    <w:div w:id="655232336">
                      <w:marLeft w:val="0"/>
                      <w:marRight w:val="0"/>
                      <w:marTop w:val="0"/>
                      <w:marBottom w:val="0"/>
                      <w:divBdr>
                        <w:top w:val="none" w:sz="0" w:space="0" w:color="auto"/>
                        <w:left w:val="none" w:sz="0" w:space="0" w:color="auto"/>
                        <w:bottom w:val="none" w:sz="0" w:space="0" w:color="auto"/>
                        <w:right w:val="none" w:sz="0" w:space="0" w:color="auto"/>
                      </w:divBdr>
                    </w:div>
                    <w:div w:id="1150975302">
                      <w:marLeft w:val="0"/>
                      <w:marRight w:val="0"/>
                      <w:marTop w:val="0"/>
                      <w:marBottom w:val="0"/>
                      <w:divBdr>
                        <w:top w:val="none" w:sz="0" w:space="0" w:color="auto"/>
                        <w:left w:val="none" w:sz="0" w:space="0" w:color="auto"/>
                        <w:bottom w:val="none" w:sz="0" w:space="0" w:color="auto"/>
                        <w:right w:val="none" w:sz="0" w:space="0" w:color="auto"/>
                      </w:divBdr>
                    </w:div>
                  </w:divsChild>
                </w:div>
                <w:div w:id="748112850">
                  <w:marLeft w:val="0"/>
                  <w:marRight w:val="0"/>
                  <w:marTop w:val="0"/>
                  <w:marBottom w:val="0"/>
                  <w:divBdr>
                    <w:top w:val="none" w:sz="0" w:space="0" w:color="auto"/>
                    <w:left w:val="none" w:sz="0" w:space="0" w:color="auto"/>
                    <w:bottom w:val="none" w:sz="0" w:space="0" w:color="auto"/>
                    <w:right w:val="none" w:sz="0" w:space="0" w:color="auto"/>
                  </w:divBdr>
                  <w:divsChild>
                    <w:div w:id="1388068389">
                      <w:marLeft w:val="0"/>
                      <w:marRight w:val="0"/>
                      <w:marTop w:val="0"/>
                      <w:marBottom w:val="0"/>
                      <w:divBdr>
                        <w:top w:val="none" w:sz="0" w:space="0" w:color="auto"/>
                        <w:left w:val="none" w:sz="0" w:space="0" w:color="auto"/>
                        <w:bottom w:val="none" w:sz="0" w:space="0" w:color="auto"/>
                        <w:right w:val="none" w:sz="0" w:space="0" w:color="auto"/>
                      </w:divBdr>
                    </w:div>
                  </w:divsChild>
                </w:div>
                <w:div w:id="839388788">
                  <w:marLeft w:val="0"/>
                  <w:marRight w:val="0"/>
                  <w:marTop w:val="0"/>
                  <w:marBottom w:val="0"/>
                  <w:divBdr>
                    <w:top w:val="none" w:sz="0" w:space="0" w:color="auto"/>
                    <w:left w:val="none" w:sz="0" w:space="0" w:color="auto"/>
                    <w:bottom w:val="none" w:sz="0" w:space="0" w:color="auto"/>
                    <w:right w:val="none" w:sz="0" w:space="0" w:color="auto"/>
                  </w:divBdr>
                  <w:divsChild>
                    <w:div w:id="1148092129">
                      <w:marLeft w:val="0"/>
                      <w:marRight w:val="0"/>
                      <w:marTop w:val="0"/>
                      <w:marBottom w:val="0"/>
                      <w:divBdr>
                        <w:top w:val="none" w:sz="0" w:space="0" w:color="auto"/>
                        <w:left w:val="none" w:sz="0" w:space="0" w:color="auto"/>
                        <w:bottom w:val="none" w:sz="0" w:space="0" w:color="auto"/>
                        <w:right w:val="none" w:sz="0" w:space="0" w:color="auto"/>
                      </w:divBdr>
                    </w:div>
                    <w:div w:id="1434977315">
                      <w:marLeft w:val="0"/>
                      <w:marRight w:val="0"/>
                      <w:marTop w:val="0"/>
                      <w:marBottom w:val="0"/>
                      <w:divBdr>
                        <w:top w:val="none" w:sz="0" w:space="0" w:color="auto"/>
                        <w:left w:val="none" w:sz="0" w:space="0" w:color="auto"/>
                        <w:bottom w:val="none" w:sz="0" w:space="0" w:color="auto"/>
                        <w:right w:val="none" w:sz="0" w:space="0" w:color="auto"/>
                      </w:divBdr>
                    </w:div>
                  </w:divsChild>
                </w:div>
                <w:div w:id="963658308">
                  <w:marLeft w:val="0"/>
                  <w:marRight w:val="0"/>
                  <w:marTop w:val="0"/>
                  <w:marBottom w:val="0"/>
                  <w:divBdr>
                    <w:top w:val="none" w:sz="0" w:space="0" w:color="auto"/>
                    <w:left w:val="none" w:sz="0" w:space="0" w:color="auto"/>
                    <w:bottom w:val="none" w:sz="0" w:space="0" w:color="auto"/>
                    <w:right w:val="none" w:sz="0" w:space="0" w:color="auto"/>
                  </w:divBdr>
                  <w:divsChild>
                    <w:div w:id="1651326795">
                      <w:marLeft w:val="0"/>
                      <w:marRight w:val="0"/>
                      <w:marTop w:val="0"/>
                      <w:marBottom w:val="0"/>
                      <w:divBdr>
                        <w:top w:val="none" w:sz="0" w:space="0" w:color="auto"/>
                        <w:left w:val="none" w:sz="0" w:space="0" w:color="auto"/>
                        <w:bottom w:val="none" w:sz="0" w:space="0" w:color="auto"/>
                        <w:right w:val="none" w:sz="0" w:space="0" w:color="auto"/>
                      </w:divBdr>
                    </w:div>
                    <w:div w:id="1804076322">
                      <w:marLeft w:val="0"/>
                      <w:marRight w:val="0"/>
                      <w:marTop w:val="0"/>
                      <w:marBottom w:val="0"/>
                      <w:divBdr>
                        <w:top w:val="none" w:sz="0" w:space="0" w:color="auto"/>
                        <w:left w:val="none" w:sz="0" w:space="0" w:color="auto"/>
                        <w:bottom w:val="none" w:sz="0" w:space="0" w:color="auto"/>
                        <w:right w:val="none" w:sz="0" w:space="0" w:color="auto"/>
                      </w:divBdr>
                    </w:div>
                  </w:divsChild>
                </w:div>
                <w:div w:id="1026557991">
                  <w:marLeft w:val="0"/>
                  <w:marRight w:val="0"/>
                  <w:marTop w:val="0"/>
                  <w:marBottom w:val="0"/>
                  <w:divBdr>
                    <w:top w:val="none" w:sz="0" w:space="0" w:color="auto"/>
                    <w:left w:val="none" w:sz="0" w:space="0" w:color="auto"/>
                    <w:bottom w:val="none" w:sz="0" w:space="0" w:color="auto"/>
                    <w:right w:val="none" w:sz="0" w:space="0" w:color="auto"/>
                  </w:divBdr>
                  <w:divsChild>
                    <w:div w:id="233442126">
                      <w:marLeft w:val="0"/>
                      <w:marRight w:val="0"/>
                      <w:marTop w:val="0"/>
                      <w:marBottom w:val="0"/>
                      <w:divBdr>
                        <w:top w:val="none" w:sz="0" w:space="0" w:color="auto"/>
                        <w:left w:val="none" w:sz="0" w:space="0" w:color="auto"/>
                        <w:bottom w:val="none" w:sz="0" w:space="0" w:color="auto"/>
                        <w:right w:val="none" w:sz="0" w:space="0" w:color="auto"/>
                      </w:divBdr>
                    </w:div>
                    <w:div w:id="874580432">
                      <w:marLeft w:val="0"/>
                      <w:marRight w:val="0"/>
                      <w:marTop w:val="0"/>
                      <w:marBottom w:val="0"/>
                      <w:divBdr>
                        <w:top w:val="none" w:sz="0" w:space="0" w:color="auto"/>
                        <w:left w:val="none" w:sz="0" w:space="0" w:color="auto"/>
                        <w:bottom w:val="none" w:sz="0" w:space="0" w:color="auto"/>
                        <w:right w:val="none" w:sz="0" w:space="0" w:color="auto"/>
                      </w:divBdr>
                    </w:div>
                  </w:divsChild>
                </w:div>
                <w:div w:id="1129009703">
                  <w:marLeft w:val="0"/>
                  <w:marRight w:val="0"/>
                  <w:marTop w:val="0"/>
                  <w:marBottom w:val="0"/>
                  <w:divBdr>
                    <w:top w:val="none" w:sz="0" w:space="0" w:color="auto"/>
                    <w:left w:val="none" w:sz="0" w:space="0" w:color="auto"/>
                    <w:bottom w:val="none" w:sz="0" w:space="0" w:color="auto"/>
                    <w:right w:val="none" w:sz="0" w:space="0" w:color="auto"/>
                  </w:divBdr>
                  <w:divsChild>
                    <w:div w:id="1609501605">
                      <w:marLeft w:val="0"/>
                      <w:marRight w:val="0"/>
                      <w:marTop w:val="0"/>
                      <w:marBottom w:val="0"/>
                      <w:divBdr>
                        <w:top w:val="none" w:sz="0" w:space="0" w:color="auto"/>
                        <w:left w:val="none" w:sz="0" w:space="0" w:color="auto"/>
                        <w:bottom w:val="none" w:sz="0" w:space="0" w:color="auto"/>
                        <w:right w:val="none" w:sz="0" w:space="0" w:color="auto"/>
                      </w:divBdr>
                    </w:div>
                  </w:divsChild>
                </w:div>
                <w:div w:id="1289241912">
                  <w:marLeft w:val="0"/>
                  <w:marRight w:val="0"/>
                  <w:marTop w:val="0"/>
                  <w:marBottom w:val="0"/>
                  <w:divBdr>
                    <w:top w:val="none" w:sz="0" w:space="0" w:color="auto"/>
                    <w:left w:val="none" w:sz="0" w:space="0" w:color="auto"/>
                    <w:bottom w:val="none" w:sz="0" w:space="0" w:color="auto"/>
                    <w:right w:val="none" w:sz="0" w:space="0" w:color="auto"/>
                  </w:divBdr>
                  <w:divsChild>
                    <w:div w:id="991566411">
                      <w:marLeft w:val="0"/>
                      <w:marRight w:val="0"/>
                      <w:marTop w:val="0"/>
                      <w:marBottom w:val="0"/>
                      <w:divBdr>
                        <w:top w:val="none" w:sz="0" w:space="0" w:color="auto"/>
                        <w:left w:val="none" w:sz="0" w:space="0" w:color="auto"/>
                        <w:bottom w:val="none" w:sz="0" w:space="0" w:color="auto"/>
                        <w:right w:val="none" w:sz="0" w:space="0" w:color="auto"/>
                      </w:divBdr>
                    </w:div>
                  </w:divsChild>
                </w:div>
                <w:div w:id="1299260796">
                  <w:marLeft w:val="0"/>
                  <w:marRight w:val="0"/>
                  <w:marTop w:val="0"/>
                  <w:marBottom w:val="0"/>
                  <w:divBdr>
                    <w:top w:val="none" w:sz="0" w:space="0" w:color="auto"/>
                    <w:left w:val="none" w:sz="0" w:space="0" w:color="auto"/>
                    <w:bottom w:val="none" w:sz="0" w:space="0" w:color="auto"/>
                    <w:right w:val="none" w:sz="0" w:space="0" w:color="auto"/>
                  </w:divBdr>
                  <w:divsChild>
                    <w:div w:id="443429297">
                      <w:marLeft w:val="0"/>
                      <w:marRight w:val="0"/>
                      <w:marTop w:val="0"/>
                      <w:marBottom w:val="0"/>
                      <w:divBdr>
                        <w:top w:val="none" w:sz="0" w:space="0" w:color="auto"/>
                        <w:left w:val="none" w:sz="0" w:space="0" w:color="auto"/>
                        <w:bottom w:val="none" w:sz="0" w:space="0" w:color="auto"/>
                        <w:right w:val="none" w:sz="0" w:space="0" w:color="auto"/>
                      </w:divBdr>
                    </w:div>
                    <w:div w:id="1683780561">
                      <w:marLeft w:val="0"/>
                      <w:marRight w:val="0"/>
                      <w:marTop w:val="0"/>
                      <w:marBottom w:val="0"/>
                      <w:divBdr>
                        <w:top w:val="none" w:sz="0" w:space="0" w:color="auto"/>
                        <w:left w:val="none" w:sz="0" w:space="0" w:color="auto"/>
                        <w:bottom w:val="none" w:sz="0" w:space="0" w:color="auto"/>
                        <w:right w:val="none" w:sz="0" w:space="0" w:color="auto"/>
                      </w:divBdr>
                    </w:div>
                  </w:divsChild>
                </w:div>
                <w:div w:id="1320885028">
                  <w:marLeft w:val="0"/>
                  <w:marRight w:val="0"/>
                  <w:marTop w:val="0"/>
                  <w:marBottom w:val="0"/>
                  <w:divBdr>
                    <w:top w:val="none" w:sz="0" w:space="0" w:color="auto"/>
                    <w:left w:val="none" w:sz="0" w:space="0" w:color="auto"/>
                    <w:bottom w:val="none" w:sz="0" w:space="0" w:color="auto"/>
                    <w:right w:val="none" w:sz="0" w:space="0" w:color="auto"/>
                  </w:divBdr>
                  <w:divsChild>
                    <w:div w:id="898132394">
                      <w:marLeft w:val="0"/>
                      <w:marRight w:val="0"/>
                      <w:marTop w:val="0"/>
                      <w:marBottom w:val="0"/>
                      <w:divBdr>
                        <w:top w:val="none" w:sz="0" w:space="0" w:color="auto"/>
                        <w:left w:val="none" w:sz="0" w:space="0" w:color="auto"/>
                        <w:bottom w:val="none" w:sz="0" w:space="0" w:color="auto"/>
                        <w:right w:val="none" w:sz="0" w:space="0" w:color="auto"/>
                      </w:divBdr>
                    </w:div>
                    <w:div w:id="1135681984">
                      <w:marLeft w:val="0"/>
                      <w:marRight w:val="0"/>
                      <w:marTop w:val="0"/>
                      <w:marBottom w:val="0"/>
                      <w:divBdr>
                        <w:top w:val="none" w:sz="0" w:space="0" w:color="auto"/>
                        <w:left w:val="none" w:sz="0" w:space="0" w:color="auto"/>
                        <w:bottom w:val="none" w:sz="0" w:space="0" w:color="auto"/>
                        <w:right w:val="none" w:sz="0" w:space="0" w:color="auto"/>
                      </w:divBdr>
                    </w:div>
                  </w:divsChild>
                </w:div>
                <w:div w:id="1359042511">
                  <w:marLeft w:val="0"/>
                  <w:marRight w:val="0"/>
                  <w:marTop w:val="0"/>
                  <w:marBottom w:val="0"/>
                  <w:divBdr>
                    <w:top w:val="none" w:sz="0" w:space="0" w:color="auto"/>
                    <w:left w:val="none" w:sz="0" w:space="0" w:color="auto"/>
                    <w:bottom w:val="none" w:sz="0" w:space="0" w:color="auto"/>
                    <w:right w:val="none" w:sz="0" w:space="0" w:color="auto"/>
                  </w:divBdr>
                  <w:divsChild>
                    <w:div w:id="1788968544">
                      <w:marLeft w:val="0"/>
                      <w:marRight w:val="0"/>
                      <w:marTop w:val="0"/>
                      <w:marBottom w:val="0"/>
                      <w:divBdr>
                        <w:top w:val="none" w:sz="0" w:space="0" w:color="auto"/>
                        <w:left w:val="none" w:sz="0" w:space="0" w:color="auto"/>
                        <w:bottom w:val="none" w:sz="0" w:space="0" w:color="auto"/>
                        <w:right w:val="none" w:sz="0" w:space="0" w:color="auto"/>
                      </w:divBdr>
                    </w:div>
                  </w:divsChild>
                </w:div>
                <w:div w:id="1370883150">
                  <w:marLeft w:val="0"/>
                  <w:marRight w:val="0"/>
                  <w:marTop w:val="0"/>
                  <w:marBottom w:val="0"/>
                  <w:divBdr>
                    <w:top w:val="none" w:sz="0" w:space="0" w:color="auto"/>
                    <w:left w:val="none" w:sz="0" w:space="0" w:color="auto"/>
                    <w:bottom w:val="none" w:sz="0" w:space="0" w:color="auto"/>
                    <w:right w:val="none" w:sz="0" w:space="0" w:color="auto"/>
                  </w:divBdr>
                  <w:divsChild>
                    <w:div w:id="685403716">
                      <w:marLeft w:val="0"/>
                      <w:marRight w:val="0"/>
                      <w:marTop w:val="0"/>
                      <w:marBottom w:val="0"/>
                      <w:divBdr>
                        <w:top w:val="none" w:sz="0" w:space="0" w:color="auto"/>
                        <w:left w:val="none" w:sz="0" w:space="0" w:color="auto"/>
                        <w:bottom w:val="none" w:sz="0" w:space="0" w:color="auto"/>
                        <w:right w:val="none" w:sz="0" w:space="0" w:color="auto"/>
                      </w:divBdr>
                    </w:div>
                  </w:divsChild>
                </w:div>
                <w:div w:id="1385979884">
                  <w:marLeft w:val="0"/>
                  <w:marRight w:val="0"/>
                  <w:marTop w:val="0"/>
                  <w:marBottom w:val="0"/>
                  <w:divBdr>
                    <w:top w:val="none" w:sz="0" w:space="0" w:color="auto"/>
                    <w:left w:val="none" w:sz="0" w:space="0" w:color="auto"/>
                    <w:bottom w:val="none" w:sz="0" w:space="0" w:color="auto"/>
                    <w:right w:val="none" w:sz="0" w:space="0" w:color="auto"/>
                  </w:divBdr>
                  <w:divsChild>
                    <w:div w:id="1351878679">
                      <w:marLeft w:val="0"/>
                      <w:marRight w:val="0"/>
                      <w:marTop w:val="0"/>
                      <w:marBottom w:val="0"/>
                      <w:divBdr>
                        <w:top w:val="none" w:sz="0" w:space="0" w:color="auto"/>
                        <w:left w:val="none" w:sz="0" w:space="0" w:color="auto"/>
                        <w:bottom w:val="none" w:sz="0" w:space="0" w:color="auto"/>
                        <w:right w:val="none" w:sz="0" w:space="0" w:color="auto"/>
                      </w:divBdr>
                    </w:div>
                  </w:divsChild>
                </w:div>
                <w:div w:id="1451128986">
                  <w:marLeft w:val="0"/>
                  <w:marRight w:val="0"/>
                  <w:marTop w:val="0"/>
                  <w:marBottom w:val="0"/>
                  <w:divBdr>
                    <w:top w:val="none" w:sz="0" w:space="0" w:color="auto"/>
                    <w:left w:val="none" w:sz="0" w:space="0" w:color="auto"/>
                    <w:bottom w:val="none" w:sz="0" w:space="0" w:color="auto"/>
                    <w:right w:val="none" w:sz="0" w:space="0" w:color="auto"/>
                  </w:divBdr>
                  <w:divsChild>
                    <w:div w:id="1451824803">
                      <w:marLeft w:val="0"/>
                      <w:marRight w:val="0"/>
                      <w:marTop w:val="0"/>
                      <w:marBottom w:val="0"/>
                      <w:divBdr>
                        <w:top w:val="none" w:sz="0" w:space="0" w:color="auto"/>
                        <w:left w:val="none" w:sz="0" w:space="0" w:color="auto"/>
                        <w:bottom w:val="none" w:sz="0" w:space="0" w:color="auto"/>
                        <w:right w:val="none" w:sz="0" w:space="0" w:color="auto"/>
                      </w:divBdr>
                    </w:div>
                    <w:div w:id="1957830684">
                      <w:marLeft w:val="0"/>
                      <w:marRight w:val="0"/>
                      <w:marTop w:val="0"/>
                      <w:marBottom w:val="0"/>
                      <w:divBdr>
                        <w:top w:val="none" w:sz="0" w:space="0" w:color="auto"/>
                        <w:left w:val="none" w:sz="0" w:space="0" w:color="auto"/>
                        <w:bottom w:val="none" w:sz="0" w:space="0" w:color="auto"/>
                        <w:right w:val="none" w:sz="0" w:space="0" w:color="auto"/>
                      </w:divBdr>
                    </w:div>
                  </w:divsChild>
                </w:div>
                <w:div w:id="1464302155">
                  <w:marLeft w:val="0"/>
                  <w:marRight w:val="0"/>
                  <w:marTop w:val="0"/>
                  <w:marBottom w:val="0"/>
                  <w:divBdr>
                    <w:top w:val="none" w:sz="0" w:space="0" w:color="auto"/>
                    <w:left w:val="none" w:sz="0" w:space="0" w:color="auto"/>
                    <w:bottom w:val="none" w:sz="0" w:space="0" w:color="auto"/>
                    <w:right w:val="none" w:sz="0" w:space="0" w:color="auto"/>
                  </w:divBdr>
                  <w:divsChild>
                    <w:div w:id="811294519">
                      <w:marLeft w:val="0"/>
                      <w:marRight w:val="0"/>
                      <w:marTop w:val="0"/>
                      <w:marBottom w:val="0"/>
                      <w:divBdr>
                        <w:top w:val="none" w:sz="0" w:space="0" w:color="auto"/>
                        <w:left w:val="none" w:sz="0" w:space="0" w:color="auto"/>
                        <w:bottom w:val="none" w:sz="0" w:space="0" w:color="auto"/>
                        <w:right w:val="none" w:sz="0" w:space="0" w:color="auto"/>
                      </w:divBdr>
                    </w:div>
                    <w:div w:id="1627544204">
                      <w:marLeft w:val="0"/>
                      <w:marRight w:val="0"/>
                      <w:marTop w:val="0"/>
                      <w:marBottom w:val="0"/>
                      <w:divBdr>
                        <w:top w:val="none" w:sz="0" w:space="0" w:color="auto"/>
                        <w:left w:val="none" w:sz="0" w:space="0" w:color="auto"/>
                        <w:bottom w:val="none" w:sz="0" w:space="0" w:color="auto"/>
                        <w:right w:val="none" w:sz="0" w:space="0" w:color="auto"/>
                      </w:divBdr>
                    </w:div>
                  </w:divsChild>
                </w:div>
                <w:div w:id="1469712399">
                  <w:marLeft w:val="0"/>
                  <w:marRight w:val="0"/>
                  <w:marTop w:val="0"/>
                  <w:marBottom w:val="0"/>
                  <w:divBdr>
                    <w:top w:val="none" w:sz="0" w:space="0" w:color="auto"/>
                    <w:left w:val="none" w:sz="0" w:space="0" w:color="auto"/>
                    <w:bottom w:val="none" w:sz="0" w:space="0" w:color="auto"/>
                    <w:right w:val="none" w:sz="0" w:space="0" w:color="auto"/>
                  </w:divBdr>
                  <w:divsChild>
                    <w:div w:id="592208164">
                      <w:marLeft w:val="0"/>
                      <w:marRight w:val="0"/>
                      <w:marTop w:val="0"/>
                      <w:marBottom w:val="0"/>
                      <w:divBdr>
                        <w:top w:val="none" w:sz="0" w:space="0" w:color="auto"/>
                        <w:left w:val="none" w:sz="0" w:space="0" w:color="auto"/>
                        <w:bottom w:val="none" w:sz="0" w:space="0" w:color="auto"/>
                        <w:right w:val="none" w:sz="0" w:space="0" w:color="auto"/>
                      </w:divBdr>
                    </w:div>
                  </w:divsChild>
                </w:div>
                <w:div w:id="1501386304">
                  <w:marLeft w:val="0"/>
                  <w:marRight w:val="0"/>
                  <w:marTop w:val="0"/>
                  <w:marBottom w:val="0"/>
                  <w:divBdr>
                    <w:top w:val="none" w:sz="0" w:space="0" w:color="auto"/>
                    <w:left w:val="none" w:sz="0" w:space="0" w:color="auto"/>
                    <w:bottom w:val="none" w:sz="0" w:space="0" w:color="auto"/>
                    <w:right w:val="none" w:sz="0" w:space="0" w:color="auto"/>
                  </w:divBdr>
                  <w:divsChild>
                    <w:div w:id="63382339">
                      <w:marLeft w:val="0"/>
                      <w:marRight w:val="0"/>
                      <w:marTop w:val="0"/>
                      <w:marBottom w:val="0"/>
                      <w:divBdr>
                        <w:top w:val="none" w:sz="0" w:space="0" w:color="auto"/>
                        <w:left w:val="none" w:sz="0" w:space="0" w:color="auto"/>
                        <w:bottom w:val="none" w:sz="0" w:space="0" w:color="auto"/>
                        <w:right w:val="none" w:sz="0" w:space="0" w:color="auto"/>
                      </w:divBdr>
                    </w:div>
                  </w:divsChild>
                </w:div>
                <w:div w:id="1570578851">
                  <w:marLeft w:val="0"/>
                  <w:marRight w:val="0"/>
                  <w:marTop w:val="0"/>
                  <w:marBottom w:val="0"/>
                  <w:divBdr>
                    <w:top w:val="none" w:sz="0" w:space="0" w:color="auto"/>
                    <w:left w:val="none" w:sz="0" w:space="0" w:color="auto"/>
                    <w:bottom w:val="none" w:sz="0" w:space="0" w:color="auto"/>
                    <w:right w:val="none" w:sz="0" w:space="0" w:color="auto"/>
                  </w:divBdr>
                  <w:divsChild>
                    <w:div w:id="612518890">
                      <w:marLeft w:val="0"/>
                      <w:marRight w:val="0"/>
                      <w:marTop w:val="0"/>
                      <w:marBottom w:val="0"/>
                      <w:divBdr>
                        <w:top w:val="none" w:sz="0" w:space="0" w:color="auto"/>
                        <w:left w:val="none" w:sz="0" w:space="0" w:color="auto"/>
                        <w:bottom w:val="none" w:sz="0" w:space="0" w:color="auto"/>
                        <w:right w:val="none" w:sz="0" w:space="0" w:color="auto"/>
                      </w:divBdr>
                    </w:div>
                  </w:divsChild>
                </w:div>
                <w:div w:id="1643197088">
                  <w:marLeft w:val="0"/>
                  <w:marRight w:val="0"/>
                  <w:marTop w:val="0"/>
                  <w:marBottom w:val="0"/>
                  <w:divBdr>
                    <w:top w:val="none" w:sz="0" w:space="0" w:color="auto"/>
                    <w:left w:val="none" w:sz="0" w:space="0" w:color="auto"/>
                    <w:bottom w:val="none" w:sz="0" w:space="0" w:color="auto"/>
                    <w:right w:val="none" w:sz="0" w:space="0" w:color="auto"/>
                  </w:divBdr>
                  <w:divsChild>
                    <w:div w:id="1081412661">
                      <w:marLeft w:val="0"/>
                      <w:marRight w:val="0"/>
                      <w:marTop w:val="0"/>
                      <w:marBottom w:val="0"/>
                      <w:divBdr>
                        <w:top w:val="none" w:sz="0" w:space="0" w:color="auto"/>
                        <w:left w:val="none" w:sz="0" w:space="0" w:color="auto"/>
                        <w:bottom w:val="none" w:sz="0" w:space="0" w:color="auto"/>
                        <w:right w:val="none" w:sz="0" w:space="0" w:color="auto"/>
                      </w:divBdr>
                    </w:div>
                  </w:divsChild>
                </w:div>
                <w:div w:id="1712074269">
                  <w:marLeft w:val="0"/>
                  <w:marRight w:val="0"/>
                  <w:marTop w:val="0"/>
                  <w:marBottom w:val="0"/>
                  <w:divBdr>
                    <w:top w:val="none" w:sz="0" w:space="0" w:color="auto"/>
                    <w:left w:val="none" w:sz="0" w:space="0" w:color="auto"/>
                    <w:bottom w:val="none" w:sz="0" w:space="0" w:color="auto"/>
                    <w:right w:val="none" w:sz="0" w:space="0" w:color="auto"/>
                  </w:divBdr>
                  <w:divsChild>
                    <w:div w:id="1483960894">
                      <w:marLeft w:val="0"/>
                      <w:marRight w:val="0"/>
                      <w:marTop w:val="0"/>
                      <w:marBottom w:val="0"/>
                      <w:divBdr>
                        <w:top w:val="none" w:sz="0" w:space="0" w:color="auto"/>
                        <w:left w:val="none" w:sz="0" w:space="0" w:color="auto"/>
                        <w:bottom w:val="none" w:sz="0" w:space="0" w:color="auto"/>
                        <w:right w:val="none" w:sz="0" w:space="0" w:color="auto"/>
                      </w:divBdr>
                    </w:div>
                  </w:divsChild>
                </w:div>
                <w:div w:id="1716008305">
                  <w:marLeft w:val="0"/>
                  <w:marRight w:val="0"/>
                  <w:marTop w:val="0"/>
                  <w:marBottom w:val="0"/>
                  <w:divBdr>
                    <w:top w:val="none" w:sz="0" w:space="0" w:color="auto"/>
                    <w:left w:val="none" w:sz="0" w:space="0" w:color="auto"/>
                    <w:bottom w:val="none" w:sz="0" w:space="0" w:color="auto"/>
                    <w:right w:val="none" w:sz="0" w:space="0" w:color="auto"/>
                  </w:divBdr>
                  <w:divsChild>
                    <w:div w:id="928585042">
                      <w:marLeft w:val="0"/>
                      <w:marRight w:val="0"/>
                      <w:marTop w:val="0"/>
                      <w:marBottom w:val="0"/>
                      <w:divBdr>
                        <w:top w:val="none" w:sz="0" w:space="0" w:color="auto"/>
                        <w:left w:val="none" w:sz="0" w:space="0" w:color="auto"/>
                        <w:bottom w:val="none" w:sz="0" w:space="0" w:color="auto"/>
                        <w:right w:val="none" w:sz="0" w:space="0" w:color="auto"/>
                      </w:divBdr>
                    </w:div>
                    <w:div w:id="1370494298">
                      <w:marLeft w:val="0"/>
                      <w:marRight w:val="0"/>
                      <w:marTop w:val="0"/>
                      <w:marBottom w:val="0"/>
                      <w:divBdr>
                        <w:top w:val="none" w:sz="0" w:space="0" w:color="auto"/>
                        <w:left w:val="none" w:sz="0" w:space="0" w:color="auto"/>
                        <w:bottom w:val="none" w:sz="0" w:space="0" w:color="auto"/>
                        <w:right w:val="none" w:sz="0" w:space="0" w:color="auto"/>
                      </w:divBdr>
                    </w:div>
                  </w:divsChild>
                </w:div>
                <w:div w:id="1785735110">
                  <w:marLeft w:val="0"/>
                  <w:marRight w:val="0"/>
                  <w:marTop w:val="0"/>
                  <w:marBottom w:val="0"/>
                  <w:divBdr>
                    <w:top w:val="none" w:sz="0" w:space="0" w:color="auto"/>
                    <w:left w:val="none" w:sz="0" w:space="0" w:color="auto"/>
                    <w:bottom w:val="none" w:sz="0" w:space="0" w:color="auto"/>
                    <w:right w:val="none" w:sz="0" w:space="0" w:color="auto"/>
                  </w:divBdr>
                  <w:divsChild>
                    <w:div w:id="840315530">
                      <w:marLeft w:val="0"/>
                      <w:marRight w:val="0"/>
                      <w:marTop w:val="0"/>
                      <w:marBottom w:val="0"/>
                      <w:divBdr>
                        <w:top w:val="none" w:sz="0" w:space="0" w:color="auto"/>
                        <w:left w:val="none" w:sz="0" w:space="0" w:color="auto"/>
                        <w:bottom w:val="none" w:sz="0" w:space="0" w:color="auto"/>
                        <w:right w:val="none" w:sz="0" w:space="0" w:color="auto"/>
                      </w:divBdr>
                    </w:div>
                  </w:divsChild>
                </w:div>
                <w:div w:id="1873691068">
                  <w:marLeft w:val="0"/>
                  <w:marRight w:val="0"/>
                  <w:marTop w:val="0"/>
                  <w:marBottom w:val="0"/>
                  <w:divBdr>
                    <w:top w:val="none" w:sz="0" w:space="0" w:color="auto"/>
                    <w:left w:val="none" w:sz="0" w:space="0" w:color="auto"/>
                    <w:bottom w:val="none" w:sz="0" w:space="0" w:color="auto"/>
                    <w:right w:val="none" w:sz="0" w:space="0" w:color="auto"/>
                  </w:divBdr>
                  <w:divsChild>
                    <w:div w:id="347754551">
                      <w:marLeft w:val="0"/>
                      <w:marRight w:val="0"/>
                      <w:marTop w:val="0"/>
                      <w:marBottom w:val="0"/>
                      <w:divBdr>
                        <w:top w:val="none" w:sz="0" w:space="0" w:color="auto"/>
                        <w:left w:val="none" w:sz="0" w:space="0" w:color="auto"/>
                        <w:bottom w:val="none" w:sz="0" w:space="0" w:color="auto"/>
                        <w:right w:val="none" w:sz="0" w:space="0" w:color="auto"/>
                      </w:divBdr>
                    </w:div>
                  </w:divsChild>
                </w:div>
                <w:div w:id="1881432885">
                  <w:marLeft w:val="0"/>
                  <w:marRight w:val="0"/>
                  <w:marTop w:val="0"/>
                  <w:marBottom w:val="0"/>
                  <w:divBdr>
                    <w:top w:val="none" w:sz="0" w:space="0" w:color="auto"/>
                    <w:left w:val="none" w:sz="0" w:space="0" w:color="auto"/>
                    <w:bottom w:val="none" w:sz="0" w:space="0" w:color="auto"/>
                    <w:right w:val="none" w:sz="0" w:space="0" w:color="auto"/>
                  </w:divBdr>
                  <w:divsChild>
                    <w:div w:id="1523132595">
                      <w:marLeft w:val="0"/>
                      <w:marRight w:val="0"/>
                      <w:marTop w:val="0"/>
                      <w:marBottom w:val="0"/>
                      <w:divBdr>
                        <w:top w:val="none" w:sz="0" w:space="0" w:color="auto"/>
                        <w:left w:val="none" w:sz="0" w:space="0" w:color="auto"/>
                        <w:bottom w:val="none" w:sz="0" w:space="0" w:color="auto"/>
                        <w:right w:val="none" w:sz="0" w:space="0" w:color="auto"/>
                      </w:divBdr>
                    </w:div>
                  </w:divsChild>
                </w:div>
                <w:div w:id="1893272915">
                  <w:marLeft w:val="0"/>
                  <w:marRight w:val="0"/>
                  <w:marTop w:val="0"/>
                  <w:marBottom w:val="0"/>
                  <w:divBdr>
                    <w:top w:val="none" w:sz="0" w:space="0" w:color="auto"/>
                    <w:left w:val="none" w:sz="0" w:space="0" w:color="auto"/>
                    <w:bottom w:val="none" w:sz="0" w:space="0" w:color="auto"/>
                    <w:right w:val="none" w:sz="0" w:space="0" w:color="auto"/>
                  </w:divBdr>
                  <w:divsChild>
                    <w:div w:id="716201440">
                      <w:marLeft w:val="0"/>
                      <w:marRight w:val="0"/>
                      <w:marTop w:val="0"/>
                      <w:marBottom w:val="0"/>
                      <w:divBdr>
                        <w:top w:val="none" w:sz="0" w:space="0" w:color="auto"/>
                        <w:left w:val="none" w:sz="0" w:space="0" w:color="auto"/>
                        <w:bottom w:val="none" w:sz="0" w:space="0" w:color="auto"/>
                        <w:right w:val="none" w:sz="0" w:space="0" w:color="auto"/>
                      </w:divBdr>
                    </w:div>
                  </w:divsChild>
                </w:div>
                <w:div w:id="1905601762">
                  <w:marLeft w:val="0"/>
                  <w:marRight w:val="0"/>
                  <w:marTop w:val="0"/>
                  <w:marBottom w:val="0"/>
                  <w:divBdr>
                    <w:top w:val="none" w:sz="0" w:space="0" w:color="auto"/>
                    <w:left w:val="none" w:sz="0" w:space="0" w:color="auto"/>
                    <w:bottom w:val="none" w:sz="0" w:space="0" w:color="auto"/>
                    <w:right w:val="none" w:sz="0" w:space="0" w:color="auto"/>
                  </w:divBdr>
                  <w:divsChild>
                    <w:div w:id="1553731041">
                      <w:marLeft w:val="0"/>
                      <w:marRight w:val="0"/>
                      <w:marTop w:val="0"/>
                      <w:marBottom w:val="0"/>
                      <w:divBdr>
                        <w:top w:val="none" w:sz="0" w:space="0" w:color="auto"/>
                        <w:left w:val="none" w:sz="0" w:space="0" w:color="auto"/>
                        <w:bottom w:val="none" w:sz="0" w:space="0" w:color="auto"/>
                        <w:right w:val="none" w:sz="0" w:space="0" w:color="auto"/>
                      </w:divBdr>
                    </w:div>
                  </w:divsChild>
                </w:div>
                <w:div w:id="1930456346">
                  <w:marLeft w:val="0"/>
                  <w:marRight w:val="0"/>
                  <w:marTop w:val="0"/>
                  <w:marBottom w:val="0"/>
                  <w:divBdr>
                    <w:top w:val="none" w:sz="0" w:space="0" w:color="auto"/>
                    <w:left w:val="none" w:sz="0" w:space="0" w:color="auto"/>
                    <w:bottom w:val="none" w:sz="0" w:space="0" w:color="auto"/>
                    <w:right w:val="none" w:sz="0" w:space="0" w:color="auto"/>
                  </w:divBdr>
                  <w:divsChild>
                    <w:div w:id="427163784">
                      <w:marLeft w:val="0"/>
                      <w:marRight w:val="0"/>
                      <w:marTop w:val="0"/>
                      <w:marBottom w:val="0"/>
                      <w:divBdr>
                        <w:top w:val="none" w:sz="0" w:space="0" w:color="auto"/>
                        <w:left w:val="none" w:sz="0" w:space="0" w:color="auto"/>
                        <w:bottom w:val="none" w:sz="0" w:space="0" w:color="auto"/>
                        <w:right w:val="none" w:sz="0" w:space="0" w:color="auto"/>
                      </w:divBdr>
                    </w:div>
                  </w:divsChild>
                </w:div>
                <w:div w:id="1948391609">
                  <w:marLeft w:val="0"/>
                  <w:marRight w:val="0"/>
                  <w:marTop w:val="0"/>
                  <w:marBottom w:val="0"/>
                  <w:divBdr>
                    <w:top w:val="none" w:sz="0" w:space="0" w:color="auto"/>
                    <w:left w:val="none" w:sz="0" w:space="0" w:color="auto"/>
                    <w:bottom w:val="none" w:sz="0" w:space="0" w:color="auto"/>
                    <w:right w:val="none" w:sz="0" w:space="0" w:color="auto"/>
                  </w:divBdr>
                  <w:divsChild>
                    <w:div w:id="813716716">
                      <w:marLeft w:val="0"/>
                      <w:marRight w:val="0"/>
                      <w:marTop w:val="0"/>
                      <w:marBottom w:val="0"/>
                      <w:divBdr>
                        <w:top w:val="none" w:sz="0" w:space="0" w:color="auto"/>
                        <w:left w:val="none" w:sz="0" w:space="0" w:color="auto"/>
                        <w:bottom w:val="none" w:sz="0" w:space="0" w:color="auto"/>
                        <w:right w:val="none" w:sz="0" w:space="0" w:color="auto"/>
                      </w:divBdr>
                    </w:div>
                  </w:divsChild>
                </w:div>
                <w:div w:id="1972861996">
                  <w:marLeft w:val="0"/>
                  <w:marRight w:val="0"/>
                  <w:marTop w:val="0"/>
                  <w:marBottom w:val="0"/>
                  <w:divBdr>
                    <w:top w:val="none" w:sz="0" w:space="0" w:color="auto"/>
                    <w:left w:val="none" w:sz="0" w:space="0" w:color="auto"/>
                    <w:bottom w:val="none" w:sz="0" w:space="0" w:color="auto"/>
                    <w:right w:val="none" w:sz="0" w:space="0" w:color="auto"/>
                  </w:divBdr>
                  <w:divsChild>
                    <w:div w:id="608436954">
                      <w:marLeft w:val="0"/>
                      <w:marRight w:val="0"/>
                      <w:marTop w:val="0"/>
                      <w:marBottom w:val="0"/>
                      <w:divBdr>
                        <w:top w:val="none" w:sz="0" w:space="0" w:color="auto"/>
                        <w:left w:val="none" w:sz="0" w:space="0" w:color="auto"/>
                        <w:bottom w:val="none" w:sz="0" w:space="0" w:color="auto"/>
                        <w:right w:val="none" w:sz="0" w:space="0" w:color="auto"/>
                      </w:divBdr>
                    </w:div>
                    <w:div w:id="1517427505">
                      <w:marLeft w:val="0"/>
                      <w:marRight w:val="0"/>
                      <w:marTop w:val="0"/>
                      <w:marBottom w:val="0"/>
                      <w:divBdr>
                        <w:top w:val="none" w:sz="0" w:space="0" w:color="auto"/>
                        <w:left w:val="none" w:sz="0" w:space="0" w:color="auto"/>
                        <w:bottom w:val="none" w:sz="0" w:space="0" w:color="auto"/>
                        <w:right w:val="none" w:sz="0" w:space="0" w:color="auto"/>
                      </w:divBdr>
                    </w:div>
                  </w:divsChild>
                </w:div>
                <w:div w:id="2002460888">
                  <w:marLeft w:val="0"/>
                  <w:marRight w:val="0"/>
                  <w:marTop w:val="0"/>
                  <w:marBottom w:val="0"/>
                  <w:divBdr>
                    <w:top w:val="none" w:sz="0" w:space="0" w:color="auto"/>
                    <w:left w:val="none" w:sz="0" w:space="0" w:color="auto"/>
                    <w:bottom w:val="none" w:sz="0" w:space="0" w:color="auto"/>
                    <w:right w:val="none" w:sz="0" w:space="0" w:color="auto"/>
                  </w:divBdr>
                  <w:divsChild>
                    <w:div w:id="88356180">
                      <w:marLeft w:val="0"/>
                      <w:marRight w:val="0"/>
                      <w:marTop w:val="0"/>
                      <w:marBottom w:val="0"/>
                      <w:divBdr>
                        <w:top w:val="none" w:sz="0" w:space="0" w:color="auto"/>
                        <w:left w:val="none" w:sz="0" w:space="0" w:color="auto"/>
                        <w:bottom w:val="none" w:sz="0" w:space="0" w:color="auto"/>
                        <w:right w:val="none" w:sz="0" w:space="0" w:color="auto"/>
                      </w:divBdr>
                    </w:div>
                    <w:div w:id="892546300">
                      <w:marLeft w:val="0"/>
                      <w:marRight w:val="0"/>
                      <w:marTop w:val="0"/>
                      <w:marBottom w:val="0"/>
                      <w:divBdr>
                        <w:top w:val="none" w:sz="0" w:space="0" w:color="auto"/>
                        <w:left w:val="none" w:sz="0" w:space="0" w:color="auto"/>
                        <w:bottom w:val="none" w:sz="0" w:space="0" w:color="auto"/>
                        <w:right w:val="none" w:sz="0" w:space="0" w:color="auto"/>
                      </w:divBdr>
                    </w:div>
                    <w:div w:id="1120340886">
                      <w:marLeft w:val="0"/>
                      <w:marRight w:val="0"/>
                      <w:marTop w:val="0"/>
                      <w:marBottom w:val="0"/>
                      <w:divBdr>
                        <w:top w:val="none" w:sz="0" w:space="0" w:color="auto"/>
                        <w:left w:val="none" w:sz="0" w:space="0" w:color="auto"/>
                        <w:bottom w:val="none" w:sz="0" w:space="0" w:color="auto"/>
                        <w:right w:val="none" w:sz="0" w:space="0" w:color="auto"/>
                      </w:divBdr>
                    </w:div>
                    <w:div w:id="1967005266">
                      <w:marLeft w:val="0"/>
                      <w:marRight w:val="0"/>
                      <w:marTop w:val="0"/>
                      <w:marBottom w:val="0"/>
                      <w:divBdr>
                        <w:top w:val="none" w:sz="0" w:space="0" w:color="auto"/>
                        <w:left w:val="none" w:sz="0" w:space="0" w:color="auto"/>
                        <w:bottom w:val="none" w:sz="0" w:space="0" w:color="auto"/>
                        <w:right w:val="none" w:sz="0" w:space="0" w:color="auto"/>
                      </w:divBdr>
                    </w:div>
                  </w:divsChild>
                </w:div>
                <w:div w:id="2003308480">
                  <w:marLeft w:val="0"/>
                  <w:marRight w:val="0"/>
                  <w:marTop w:val="0"/>
                  <w:marBottom w:val="0"/>
                  <w:divBdr>
                    <w:top w:val="none" w:sz="0" w:space="0" w:color="auto"/>
                    <w:left w:val="none" w:sz="0" w:space="0" w:color="auto"/>
                    <w:bottom w:val="none" w:sz="0" w:space="0" w:color="auto"/>
                    <w:right w:val="none" w:sz="0" w:space="0" w:color="auto"/>
                  </w:divBdr>
                  <w:divsChild>
                    <w:div w:id="560478195">
                      <w:marLeft w:val="0"/>
                      <w:marRight w:val="0"/>
                      <w:marTop w:val="0"/>
                      <w:marBottom w:val="0"/>
                      <w:divBdr>
                        <w:top w:val="none" w:sz="0" w:space="0" w:color="auto"/>
                        <w:left w:val="none" w:sz="0" w:space="0" w:color="auto"/>
                        <w:bottom w:val="none" w:sz="0" w:space="0" w:color="auto"/>
                        <w:right w:val="none" w:sz="0" w:space="0" w:color="auto"/>
                      </w:divBdr>
                    </w:div>
                  </w:divsChild>
                </w:div>
                <w:div w:id="2037537704">
                  <w:marLeft w:val="0"/>
                  <w:marRight w:val="0"/>
                  <w:marTop w:val="0"/>
                  <w:marBottom w:val="0"/>
                  <w:divBdr>
                    <w:top w:val="none" w:sz="0" w:space="0" w:color="auto"/>
                    <w:left w:val="none" w:sz="0" w:space="0" w:color="auto"/>
                    <w:bottom w:val="none" w:sz="0" w:space="0" w:color="auto"/>
                    <w:right w:val="none" w:sz="0" w:space="0" w:color="auto"/>
                  </w:divBdr>
                  <w:divsChild>
                    <w:div w:id="1117062234">
                      <w:marLeft w:val="0"/>
                      <w:marRight w:val="0"/>
                      <w:marTop w:val="0"/>
                      <w:marBottom w:val="0"/>
                      <w:divBdr>
                        <w:top w:val="none" w:sz="0" w:space="0" w:color="auto"/>
                        <w:left w:val="none" w:sz="0" w:space="0" w:color="auto"/>
                        <w:bottom w:val="none" w:sz="0" w:space="0" w:color="auto"/>
                        <w:right w:val="none" w:sz="0" w:space="0" w:color="auto"/>
                      </w:divBdr>
                    </w:div>
                  </w:divsChild>
                </w:div>
                <w:div w:id="2045135609">
                  <w:marLeft w:val="0"/>
                  <w:marRight w:val="0"/>
                  <w:marTop w:val="0"/>
                  <w:marBottom w:val="0"/>
                  <w:divBdr>
                    <w:top w:val="none" w:sz="0" w:space="0" w:color="auto"/>
                    <w:left w:val="none" w:sz="0" w:space="0" w:color="auto"/>
                    <w:bottom w:val="none" w:sz="0" w:space="0" w:color="auto"/>
                    <w:right w:val="none" w:sz="0" w:space="0" w:color="auto"/>
                  </w:divBdr>
                  <w:divsChild>
                    <w:div w:id="185572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5182235">
          <w:marLeft w:val="0"/>
          <w:marRight w:val="0"/>
          <w:marTop w:val="0"/>
          <w:marBottom w:val="0"/>
          <w:divBdr>
            <w:top w:val="none" w:sz="0" w:space="0" w:color="auto"/>
            <w:left w:val="none" w:sz="0" w:space="0" w:color="auto"/>
            <w:bottom w:val="none" w:sz="0" w:space="0" w:color="auto"/>
            <w:right w:val="none" w:sz="0" w:space="0" w:color="auto"/>
          </w:divBdr>
        </w:div>
        <w:div w:id="364604480">
          <w:marLeft w:val="0"/>
          <w:marRight w:val="0"/>
          <w:marTop w:val="0"/>
          <w:marBottom w:val="0"/>
          <w:divBdr>
            <w:top w:val="none" w:sz="0" w:space="0" w:color="auto"/>
            <w:left w:val="none" w:sz="0" w:space="0" w:color="auto"/>
            <w:bottom w:val="none" w:sz="0" w:space="0" w:color="auto"/>
            <w:right w:val="none" w:sz="0" w:space="0" w:color="auto"/>
          </w:divBdr>
        </w:div>
        <w:div w:id="384329202">
          <w:marLeft w:val="0"/>
          <w:marRight w:val="0"/>
          <w:marTop w:val="0"/>
          <w:marBottom w:val="0"/>
          <w:divBdr>
            <w:top w:val="none" w:sz="0" w:space="0" w:color="auto"/>
            <w:left w:val="none" w:sz="0" w:space="0" w:color="auto"/>
            <w:bottom w:val="none" w:sz="0" w:space="0" w:color="auto"/>
            <w:right w:val="none" w:sz="0" w:space="0" w:color="auto"/>
          </w:divBdr>
        </w:div>
        <w:div w:id="858667058">
          <w:marLeft w:val="0"/>
          <w:marRight w:val="0"/>
          <w:marTop w:val="0"/>
          <w:marBottom w:val="0"/>
          <w:divBdr>
            <w:top w:val="none" w:sz="0" w:space="0" w:color="auto"/>
            <w:left w:val="none" w:sz="0" w:space="0" w:color="auto"/>
            <w:bottom w:val="none" w:sz="0" w:space="0" w:color="auto"/>
            <w:right w:val="none" w:sz="0" w:space="0" w:color="auto"/>
          </w:divBdr>
        </w:div>
        <w:div w:id="1074082647">
          <w:marLeft w:val="0"/>
          <w:marRight w:val="0"/>
          <w:marTop w:val="0"/>
          <w:marBottom w:val="0"/>
          <w:divBdr>
            <w:top w:val="none" w:sz="0" w:space="0" w:color="auto"/>
            <w:left w:val="none" w:sz="0" w:space="0" w:color="auto"/>
            <w:bottom w:val="none" w:sz="0" w:space="0" w:color="auto"/>
            <w:right w:val="none" w:sz="0" w:space="0" w:color="auto"/>
          </w:divBdr>
        </w:div>
        <w:div w:id="1415513791">
          <w:marLeft w:val="0"/>
          <w:marRight w:val="0"/>
          <w:marTop w:val="0"/>
          <w:marBottom w:val="0"/>
          <w:divBdr>
            <w:top w:val="none" w:sz="0" w:space="0" w:color="auto"/>
            <w:left w:val="none" w:sz="0" w:space="0" w:color="auto"/>
            <w:bottom w:val="none" w:sz="0" w:space="0" w:color="auto"/>
            <w:right w:val="none" w:sz="0" w:space="0" w:color="auto"/>
          </w:divBdr>
        </w:div>
        <w:div w:id="1472477851">
          <w:marLeft w:val="0"/>
          <w:marRight w:val="0"/>
          <w:marTop w:val="0"/>
          <w:marBottom w:val="0"/>
          <w:divBdr>
            <w:top w:val="none" w:sz="0" w:space="0" w:color="auto"/>
            <w:left w:val="none" w:sz="0" w:space="0" w:color="auto"/>
            <w:bottom w:val="none" w:sz="0" w:space="0" w:color="auto"/>
            <w:right w:val="none" w:sz="0" w:space="0" w:color="auto"/>
          </w:divBdr>
        </w:div>
        <w:div w:id="1483347487">
          <w:marLeft w:val="0"/>
          <w:marRight w:val="0"/>
          <w:marTop w:val="0"/>
          <w:marBottom w:val="0"/>
          <w:divBdr>
            <w:top w:val="none" w:sz="0" w:space="0" w:color="auto"/>
            <w:left w:val="none" w:sz="0" w:space="0" w:color="auto"/>
            <w:bottom w:val="none" w:sz="0" w:space="0" w:color="auto"/>
            <w:right w:val="none" w:sz="0" w:space="0" w:color="auto"/>
          </w:divBdr>
        </w:div>
        <w:div w:id="1560360205">
          <w:marLeft w:val="0"/>
          <w:marRight w:val="0"/>
          <w:marTop w:val="0"/>
          <w:marBottom w:val="0"/>
          <w:divBdr>
            <w:top w:val="none" w:sz="0" w:space="0" w:color="auto"/>
            <w:left w:val="none" w:sz="0" w:space="0" w:color="auto"/>
            <w:bottom w:val="none" w:sz="0" w:space="0" w:color="auto"/>
            <w:right w:val="none" w:sz="0" w:space="0" w:color="auto"/>
          </w:divBdr>
        </w:div>
        <w:div w:id="1656059926">
          <w:marLeft w:val="0"/>
          <w:marRight w:val="0"/>
          <w:marTop w:val="0"/>
          <w:marBottom w:val="0"/>
          <w:divBdr>
            <w:top w:val="none" w:sz="0" w:space="0" w:color="auto"/>
            <w:left w:val="none" w:sz="0" w:space="0" w:color="auto"/>
            <w:bottom w:val="none" w:sz="0" w:space="0" w:color="auto"/>
            <w:right w:val="none" w:sz="0" w:space="0" w:color="auto"/>
          </w:divBdr>
        </w:div>
        <w:div w:id="1701666148">
          <w:marLeft w:val="0"/>
          <w:marRight w:val="0"/>
          <w:marTop w:val="0"/>
          <w:marBottom w:val="0"/>
          <w:divBdr>
            <w:top w:val="none" w:sz="0" w:space="0" w:color="auto"/>
            <w:left w:val="none" w:sz="0" w:space="0" w:color="auto"/>
            <w:bottom w:val="none" w:sz="0" w:space="0" w:color="auto"/>
            <w:right w:val="none" w:sz="0" w:space="0" w:color="auto"/>
          </w:divBdr>
        </w:div>
        <w:div w:id="1833139206">
          <w:marLeft w:val="0"/>
          <w:marRight w:val="0"/>
          <w:marTop w:val="0"/>
          <w:marBottom w:val="0"/>
          <w:divBdr>
            <w:top w:val="none" w:sz="0" w:space="0" w:color="auto"/>
            <w:left w:val="none" w:sz="0" w:space="0" w:color="auto"/>
            <w:bottom w:val="none" w:sz="0" w:space="0" w:color="auto"/>
            <w:right w:val="none" w:sz="0" w:space="0" w:color="auto"/>
          </w:divBdr>
          <w:divsChild>
            <w:div w:id="639652622">
              <w:marLeft w:val="-75"/>
              <w:marRight w:val="0"/>
              <w:marTop w:val="30"/>
              <w:marBottom w:val="30"/>
              <w:divBdr>
                <w:top w:val="none" w:sz="0" w:space="0" w:color="auto"/>
                <w:left w:val="none" w:sz="0" w:space="0" w:color="auto"/>
                <w:bottom w:val="none" w:sz="0" w:space="0" w:color="auto"/>
                <w:right w:val="none" w:sz="0" w:space="0" w:color="auto"/>
              </w:divBdr>
              <w:divsChild>
                <w:div w:id="6374728">
                  <w:marLeft w:val="0"/>
                  <w:marRight w:val="0"/>
                  <w:marTop w:val="0"/>
                  <w:marBottom w:val="0"/>
                  <w:divBdr>
                    <w:top w:val="none" w:sz="0" w:space="0" w:color="auto"/>
                    <w:left w:val="none" w:sz="0" w:space="0" w:color="auto"/>
                    <w:bottom w:val="none" w:sz="0" w:space="0" w:color="auto"/>
                    <w:right w:val="none" w:sz="0" w:space="0" w:color="auto"/>
                  </w:divBdr>
                  <w:divsChild>
                    <w:div w:id="870532748">
                      <w:marLeft w:val="0"/>
                      <w:marRight w:val="0"/>
                      <w:marTop w:val="0"/>
                      <w:marBottom w:val="0"/>
                      <w:divBdr>
                        <w:top w:val="none" w:sz="0" w:space="0" w:color="auto"/>
                        <w:left w:val="none" w:sz="0" w:space="0" w:color="auto"/>
                        <w:bottom w:val="none" w:sz="0" w:space="0" w:color="auto"/>
                        <w:right w:val="none" w:sz="0" w:space="0" w:color="auto"/>
                      </w:divBdr>
                    </w:div>
                  </w:divsChild>
                </w:div>
                <w:div w:id="22096784">
                  <w:marLeft w:val="0"/>
                  <w:marRight w:val="0"/>
                  <w:marTop w:val="0"/>
                  <w:marBottom w:val="0"/>
                  <w:divBdr>
                    <w:top w:val="none" w:sz="0" w:space="0" w:color="auto"/>
                    <w:left w:val="none" w:sz="0" w:space="0" w:color="auto"/>
                    <w:bottom w:val="none" w:sz="0" w:space="0" w:color="auto"/>
                    <w:right w:val="none" w:sz="0" w:space="0" w:color="auto"/>
                  </w:divBdr>
                  <w:divsChild>
                    <w:div w:id="1381783338">
                      <w:marLeft w:val="0"/>
                      <w:marRight w:val="0"/>
                      <w:marTop w:val="0"/>
                      <w:marBottom w:val="0"/>
                      <w:divBdr>
                        <w:top w:val="none" w:sz="0" w:space="0" w:color="auto"/>
                        <w:left w:val="none" w:sz="0" w:space="0" w:color="auto"/>
                        <w:bottom w:val="none" w:sz="0" w:space="0" w:color="auto"/>
                        <w:right w:val="none" w:sz="0" w:space="0" w:color="auto"/>
                      </w:divBdr>
                    </w:div>
                  </w:divsChild>
                </w:div>
                <w:div w:id="654913923">
                  <w:marLeft w:val="0"/>
                  <w:marRight w:val="0"/>
                  <w:marTop w:val="0"/>
                  <w:marBottom w:val="0"/>
                  <w:divBdr>
                    <w:top w:val="none" w:sz="0" w:space="0" w:color="auto"/>
                    <w:left w:val="none" w:sz="0" w:space="0" w:color="auto"/>
                    <w:bottom w:val="none" w:sz="0" w:space="0" w:color="auto"/>
                    <w:right w:val="none" w:sz="0" w:space="0" w:color="auto"/>
                  </w:divBdr>
                  <w:divsChild>
                    <w:div w:id="2081169144">
                      <w:marLeft w:val="0"/>
                      <w:marRight w:val="0"/>
                      <w:marTop w:val="0"/>
                      <w:marBottom w:val="0"/>
                      <w:divBdr>
                        <w:top w:val="none" w:sz="0" w:space="0" w:color="auto"/>
                        <w:left w:val="none" w:sz="0" w:space="0" w:color="auto"/>
                        <w:bottom w:val="none" w:sz="0" w:space="0" w:color="auto"/>
                        <w:right w:val="none" w:sz="0" w:space="0" w:color="auto"/>
                      </w:divBdr>
                    </w:div>
                  </w:divsChild>
                </w:div>
                <w:div w:id="688802227">
                  <w:marLeft w:val="0"/>
                  <w:marRight w:val="0"/>
                  <w:marTop w:val="0"/>
                  <w:marBottom w:val="0"/>
                  <w:divBdr>
                    <w:top w:val="none" w:sz="0" w:space="0" w:color="auto"/>
                    <w:left w:val="none" w:sz="0" w:space="0" w:color="auto"/>
                    <w:bottom w:val="none" w:sz="0" w:space="0" w:color="auto"/>
                    <w:right w:val="none" w:sz="0" w:space="0" w:color="auto"/>
                  </w:divBdr>
                  <w:divsChild>
                    <w:div w:id="1289777554">
                      <w:marLeft w:val="0"/>
                      <w:marRight w:val="0"/>
                      <w:marTop w:val="0"/>
                      <w:marBottom w:val="0"/>
                      <w:divBdr>
                        <w:top w:val="none" w:sz="0" w:space="0" w:color="auto"/>
                        <w:left w:val="none" w:sz="0" w:space="0" w:color="auto"/>
                        <w:bottom w:val="none" w:sz="0" w:space="0" w:color="auto"/>
                        <w:right w:val="none" w:sz="0" w:space="0" w:color="auto"/>
                      </w:divBdr>
                    </w:div>
                  </w:divsChild>
                </w:div>
                <w:div w:id="747656994">
                  <w:marLeft w:val="0"/>
                  <w:marRight w:val="0"/>
                  <w:marTop w:val="0"/>
                  <w:marBottom w:val="0"/>
                  <w:divBdr>
                    <w:top w:val="none" w:sz="0" w:space="0" w:color="auto"/>
                    <w:left w:val="none" w:sz="0" w:space="0" w:color="auto"/>
                    <w:bottom w:val="none" w:sz="0" w:space="0" w:color="auto"/>
                    <w:right w:val="none" w:sz="0" w:space="0" w:color="auto"/>
                  </w:divBdr>
                  <w:divsChild>
                    <w:div w:id="30883055">
                      <w:marLeft w:val="0"/>
                      <w:marRight w:val="0"/>
                      <w:marTop w:val="0"/>
                      <w:marBottom w:val="0"/>
                      <w:divBdr>
                        <w:top w:val="none" w:sz="0" w:space="0" w:color="auto"/>
                        <w:left w:val="none" w:sz="0" w:space="0" w:color="auto"/>
                        <w:bottom w:val="none" w:sz="0" w:space="0" w:color="auto"/>
                        <w:right w:val="none" w:sz="0" w:space="0" w:color="auto"/>
                      </w:divBdr>
                    </w:div>
                  </w:divsChild>
                </w:div>
                <w:div w:id="877014825">
                  <w:marLeft w:val="0"/>
                  <w:marRight w:val="0"/>
                  <w:marTop w:val="0"/>
                  <w:marBottom w:val="0"/>
                  <w:divBdr>
                    <w:top w:val="none" w:sz="0" w:space="0" w:color="auto"/>
                    <w:left w:val="none" w:sz="0" w:space="0" w:color="auto"/>
                    <w:bottom w:val="none" w:sz="0" w:space="0" w:color="auto"/>
                    <w:right w:val="none" w:sz="0" w:space="0" w:color="auto"/>
                  </w:divBdr>
                  <w:divsChild>
                    <w:div w:id="1278564313">
                      <w:marLeft w:val="0"/>
                      <w:marRight w:val="0"/>
                      <w:marTop w:val="0"/>
                      <w:marBottom w:val="0"/>
                      <w:divBdr>
                        <w:top w:val="none" w:sz="0" w:space="0" w:color="auto"/>
                        <w:left w:val="none" w:sz="0" w:space="0" w:color="auto"/>
                        <w:bottom w:val="none" w:sz="0" w:space="0" w:color="auto"/>
                        <w:right w:val="none" w:sz="0" w:space="0" w:color="auto"/>
                      </w:divBdr>
                    </w:div>
                  </w:divsChild>
                </w:div>
                <w:div w:id="1593129330">
                  <w:marLeft w:val="0"/>
                  <w:marRight w:val="0"/>
                  <w:marTop w:val="0"/>
                  <w:marBottom w:val="0"/>
                  <w:divBdr>
                    <w:top w:val="none" w:sz="0" w:space="0" w:color="auto"/>
                    <w:left w:val="none" w:sz="0" w:space="0" w:color="auto"/>
                    <w:bottom w:val="none" w:sz="0" w:space="0" w:color="auto"/>
                    <w:right w:val="none" w:sz="0" w:space="0" w:color="auto"/>
                  </w:divBdr>
                  <w:divsChild>
                    <w:div w:id="349334391">
                      <w:marLeft w:val="0"/>
                      <w:marRight w:val="0"/>
                      <w:marTop w:val="0"/>
                      <w:marBottom w:val="0"/>
                      <w:divBdr>
                        <w:top w:val="none" w:sz="0" w:space="0" w:color="auto"/>
                        <w:left w:val="none" w:sz="0" w:space="0" w:color="auto"/>
                        <w:bottom w:val="none" w:sz="0" w:space="0" w:color="auto"/>
                        <w:right w:val="none" w:sz="0" w:space="0" w:color="auto"/>
                      </w:divBdr>
                    </w:div>
                  </w:divsChild>
                </w:div>
                <w:div w:id="1856531184">
                  <w:marLeft w:val="0"/>
                  <w:marRight w:val="0"/>
                  <w:marTop w:val="0"/>
                  <w:marBottom w:val="0"/>
                  <w:divBdr>
                    <w:top w:val="none" w:sz="0" w:space="0" w:color="auto"/>
                    <w:left w:val="none" w:sz="0" w:space="0" w:color="auto"/>
                    <w:bottom w:val="none" w:sz="0" w:space="0" w:color="auto"/>
                    <w:right w:val="none" w:sz="0" w:space="0" w:color="auto"/>
                  </w:divBdr>
                  <w:divsChild>
                    <w:div w:id="1032922094">
                      <w:marLeft w:val="0"/>
                      <w:marRight w:val="0"/>
                      <w:marTop w:val="0"/>
                      <w:marBottom w:val="0"/>
                      <w:divBdr>
                        <w:top w:val="none" w:sz="0" w:space="0" w:color="auto"/>
                        <w:left w:val="none" w:sz="0" w:space="0" w:color="auto"/>
                        <w:bottom w:val="none" w:sz="0" w:space="0" w:color="auto"/>
                        <w:right w:val="none" w:sz="0" w:space="0" w:color="auto"/>
                      </w:divBdr>
                    </w:div>
                  </w:divsChild>
                </w:div>
                <w:div w:id="2119135011">
                  <w:marLeft w:val="0"/>
                  <w:marRight w:val="0"/>
                  <w:marTop w:val="0"/>
                  <w:marBottom w:val="0"/>
                  <w:divBdr>
                    <w:top w:val="none" w:sz="0" w:space="0" w:color="auto"/>
                    <w:left w:val="none" w:sz="0" w:space="0" w:color="auto"/>
                    <w:bottom w:val="none" w:sz="0" w:space="0" w:color="auto"/>
                    <w:right w:val="none" w:sz="0" w:space="0" w:color="auto"/>
                  </w:divBdr>
                  <w:divsChild>
                    <w:div w:id="169564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333027">
          <w:marLeft w:val="0"/>
          <w:marRight w:val="0"/>
          <w:marTop w:val="0"/>
          <w:marBottom w:val="0"/>
          <w:divBdr>
            <w:top w:val="none" w:sz="0" w:space="0" w:color="auto"/>
            <w:left w:val="none" w:sz="0" w:space="0" w:color="auto"/>
            <w:bottom w:val="none" w:sz="0" w:space="0" w:color="auto"/>
            <w:right w:val="none" w:sz="0" w:space="0" w:color="auto"/>
          </w:divBdr>
        </w:div>
      </w:divsChild>
    </w:div>
    <w:div w:id="1392077367">
      <w:bodyDiv w:val="1"/>
      <w:marLeft w:val="0"/>
      <w:marRight w:val="0"/>
      <w:marTop w:val="0"/>
      <w:marBottom w:val="0"/>
      <w:divBdr>
        <w:top w:val="none" w:sz="0" w:space="0" w:color="auto"/>
        <w:left w:val="none" w:sz="0" w:space="0" w:color="auto"/>
        <w:bottom w:val="none" w:sz="0" w:space="0" w:color="auto"/>
        <w:right w:val="none" w:sz="0" w:space="0" w:color="auto"/>
      </w:divBdr>
      <w:divsChild>
        <w:div w:id="14311417">
          <w:marLeft w:val="0"/>
          <w:marRight w:val="0"/>
          <w:marTop w:val="0"/>
          <w:marBottom w:val="0"/>
          <w:divBdr>
            <w:top w:val="none" w:sz="0" w:space="0" w:color="auto"/>
            <w:left w:val="none" w:sz="0" w:space="0" w:color="auto"/>
            <w:bottom w:val="none" w:sz="0" w:space="0" w:color="auto"/>
            <w:right w:val="none" w:sz="0" w:space="0" w:color="auto"/>
          </w:divBdr>
        </w:div>
        <w:div w:id="446197012">
          <w:marLeft w:val="0"/>
          <w:marRight w:val="0"/>
          <w:marTop w:val="0"/>
          <w:marBottom w:val="0"/>
          <w:divBdr>
            <w:top w:val="none" w:sz="0" w:space="0" w:color="auto"/>
            <w:left w:val="none" w:sz="0" w:space="0" w:color="auto"/>
            <w:bottom w:val="none" w:sz="0" w:space="0" w:color="auto"/>
            <w:right w:val="none" w:sz="0" w:space="0" w:color="auto"/>
          </w:divBdr>
        </w:div>
        <w:div w:id="494028754">
          <w:marLeft w:val="0"/>
          <w:marRight w:val="0"/>
          <w:marTop w:val="0"/>
          <w:marBottom w:val="0"/>
          <w:divBdr>
            <w:top w:val="none" w:sz="0" w:space="0" w:color="auto"/>
            <w:left w:val="none" w:sz="0" w:space="0" w:color="auto"/>
            <w:bottom w:val="none" w:sz="0" w:space="0" w:color="auto"/>
            <w:right w:val="none" w:sz="0" w:space="0" w:color="auto"/>
          </w:divBdr>
        </w:div>
        <w:div w:id="630207401">
          <w:marLeft w:val="0"/>
          <w:marRight w:val="0"/>
          <w:marTop w:val="0"/>
          <w:marBottom w:val="0"/>
          <w:divBdr>
            <w:top w:val="none" w:sz="0" w:space="0" w:color="auto"/>
            <w:left w:val="none" w:sz="0" w:space="0" w:color="auto"/>
            <w:bottom w:val="none" w:sz="0" w:space="0" w:color="auto"/>
            <w:right w:val="none" w:sz="0" w:space="0" w:color="auto"/>
          </w:divBdr>
        </w:div>
        <w:div w:id="794180796">
          <w:marLeft w:val="0"/>
          <w:marRight w:val="0"/>
          <w:marTop w:val="0"/>
          <w:marBottom w:val="0"/>
          <w:divBdr>
            <w:top w:val="none" w:sz="0" w:space="0" w:color="auto"/>
            <w:left w:val="none" w:sz="0" w:space="0" w:color="auto"/>
            <w:bottom w:val="none" w:sz="0" w:space="0" w:color="auto"/>
            <w:right w:val="none" w:sz="0" w:space="0" w:color="auto"/>
          </w:divBdr>
        </w:div>
        <w:div w:id="806631096">
          <w:marLeft w:val="0"/>
          <w:marRight w:val="0"/>
          <w:marTop w:val="0"/>
          <w:marBottom w:val="0"/>
          <w:divBdr>
            <w:top w:val="none" w:sz="0" w:space="0" w:color="auto"/>
            <w:left w:val="none" w:sz="0" w:space="0" w:color="auto"/>
            <w:bottom w:val="none" w:sz="0" w:space="0" w:color="auto"/>
            <w:right w:val="none" w:sz="0" w:space="0" w:color="auto"/>
          </w:divBdr>
        </w:div>
        <w:div w:id="954363418">
          <w:marLeft w:val="0"/>
          <w:marRight w:val="0"/>
          <w:marTop w:val="0"/>
          <w:marBottom w:val="0"/>
          <w:divBdr>
            <w:top w:val="none" w:sz="0" w:space="0" w:color="auto"/>
            <w:left w:val="none" w:sz="0" w:space="0" w:color="auto"/>
            <w:bottom w:val="none" w:sz="0" w:space="0" w:color="auto"/>
            <w:right w:val="none" w:sz="0" w:space="0" w:color="auto"/>
          </w:divBdr>
        </w:div>
        <w:div w:id="1329018601">
          <w:marLeft w:val="0"/>
          <w:marRight w:val="0"/>
          <w:marTop w:val="0"/>
          <w:marBottom w:val="0"/>
          <w:divBdr>
            <w:top w:val="none" w:sz="0" w:space="0" w:color="auto"/>
            <w:left w:val="none" w:sz="0" w:space="0" w:color="auto"/>
            <w:bottom w:val="none" w:sz="0" w:space="0" w:color="auto"/>
            <w:right w:val="none" w:sz="0" w:space="0" w:color="auto"/>
          </w:divBdr>
        </w:div>
        <w:div w:id="1354841150">
          <w:marLeft w:val="0"/>
          <w:marRight w:val="0"/>
          <w:marTop w:val="0"/>
          <w:marBottom w:val="0"/>
          <w:divBdr>
            <w:top w:val="none" w:sz="0" w:space="0" w:color="auto"/>
            <w:left w:val="none" w:sz="0" w:space="0" w:color="auto"/>
            <w:bottom w:val="none" w:sz="0" w:space="0" w:color="auto"/>
            <w:right w:val="none" w:sz="0" w:space="0" w:color="auto"/>
          </w:divBdr>
          <w:divsChild>
            <w:div w:id="1850681078">
              <w:marLeft w:val="-75"/>
              <w:marRight w:val="0"/>
              <w:marTop w:val="30"/>
              <w:marBottom w:val="30"/>
              <w:divBdr>
                <w:top w:val="none" w:sz="0" w:space="0" w:color="auto"/>
                <w:left w:val="none" w:sz="0" w:space="0" w:color="auto"/>
                <w:bottom w:val="none" w:sz="0" w:space="0" w:color="auto"/>
                <w:right w:val="none" w:sz="0" w:space="0" w:color="auto"/>
              </w:divBdr>
              <w:divsChild>
                <w:div w:id="92211675">
                  <w:marLeft w:val="0"/>
                  <w:marRight w:val="0"/>
                  <w:marTop w:val="0"/>
                  <w:marBottom w:val="0"/>
                  <w:divBdr>
                    <w:top w:val="none" w:sz="0" w:space="0" w:color="auto"/>
                    <w:left w:val="none" w:sz="0" w:space="0" w:color="auto"/>
                    <w:bottom w:val="none" w:sz="0" w:space="0" w:color="auto"/>
                    <w:right w:val="none" w:sz="0" w:space="0" w:color="auto"/>
                  </w:divBdr>
                  <w:divsChild>
                    <w:div w:id="1403747904">
                      <w:marLeft w:val="0"/>
                      <w:marRight w:val="0"/>
                      <w:marTop w:val="0"/>
                      <w:marBottom w:val="0"/>
                      <w:divBdr>
                        <w:top w:val="none" w:sz="0" w:space="0" w:color="auto"/>
                        <w:left w:val="none" w:sz="0" w:space="0" w:color="auto"/>
                        <w:bottom w:val="none" w:sz="0" w:space="0" w:color="auto"/>
                        <w:right w:val="none" w:sz="0" w:space="0" w:color="auto"/>
                      </w:divBdr>
                    </w:div>
                  </w:divsChild>
                </w:div>
                <w:div w:id="119543486">
                  <w:marLeft w:val="0"/>
                  <w:marRight w:val="0"/>
                  <w:marTop w:val="0"/>
                  <w:marBottom w:val="0"/>
                  <w:divBdr>
                    <w:top w:val="none" w:sz="0" w:space="0" w:color="auto"/>
                    <w:left w:val="none" w:sz="0" w:space="0" w:color="auto"/>
                    <w:bottom w:val="none" w:sz="0" w:space="0" w:color="auto"/>
                    <w:right w:val="none" w:sz="0" w:space="0" w:color="auto"/>
                  </w:divBdr>
                  <w:divsChild>
                    <w:div w:id="460733030">
                      <w:marLeft w:val="0"/>
                      <w:marRight w:val="0"/>
                      <w:marTop w:val="0"/>
                      <w:marBottom w:val="0"/>
                      <w:divBdr>
                        <w:top w:val="none" w:sz="0" w:space="0" w:color="auto"/>
                        <w:left w:val="none" w:sz="0" w:space="0" w:color="auto"/>
                        <w:bottom w:val="none" w:sz="0" w:space="0" w:color="auto"/>
                        <w:right w:val="none" w:sz="0" w:space="0" w:color="auto"/>
                      </w:divBdr>
                    </w:div>
                  </w:divsChild>
                </w:div>
                <w:div w:id="121730531">
                  <w:marLeft w:val="0"/>
                  <w:marRight w:val="0"/>
                  <w:marTop w:val="0"/>
                  <w:marBottom w:val="0"/>
                  <w:divBdr>
                    <w:top w:val="none" w:sz="0" w:space="0" w:color="auto"/>
                    <w:left w:val="none" w:sz="0" w:space="0" w:color="auto"/>
                    <w:bottom w:val="none" w:sz="0" w:space="0" w:color="auto"/>
                    <w:right w:val="none" w:sz="0" w:space="0" w:color="auto"/>
                  </w:divBdr>
                  <w:divsChild>
                    <w:div w:id="1882326200">
                      <w:marLeft w:val="0"/>
                      <w:marRight w:val="0"/>
                      <w:marTop w:val="0"/>
                      <w:marBottom w:val="0"/>
                      <w:divBdr>
                        <w:top w:val="none" w:sz="0" w:space="0" w:color="auto"/>
                        <w:left w:val="none" w:sz="0" w:space="0" w:color="auto"/>
                        <w:bottom w:val="none" w:sz="0" w:space="0" w:color="auto"/>
                        <w:right w:val="none" w:sz="0" w:space="0" w:color="auto"/>
                      </w:divBdr>
                    </w:div>
                  </w:divsChild>
                </w:div>
                <w:div w:id="215823965">
                  <w:marLeft w:val="0"/>
                  <w:marRight w:val="0"/>
                  <w:marTop w:val="0"/>
                  <w:marBottom w:val="0"/>
                  <w:divBdr>
                    <w:top w:val="none" w:sz="0" w:space="0" w:color="auto"/>
                    <w:left w:val="none" w:sz="0" w:space="0" w:color="auto"/>
                    <w:bottom w:val="none" w:sz="0" w:space="0" w:color="auto"/>
                    <w:right w:val="none" w:sz="0" w:space="0" w:color="auto"/>
                  </w:divBdr>
                  <w:divsChild>
                    <w:div w:id="2087801221">
                      <w:marLeft w:val="0"/>
                      <w:marRight w:val="0"/>
                      <w:marTop w:val="0"/>
                      <w:marBottom w:val="0"/>
                      <w:divBdr>
                        <w:top w:val="none" w:sz="0" w:space="0" w:color="auto"/>
                        <w:left w:val="none" w:sz="0" w:space="0" w:color="auto"/>
                        <w:bottom w:val="none" w:sz="0" w:space="0" w:color="auto"/>
                        <w:right w:val="none" w:sz="0" w:space="0" w:color="auto"/>
                      </w:divBdr>
                    </w:div>
                  </w:divsChild>
                </w:div>
                <w:div w:id="332876429">
                  <w:marLeft w:val="0"/>
                  <w:marRight w:val="0"/>
                  <w:marTop w:val="0"/>
                  <w:marBottom w:val="0"/>
                  <w:divBdr>
                    <w:top w:val="none" w:sz="0" w:space="0" w:color="auto"/>
                    <w:left w:val="none" w:sz="0" w:space="0" w:color="auto"/>
                    <w:bottom w:val="none" w:sz="0" w:space="0" w:color="auto"/>
                    <w:right w:val="none" w:sz="0" w:space="0" w:color="auto"/>
                  </w:divBdr>
                  <w:divsChild>
                    <w:div w:id="1370178505">
                      <w:marLeft w:val="0"/>
                      <w:marRight w:val="0"/>
                      <w:marTop w:val="0"/>
                      <w:marBottom w:val="0"/>
                      <w:divBdr>
                        <w:top w:val="none" w:sz="0" w:space="0" w:color="auto"/>
                        <w:left w:val="none" w:sz="0" w:space="0" w:color="auto"/>
                        <w:bottom w:val="none" w:sz="0" w:space="0" w:color="auto"/>
                        <w:right w:val="none" w:sz="0" w:space="0" w:color="auto"/>
                      </w:divBdr>
                    </w:div>
                  </w:divsChild>
                </w:div>
                <w:div w:id="378289205">
                  <w:marLeft w:val="0"/>
                  <w:marRight w:val="0"/>
                  <w:marTop w:val="0"/>
                  <w:marBottom w:val="0"/>
                  <w:divBdr>
                    <w:top w:val="none" w:sz="0" w:space="0" w:color="auto"/>
                    <w:left w:val="none" w:sz="0" w:space="0" w:color="auto"/>
                    <w:bottom w:val="none" w:sz="0" w:space="0" w:color="auto"/>
                    <w:right w:val="none" w:sz="0" w:space="0" w:color="auto"/>
                  </w:divBdr>
                  <w:divsChild>
                    <w:div w:id="280655240">
                      <w:marLeft w:val="0"/>
                      <w:marRight w:val="0"/>
                      <w:marTop w:val="0"/>
                      <w:marBottom w:val="0"/>
                      <w:divBdr>
                        <w:top w:val="none" w:sz="0" w:space="0" w:color="auto"/>
                        <w:left w:val="none" w:sz="0" w:space="0" w:color="auto"/>
                        <w:bottom w:val="none" w:sz="0" w:space="0" w:color="auto"/>
                        <w:right w:val="none" w:sz="0" w:space="0" w:color="auto"/>
                      </w:divBdr>
                    </w:div>
                    <w:div w:id="950942901">
                      <w:marLeft w:val="0"/>
                      <w:marRight w:val="0"/>
                      <w:marTop w:val="0"/>
                      <w:marBottom w:val="0"/>
                      <w:divBdr>
                        <w:top w:val="none" w:sz="0" w:space="0" w:color="auto"/>
                        <w:left w:val="none" w:sz="0" w:space="0" w:color="auto"/>
                        <w:bottom w:val="none" w:sz="0" w:space="0" w:color="auto"/>
                        <w:right w:val="none" w:sz="0" w:space="0" w:color="auto"/>
                      </w:divBdr>
                    </w:div>
                  </w:divsChild>
                </w:div>
                <w:div w:id="467741262">
                  <w:marLeft w:val="0"/>
                  <w:marRight w:val="0"/>
                  <w:marTop w:val="0"/>
                  <w:marBottom w:val="0"/>
                  <w:divBdr>
                    <w:top w:val="none" w:sz="0" w:space="0" w:color="auto"/>
                    <w:left w:val="none" w:sz="0" w:space="0" w:color="auto"/>
                    <w:bottom w:val="none" w:sz="0" w:space="0" w:color="auto"/>
                    <w:right w:val="none" w:sz="0" w:space="0" w:color="auto"/>
                  </w:divBdr>
                  <w:divsChild>
                    <w:div w:id="3098036">
                      <w:marLeft w:val="0"/>
                      <w:marRight w:val="0"/>
                      <w:marTop w:val="0"/>
                      <w:marBottom w:val="0"/>
                      <w:divBdr>
                        <w:top w:val="none" w:sz="0" w:space="0" w:color="auto"/>
                        <w:left w:val="none" w:sz="0" w:space="0" w:color="auto"/>
                        <w:bottom w:val="none" w:sz="0" w:space="0" w:color="auto"/>
                        <w:right w:val="none" w:sz="0" w:space="0" w:color="auto"/>
                      </w:divBdr>
                    </w:div>
                  </w:divsChild>
                </w:div>
                <w:div w:id="549919211">
                  <w:marLeft w:val="0"/>
                  <w:marRight w:val="0"/>
                  <w:marTop w:val="0"/>
                  <w:marBottom w:val="0"/>
                  <w:divBdr>
                    <w:top w:val="none" w:sz="0" w:space="0" w:color="auto"/>
                    <w:left w:val="none" w:sz="0" w:space="0" w:color="auto"/>
                    <w:bottom w:val="none" w:sz="0" w:space="0" w:color="auto"/>
                    <w:right w:val="none" w:sz="0" w:space="0" w:color="auto"/>
                  </w:divBdr>
                  <w:divsChild>
                    <w:div w:id="877856799">
                      <w:marLeft w:val="0"/>
                      <w:marRight w:val="0"/>
                      <w:marTop w:val="0"/>
                      <w:marBottom w:val="0"/>
                      <w:divBdr>
                        <w:top w:val="none" w:sz="0" w:space="0" w:color="auto"/>
                        <w:left w:val="none" w:sz="0" w:space="0" w:color="auto"/>
                        <w:bottom w:val="none" w:sz="0" w:space="0" w:color="auto"/>
                        <w:right w:val="none" w:sz="0" w:space="0" w:color="auto"/>
                      </w:divBdr>
                    </w:div>
                  </w:divsChild>
                </w:div>
                <w:div w:id="587232321">
                  <w:marLeft w:val="0"/>
                  <w:marRight w:val="0"/>
                  <w:marTop w:val="0"/>
                  <w:marBottom w:val="0"/>
                  <w:divBdr>
                    <w:top w:val="none" w:sz="0" w:space="0" w:color="auto"/>
                    <w:left w:val="none" w:sz="0" w:space="0" w:color="auto"/>
                    <w:bottom w:val="none" w:sz="0" w:space="0" w:color="auto"/>
                    <w:right w:val="none" w:sz="0" w:space="0" w:color="auto"/>
                  </w:divBdr>
                  <w:divsChild>
                    <w:div w:id="1203400022">
                      <w:marLeft w:val="0"/>
                      <w:marRight w:val="0"/>
                      <w:marTop w:val="0"/>
                      <w:marBottom w:val="0"/>
                      <w:divBdr>
                        <w:top w:val="none" w:sz="0" w:space="0" w:color="auto"/>
                        <w:left w:val="none" w:sz="0" w:space="0" w:color="auto"/>
                        <w:bottom w:val="none" w:sz="0" w:space="0" w:color="auto"/>
                        <w:right w:val="none" w:sz="0" w:space="0" w:color="auto"/>
                      </w:divBdr>
                    </w:div>
                  </w:divsChild>
                </w:div>
                <w:div w:id="722758700">
                  <w:marLeft w:val="0"/>
                  <w:marRight w:val="0"/>
                  <w:marTop w:val="0"/>
                  <w:marBottom w:val="0"/>
                  <w:divBdr>
                    <w:top w:val="none" w:sz="0" w:space="0" w:color="auto"/>
                    <w:left w:val="none" w:sz="0" w:space="0" w:color="auto"/>
                    <w:bottom w:val="none" w:sz="0" w:space="0" w:color="auto"/>
                    <w:right w:val="none" w:sz="0" w:space="0" w:color="auto"/>
                  </w:divBdr>
                  <w:divsChild>
                    <w:div w:id="1863783396">
                      <w:marLeft w:val="0"/>
                      <w:marRight w:val="0"/>
                      <w:marTop w:val="0"/>
                      <w:marBottom w:val="0"/>
                      <w:divBdr>
                        <w:top w:val="none" w:sz="0" w:space="0" w:color="auto"/>
                        <w:left w:val="none" w:sz="0" w:space="0" w:color="auto"/>
                        <w:bottom w:val="none" w:sz="0" w:space="0" w:color="auto"/>
                        <w:right w:val="none" w:sz="0" w:space="0" w:color="auto"/>
                      </w:divBdr>
                    </w:div>
                  </w:divsChild>
                </w:div>
                <w:div w:id="744766929">
                  <w:marLeft w:val="0"/>
                  <w:marRight w:val="0"/>
                  <w:marTop w:val="0"/>
                  <w:marBottom w:val="0"/>
                  <w:divBdr>
                    <w:top w:val="none" w:sz="0" w:space="0" w:color="auto"/>
                    <w:left w:val="none" w:sz="0" w:space="0" w:color="auto"/>
                    <w:bottom w:val="none" w:sz="0" w:space="0" w:color="auto"/>
                    <w:right w:val="none" w:sz="0" w:space="0" w:color="auto"/>
                  </w:divBdr>
                  <w:divsChild>
                    <w:div w:id="251091008">
                      <w:marLeft w:val="0"/>
                      <w:marRight w:val="0"/>
                      <w:marTop w:val="0"/>
                      <w:marBottom w:val="0"/>
                      <w:divBdr>
                        <w:top w:val="none" w:sz="0" w:space="0" w:color="auto"/>
                        <w:left w:val="none" w:sz="0" w:space="0" w:color="auto"/>
                        <w:bottom w:val="none" w:sz="0" w:space="0" w:color="auto"/>
                        <w:right w:val="none" w:sz="0" w:space="0" w:color="auto"/>
                      </w:divBdr>
                    </w:div>
                    <w:div w:id="319693246">
                      <w:marLeft w:val="0"/>
                      <w:marRight w:val="0"/>
                      <w:marTop w:val="0"/>
                      <w:marBottom w:val="0"/>
                      <w:divBdr>
                        <w:top w:val="none" w:sz="0" w:space="0" w:color="auto"/>
                        <w:left w:val="none" w:sz="0" w:space="0" w:color="auto"/>
                        <w:bottom w:val="none" w:sz="0" w:space="0" w:color="auto"/>
                        <w:right w:val="none" w:sz="0" w:space="0" w:color="auto"/>
                      </w:divBdr>
                    </w:div>
                    <w:div w:id="407267022">
                      <w:marLeft w:val="0"/>
                      <w:marRight w:val="0"/>
                      <w:marTop w:val="0"/>
                      <w:marBottom w:val="0"/>
                      <w:divBdr>
                        <w:top w:val="none" w:sz="0" w:space="0" w:color="auto"/>
                        <w:left w:val="none" w:sz="0" w:space="0" w:color="auto"/>
                        <w:bottom w:val="none" w:sz="0" w:space="0" w:color="auto"/>
                        <w:right w:val="none" w:sz="0" w:space="0" w:color="auto"/>
                      </w:divBdr>
                    </w:div>
                    <w:div w:id="1407335736">
                      <w:marLeft w:val="0"/>
                      <w:marRight w:val="0"/>
                      <w:marTop w:val="0"/>
                      <w:marBottom w:val="0"/>
                      <w:divBdr>
                        <w:top w:val="none" w:sz="0" w:space="0" w:color="auto"/>
                        <w:left w:val="none" w:sz="0" w:space="0" w:color="auto"/>
                        <w:bottom w:val="none" w:sz="0" w:space="0" w:color="auto"/>
                        <w:right w:val="none" w:sz="0" w:space="0" w:color="auto"/>
                      </w:divBdr>
                    </w:div>
                  </w:divsChild>
                </w:div>
                <w:div w:id="764770329">
                  <w:marLeft w:val="0"/>
                  <w:marRight w:val="0"/>
                  <w:marTop w:val="0"/>
                  <w:marBottom w:val="0"/>
                  <w:divBdr>
                    <w:top w:val="none" w:sz="0" w:space="0" w:color="auto"/>
                    <w:left w:val="none" w:sz="0" w:space="0" w:color="auto"/>
                    <w:bottom w:val="none" w:sz="0" w:space="0" w:color="auto"/>
                    <w:right w:val="none" w:sz="0" w:space="0" w:color="auto"/>
                  </w:divBdr>
                  <w:divsChild>
                    <w:div w:id="1181822371">
                      <w:marLeft w:val="0"/>
                      <w:marRight w:val="0"/>
                      <w:marTop w:val="0"/>
                      <w:marBottom w:val="0"/>
                      <w:divBdr>
                        <w:top w:val="none" w:sz="0" w:space="0" w:color="auto"/>
                        <w:left w:val="none" w:sz="0" w:space="0" w:color="auto"/>
                        <w:bottom w:val="none" w:sz="0" w:space="0" w:color="auto"/>
                        <w:right w:val="none" w:sz="0" w:space="0" w:color="auto"/>
                      </w:divBdr>
                    </w:div>
                    <w:div w:id="1466386585">
                      <w:marLeft w:val="0"/>
                      <w:marRight w:val="0"/>
                      <w:marTop w:val="0"/>
                      <w:marBottom w:val="0"/>
                      <w:divBdr>
                        <w:top w:val="none" w:sz="0" w:space="0" w:color="auto"/>
                        <w:left w:val="none" w:sz="0" w:space="0" w:color="auto"/>
                        <w:bottom w:val="none" w:sz="0" w:space="0" w:color="auto"/>
                        <w:right w:val="none" w:sz="0" w:space="0" w:color="auto"/>
                      </w:divBdr>
                    </w:div>
                  </w:divsChild>
                </w:div>
                <w:div w:id="765493095">
                  <w:marLeft w:val="0"/>
                  <w:marRight w:val="0"/>
                  <w:marTop w:val="0"/>
                  <w:marBottom w:val="0"/>
                  <w:divBdr>
                    <w:top w:val="none" w:sz="0" w:space="0" w:color="auto"/>
                    <w:left w:val="none" w:sz="0" w:space="0" w:color="auto"/>
                    <w:bottom w:val="none" w:sz="0" w:space="0" w:color="auto"/>
                    <w:right w:val="none" w:sz="0" w:space="0" w:color="auto"/>
                  </w:divBdr>
                  <w:divsChild>
                    <w:div w:id="50423009">
                      <w:marLeft w:val="0"/>
                      <w:marRight w:val="0"/>
                      <w:marTop w:val="0"/>
                      <w:marBottom w:val="0"/>
                      <w:divBdr>
                        <w:top w:val="none" w:sz="0" w:space="0" w:color="auto"/>
                        <w:left w:val="none" w:sz="0" w:space="0" w:color="auto"/>
                        <w:bottom w:val="none" w:sz="0" w:space="0" w:color="auto"/>
                        <w:right w:val="none" w:sz="0" w:space="0" w:color="auto"/>
                      </w:divBdr>
                    </w:div>
                    <w:div w:id="1363476647">
                      <w:marLeft w:val="0"/>
                      <w:marRight w:val="0"/>
                      <w:marTop w:val="0"/>
                      <w:marBottom w:val="0"/>
                      <w:divBdr>
                        <w:top w:val="none" w:sz="0" w:space="0" w:color="auto"/>
                        <w:left w:val="none" w:sz="0" w:space="0" w:color="auto"/>
                        <w:bottom w:val="none" w:sz="0" w:space="0" w:color="auto"/>
                        <w:right w:val="none" w:sz="0" w:space="0" w:color="auto"/>
                      </w:divBdr>
                    </w:div>
                  </w:divsChild>
                </w:div>
                <w:div w:id="899247884">
                  <w:marLeft w:val="0"/>
                  <w:marRight w:val="0"/>
                  <w:marTop w:val="0"/>
                  <w:marBottom w:val="0"/>
                  <w:divBdr>
                    <w:top w:val="none" w:sz="0" w:space="0" w:color="auto"/>
                    <w:left w:val="none" w:sz="0" w:space="0" w:color="auto"/>
                    <w:bottom w:val="none" w:sz="0" w:space="0" w:color="auto"/>
                    <w:right w:val="none" w:sz="0" w:space="0" w:color="auto"/>
                  </w:divBdr>
                  <w:divsChild>
                    <w:div w:id="1905598844">
                      <w:marLeft w:val="0"/>
                      <w:marRight w:val="0"/>
                      <w:marTop w:val="0"/>
                      <w:marBottom w:val="0"/>
                      <w:divBdr>
                        <w:top w:val="none" w:sz="0" w:space="0" w:color="auto"/>
                        <w:left w:val="none" w:sz="0" w:space="0" w:color="auto"/>
                        <w:bottom w:val="none" w:sz="0" w:space="0" w:color="auto"/>
                        <w:right w:val="none" w:sz="0" w:space="0" w:color="auto"/>
                      </w:divBdr>
                    </w:div>
                  </w:divsChild>
                </w:div>
                <w:div w:id="907108224">
                  <w:marLeft w:val="0"/>
                  <w:marRight w:val="0"/>
                  <w:marTop w:val="0"/>
                  <w:marBottom w:val="0"/>
                  <w:divBdr>
                    <w:top w:val="none" w:sz="0" w:space="0" w:color="auto"/>
                    <w:left w:val="none" w:sz="0" w:space="0" w:color="auto"/>
                    <w:bottom w:val="none" w:sz="0" w:space="0" w:color="auto"/>
                    <w:right w:val="none" w:sz="0" w:space="0" w:color="auto"/>
                  </w:divBdr>
                  <w:divsChild>
                    <w:div w:id="543297278">
                      <w:marLeft w:val="0"/>
                      <w:marRight w:val="0"/>
                      <w:marTop w:val="0"/>
                      <w:marBottom w:val="0"/>
                      <w:divBdr>
                        <w:top w:val="none" w:sz="0" w:space="0" w:color="auto"/>
                        <w:left w:val="none" w:sz="0" w:space="0" w:color="auto"/>
                        <w:bottom w:val="none" w:sz="0" w:space="0" w:color="auto"/>
                        <w:right w:val="none" w:sz="0" w:space="0" w:color="auto"/>
                      </w:divBdr>
                    </w:div>
                  </w:divsChild>
                </w:div>
                <w:div w:id="995260340">
                  <w:marLeft w:val="0"/>
                  <w:marRight w:val="0"/>
                  <w:marTop w:val="0"/>
                  <w:marBottom w:val="0"/>
                  <w:divBdr>
                    <w:top w:val="none" w:sz="0" w:space="0" w:color="auto"/>
                    <w:left w:val="none" w:sz="0" w:space="0" w:color="auto"/>
                    <w:bottom w:val="none" w:sz="0" w:space="0" w:color="auto"/>
                    <w:right w:val="none" w:sz="0" w:space="0" w:color="auto"/>
                  </w:divBdr>
                  <w:divsChild>
                    <w:div w:id="1864172012">
                      <w:marLeft w:val="0"/>
                      <w:marRight w:val="0"/>
                      <w:marTop w:val="0"/>
                      <w:marBottom w:val="0"/>
                      <w:divBdr>
                        <w:top w:val="none" w:sz="0" w:space="0" w:color="auto"/>
                        <w:left w:val="none" w:sz="0" w:space="0" w:color="auto"/>
                        <w:bottom w:val="none" w:sz="0" w:space="0" w:color="auto"/>
                        <w:right w:val="none" w:sz="0" w:space="0" w:color="auto"/>
                      </w:divBdr>
                    </w:div>
                  </w:divsChild>
                </w:div>
                <w:div w:id="1012994506">
                  <w:marLeft w:val="0"/>
                  <w:marRight w:val="0"/>
                  <w:marTop w:val="0"/>
                  <w:marBottom w:val="0"/>
                  <w:divBdr>
                    <w:top w:val="none" w:sz="0" w:space="0" w:color="auto"/>
                    <w:left w:val="none" w:sz="0" w:space="0" w:color="auto"/>
                    <w:bottom w:val="none" w:sz="0" w:space="0" w:color="auto"/>
                    <w:right w:val="none" w:sz="0" w:space="0" w:color="auto"/>
                  </w:divBdr>
                  <w:divsChild>
                    <w:div w:id="1148285791">
                      <w:marLeft w:val="0"/>
                      <w:marRight w:val="0"/>
                      <w:marTop w:val="0"/>
                      <w:marBottom w:val="0"/>
                      <w:divBdr>
                        <w:top w:val="none" w:sz="0" w:space="0" w:color="auto"/>
                        <w:left w:val="none" w:sz="0" w:space="0" w:color="auto"/>
                        <w:bottom w:val="none" w:sz="0" w:space="0" w:color="auto"/>
                        <w:right w:val="none" w:sz="0" w:space="0" w:color="auto"/>
                      </w:divBdr>
                    </w:div>
                  </w:divsChild>
                </w:div>
                <w:div w:id="1024476931">
                  <w:marLeft w:val="0"/>
                  <w:marRight w:val="0"/>
                  <w:marTop w:val="0"/>
                  <w:marBottom w:val="0"/>
                  <w:divBdr>
                    <w:top w:val="none" w:sz="0" w:space="0" w:color="auto"/>
                    <w:left w:val="none" w:sz="0" w:space="0" w:color="auto"/>
                    <w:bottom w:val="none" w:sz="0" w:space="0" w:color="auto"/>
                    <w:right w:val="none" w:sz="0" w:space="0" w:color="auto"/>
                  </w:divBdr>
                  <w:divsChild>
                    <w:div w:id="701202376">
                      <w:marLeft w:val="0"/>
                      <w:marRight w:val="0"/>
                      <w:marTop w:val="0"/>
                      <w:marBottom w:val="0"/>
                      <w:divBdr>
                        <w:top w:val="none" w:sz="0" w:space="0" w:color="auto"/>
                        <w:left w:val="none" w:sz="0" w:space="0" w:color="auto"/>
                        <w:bottom w:val="none" w:sz="0" w:space="0" w:color="auto"/>
                        <w:right w:val="none" w:sz="0" w:space="0" w:color="auto"/>
                      </w:divBdr>
                    </w:div>
                  </w:divsChild>
                </w:div>
                <w:div w:id="1083801461">
                  <w:marLeft w:val="0"/>
                  <w:marRight w:val="0"/>
                  <w:marTop w:val="0"/>
                  <w:marBottom w:val="0"/>
                  <w:divBdr>
                    <w:top w:val="none" w:sz="0" w:space="0" w:color="auto"/>
                    <w:left w:val="none" w:sz="0" w:space="0" w:color="auto"/>
                    <w:bottom w:val="none" w:sz="0" w:space="0" w:color="auto"/>
                    <w:right w:val="none" w:sz="0" w:space="0" w:color="auto"/>
                  </w:divBdr>
                  <w:divsChild>
                    <w:div w:id="1424380628">
                      <w:marLeft w:val="0"/>
                      <w:marRight w:val="0"/>
                      <w:marTop w:val="0"/>
                      <w:marBottom w:val="0"/>
                      <w:divBdr>
                        <w:top w:val="none" w:sz="0" w:space="0" w:color="auto"/>
                        <w:left w:val="none" w:sz="0" w:space="0" w:color="auto"/>
                        <w:bottom w:val="none" w:sz="0" w:space="0" w:color="auto"/>
                        <w:right w:val="none" w:sz="0" w:space="0" w:color="auto"/>
                      </w:divBdr>
                    </w:div>
                  </w:divsChild>
                </w:div>
                <w:div w:id="1223522789">
                  <w:marLeft w:val="0"/>
                  <w:marRight w:val="0"/>
                  <w:marTop w:val="0"/>
                  <w:marBottom w:val="0"/>
                  <w:divBdr>
                    <w:top w:val="none" w:sz="0" w:space="0" w:color="auto"/>
                    <w:left w:val="none" w:sz="0" w:space="0" w:color="auto"/>
                    <w:bottom w:val="none" w:sz="0" w:space="0" w:color="auto"/>
                    <w:right w:val="none" w:sz="0" w:space="0" w:color="auto"/>
                  </w:divBdr>
                  <w:divsChild>
                    <w:div w:id="371000169">
                      <w:marLeft w:val="0"/>
                      <w:marRight w:val="0"/>
                      <w:marTop w:val="0"/>
                      <w:marBottom w:val="0"/>
                      <w:divBdr>
                        <w:top w:val="none" w:sz="0" w:space="0" w:color="auto"/>
                        <w:left w:val="none" w:sz="0" w:space="0" w:color="auto"/>
                        <w:bottom w:val="none" w:sz="0" w:space="0" w:color="auto"/>
                        <w:right w:val="none" w:sz="0" w:space="0" w:color="auto"/>
                      </w:divBdr>
                    </w:div>
                  </w:divsChild>
                </w:div>
                <w:div w:id="1263414793">
                  <w:marLeft w:val="0"/>
                  <w:marRight w:val="0"/>
                  <w:marTop w:val="0"/>
                  <w:marBottom w:val="0"/>
                  <w:divBdr>
                    <w:top w:val="none" w:sz="0" w:space="0" w:color="auto"/>
                    <w:left w:val="none" w:sz="0" w:space="0" w:color="auto"/>
                    <w:bottom w:val="none" w:sz="0" w:space="0" w:color="auto"/>
                    <w:right w:val="none" w:sz="0" w:space="0" w:color="auto"/>
                  </w:divBdr>
                  <w:divsChild>
                    <w:div w:id="398330303">
                      <w:marLeft w:val="0"/>
                      <w:marRight w:val="0"/>
                      <w:marTop w:val="0"/>
                      <w:marBottom w:val="0"/>
                      <w:divBdr>
                        <w:top w:val="none" w:sz="0" w:space="0" w:color="auto"/>
                        <w:left w:val="none" w:sz="0" w:space="0" w:color="auto"/>
                        <w:bottom w:val="none" w:sz="0" w:space="0" w:color="auto"/>
                        <w:right w:val="none" w:sz="0" w:space="0" w:color="auto"/>
                      </w:divBdr>
                    </w:div>
                    <w:div w:id="1985499477">
                      <w:marLeft w:val="0"/>
                      <w:marRight w:val="0"/>
                      <w:marTop w:val="0"/>
                      <w:marBottom w:val="0"/>
                      <w:divBdr>
                        <w:top w:val="none" w:sz="0" w:space="0" w:color="auto"/>
                        <w:left w:val="none" w:sz="0" w:space="0" w:color="auto"/>
                        <w:bottom w:val="none" w:sz="0" w:space="0" w:color="auto"/>
                        <w:right w:val="none" w:sz="0" w:space="0" w:color="auto"/>
                      </w:divBdr>
                    </w:div>
                  </w:divsChild>
                </w:div>
                <w:div w:id="1304307760">
                  <w:marLeft w:val="0"/>
                  <w:marRight w:val="0"/>
                  <w:marTop w:val="0"/>
                  <w:marBottom w:val="0"/>
                  <w:divBdr>
                    <w:top w:val="none" w:sz="0" w:space="0" w:color="auto"/>
                    <w:left w:val="none" w:sz="0" w:space="0" w:color="auto"/>
                    <w:bottom w:val="none" w:sz="0" w:space="0" w:color="auto"/>
                    <w:right w:val="none" w:sz="0" w:space="0" w:color="auto"/>
                  </w:divBdr>
                  <w:divsChild>
                    <w:div w:id="502671959">
                      <w:marLeft w:val="0"/>
                      <w:marRight w:val="0"/>
                      <w:marTop w:val="0"/>
                      <w:marBottom w:val="0"/>
                      <w:divBdr>
                        <w:top w:val="none" w:sz="0" w:space="0" w:color="auto"/>
                        <w:left w:val="none" w:sz="0" w:space="0" w:color="auto"/>
                        <w:bottom w:val="none" w:sz="0" w:space="0" w:color="auto"/>
                        <w:right w:val="none" w:sz="0" w:space="0" w:color="auto"/>
                      </w:divBdr>
                    </w:div>
                  </w:divsChild>
                </w:div>
                <w:div w:id="1362128396">
                  <w:marLeft w:val="0"/>
                  <w:marRight w:val="0"/>
                  <w:marTop w:val="0"/>
                  <w:marBottom w:val="0"/>
                  <w:divBdr>
                    <w:top w:val="none" w:sz="0" w:space="0" w:color="auto"/>
                    <w:left w:val="none" w:sz="0" w:space="0" w:color="auto"/>
                    <w:bottom w:val="none" w:sz="0" w:space="0" w:color="auto"/>
                    <w:right w:val="none" w:sz="0" w:space="0" w:color="auto"/>
                  </w:divBdr>
                  <w:divsChild>
                    <w:div w:id="1603300095">
                      <w:marLeft w:val="0"/>
                      <w:marRight w:val="0"/>
                      <w:marTop w:val="0"/>
                      <w:marBottom w:val="0"/>
                      <w:divBdr>
                        <w:top w:val="none" w:sz="0" w:space="0" w:color="auto"/>
                        <w:left w:val="none" w:sz="0" w:space="0" w:color="auto"/>
                        <w:bottom w:val="none" w:sz="0" w:space="0" w:color="auto"/>
                        <w:right w:val="none" w:sz="0" w:space="0" w:color="auto"/>
                      </w:divBdr>
                    </w:div>
                  </w:divsChild>
                </w:div>
                <w:div w:id="1371110390">
                  <w:marLeft w:val="0"/>
                  <w:marRight w:val="0"/>
                  <w:marTop w:val="0"/>
                  <w:marBottom w:val="0"/>
                  <w:divBdr>
                    <w:top w:val="none" w:sz="0" w:space="0" w:color="auto"/>
                    <w:left w:val="none" w:sz="0" w:space="0" w:color="auto"/>
                    <w:bottom w:val="none" w:sz="0" w:space="0" w:color="auto"/>
                    <w:right w:val="none" w:sz="0" w:space="0" w:color="auto"/>
                  </w:divBdr>
                  <w:divsChild>
                    <w:div w:id="1888637786">
                      <w:marLeft w:val="0"/>
                      <w:marRight w:val="0"/>
                      <w:marTop w:val="0"/>
                      <w:marBottom w:val="0"/>
                      <w:divBdr>
                        <w:top w:val="none" w:sz="0" w:space="0" w:color="auto"/>
                        <w:left w:val="none" w:sz="0" w:space="0" w:color="auto"/>
                        <w:bottom w:val="none" w:sz="0" w:space="0" w:color="auto"/>
                        <w:right w:val="none" w:sz="0" w:space="0" w:color="auto"/>
                      </w:divBdr>
                    </w:div>
                  </w:divsChild>
                </w:div>
                <w:div w:id="1394505696">
                  <w:marLeft w:val="0"/>
                  <w:marRight w:val="0"/>
                  <w:marTop w:val="0"/>
                  <w:marBottom w:val="0"/>
                  <w:divBdr>
                    <w:top w:val="none" w:sz="0" w:space="0" w:color="auto"/>
                    <w:left w:val="none" w:sz="0" w:space="0" w:color="auto"/>
                    <w:bottom w:val="none" w:sz="0" w:space="0" w:color="auto"/>
                    <w:right w:val="none" w:sz="0" w:space="0" w:color="auto"/>
                  </w:divBdr>
                  <w:divsChild>
                    <w:div w:id="440497406">
                      <w:marLeft w:val="0"/>
                      <w:marRight w:val="0"/>
                      <w:marTop w:val="0"/>
                      <w:marBottom w:val="0"/>
                      <w:divBdr>
                        <w:top w:val="none" w:sz="0" w:space="0" w:color="auto"/>
                        <w:left w:val="none" w:sz="0" w:space="0" w:color="auto"/>
                        <w:bottom w:val="none" w:sz="0" w:space="0" w:color="auto"/>
                        <w:right w:val="none" w:sz="0" w:space="0" w:color="auto"/>
                      </w:divBdr>
                    </w:div>
                  </w:divsChild>
                </w:div>
                <w:div w:id="1474835656">
                  <w:marLeft w:val="0"/>
                  <w:marRight w:val="0"/>
                  <w:marTop w:val="0"/>
                  <w:marBottom w:val="0"/>
                  <w:divBdr>
                    <w:top w:val="none" w:sz="0" w:space="0" w:color="auto"/>
                    <w:left w:val="none" w:sz="0" w:space="0" w:color="auto"/>
                    <w:bottom w:val="none" w:sz="0" w:space="0" w:color="auto"/>
                    <w:right w:val="none" w:sz="0" w:space="0" w:color="auto"/>
                  </w:divBdr>
                  <w:divsChild>
                    <w:div w:id="547035323">
                      <w:marLeft w:val="0"/>
                      <w:marRight w:val="0"/>
                      <w:marTop w:val="0"/>
                      <w:marBottom w:val="0"/>
                      <w:divBdr>
                        <w:top w:val="none" w:sz="0" w:space="0" w:color="auto"/>
                        <w:left w:val="none" w:sz="0" w:space="0" w:color="auto"/>
                        <w:bottom w:val="none" w:sz="0" w:space="0" w:color="auto"/>
                        <w:right w:val="none" w:sz="0" w:space="0" w:color="auto"/>
                      </w:divBdr>
                    </w:div>
                    <w:div w:id="1408457915">
                      <w:marLeft w:val="0"/>
                      <w:marRight w:val="0"/>
                      <w:marTop w:val="0"/>
                      <w:marBottom w:val="0"/>
                      <w:divBdr>
                        <w:top w:val="none" w:sz="0" w:space="0" w:color="auto"/>
                        <w:left w:val="none" w:sz="0" w:space="0" w:color="auto"/>
                        <w:bottom w:val="none" w:sz="0" w:space="0" w:color="auto"/>
                        <w:right w:val="none" w:sz="0" w:space="0" w:color="auto"/>
                      </w:divBdr>
                    </w:div>
                  </w:divsChild>
                </w:div>
                <w:div w:id="1506894885">
                  <w:marLeft w:val="0"/>
                  <w:marRight w:val="0"/>
                  <w:marTop w:val="0"/>
                  <w:marBottom w:val="0"/>
                  <w:divBdr>
                    <w:top w:val="none" w:sz="0" w:space="0" w:color="auto"/>
                    <w:left w:val="none" w:sz="0" w:space="0" w:color="auto"/>
                    <w:bottom w:val="none" w:sz="0" w:space="0" w:color="auto"/>
                    <w:right w:val="none" w:sz="0" w:space="0" w:color="auto"/>
                  </w:divBdr>
                  <w:divsChild>
                    <w:div w:id="1406562217">
                      <w:marLeft w:val="0"/>
                      <w:marRight w:val="0"/>
                      <w:marTop w:val="0"/>
                      <w:marBottom w:val="0"/>
                      <w:divBdr>
                        <w:top w:val="none" w:sz="0" w:space="0" w:color="auto"/>
                        <w:left w:val="none" w:sz="0" w:space="0" w:color="auto"/>
                        <w:bottom w:val="none" w:sz="0" w:space="0" w:color="auto"/>
                        <w:right w:val="none" w:sz="0" w:space="0" w:color="auto"/>
                      </w:divBdr>
                    </w:div>
                    <w:div w:id="2114132152">
                      <w:marLeft w:val="0"/>
                      <w:marRight w:val="0"/>
                      <w:marTop w:val="0"/>
                      <w:marBottom w:val="0"/>
                      <w:divBdr>
                        <w:top w:val="none" w:sz="0" w:space="0" w:color="auto"/>
                        <w:left w:val="none" w:sz="0" w:space="0" w:color="auto"/>
                        <w:bottom w:val="none" w:sz="0" w:space="0" w:color="auto"/>
                        <w:right w:val="none" w:sz="0" w:space="0" w:color="auto"/>
                      </w:divBdr>
                    </w:div>
                  </w:divsChild>
                </w:div>
                <w:div w:id="1518733627">
                  <w:marLeft w:val="0"/>
                  <w:marRight w:val="0"/>
                  <w:marTop w:val="0"/>
                  <w:marBottom w:val="0"/>
                  <w:divBdr>
                    <w:top w:val="none" w:sz="0" w:space="0" w:color="auto"/>
                    <w:left w:val="none" w:sz="0" w:space="0" w:color="auto"/>
                    <w:bottom w:val="none" w:sz="0" w:space="0" w:color="auto"/>
                    <w:right w:val="none" w:sz="0" w:space="0" w:color="auto"/>
                  </w:divBdr>
                  <w:divsChild>
                    <w:div w:id="828860956">
                      <w:marLeft w:val="0"/>
                      <w:marRight w:val="0"/>
                      <w:marTop w:val="0"/>
                      <w:marBottom w:val="0"/>
                      <w:divBdr>
                        <w:top w:val="none" w:sz="0" w:space="0" w:color="auto"/>
                        <w:left w:val="none" w:sz="0" w:space="0" w:color="auto"/>
                        <w:bottom w:val="none" w:sz="0" w:space="0" w:color="auto"/>
                        <w:right w:val="none" w:sz="0" w:space="0" w:color="auto"/>
                      </w:divBdr>
                    </w:div>
                  </w:divsChild>
                </w:div>
                <w:div w:id="1564095177">
                  <w:marLeft w:val="0"/>
                  <w:marRight w:val="0"/>
                  <w:marTop w:val="0"/>
                  <w:marBottom w:val="0"/>
                  <w:divBdr>
                    <w:top w:val="none" w:sz="0" w:space="0" w:color="auto"/>
                    <w:left w:val="none" w:sz="0" w:space="0" w:color="auto"/>
                    <w:bottom w:val="none" w:sz="0" w:space="0" w:color="auto"/>
                    <w:right w:val="none" w:sz="0" w:space="0" w:color="auto"/>
                  </w:divBdr>
                  <w:divsChild>
                    <w:div w:id="1194536672">
                      <w:marLeft w:val="0"/>
                      <w:marRight w:val="0"/>
                      <w:marTop w:val="0"/>
                      <w:marBottom w:val="0"/>
                      <w:divBdr>
                        <w:top w:val="none" w:sz="0" w:space="0" w:color="auto"/>
                        <w:left w:val="none" w:sz="0" w:space="0" w:color="auto"/>
                        <w:bottom w:val="none" w:sz="0" w:space="0" w:color="auto"/>
                        <w:right w:val="none" w:sz="0" w:space="0" w:color="auto"/>
                      </w:divBdr>
                    </w:div>
                    <w:div w:id="1379738088">
                      <w:marLeft w:val="0"/>
                      <w:marRight w:val="0"/>
                      <w:marTop w:val="0"/>
                      <w:marBottom w:val="0"/>
                      <w:divBdr>
                        <w:top w:val="none" w:sz="0" w:space="0" w:color="auto"/>
                        <w:left w:val="none" w:sz="0" w:space="0" w:color="auto"/>
                        <w:bottom w:val="none" w:sz="0" w:space="0" w:color="auto"/>
                        <w:right w:val="none" w:sz="0" w:space="0" w:color="auto"/>
                      </w:divBdr>
                    </w:div>
                  </w:divsChild>
                </w:div>
                <w:div w:id="1565917285">
                  <w:marLeft w:val="0"/>
                  <w:marRight w:val="0"/>
                  <w:marTop w:val="0"/>
                  <w:marBottom w:val="0"/>
                  <w:divBdr>
                    <w:top w:val="none" w:sz="0" w:space="0" w:color="auto"/>
                    <w:left w:val="none" w:sz="0" w:space="0" w:color="auto"/>
                    <w:bottom w:val="none" w:sz="0" w:space="0" w:color="auto"/>
                    <w:right w:val="none" w:sz="0" w:space="0" w:color="auto"/>
                  </w:divBdr>
                  <w:divsChild>
                    <w:div w:id="1870531801">
                      <w:marLeft w:val="0"/>
                      <w:marRight w:val="0"/>
                      <w:marTop w:val="0"/>
                      <w:marBottom w:val="0"/>
                      <w:divBdr>
                        <w:top w:val="none" w:sz="0" w:space="0" w:color="auto"/>
                        <w:left w:val="none" w:sz="0" w:space="0" w:color="auto"/>
                        <w:bottom w:val="none" w:sz="0" w:space="0" w:color="auto"/>
                        <w:right w:val="none" w:sz="0" w:space="0" w:color="auto"/>
                      </w:divBdr>
                    </w:div>
                  </w:divsChild>
                </w:div>
                <w:div w:id="1574198449">
                  <w:marLeft w:val="0"/>
                  <w:marRight w:val="0"/>
                  <w:marTop w:val="0"/>
                  <w:marBottom w:val="0"/>
                  <w:divBdr>
                    <w:top w:val="none" w:sz="0" w:space="0" w:color="auto"/>
                    <w:left w:val="none" w:sz="0" w:space="0" w:color="auto"/>
                    <w:bottom w:val="none" w:sz="0" w:space="0" w:color="auto"/>
                    <w:right w:val="none" w:sz="0" w:space="0" w:color="auto"/>
                  </w:divBdr>
                  <w:divsChild>
                    <w:div w:id="659426009">
                      <w:marLeft w:val="0"/>
                      <w:marRight w:val="0"/>
                      <w:marTop w:val="0"/>
                      <w:marBottom w:val="0"/>
                      <w:divBdr>
                        <w:top w:val="none" w:sz="0" w:space="0" w:color="auto"/>
                        <w:left w:val="none" w:sz="0" w:space="0" w:color="auto"/>
                        <w:bottom w:val="none" w:sz="0" w:space="0" w:color="auto"/>
                        <w:right w:val="none" w:sz="0" w:space="0" w:color="auto"/>
                      </w:divBdr>
                    </w:div>
                    <w:div w:id="1147284672">
                      <w:marLeft w:val="0"/>
                      <w:marRight w:val="0"/>
                      <w:marTop w:val="0"/>
                      <w:marBottom w:val="0"/>
                      <w:divBdr>
                        <w:top w:val="none" w:sz="0" w:space="0" w:color="auto"/>
                        <w:left w:val="none" w:sz="0" w:space="0" w:color="auto"/>
                        <w:bottom w:val="none" w:sz="0" w:space="0" w:color="auto"/>
                        <w:right w:val="none" w:sz="0" w:space="0" w:color="auto"/>
                      </w:divBdr>
                    </w:div>
                  </w:divsChild>
                </w:div>
                <w:div w:id="1680767164">
                  <w:marLeft w:val="0"/>
                  <w:marRight w:val="0"/>
                  <w:marTop w:val="0"/>
                  <w:marBottom w:val="0"/>
                  <w:divBdr>
                    <w:top w:val="none" w:sz="0" w:space="0" w:color="auto"/>
                    <w:left w:val="none" w:sz="0" w:space="0" w:color="auto"/>
                    <w:bottom w:val="none" w:sz="0" w:space="0" w:color="auto"/>
                    <w:right w:val="none" w:sz="0" w:space="0" w:color="auto"/>
                  </w:divBdr>
                  <w:divsChild>
                    <w:div w:id="1654329454">
                      <w:marLeft w:val="0"/>
                      <w:marRight w:val="0"/>
                      <w:marTop w:val="0"/>
                      <w:marBottom w:val="0"/>
                      <w:divBdr>
                        <w:top w:val="none" w:sz="0" w:space="0" w:color="auto"/>
                        <w:left w:val="none" w:sz="0" w:space="0" w:color="auto"/>
                        <w:bottom w:val="none" w:sz="0" w:space="0" w:color="auto"/>
                        <w:right w:val="none" w:sz="0" w:space="0" w:color="auto"/>
                      </w:divBdr>
                    </w:div>
                  </w:divsChild>
                </w:div>
                <w:div w:id="1767070590">
                  <w:marLeft w:val="0"/>
                  <w:marRight w:val="0"/>
                  <w:marTop w:val="0"/>
                  <w:marBottom w:val="0"/>
                  <w:divBdr>
                    <w:top w:val="none" w:sz="0" w:space="0" w:color="auto"/>
                    <w:left w:val="none" w:sz="0" w:space="0" w:color="auto"/>
                    <w:bottom w:val="none" w:sz="0" w:space="0" w:color="auto"/>
                    <w:right w:val="none" w:sz="0" w:space="0" w:color="auto"/>
                  </w:divBdr>
                  <w:divsChild>
                    <w:div w:id="1243292540">
                      <w:marLeft w:val="0"/>
                      <w:marRight w:val="0"/>
                      <w:marTop w:val="0"/>
                      <w:marBottom w:val="0"/>
                      <w:divBdr>
                        <w:top w:val="none" w:sz="0" w:space="0" w:color="auto"/>
                        <w:left w:val="none" w:sz="0" w:space="0" w:color="auto"/>
                        <w:bottom w:val="none" w:sz="0" w:space="0" w:color="auto"/>
                        <w:right w:val="none" w:sz="0" w:space="0" w:color="auto"/>
                      </w:divBdr>
                    </w:div>
                    <w:div w:id="1879734739">
                      <w:marLeft w:val="0"/>
                      <w:marRight w:val="0"/>
                      <w:marTop w:val="0"/>
                      <w:marBottom w:val="0"/>
                      <w:divBdr>
                        <w:top w:val="none" w:sz="0" w:space="0" w:color="auto"/>
                        <w:left w:val="none" w:sz="0" w:space="0" w:color="auto"/>
                        <w:bottom w:val="none" w:sz="0" w:space="0" w:color="auto"/>
                        <w:right w:val="none" w:sz="0" w:space="0" w:color="auto"/>
                      </w:divBdr>
                    </w:div>
                  </w:divsChild>
                </w:div>
                <w:div w:id="1861747316">
                  <w:marLeft w:val="0"/>
                  <w:marRight w:val="0"/>
                  <w:marTop w:val="0"/>
                  <w:marBottom w:val="0"/>
                  <w:divBdr>
                    <w:top w:val="none" w:sz="0" w:space="0" w:color="auto"/>
                    <w:left w:val="none" w:sz="0" w:space="0" w:color="auto"/>
                    <w:bottom w:val="none" w:sz="0" w:space="0" w:color="auto"/>
                    <w:right w:val="none" w:sz="0" w:space="0" w:color="auto"/>
                  </w:divBdr>
                  <w:divsChild>
                    <w:div w:id="1836414547">
                      <w:marLeft w:val="0"/>
                      <w:marRight w:val="0"/>
                      <w:marTop w:val="0"/>
                      <w:marBottom w:val="0"/>
                      <w:divBdr>
                        <w:top w:val="none" w:sz="0" w:space="0" w:color="auto"/>
                        <w:left w:val="none" w:sz="0" w:space="0" w:color="auto"/>
                        <w:bottom w:val="none" w:sz="0" w:space="0" w:color="auto"/>
                        <w:right w:val="none" w:sz="0" w:space="0" w:color="auto"/>
                      </w:divBdr>
                    </w:div>
                  </w:divsChild>
                </w:div>
                <w:div w:id="1862696881">
                  <w:marLeft w:val="0"/>
                  <w:marRight w:val="0"/>
                  <w:marTop w:val="0"/>
                  <w:marBottom w:val="0"/>
                  <w:divBdr>
                    <w:top w:val="none" w:sz="0" w:space="0" w:color="auto"/>
                    <w:left w:val="none" w:sz="0" w:space="0" w:color="auto"/>
                    <w:bottom w:val="none" w:sz="0" w:space="0" w:color="auto"/>
                    <w:right w:val="none" w:sz="0" w:space="0" w:color="auto"/>
                  </w:divBdr>
                  <w:divsChild>
                    <w:div w:id="78211719">
                      <w:marLeft w:val="0"/>
                      <w:marRight w:val="0"/>
                      <w:marTop w:val="0"/>
                      <w:marBottom w:val="0"/>
                      <w:divBdr>
                        <w:top w:val="none" w:sz="0" w:space="0" w:color="auto"/>
                        <w:left w:val="none" w:sz="0" w:space="0" w:color="auto"/>
                        <w:bottom w:val="none" w:sz="0" w:space="0" w:color="auto"/>
                        <w:right w:val="none" w:sz="0" w:space="0" w:color="auto"/>
                      </w:divBdr>
                    </w:div>
                    <w:div w:id="1556964262">
                      <w:marLeft w:val="0"/>
                      <w:marRight w:val="0"/>
                      <w:marTop w:val="0"/>
                      <w:marBottom w:val="0"/>
                      <w:divBdr>
                        <w:top w:val="none" w:sz="0" w:space="0" w:color="auto"/>
                        <w:left w:val="none" w:sz="0" w:space="0" w:color="auto"/>
                        <w:bottom w:val="none" w:sz="0" w:space="0" w:color="auto"/>
                        <w:right w:val="none" w:sz="0" w:space="0" w:color="auto"/>
                      </w:divBdr>
                    </w:div>
                  </w:divsChild>
                </w:div>
                <w:div w:id="1920942011">
                  <w:marLeft w:val="0"/>
                  <w:marRight w:val="0"/>
                  <w:marTop w:val="0"/>
                  <w:marBottom w:val="0"/>
                  <w:divBdr>
                    <w:top w:val="none" w:sz="0" w:space="0" w:color="auto"/>
                    <w:left w:val="none" w:sz="0" w:space="0" w:color="auto"/>
                    <w:bottom w:val="none" w:sz="0" w:space="0" w:color="auto"/>
                    <w:right w:val="none" w:sz="0" w:space="0" w:color="auto"/>
                  </w:divBdr>
                  <w:divsChild>
                    <w:div w:id="1742675116">
                      <w:marLeft w:val="0"/>
                      <w:marRight w:val="0"/>
                      <w:marTop w:val="0"/>
                      <w:marBottom w:val="0"/>
                      <w:divBdr>
                        <w:top w:val="none" w:sz="0" w:space="0" w:color="auto"/>
                        <w:left w:val="none" w:sz="0" w:space="0" w:color="auto"/>
                        <w:bottom w:val="none" w:sz="0" w:space="0" w:color="auto"/>
                        <w:right w:val="none" w:sz="0" w:space="0" w:color="auto"/>
                      </w:divBdr>
                    </w:div>
                    <w:div w:id="2041540278">
                      <w:marLeft w:val="0"/>
                      <w:marRight w:val="0"/>
                      <w:marTop w:val="0"/>
                      <w:marBottom w:val="0"/>
                      <w:divBdr>
                        <w:top w:val="none" w:sz="0" w:space="0" w:color="auto"/>
                        <w:left w:val="none" w:sz="0" w:space="0" w:color="auto"/>
                        <w:bottom w:val="none" w:sz="0" w:space="0" w:color="auto"/>
                        <w:right w:val="none" w:sz="0" w:space="0" w:color="auto"/>
                      </w:divBdr>
                    </w:div>
                  </w:divsChild>
                </w:div>
                <w:div w:id="1932854215">
                  <w:marLeft w:val="0"/>
                  <w:marRight w:val="0"/>
                  <w:marTop w:val="0"/>
                  <w:marBottom w:val="0"/>
                  <w:divBdr>
                    <w:top w:val="none" w:sz="0" w:space="0" w:color="auto"/>
                    <w:left w:val="none" w:sz="0" w:space="0" w:color="auto"/>
                    <w:bottom w:val="none" w:sz="0" w:space="0" w:color="auto"/>
                    <w:right w:val="none" w:sz="0" w:space="0" w:color="auto"/>
                  </w:divBdr>
                  <w:divsChild>
                    <w:div w:id="127095693">
                      <w:marLeft w:val="0"/>
                      <w:marRight w:val="0"/>
                      <w:marTop w:val="0"/>
                      <w:marBottom w:val="0"/>
                      <w:divBdr>
                        <w:top w:val="none" w:sz="0" w:space="0" w:color="auto"/>
                        <w:left w:val="none" w:sz="0" w:space="0" w:color="auto"/>
                        <w:bottom w:val="none" w:sz="0" w:space="0" w:color="auto"/>
                        <w:right w:val="none" w:sz="0" w:space="0" w:color="auto"/>
                      </w:divBdr>
                    </w:div>
                  </w:divsChild>
                </w:div>
                <w:div w:id="1957909943">
                  <w:marLeft w:val="0"/>
                  <w:marRight w:val="0"/>
                  <w:marTop w:val="0"/>
                  <w:marBottom w:val="0"/>
                  <w:divBdr>
                    <w:top w:val="none" w:sz="0" w:space="0" w:color="auto"/>
                    <w:left w:val="none" w:sz="0" w:space="0" w:color="auto"/>
                    <w:bottom w:val="none" w:sz="0" w:space="0" w:color="auto"/>
                    <w:right w:val="none" w:sz="0" w:space="0" w:color="auto"/>
                  </w:divBdr>
                  <w:divsChild>
                    <w:div w:id="1488671806">
                      <w:marLeft w:val="0"/>
                      <w:marRight w:val="0"/>
                      <w:marTop w:val="0"/>
                      <w:marBottom w:val="0"/>
                      <w:divBdr>
                        <w:top w:val="none" w:sz="0" w:space="0" w:color="auto"/>
                        <w:left w:val="none" w:sz="0" w:space="0" w:color="auto"/>
                        <w:bottom w:val="none" w:sz="0" w:space="0" w:color="auto"/>
                        <w:right w:val="none" w:sz="0" w:space="0" w:color="auto"/>
                      </w:divBdr>
                    </w:div>
                  </w:divsChild>
                </w:div>
                <w:div w:id="1973290961">
                  <w:marLeft w:val="0"/>
                  <w:marRight w:val="0"/>
                  <w:marTop w:val="0"/>
                  <w:marBottom w:val="0"/>
                  <w:divBdr>
                    <w:top w:val="none" w:sz="0" w:space="0" w:color="auto"/>
                    <w:left w:val="none" w:sz="0" w:space="0" w:color="auto"/>
                    <w:bottom w:val="none" w:sz="0" w:space="0" w:color="auto"/>
                    <w:right w:val="none" w:sz="0" w:space="0" w:color="auto"/>
                  </w:divBdr>
                  <w:divsChild>
                    <w:div w:id="1407069547">
                      <w:marLeft w:val="0"/>
                      <w:marRight w:val="0"/>
                      <w:marTop w:val="0"/>
                      <w:marBottom w:val="0"/>
                      <w:divBdr>
                        <w:top w:val="none" w:sz="0" w:space="0" w:color="auto"/>
                        <w:left w:val="none" w:sz="0" w:space="0" w:color="auto"/>
                        <w:bottom w:val="none" w:sz="0" w:space="0" w:color="auto"/>
                        <w:right w:val="none" w:sz="0" w:space="0" w:color="auto"/>
                      </w:divBdr>
                    </w:div>
                  </w:divsChild>
                </w:div>
                <w:div w:id="2003849878">
                  <w:marLeft w:val="0"/>
                  <w:marRight w:val="0"/>
                  <w:marTop w:val="0"/>
                  <w:marBottom w:val="0"/>
                  <w:divBdr>
                    <w:top w:val="none" w:sz="0" w:space="0" w:color="auto"/>
                    <w:left w:val="none" w:sz="0" w:space="0" w:color="auto"/>
                    <w:bottom w:val="none" w:sz="0" w:space="0" w:color="auto"/>
                    <w:right w:val="none" w:sz="0" w:space="0" w:color="auto"/>
                  </w:divBdr>
                  <w:divsChild>
                    <w:div w:id="758527929">
                      <w:marLeft w:val="0"/>
                      <w:marRight w:val="0"/>
                      <w:marTop w:val="0"/>
                      <w:marBottom w:val="0"/>
                      <w:divBdr>
                        <w:top w:val="none" w:sz="0" w:space="0" w:color="auto"/>
                        <w:left w:val="none" w:sz="0" w:space="0" w:color="auto"/>
                        <w:bottom w:val="none" w:sz="0" w:space="0" w:color="auto"/>
                        <w:right w:val="none" w:sz="0" w:space="0" w:color="auto"/>
                      </w:divBdr>
                    </w:div>
                    <w:div w:id="1423838549">
                      <w:marLeft w:val="0"/>
                      <w:marRight w:val="0"/>
                      <w:marTop w:val="0"/>
                      <w:marBottom w:val="0"/>
                      <w:divBdr>
                        <w:top w:val="none" w:sz="0" w:space="0" w:color="auto"/>
                        <w:left w:val="none" w:sz="0" w:space="0" w:color="auto"/>
                        <w:bottom w:val="none" w:sz="0" w:space="0" w:color="auto"/>
                        <w:right w:val="none" w:sz="0" w:space="0" w:color="auto"/>
                      </w:divBdr>
                    </w:div>
                  </w:divsChild>
                </w:div>
                <w:div w:id="2056201033">
                  <w:marLeft w:val="0"/>
                  <w:marRight w:val="0"/>
                  <w:marTop w:val="0"/>
                  <w:marBottom w:val="0"/>
                  <w:divBdr>
                    <w:top w:val="none" w:sz="0" w:space="0" w:color="auto"/>
                    <w:left w:val="none" w:sz="0" w:space="0" w:color="auto"/>
                    <w:bottom w:val="none" w:sz="0" w:space="0" w:color="auto"/>
                    <w:right w:val="none" w:sz="0" w:space="0" w:color="auto"/>
                  </w:divBdr>
                  <w:divsChild>
                    <w:div w:id="1653635490">
                      <w:marLeft w:val="0"/>
                      <w:marRight w:val="0"/>
                      <w:marTop w:val="0"/>
                      <w:marBottom w:val="0"/>
                      <w:divBdr>
                        <w:top w:val="none" w:sz="0" w:space="0" w:color="auto"/>
                        <w:left w:val="none" w:sz="0" w:space="0" w:color="auto"/>
                        <w:bottom w:val="none" w:sz="0" w:space="0" w:color="auto"/>
                        <w:right w:val="none" w:sz="0" w:space="0" w:color="auto"/>
                      </w:divBdr>
                    </w:div>
                  </w:divsChild>
                </w:div>
                <w:div w:id="2081635096">
                  <w:marLeft w:val="0"/>
                  <w:marRight w:val="0"/>
                  <w:marTop w:val="0"/>
                  <w:marBottom w:val="0"/>
                  <w:divBdr>
                    <w:top w:val="none" w:sz="0" w:space="0" w:color="auto"/>
                    <w:left w:val="none" w:sz="0" w:space="0" w:color="auto"/>
                    <w:bottom w:val="none" w:sz="0" w:space="0" w:color="auto"/>
                    <w:right w:val="none" w:sz="0" w:space="0" w:color="auto"/>
                  </w:divBdr>
                  <w:divsChild>
                    <w:div w:id="203568046">
                      <w:marLeft w:val="0"/>
                      <w:marRight w:val="0"/>
                      <w:marTop w:val="0"/>
                      <w:marBottom w:val="0"/>
                      <w:divBdr>
                        <w:top w:val="none" w:sz="0" w:space="0" w:color="auto"/>
                        <w:left w:val="none" w:sz="0" w:space="0" w:color="auto"/>
                        <w:bottom w:val="none" w:sz="0" w:space="0" w:color="auto"/>
                        <w:right w:val="none" w:sz="0" w:space="0" w:color="auto"/>
                      </w:divBdr>
                    </w:div>
                    <w:div w:id="598760347">
                      <w:marLeft w:val="0"/>
                      <w:marRight w:val="0"/>
                      <w:marTop w:val="0"/>
                      <w:marBottom w:val="0"/>
                      <w:divBdr>
                        <w:top w:val="none" w:sz="0" w:space="0" w:color="auto"/>
                        <w:left w:val="none" w:sz="0" w:space="0" w:color="auto"/>
                        <w:bottom w:val="none" w:sz="0" w:space="0" w:color="auto"/>
                        <w:right w:val="none" w:sz="0" w:space="0" w:color="auto"/>
                      </w:divBdr>
                    </w:div>
                  </w:divsChild>
                </w:div>
                <w:div w:id="2089844177">
                  <w:marLeft w:val="0"/>
                  <w:marRight w:val="0"/>
                  <w:marTop w:val="0"/>
                  <w:marBottom w:val="0"/>
                  <w:divBdr>
                    <w:top w:val="none" w:sz="0" w:space="0" w:color="auto"/>
                    <w:left w:val="none" w:sz="0" w:space="0" w:color="auto"/>
                    <w:bottom w:val="none" w:sz="0" w:space="0" w:color="auto"/>
                    <w:right w:val="none" w:sz="0" w:space="0" w:color="auto"/>
                  </w:divBdr>
                  <w:divsChild>
                    <w:div w:id="517815413">
                      <w:marLeft w:val="0"/>
                      <w:marRight w:val="0"/>
                      <w:marTop w:val="0"/>
                      <w:marBottom w:val="0"/>
                      <w:divBdr>
                        <w:top w:val="none" w:sz="0" w:space="0" w:color="auto"/>
                        <w:left w:val="none" w:sz="0" w:space="0" w:color="auto"/>
                        <w:bottom w:val="none" w:sz="0" w:space="0" w:color="auto"/>
                        <w:right w:val="none" w:sz="0" w:space="0" w:color="auto"/>
                      </w:divBdr>
                    </w:div>
                  </w:divsChild>
                </w:div>
                <w:div w:id="2136169197">
                  <w:marLeft w:val="0"/>
                  <w:marRight w:val="0"/>
                  <w:marTop w:val="0"/>
                  <w:marBottom w:val="0"/>
                  <w:divBdr>
                    <w:top w:val="none" w:sz="0" w:space="0" w:color="auto"/>
                    <w:left w:val="none" w:sz="0" w:space="0" w:color="auto"/>
                    <w:bottom w:val="none" w:sz="0" w:space="0" w:color="auto"/>
                    <w:right w:val="none" w:sz="0" w:space="0" w:color="auto"/>
                  </w:divBdr>
                  <w:divsChild>
                    <w:div w:id="736636718">
                      <w:marLeft w:val="0"/>
                      <w:marRight w:val="0"/>
                      <w:marTop w:val="0"/>
                      <w:marBottom w:val="0"/>
                      <w:divBdr>
                        <w:top w:val="none" w:sz="0" w:space="0" w:color="auto"/>
                        <w:left w:val="none" w:sz="0" w:space="0" w:color="auto"/>
                        <w:bottom w:val="none" w:sz="0" w:space="0" w:color="auto"/>
                        <w:right w:val="none" w:sz="0" w:space="0" w:color="auto"/>
                      </w:divBdr>
                    </w:div>
                  </w:divsChild>
                </w:div>
                <w:div w:id="2141806016">
                  <w:marLeft w:val="0"/>
                  <w:marRight w:val="0"/>
                  <w:marTop w:val="0"/>
                  <w:marBottom w:val="0"/>
                  <w:divBdr>
                    <w:top w:val="none" w:sz="0" w:space="0" w:color="auto"/>
                    <w:left w:val="none" w:sz="0" w:space="0" w:color="auto"/>
                    <w:bottom w:val="none" w:sz="0" w:space="0" w:color="auto"/>
                    <w:right w:val="none" w:sz="0" w:space="0" w:color="auto"/>
                  </w:divBdr>
                  <w:divsChild>
                    <w:div w:id="924680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438166">
          <w:marLeft w:val="0"/>
          <w:marRight w:val="0"/>
          <w:marTop w:val="0"/>
          <w:marBottom w:val="0"/>
          <w:divBdr>
            <w:top w:val="none" w:sz="0" w:space="0" w:color="auto"/>
            <w:left w:val="none" w:sz="0" w:space="0" w:color="auto"/>
            <w:bottom w:val="none" w:sz="0" w:space="0" w:color="auto"/>
            <w:right w:val="none" w:sz="0" w:space="0" w:color="auto"/>
          </w:divBdr>
        </w:div>
        <w:div w:id="1674844310">
          <w:marLeft w:val="0"/>
          <w:marRight w:val="0"/>
          <w:marTop w:val="0"/>
          <w:marBottom w:val="0"/>
          <w:divBdr>
            <w:top w:val="none" w:sz="0" w:space="0" w:color="auto"/>
            <w:left w:val="none" w:sz="0" w:space="0" w:color="auto"/>
            <w:bottom w:val="none" w:sz="0" w:space="0" w:color="auto"/>
            <w:right w:val="none" w:sz="0" w:space="0" w:color="auto"/>
          </w:divBdr>
        </w:div>
        <w:div w:id="1752384622">
          <w:marLeft w:val="0"/>
          <w:marRight w:val="0"/>
          <w:marTop w:val="0"/>
          <w:marBottom w:val="0"/>
          <w:divBdr>
            <w:top w:val="none" w:sz="0" w:space="0" w:color="auto"/>
            <w:left w:val="none" w:sz="0" w:space="0" w:color="auto"/>
            <w:bottom w:val="none" w:sz="0" w:space="0" w:color="auto"/>
            <w:right w:val="none" w:sz="0" w:space="0" w:color="auto"/>
          </w:divBdr>
        </w:div>
        <w:div w:id="1868562990">
          <w:marLeft w:val="0"/>
          <w:marRight w:val="0"/>
          <w:marTop w:val="0"/>
          <w:marBottom w:val="0"/>
          <w:divBdr>
            <w:top w:val="none" w:sz="0" w:space="0" w:color="auto"/>
            <w:left w:val="none" w:sz="0" w:space="0" w:color="auto"/>
            <w:bottom w:val="none" w:sz="0" w:space="0" w:color="auto"/>
            <w:right w:val="none" w:sz="0" w:space="0" w:color="auto"/>
          </w:divBdr>
        </w:div>
        <w:div w:id="2022121534">
          <w:marLeft w:val="0"/>
          <w:marRight w:val="0"/>
          <w:marTop w:val="0"/>
          <w:marBottom w:val="0"/>
          <w:divBdr>
            <w:top w:val="none" w:sz="0" w:space="0" w:color="auto"/>
            <w:left w:val="none" w:sz="0" w:space="0" w:color="auto"/>
            <w:bottom w:val="none" w:sz="0" w:space="0" w:color="auto"/>
            <w:right w:val="none" w:sz="0" w:space="0" w:color="auto"/>
          </w:divBdr>
        </w:div>
        <w:div w:id="2091192438">
          <w:marLeft w:val="0"/>
          <w:marRight w:val="0"/>
          <w:marTop w:val="0"/>
          <w:marBottom w:val="0"/>
          <w:divBdr>
            <w:top w:val="none" w:sz="0" w:space="0" w:color="auto"/>
            <w:left w:val="none" w:sz="0" w:space="0" w:color="auto"/>
            <w:bottom w:val="none" w:sz="0" w:space="0" w:color="auto"/>
            <w:right w:val="none" w:sz="0" w:space="0" w:color="auto"/>
          </w:divBdr>
          <w:divsChild>
            <w:div w:id="213778899">
              <w:marLeft w:val="-75"/>
              <w:marRight w:val="0"/>
              <w:marTop w:val="30"/>
              <w:marBottom w:val="30"/>
              <w:divBdr>
                <w:top w:val="none" w:sz="0" w:space="0" w:color="auto"/>
                <w:left w:val="none" w:sz="0" w:space="0" w:color="auto"/>
                <w:bottom w:val="none" w:sz="0" w:space="0" w:color="auto"/>
                <w:right w:val="none" w:sz="0" w:space="0" w:color="auto"/>
              </w:divBdr>
              <w:divsChild>
                <w:div w:id="203561057">
                  <w:marLeft w:val="0"/>
                  <w:marRight w:val="0"/>
                  <w:marTop w:val="0"/>
                  <w:marBottom w:val="0"/>
                  <w:divBdr>
                    <w:top w:val="none" w:sz="0" w:space="0" w:color="auto"/>
                    <w:left w:val="none" w:sz="0" w:space="0" w:color="auto"/>
                    <w:bottom w:val="none" w:sz="0" w:space="0" w:color="auto"/>
                    <w:right w:val="none" w:sz="0" w:space="0" w:color="auto"/>
                  </w:divBdr>
                  <w:divsChild>
                    <w:div w:id="484711800">
                      <w:marLeft w:val="0"/>
                      <w:marRight w:val="0"/>
                      <w:marTop w:val="0"/>
                      <w:marBottom w:val="0"/>
                      <w:divBdr>
                        <w:top w:val="none" w:sz="0" w:space="0" w:color="auto"/>
                        <w:left w:val="none" w:sz="0" w:space="0" w:color="auto"/>
                        <w:bottom w:val="none" w:sz="0" w:space="0" w:color="auto"/>
                        <w:right w:val="none" w:sz="0" w:space="0" w:color="auto"/>
                      </w:divBdr>
                    </w:div>
                  </w:divsChild>
                </w:div>
                <w:div w:id="398751253">
                  <w:marLeft w:val="0"/>
                  <w:marRight w:val="0"/>
                  <w:marTop w:val="0"/>
                  <w:marBottom w:val="0"/>
                  <w:divBdr>
                    <w:top w:val="none" w:sz="0" w:space="0" w:color="auto"/>
                    <w:left w:val="none" w:sz="0" w:space="0" w:color="auto"/>
                    <w:bottom w:val="none" w:sz="0" w:space="0" w:color="auto"/>
                    <w:right w:val="none" w:sz="0" w:space="0" w:color="auto"/>
                  </w:divBdr>
                  <w:divsChild>
                    <w:div w:id="1423187220">
                      <w:marLeft w:val="0"/>
                      <w:marRight w:val="0"/>
                      <w:marTop w:val="0"/>
                      <w:marBottom w:val="0"/>
                      <w:divBdr>
                        <w:top w:val="none" w:sz="0" w:space="0" w:color="auto"/>
                        <w:left w:val="none" w:sz="0" w:space="0" w:color="auto"/>
                        <w:bottom w:val="none" w:sz="0" w:space="0" w:color="auto"/>
                        <w:right w:val="none" w:sz="0" w:space="0" w:color="auto"/>
                      </w:divBdr>
                    </w:div>
                  </w:divsChild>
                </w:div>
                <w:div w:id="747462742">
                  <w:marLeft w:val="0"/>
                  <w:marRight w:val="0"/>
                  <w:marTop w:val="0"/>
                  <w:marBottom w:val="0"/>
                  <w:divBdr>
                    <w:top w:val="none" w:sz="0" w:space="0" w:color="auto"/>
                    <w:left w:val="none" w:sz="0" w:space="0" w:color="auto"/>
                    <w:bottom w:val="none" w:sz="0" w:space="0" w:color="auto"/>
                    <w:right w:val="none" w:sz="0" w:space="0" w:color="auto"/>
                  </w:divBdr>
                  <w:divsChild>
                    <w:div w:id="903225534">
                      <w:marLeft w:val="0"/>
                      <w:marRight w:val="0"/>
                      <w:marTop w:val="0"/>
                      <w:marBottom w:val="0"/>
                      <w:divBdr>
                        <w:top w:val="none" w:sz="0" w:space="0" w:color="auto"/>
                        <w:left w:val="none" w:sz="0" w:space="0" w:color="auto"/>
                        <w:bottom w:val="none" w:sz="0" w:space="0" w:color="auto"/>
                        <w:right w:val="none" w:sz="0" w:space="0" w:color="auto"/>
                      </w:divBdr>
                    </w:div>
                  </w:divsChild>
                </w:div>
                <w:div w:id="957101337">
                  <w:marLeft w:val="0"/>
                  <w:marRight w:val="0"/>
                  <w:marTop w:val="0"/>
                  <w:marBottom w:val="0"/>
                  <w:divBdr>
                    <w:top w:val="none" w:sz="0" w:space="0" w:color="auto"/>
                    <w:left w:val="none" w:sz="0" w:space="0" w:color="auto"/>
                    <w:bottom w:val="none" w:sz="0" w:space="0" w:color="auto"/>
                    <w:right w:val="none" w:sz="0" w:space="0" w:color="auto"/>
                  </w:divBdr>
                  <w:divsChild>
                    <w:div w:id="876041764">
                      <w:marLeft w:val="0"/>
                      <w:marRight w:val="0"/>
                      <w:marTop w:val="0"/>
                      <w:marBottom w:val="0"/>
                      <w:divBdr>
                        <w:top w:val="none" w:sz="0" w:space="0" w:color="auto"/>
                        <w:left w:val="none" w:sz="0" w:space="0" w:color="auto"/>
                        <w:bottom w:val="none" w:sz="0" w:space="0" w:color="auto"/>
                        <w:right w:val="none" w:sz="0" w:space="0" w:color="auto"/>
                      </w:divBdr>
                    </w:div>
                  </w:divsChild>
                </w:div>
                <w:div w:id="1125193457">
                  <w:marLeft w:val="0"/>
                  <w:marRight w:val="0"/>
                  <w:marTop w:val="0"/>
                  <w:marBottom w:val="0"/>
                  <w:divBdr>
                    <w:top w:val="none" w:sz="0" w:space="0" w:color="auto"/>
                    <w:left w:val="none" w:sz="0" w:space="0" w:color="auto"/>
                    <w:bottom w:val="none" w:sz="0" w:space="0" w:color="auto"/>
                    <w:right w:val="none" w:sz="0" w:space="0" w:color="auto"/>
                  </w:divBdr>
                  <w:divsChild>
                    <w:div w:id="391275579">
                      <w:marLeft w:val="0"/>
                      <w:marRight w:val="0"/>
                      <w:marTop w:val="0"/>
                      <w:marBottom w:val="0"/>
                      <w:divBdr>
                        <w:top w:val="none" w:sz="0" w:space="0" w:color="auto"/>
                        <w:left w:val="none" w:sz="0" w:space="0" w:color="auto"/>
                        <w:bottom w:val="none" w:sz="0" w:space="0" w:color="auto"/>
                        <w:right w:val="none" w:sz="0" w:space="0" w:color="auto"/>
                      </w:divBdr>
                    </w:div>
                  </w:divsChild>
                </w:div>
                <w:div w:id="1140536109">
                  <w:marLeft w:val="0"/>
                  <w:marRight w:val="0"/>
                  <w:marTop w:val="0"/>
                  <w:marBottom w:val="0"/>
                  <w:divBdr>
                    <w:top w:val="none" w:sz="0" w:space="0" w:color="auto"/>
                    <w:left w:val="none" w:sz="0" w:space="0" w:color="auto"/>
                    <w:bottom w:val="none" w:sz="0" w:space="0" w:color="auto"/>
                    <w:right w:val="none" w:sz="0" w:space="0" w:color="auto"/>
                  </w:divBdr>
                  <w:divsChild>
                    <w:div w:id="549876532">
                      <w:marLeft w:val="0"/>
                      <w:marRight w:val="0"/>
                      <w:marTop w:val="0"/>
                      <w:marBottom w:val="0"/>
                      <w:divBdr>
                        <w:top w:val="none" w:sz="0" w:space="0" w:color="auto"/>
                        <w:left w:val="none" w:sz="0" w:space="0" w:color="auto"/>
                        <w:bottom w:val="none" w:sz="0" w:space="0" w:color="auto"/>
                        <w:right w:val="none" w:sz="0" w:space="0" w:color="auto"/>
                      </w:divBdr>
                    </w:div>
                  </w:divsChild>
                </w:div>
                <w:div w:id="1239485842">
                  <w:marLeft w:val="0"/>
                  <w:marRight w:val="0"/>
                  <w:marTop w:val="0"/>
                  <w:marBottom w:val="0"/>
                  <w:divBdr>
                    <w:top w:val="none" w:sz="0" w:space="0" w:color="auto"/>
                    <w:left w:val="none" w:sz="0" w:space="0" w:color="auto"/>
                    <w:bottom w:val="none" w:sz="0" w:space="0" w:color="auto"/>
                    <w:right w:val="none" w:sz="0" w:space="0" w:color="auto"/>
                  </w:divBdr>
                  <w:divsChild>
                    <w:div w:id="1551334991">
                      <w:marLeft w:val="0"/>
                      <w:marRight w:val="0"/>
                      <w:marTop w:val="0"/>
                      <w:marBottom w:val="0"/>
                      <w:divBdr>
                        <w:top w:val="none" w:sz="0" w:space="0" w:color="auto"/>
                        <w:left w:val="none" w:sz="0" w:space="0" w:color="auto"/>
                        <w:bottom w:val="none" w:sz="0" w:space="0" w:color="auto"/>
                        <w:right w:val="none" w:sz="0" w:space="0" w:color="auto"/>
                      </w:divBdr>
                    </w:div>
                  </w:divsChild>
                </w:div>
                <w:div w:id="1939941550">
                  <w:marLeft w:val="0"/>
                  <w:marRight w:val="0"/>
                  <w:marTop w:val="0"/>
                  <w:marBottom w:val="0"/>
                  <w:divBdr>
                    <w:top w:val="none" w:sz="0" w:space="0" w:color="auto"/>
                    <w:left w:val="none" w:sz="0" w:space="0" w:color="auto"/>
                    <w:bottom w:val="none" w:sz="0" w:space="0" w:color="auto"/>
                    <w:right w:val="none" w:sz="0" w:space="0" w:color="auto"/>
                  </w:divBdr>
                  <w:divsChild>
                    <w:div w:id="1424909856">
                      <w:marLeft w:val="0"/>
                      <w:marRight w:val="0"/>
                      <w:marTop w:val="0"/>
                      <w:marBottom w:val="0"/>
                      <w:divBdr>
                        <w:top w:val="none" w:sz="0" w:space="0" w:color="auto"/>
                        <w:left w:val="none" w:sz="0" w:space="0" w:color="auto"/>
                        <w:bottom w:val="none" w:sz="0" w:space="0" w:color="auto"/>
                        <w:right w:val="none" w:sz="0" w:space="0" w:color="auto"/>
                      </w:divBdr>
                    </w:div>
                  </w:divsChild>
                </w:div>
                <w:div w:id="1973054656">
                  <w:marLeft w:val="0"/>
                  <w:marRight w:val="0"/>
                  <w:marTop w:val="0"/>
                  <w:marBottom w:val="0"/>
                  <w:divBdr>
                    <w:top w:val="none" w:sz="0" w:space="0" w:color="auto"/>
                    <w:left w:val="none" w:sz="0" w:space="0" w:color="auto"/>
                    <w:bottom w:val="none" w:sz="0" w:space="0" w:color="auto"/>
                    <w:right w:val="none" w:sz="0" w:space="0" w:color="auto"/>
                  </w:divBdr>
                  <w:divsChild>
                    <w:div w:id="67268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478476">
      <w:bodyDiv w:val="1"/>
      <w:marLeft w:val="0"/>
      <w:marRight w:val="0"/>
      <w:marTop w:val="0"/>
      <w:marBottom w:val="0"/>
      <w:divBdr>
        <w:top w:val="none" w:sz="0" w:space="0" w:color="auto"/>
        <w:left w:val="none" w:sz="0" w:space="0" w:color="auto"/>
        <w:bottom w:val="none" w:sz="0" w:space="0" w:color="auto"/>
        <w:right w:val="none" w:sz="0" w:space="0" w:color="auto"/>
      </w:divBdr>
      <w:divsChild>
        <w:div w:id="558057970">
          <w:marLeft w:val="0"/>
          <w:marRight w:val="0"/>
          <w:marTop w:val="0"/>
          <w:marBottom w:val="0"/>
          <w:divBdr>
            <w:top w:val="none" w:sz="0" w:space="0" w:color="auto"/>
            <w:left w:val="none" w:sz="0" w:space="0" w:color="auto"/>
            <w:bottom w:val="none" w:sz="0" w:space="0" w:color="auto"/>
            <w:right w:val="none" w:sz="0" w:space="0" w:color="auto"/>
          </w:divBdr>
        </w:div>
        <w:div w:id="1576087507">
          <w:marLeft w:val="0"/>
          <w:marRight w:val="0"/>
          <w:marTop w:val="0"/>
          <w:marBottom w:val="0"/>
          <w:divBdr>
            <w:top w:val="none" w:sz="0" w:space="0" w:color="auto"/>
            <w:left w:val="none" w:sz="0" w:space="0" w:color="auto"/>
            <w:bottom w:val="none" w:sz="0" w:space="0" w:color="auto"/>
            <w:right w:val="none" w:sz="0" w:space="0" w:color="auto"/>
          </w:divBdr>
        </w:div>
        <w:div w:id="1683359916">
          <w:marLeft w:val="0"/>
          <w:marRight w:val="0"/>
          <w:marTop w:val="0"/>
          <w:marBottom w:val="0"/>
          <w:divBdr>
            <w:top w:val="none" w:sz="0" w:space="0" w:color="auto"/>
            <w:left w:val="none" w:sz="0" w:space="0" w:color="auto"/>
            <w:bottom w:val="none" w:sz="0" w:space="0" w:color="auto"/>
            <w:right w:val="none" w:sz="0" w:space="0" w:color="auto"/>
          </w:divBdr>
        </w:div>
      </w:divsChild>
    </w:div>
    <w:div w:id="1490291377">
      <w:bodyDiv w:val="1"/>
      <w:marLeft w:val="0"/>
      <w:marRight w:val="0"/>
      <w:marTop w:val="0"/>
      <w:marBottom w:val="0"/>
      <w:divBdr>
        <w:top w:val="none" w:sz="0" w:space="0" w:color="auto"/>
        <w:left w:val="none" w:sz="0" w:space="0" w:color="auto"/>
        <w:bottom w:val="none" w:sz="0" w:space="0" w:color="auto"/>
        <w:right w:val="none" w:sz="0" w:space="0" w:color="auto"/>
      </w:divBdr>
      <w:divsChild>
        <w:div w:id="76942650">
          <w:marLeft w:val="0"/>
          <w:marRight w:val="0"/>
          <w:marTop w:val="0"/>
          <w:marBottom w:val="0"/>
          <w:divBdr>
            <w:top w:val="none" w:sz="0" w:space="0" w:color="auto"/>
            <w:left w:val="none" w:sz="0" w:space="0" w:color="auto"/>
            <w:bottom w:val="none" w:sz="0" w:space="0" w:color="auto"/>
            <w:right w:val="none" w:sz="0" w:space="0" w:color="auto"/>
          </w:divBdr>
        </w:div>
        <w:div w:id="86773468">
          <w:marLeft w:val="0"/>
          <w:marRight w:val="0"/>
          <w:marTop w:val="0"/>
          <w:marBottom w:val="0"/>
          <w:divBdr>
            <w:top w:val="none" w:sz="0" w:space="0" w:color="auto"/>
            <w:left w:val="none" w:sz="0" w:space="0" w:color="auto"/>
            <w:bottom w:val="none" w:sz="0" w:space="0" w:color="auto"/>
            <w:right w:val="none" w:sz="0" w:space="0" w:color="auto"/>
          </w:divBdr>
        </w:div>
        <w:div w:id="151213565">
          <w:marLeft w:val="0"/>
          <w:marRight w:val="0"/>
          <w:marTop w:val="0"/>
          <w:marBottom w:val="0"/>
          <w:divBdr>
            <w:top w:val="none" w:sz="0" w:space="0" w:color="auto"/>
            <w:left w:val="none" w:sz="0" w:space="0" w:color="auto"/>
            <w:bottom w:val="none" w:sz="0" w:space="0" w:color="auto"/>
            <w:right w:val="none" w:sz="0" w:space="0" w:color="auto"/>
          </w:divBdr>
        </w:div>
        <w:div w:id="401029940">
          <w:marLeft w:val="0"/>
          <w:marRight w:val="0"/>
          <w:marTop w:val="0"/>
          <w:marBottom w:val="0"/>
          <w:divBdr>
            <w:top w:val="none" w:sz="0" w:space="0" w:color="auto"/>
            <w:left w:val="none" w:sz="0" w:space="0" w:color="auto"/>
            <w:bottom w:val="none" w:sz="0" w:space="0" w:color="auto"/>
            <w:right w:val="none" w:sz="0" w:space="0" w:color="auto"/>
          </w:divBdr>
        </w:div>
        <w:div w:id="575095572">
          <w:marLeft w:val="0"/>
          <w:marRight w:val="0"/>
          <w:marTop w:val="0"/>
          <w:marBottom w:val="0"/>
          <w:divBdr>
            <w:top w:val="none" w:sz="0" w:space="0" w:color="auto"/>
            <w:left w:val="none" w:sz="0" w:space="0" w:color="auto"/>
            <w:bottom w:val="none" w:sz="0" w:space="0" w:color="auto"/>
            <w:right w:val="none" w:sz="0" w:space="0" w:color="auto"/>
          </w:divBdr>
        </w:div>
        <w:div w:id="748766576">
          <w:marLeft w:val="0"/>
          <w:marRight w:val="0"/>
          <w:marTop w:val="0"/>
          <w:marBottom w:val="0"/>
          <w:divBdr>
            <w:top w:val="none" w:sz="0" w:space="0" w:color="auto"/>
            <w:left w:val="none" w:sz="0" w:space="0" w:color="auto"/>
            <w:bottom w:val="none" w:sz="0" w:space="0" w:color="auto"/>
            <w:right w:val="none" w:sz="0" w:space="0" w:color="auto"/>
          </w:divBdr>
        </w:div>
        <w:div w:id="1000888269">
          <w:marLeft w:val="0"/>
          <w:marRight w:val="0"/>
          <w:marTop w:val="0"/>
          <w:marBottom w:val="0"/>
          <w:divBdr>
            <w:top w:val="none" w:sz="0" w:space="0" w:color="auto"/>
            <w:left w:val="none" w:sz="0" w:space="0" w:color="auto"/>
            <w:bottom w:val="none" w:sz="0" w:space="0" w:color="auto"/>
            <w:right w:val="none" w:sz="0" w:space="0" w:color="auto"/>
          </w:divBdr>
        </w:div>
        <w:div w:id="1271858960">
          <w:marLeft w:val="0"/>
          <w:marRight w:val="0"/>
          <w:marTop w:val="0"/>
          <w:marBottom w:val="0"/>
          <w:divBdr>
            <w:top w:val="none" w:sz="0" w:space="0" w:color="auto"/>
            <w:left w:val="none" w:sz="0" w:space="0" w:color="auto"/>
            <w:bottom w:val="none" w:sz="0" w:space="0" w:color="auto"/>
            <w:right w:val="none" w:sz="0" w:space="0" w:color="auto"/>
          </w:divBdr>
        </w:div>
        <w:div w:id="1391073744">
          <w:marLeft w:val="0"/>
          <w:marRight w:val="0"/>
          <w:marTop w:val="0"/>
          <w:marBottom w:val="0"/>
          <w:divBdr>
            <w:top w:val="none" w:sz="0" w:space="0" w:color="auto"/>
            <w:left w:val="none" w:sz="0" w:space="0" w:color="auto"/>
            <w:bottom w:val="none" w:sz="0" w:space="0" w:color="auto"/>
            <w:right w:val="none" w:sz="0" w:space="0" w:color="auto"/>
          </w:divBdr>
        </w:div>
        <w:div w:id="1410539405">
          <w:marLeft w:val="0"/>
          <w:marRight w:val="0"/>
          <w:marTop w:val="0"/>
          <w:marBottom w:val="0"/>
          <w:divBdr>
            <w:top w:val="none" w:sz="0" w:space="0" w:color="auto"/>
            <w:left w:val="none" w:sz="0" w:space="0" w:color="auto"/>
            <w:bottom w:val="none" w:sz="0" w:space="0" w:color="auto"/>
            <w:right w:val="none" w:sz="0" w:space="0" w:color="auto"/>
          </w:divBdr>
        </w:div>
        <w:div w:id="1548646192">
          <w:marLeft w:val="0"/>
          <w:marRight w:val="0"/>
          <w:marTop w:val="0"/>
          <w:marBottom w:val="0"/>
          <w:divBdr>
            <w:top w:val="none" w:sz="0" w:space="0" w:color="auto"/>
            <w:left w:val="none" w:sz="0" w:space="0" w:color="auto"/>
            <w:bottom w:val="none" w:sz="0" w:space="0" w:color="auto"/>
            <w:right w:val="none" w:sz="0" w:space="0" w:color="auto"/>
          </w:divBdr>
          <w:divsChild>
            <w:div w:id="1643658747">
              <w:marLeft w:val="-75"/>
              <w:marRight w:val="0"/>
              <w:marTop w:val="30"/>
              <w:marBottom w:val="30"/>
              <w:divBdr>
                <w:top w:val="none" w:sz="0" w:space="0" w:color="auto"/>
                <w:left w:val="none" w:sz="0" w:space="0" w:color="auto"/>
                <w:bottom w:val="none" w:sz="0" w:space="0" w:color="auto"/>
                <w:right w:val="none" w:sz="0" w:space="0" w:color="auto"/>
              </w:divBdr>
              <w:divsChild>
                <w:div w:id="39980117">
                  <w:marLeft w:val="0"/>
                  <w:marRight w:val="0"/>
                  <w:marTop w:val="0"/>
                  <w:marBottom w:val="0"/>
                  <w:divBdr>
                    <w:top w:val="none" w:sz="0" w:space="0" w:color="auto"/>
                    <w:left w:val="none" w:sz="0" w:space="0" w:color="auto"/>
                    <w:bottom w:val="none" w:sz="0" w:space="0" w:color="auto"/>
                    <w:right w:val="none" w:sz="0" w:space="0" w:color="auto"/>
                  </w:divBdr>
                  <w:divsChild>
                    <w:div w:id="461308718">
                      <w:marLeft w:val="0"/>
                      <w:marRight w:val="0"/>
                      <w:marTop w:val="0"/>
                      <w:marBottom w:val="0"/>
                      <w:divBdr>
                        <w:top w:val="none" w:sz="0" w:space="0" w:color="auto"/>
                        <w:left w:val="none" w:sz="0" w:space="0" w:color="auto"/>
                        <w:bottom w:val="none" w:sz="0" w:space="0" w:color="auto"/>
                        <w:right w:val="none" w:sz="0" w:space="0" w:color="auto"/>
                      </w:divBdr>
                    </w:div>
                  </w:divsChild>
                </w:div>
                <w:div w:id="131024165">
                  <w:marLeft w:val="0"/>
                  <w:marRight w:val="0"/>
                  <w:marTop w:val="0"/>
                  <w:marBottom w:val="0"/>
                  <w:divBdr>
                    <w:top w:val="none" w:sz="0" w:space="0" w:color="auto"/>
                    <w:left w:val="none" w:sz="0" w:space="0" w:color="auto"/>
                    <w:bottom w:val="none" w:sz="0" w:space="0" w:color="auto"/>
                    <w:right w:val="none" w:sz="0" w:space="0" w:color="auto"/>
                  </w:divBdr>
                  <w:divsChild>
                    <w:div w:id="1071388123">
                      <w:marLeft w:val="0"/>
                      <w:marRight w:val="0"/>
                      <w:marTop w:val="0"/>
                      <w:marBottom w:val="0"/>
                      <w:divBdr>
                        <w:top w:val="none" w:sz="0" w:space="0" w:color="auto"/>
                        <w:left w:val="none" w:sz="0" w:space="0" w:color="auto"/>
                        <w:bottom w:val="none" w:sz="0" w:space="0" w:color="auto"/>
                        <w:right w:val="none" w:sz="0" w:space="0" w:color="auto"/>
                      </w:divBdr>
                    </w:div>
                  </w:divsChild>
                </w:div>
                <w:div w:id="144444401">
                  <w:marLeft w:val="0"/>
                  <w:marRight w:val="0"/>
                  <w:marTop w:val="0"/>
                  <w:marBottom w:val="0"/>
                  <w:divBdr>
                    <w:top w:val="none" w:sz="0" w:space="0" w:color="auto"/>
                    <w:left w:val="none" w:sz="0" w:space="0" w:color="auto"/>
                    <w:bottom w:val="none" w:sz="0" w:space="0" w:color="auto"/>
                    <w:right w:val="none" w:sz="0" w:space="0" w:color="auto"/>
                  </w:divBdr>
                  <w:divsChild>
                    <w:div w:id="527061134">
                      <w:marLeft w:val="0"/>
                      <w:marRight w:val="0"/>
                      <w:marTop w:val="0"/>
                      <w:marBottom w:val="0"/>
                      <w:divBdr>
                        <w:top w:val="none" w:sz="0" w:space="0" w:color="auto"/>
                        <w:left w:val="none" w:sz="0" w:space="0" w:color="auto"/>
                        <w:bottom w:val="none" w:sz="0" w:space="0" w:color="auto"/>
                        <w:right w:val="none" w:sz="0" w:space="0" w:color="auto"/>
                      </w:divBdr>
                    </w:div>
                  </w:divsChild>
                </w:div>
                <w:div w:id="277033595">
                  <w:marLeft w:val="0"/>
                  <w:marRight w:val="0"/>
                  <w:marTop w:val="0"/>
                  <w:marBottom w:val="0"/>
                  <w:divBdr>
                    <w:top w:val="none" w:sz="0" w:space="0" w:color="auto"/>
                    <w:left w:val="none" w:sz="0" w:space="0" w:color="auto"/>
                    <w:bottom w:val="none" w:sz="0" w:space="0" w:color="auto"/>
                    <w:right w:val="none" w:sz="0" w:space="0" w:color="auto"/>
                  </w:divBdr>
                  <w:divsChild>
                    <w:div w:id="849415720">
                      <w:marLeft w:val="0"/>
                      <w:marRight w:val="0"/>
                      <w:marTop w:val="0"/>
                      <w:marBottom w:val="0"/>
                      <w:divBdr>
                        <w:top w:val="none" w:sz="0" w:space="0" w:color="auto"/>
                        <w:left w:val="none" w:sz="0" w:space="0" w:color="auto"/>
                        <w:bottom w:val="none" w:sz="0" w:space="0" w:color="auto"/>
                        <w:right w:val="none" w:sz="0" w:space="0" w:color="auto"/>
                      </w:divBdr>
                    </w:div>
                  </w:divsChild>
                </w:div>
                <w:div w:id="360787673">
                  <w:marLeft w:val="0"/>
                  <w:marRight w:val="0"/>
                  <w:marTop w:val="0"/>
                  <w:marBottom w:val="0"/>
                  <w:divBdr>
                    <w:top w:val="none" w:sz="0" w:space="0" w:color="auto"/>
                    <w:left w:val="none" w:sz="0" w:space="0" w:color="auto"/>
                    <w:bottom w:val="none" w:sz="0" w:space="0" w:color="auto"/>
                    <w:right w:val="none" w:sz="0" w:space="0" w:color="auto"/>
                  </w:divBdr>
                  <w:divsChild>
                    <w:div w:id="1233275826">
                      <w:marLeft w:val="0"/>
                      <w:marRight w:val="0"/>
                      <w:marTop w:val="0"/>
                      <w:marBottom w:val="0"/>
                      <w:divBdr>
                        <w:top w:val="none" w:sz="0" w:space="0" w:color="auto"/>
                        <w:left w:val="none" w:sz="0" w:space="0" w:color="auto"/>
                        <w:bottom w:val="none" w:sz="0" w:space="0" w:color="auto"/>
                        <w:right w:val="none" w:sz="0" w:space="0" w:color="auto"/>
                      </w:divBdr>
                    </w:div>
                  </w:divsChild>
                </w:div>
                <w:div w:id="386148785">
                  <w:marLeft w:val="0"/>
                  <w:marRight w:val="0"/>
                  <w:marTop w:val="0"/>
                  <w:marBottom w:val="0"/>
                  <w:divBdr>
                    <w:top w:val="none" w:sz="0" w:space="0" w:color="auto"/>
                    <w:left w:val="none" w:sz="0" w:space="0" w:color="auto"/>
                    <w:bottom w:val="none" w:sz="0" w:space="0" w:color="auto"/>
                    <w:right w:val="none" w:sz="0" w:space="0" w:color="auto"/>
                  </w:divBdr>
                  <w:divsChild>
                    <w:div w:id="1766340172">
                      <w:marLeft w:val="0"/>
                      <w:marRight w:val="0"/>
                      <w:marTop w:val="0"/>
                      <w:marBottom w:val="0"/>
                      <w:divBdr>
                        <w:top w:val="none" w:sz="0" w:space="0" w:color="auto"/>
                        <w:left w:val="none" w:sz="0" w:space="0" w:color="auto"/>
                        <w:bottom w:val="none" w:sz="0" w:space="0" w:color="auto"/>
                        <w:right w:val="none" w:sz="0" w:space="0" w:color="auto"/>
                      </w:divBdr>
                    </w:div>
                  </w:divsChild>
                </w:div>
                <w:div w:id="396972885">
                  <w:marLeft w:val="0"/>
                  <w:marRight w:val="0"/>
                  <w:marTop w:val="0"/>
                  <w:marBottom w:val="0"/>
                  <w:divBdr>
                    <w:top w:val="none" w:sz="0" w:space="0" w:color="auto"/>
                    <w:left w:val="none" w:sz="0" w:space="0" w:color="auto"/>
                    <w:bottom w:val="none" w:sz="0" w:space="0" w:color="auto"/>
                    <w:right w:val="none" w:sz="0" w:space="0" w:color="auto"/>
                  </w:divBdr>
                  <w:divsChild>
                    <w:div w:id="1191407621">
                      <w:marLeft w:val="0"/>
                      <w:marRight w:val="0"/>
                      <w:marTop w:val="0"/>
                      <w:marBottom w:val="0"/>
                      <w:divBdr>
                        <w:top w:val="none" w:sz="0" w:space="0" w:color="auto"/>
                        <w:left w:val="none" w:sz="0" w:space="0" w:color="auto"/>
                        <w:bottom w:val="none" w:sz="0" w:space="0" w:color="auto"/>
                        <w:right w:val="none" w:sz="0" w:space="0" w:color="auto"/>
                      </w:divBdr>
                    </w:div>
                  </w:divsChild>
                </w:div>
                <w:div w:id="453792743">
                  <w:marLeft w:val="0"/>
                  <w:marRight w:val="0"/>
                  <w:marTop w:val="0"/>
                  <w:marBottom w:val="0"/>
                  <w:divBdr>
                    <w:top w:val="none" w:sz="0" w:space="0" w:color="auto"/>
                    <w:left w:val="none" w:sz="0" w:space="0" w:color="auto"/>
                    <w:bottom w:val="none" w:sz="0" w:space="0" w:color="auto"/>
                    <w:right w:val="none" w:sz="0" w:space="0" w:color="auto"/>
                  </w:divBdr>
                  <w:divsChild>
                    <w:div w:id="2128813676">
                      <w:marLeft w:val="0"/>
                      <w:marRight w:val="0"/>
                      <w:marTop w:val="0"/>
                      <w:marBottom w:val="0"/>
                      <w:divBdr>
                        <w:top w:val="none" w:sz="0" w:space="0" w:color="auto"/>
                        <w:left w:val="none" w:sz="0" w:space="0" w:color="auto"/>
                        <w:bottom w:val="none" w:sz="0" w:space="0" w:color="auto"/>
                        <w:right w:val="none" w:sz="0" w:space="0" w:color="auto"/>
                      </w:divBdr>
                    </w:div>
                  </w:divsChild>
                </w:div>
                <w:div w:id="537088688">
                  <w:marLeft w:val="0"/>
                  <w:marRight w:val="0"/>
                  <w:marTop w:val="0"/>
                  <w:marBottom w:val="0"/>
                  <w:divBdr>
                    <w:top w:val="none" w:sz="0" w:space="0" w:color="auto"/>
                    <w:left w:val="none" w:sz="0" w:space="0" w:color="auto"/>
                    <w:bottom w:val="none" w:sz="0" w:space="0" w:color="auto"/>
                    <w:right w:val="none" w:sz="0" w:space="0" w:color="auto"/>
                  </w:divBdr>
                  <w:divsChild>
                    <w:div w:id="2091735777">
                      <w:marLeft w:val="0"/>
                      <w:marRight w:val="0"/>
                      <w:marTop w:val="0"/>
                      <w:marBottom w:val="0"/>
                      <w:divBdr>
                        <w:top w:val="none" w:sz="0" w:space="0" w:color="auto"/>
                        <w:left w:val="none" w:sz="0" w:space="0" w:color="auto"/>
                        <w:bottom w:val="none" w:sz="0" w:space="0" w:color="auto"/>
                        <w:right w:val="none" w:sz="0" w:space="0" w:color="auto"/>
                      </w:divBdr>
                    </w:div>
                  </w:divsChild>
                </w:div>
                <w:div w:id="540482179">
                  <w:marLeft w:val="0"/>
                  <w:marRight w:val="0"/>
                  <w:marTop w:val="0"/>
                  <w:marBottom w:val="0"/>
                  <w:divBdr>
                    <w:top w:val="none" w:sz="0" w:space="0" w:color="auto"/>
                    <w:left w:val="none" w:sz="0" w:space="0" w:color="auto"/>
                    <w:bottom w:val="none" w:sz="0" w:space="0" w:color="auto"/>
                    <w:right w:val="none" w:sz="0" w:space="0" w:color="auto"/>
                  </w:divBdr>
                  <w:divsChild>
                    <w:div w:id="330641168">
                      <w:marLeft w:val="0"/>
                      <w:marRight w:val="0"/>
                      <w:marTop w:val="0"/>
                      <w:marBottom w:val="0"/>
                      <w:divBdr>
                        <w:top w:val="none" w:sz="0" w:space="0" w:color="auto"/>
                        <w:left w:val="none" w:sz="0" w:space="0" w:color="auto"/>
                        <w:bottom w:val="none" w:sz="0" w:space="0" w:color="auto"/>
                        <w:right w:val="none" w:sz="0" w:space="0" w:color="auto"/>
                      </w:divBdr>
                    </w:div>
                  </w:divsChild>
                </w:div>
                <w:div w:id="678965278">
                  <w:marLeft w:val="0"/>
                  <w:marRight w:val="0"/>
                  <w:marTop w:val="0"/>
                  <w:marBottom w:val="0"/>
                  <w:divBdr>
                    <w:top w:val="none" w:sz="0" w:space="0" w:color="auto"/>
                    <w:left w:val="none" w:sz="0" w:space="0" w:color="auto"/>
                    <w:bottom w:val="none" w:sz="0" w:space="0" w:color="auto"/>
                    <w:right w:val="none" w:sz="0" w:space="0" w:color="auto"/>
                  </w:divBdr>
                  <w:divsChild>
                    <w:div w:id="145323638">
                      <w:marLeft w:val="0"/>
                      <w:marRight w:val="0"/>
                      <w:marTop w:val="0"/>
                      <w:marBottom w:val="0"/>
                      <w:divBdr>
                        <w:top w:val="none" w:sz="0" w:space="0" w:color="auto"/>
                        <w:left w:val="none" w:sz="0" w:space="0" w:color="auto"/>
                        <w:bottom w:val="none" w:sz="0" w:space="0" w:color="auto"/>
                        <w:right w:val="none" w:sz="0" w:space="0" w:color="auto"/>
                      </w:divBdr>
                    </w:div>
                  </w:divsChild>
                </w:div>
                <w:div w:id="748311807">
                  <w:marLeft w:val="0"/>
                  <w:marRight w:val="0"/>
                  <w:marTop w:val="0"/>
                  <w:marBottom w:val="0"/>
                  <w:divBdr>
                    <w:top w:val="none" w:sz="0" w:space="0" w:color="auto"/>
                    <w:left w:val="none" w:sz="0" w:space="0" w:color="auto"/>
                    <w:bottom w:val="none" w:sz="0" w:space="0" w:color="auto"/>
                    <w:right w:val="none" w:sz="0" w:space="0" w:color="auto"/>
                  </w:divBdr>
                  <w:divsChild>
                    <w:div w:id="1566453477">
                      <w:marLeft w:val="0"/>
                      <w:marRight w:val="0"/>
                      <w:marTop w:val="0"/>
                      <w:marBottom w:val="0"/>
                      <w:divBdr>
                        <w:top w:val="none" w:sz="0" w:space="0" w:color="auto"/>
                        <w:left w:val="none" w:sz="0" w:space="0" w:color="auto"/>
                        <w:bottom w:val="none" w:sz="0" w:space="0" w:color="auto"/>
                        <w:right w:val="none" w:sz="0" w:space="0" w:color="auto"/>
                      </w:divBdr>
                    </w:div>
                  </w:divsChild>
                </w:div>
                <w:div w:id="814100680">
                  <w:marLeft w:val="0"/>
                  <w:marRight w:val="0"/>
                  <w:marTop w:val="0"/>
                  <w:marBottom w:val="0"/>
                  <w:divBdr>
                    <w:top w:val="none" w:sz="0" w:space="0" w:color="auto"/>
                    <w:left w:val="none" w:sz="0" w:space="0" w:color="auto"/>
                    <w:bottom w:val="none" w:sz="0" w:space="0" w:color="auto"/>
                    <w:right w:val="none" w:sz="0" w:space="0" w:color="auto"/>
                  </w:divBdr>
                  <w:divsChild>
                    <w:div w:id="963728264">
                      <w:marLeft w:val="0"/>
                      <w:marRight w:val="0"/>
                      <w:marTop w:val="0"/>
                      <w:marBottom w:val="0"/>
                      <w:divBdr>
                        <w:top w:val="none" w:sz="0" w:space="0" w:color="auto"/>
                        <w:left w:val="none" w:sz="0" w:space="0" w:color="auto"/>
                        <w:bottom w:val="none" w:sz="0" w:space="0" w:color="auto"/>
                        <w:right w:val="none" w:sz="0" w:space="0" w:color="auto"/>
                      </w:divBdr>
                    </w:div>
                  </w:divsChild>
                </w:div>
                <w:div w:id="1031372065">
                  <w:marLeft w:val="0"/>
                  <w:marRight w:val="0"/>
                  <w:marTop w:val="0"/>
                  <w:marBottom w:val="0"/>
                  <w:divBdr>
                    <w:top w:val="none" w:sz="0" w:space="0" w:color="auto"/>
                    <w:left w:val="none" w:sz="0" w:space="0" w:color="auto"/>
                    <w:bottom w:val="none" w:sz="0" w:space="0" w:color="auto"/>
                    <w:right w:val="none" w:sz="0" w:space="0" w:color="auto"/>
                  </w:divBdr>
                  <w:divsChild>
                    <w:div w:id="2076659899">
                      <w:marLeft w:val="0"/>
                      <w:marRight w:val="0"/>
                      <w:marTop w:val="0"/>
                      <w:marBottom w:val="0"/>
                      <w:divBdr>
                        <w:top w:val="none" w:sz="0" w:space="0" w:color="auto"/>
                        <w:left w:val="none" w:sz="0" w:space="0" w:color="auto"/>
                        <w:bottom w:val="none" w:sz="0" w:space="0" w:color="auto"/>
                        <w:right w:val="none" w:sz="0" w:space="0" w:color="auto"/>
                      </w:divBdr>
                    </w:div>
                  </w:divsChild>
                </w:div>
                <w:div w:id="1074089411">
                  <w:marLeft w:val="0"/>
                  <w:marRight w:val="0"/>
                  <w:marTop w:val="0"/>
                  <w:marBottom w:val="0"/>
                  <w:divBdr>
                    <w:top w:val="none" w:sz="0" w:space="0" w:color="auto"/>
                    <w:left w:val="none" w:sz="0" w:space="0" w:color="auto"/>
                    <w:bottom w:val="none" w:sz="0" w:space="0" w:color="auto"/>
                    <w:right w:val="none" w:sz="0" w:space="0" w:color="auto"/>
                  </w:divBdr>
                  <w:divsChild>
                    <w:div w:id="662391895">
                      <w:marLeft w:val="0"/>
                      <w:marRight w:val="0"/>
                      <w:marTop w:val="0"/>
                      <w:marBottom w:val="0"/>
                      <w:divBdr>
                        <w:top w:val="none" w:sz="0" w:space="0" w:color="auto"/>
                        <w:left w:val="none" w:sz="0" w:space="0" w:color="auto"/>
                        <w:bottom w:val="none" w:sz="0" w:space="0" w:color="auto"/>
                        <w:right w:val="none" w:sz="0" w:space="0" w:color="auto"/>
                      </w:divBdr>
                    </w:div>
                  </w:divsChild>
                </w:div>
                <w:div w:id="1109198873">
                  <w:marLeft w:val="0"/>
                  <w:marRight w:val="0"/>
                  <w:marTop w:val="0"/>
                  <w:marBottom w:val="0"/>
                  <w:divBdr>
                    <w:top w:val="none" w:sz="0" w:space="0" w:color="auto"/>
                    <w:left w:val="none" w:sz="0" w:space="0" w:color="auto"/>
                    <w:bottom w:val="none" w:sz="0" w:space="0" w:color="auto"/>
                    <w:right w:val="none" w:sz="0" w:space="0" w:color="auto"/>
                  </w:divBdr>
                  <w:divsChild>
                    <w:div w:id="3745813">
                      <w:marLeft w:val="0"/>
                      <w:marRight w:val="0"/>
                      <w:marTop w:val="0"/>
                      <w:marBottom w:val="0"/>
                      <w:divBdr>
                        <w:top w:val="none" w:sz="0" w:space="0" w:color="auto"/>
                        <w:left w:val="none" w:sz="0" w:space="0" w:color="auto"/>
                        <w:bottom w:val="none" w:sz="0" w:space="0" w:color="auto"/>
                        <w:right w:val="none" w:sz="0" w:space="0" w:color="auto"/>
                      </w:divBdr>
                    </w:div>
                  </w:divsChild>
                </w:div>
                <w:div w:id="1180893453">
                  <w:marLeft w:val="0"/>
                  <w:marRight w:val="0"/>
                  <w:marTop w:val="0"/>
                  <w:marBottom w:val="0"/>
                  <w:divBdr>
                    <w:top w:val="none" w:sz="0" w:space="0" w:color="auto"/>
                    <w:left w:val="none" w:sz="0" w:space="0" w:color="auto"/>
                    <w:bottom w:val="none" w:sz="0" w:space="0" w:color="auto"/>
                    <w:right w:val="none" w:sz="0" w:space="0" w:color="auto"/>
                  </w:divBdr>
                  <w:divsChild>
                    <w:div w:id="979918029">
                      <w:marLeft w:val="0"/>
                      <w:marRight w:val="0"/>
                      <w:marTop w:val="0"/>
                      <w:marBottom w:val="0"/>
                      <w:divBdr>
                        <w:top w:val="none" w:sz="0" w:space="0" w:color="auto"/>
                        <w:left w:val="none" w:sz="0" w:space="0" w:color="auto"/>
                        <w:bottom w:val="none" w:sz="0" w:space="0" w:color="auto"/>
                        <w:right w:val="none" w:sz="0" w:space="0" w:color="auto"/>
                      </w:divBdr>
                    </w:div>
                  </w:divsChild>
                </w:div>
                <w:div w:id="1307127536">
                  <w:marLeft w:val="0"/>
                  <w:marRight w:val="0"/>
                  <w:marTop w:val="0"/>
                  <w:marBottom w:val="0"/>
                  <w:divBdr>
                    <w:top w:val="none" w:sz="0" w:space="0" w:color="auto"/>
                    <w:left w:val="none" w:sz="0" w:space="0" w:color="auto"/>
                    <w:bottom w:val="none" w:sz="0" w:space="0" w:color="auto"/>
                    <w:right w:val="none" w:sz="0" w:space="0" w:color="auto"/>
                  </w:divBdr>
                  <w:divsChild>
                    <w:div w:id="1388383048">
                      <w:marLeft w:val="0"/>
                      <w:marRight w:val="0"/>
                      <w:marTop w:val="0"/>
                      <w:marBottom w:val="0"/>
                      <w:divBdr>
                        <w:top w:val="none" w:sz="0" w:space="0" w:color="auto"/>
                        <w:left w:val="none" w:sz="0" w:space="0" w:color="auto"/>
                        <w:bottom w:val="none" w:sz="0" w:space="0" w:color="auto"/>
                        <w:right w:val="none" w:sz="0" w:space="0" w:color="auto"/>
                      </w:divBdr>
                    </w:div>
                  </w:divsChild>
                </w:div>
                <w:div w:id="1376080128">
                  <w:marLeft w:val="0"/>
                  <w:marRight w:val="0"/>
                  <w:marTop w:val="0"/>
                  <w:marBottom w:val="0"/>
                  <w:divBdr>
                    <w:top w:val="none" w:sz="0" w:space="0" w:color="auto"/>
                    <w:left w:val="none" w:sz="0" w:space="0" w:color="auto"/>
                    <w:bottom w:val="none" w:sz="0" w:space="0" w:color="auto"/>
                    <w:right w:val="none" w:sz="0" w:space="0" w:color="auto"/>
                  </w:divBdr>
                  <w:divsChild>
                    <w:div w:id="626474754">
                      <w:marLeft w:val="0"/>
                      <w:marRight w:val="0"/>
                      <w:marTop w:val="0"/>
                      <w:marBottom w:val="0"/>
                      <w:divBdr>
                        <w:top w:val="none" w:sz="0" w:space="0" w:color="auto"/>
                        <w:left w:val="none" w:sz="0" w:space="0" w:color="auto"/>
                        <w:bottom w:val="none" w:sz="0" w:space="0" w:color="auto"/>
                        <w:right w:val="none" w:sz="0" w:space="0" w:color="auto"/>
                      </w:divBdr>
                    </w:div>
                  </w:divsChild>
                </w:div>
                <w:div w:id="1417241915">
                  <w:marLeft w:val="0"/>
                  <w:marRight w:val="0"/>
                  <w:marTop w:val="0"/>
                  <w:marBottom w:val="0"/>
                  <w:divBdr>
                    <w:top w:val="none" w:sz="0" w:space="0" w:color="auto"/>
                    <w:left w:val="none" w:sz="0" w:space="0" w:color="auto"/>
                    <w:bottom w:val="none" w:sz="0" w:space="0" w:color="auto"/>
                    <w:right w:val="none" w:sz="0" w:space="0" w:color="auto"/>
                  </w:divBdr>
                  <w:divsChild>
                    <w:div w:id="1243222513">
                      <w:marLeft w:val="0"/>
                      <w:marRight w:val="0"/>
                      <w:marTop w:val="0"/>
                      <w:marBottom w:val="0"/>
                      <w:divBdr>
                        <w:top w:val="none" w:sz="0" w:space="0" w:color="auto"/>
                        <w:left w:val="none" w:sz="0" w:space="0" w:color="auto"/>
                        <w:bottom w:val="none" w:sz="0" w:space="0" w:color="auto"/>
                        <w:right w:val="none" w:sz="0" w:space="0" w:color="auto"/>
                      </w:divBdr>
                    </w:div>
                  </w:divsChild>
                </w:div>
                <w:div w:id="1439182347">
                  <w:marLeft w:val="0"/>
                  <w:marRight w:val="0"/>
                  <w:marTop w:val="0"/>
                  <w:marBottom w:val="0"/>
                  <w:divBdr>
                    <w:top w:val="none" w:sz="0" w:space="0" w:color="auto"/>
                    <w:left w:val="none" w:sz="0" w:space="0" w:color="auto"/>
                    <w:bottom w:val="none" w:sz="0" w:space="0" w:color="auto"/>
                    <w:right w:val="none" w:sz="0" w:space="0" w:color="auto"/>
                  </w:divBdr>
                  <w:divsChild>
                    <w:div w:id="1214200518">
                      <w:marLeft w:val="0"/>
                      <w:marRight w:val="0"/>
                      <w:marTop w:val="0"/>
                      <w:marBottom w:val="0"/>
                      <w:divBdr>
                        <w:top w:val="none" w:sz="0" w:space="0" w:color="auto"/>
                        <w:left w:val="none" w:sz="0" w:space="0" w:color="auto"/>
                        <w:bottom w:val="none" w:sz="0" w:space="0" w:color="auto"/>
                        <w:right w:val="none" w:sz="0" w:space="0" w:color="auto"/>
                      </w:divBdr>
                    </w:div>
                  </w:divsChild>
                </w:div>
                <w:div w:id="1465922505">
                  <w:marLeft w:val="0"/>
                  <w:marRight w:val="0"/>
                  <w:marTop w:val="0"/>
                  <w:marBottom w:val="0"/>
                  <w:divBdr>
                    <w:top w:val="none" w:sz="0" w:space="0" w:color="auto"/>
                    <w:left w:val="none" w:sz="0" w:space="0" w:color="auto"/>
                    <w:bottom w:val="none" w:sz="0" w:space="0" w:color="auto"/>
                    <w:right w:val="none" w:sz="0" w:space="0" w:color="auto"/>
                  </w:divBdr>
                  <w:divsChild>
                    <w:div w:id="1523587439">
                      <w:marLeft w:val="0"/>
                      <w:marRight w:val="0"/>
                      <w:marTop w:val="0"/>
                      <w:marBottom w:val="0"/>
                      <w:divBdr>
                        <w:top w:val="none" w:sz="0" w:space="0" w:color="auto"/>
                        <w:left w:val="none" w:sz="0" w:space="0" w:color="auto"/>
                        <w:bottom w:val="none" w:sz="0" w:space="0" w:color="auto"/>
                        <w:right w:val="none" w:sz="0" w:space="0" w:color="auto"/>
                      </w:divBdr>
                    </w:div>
                  </w:divsChild>
                </w:div>
                <w:div w:id="1611358903">
                  <w:marLeft w:val="0"/>
                  <w:marRight w:val="0"/>
                  <w:marTop w:val="0"/>
                  <w:marBottom w:val="0"/>
                  <w:divBdr>
                    <w:top w:val="none" w:sz="0" w:space="0" w:color="auto"/>
                    <w:left w:val="none" w:sz="0" w:space="0" w:color="auto"/>
                    <w:bottom w:val="none" w:sz="0" w:space="0" w:color="auto"/>
                    <w:right w:val="none" w:sz="0" w:space="0" w:color="auto"/>
                  </w:divBdr>
                  <w:divsChild>
                    <w:div w:id="1162045636">
                      <w:marLeft w:val="0"/>
                      <w:marRight w:val="0"/>
                      <w:marTop w:val="0"/>
                      <w:marBottom w:val="0"/>
                      <w:divBdr>
                        <w:top w:val="none" w:sz="0" w:space="0" w:color="auto"/>
                        <w:left w:val="none" w:sz="0" w:space="0" w:color="auto"/>
                        <w:bottom w:val="none" w:sz="0" w:space="0" w:color="auto"/>
                        <w:right w:val="none" w:sz="0" w:space="0" w:color="auto"/>
                      </w:divBdr>
                    </w:div>
                  </w:divsChild>
                </w:div>
                <w:div w:id="1664160460">
                  <w:marLeft w:val="0"/>
                  <w:marRight w:val="0"/>
                  <w:marTop w:val="0"/>
                  <w:marBottom w:val="0"/>
                  <w:divBdr>
                    <w:top w:val="none" w:sz="0" w:space="0" w:color="auto"/>
                    <w:left w:val="none" w:sz="0" w:space="0" w:color="auto"/>
                    <w:bottom w:val="none" w:sz="0" w:space="0" w:color="auto"/>
                    <w:right w:val="none" w:sz="0" w:space="0" w:color="auto"/>
                  </w:divBdr>
                  <w:divsChild>
                    <w:div w:id="1946301666">
                      <w:marLeft w:val="0"/>
                      <w:marRight w:val="0"/>
                      <w:marTop w:val="0"/>
                      <w:marBottom w:val="0"/>
                      <w:divBdr>
                        <w:top w:val="none" w:sz="0" w:space="0" w:color="auto"/>
                        <w:left w:val="none" w:sz="0" w:space="0" w:color="auto"/>
                        <w:bottom w:val="none" w:sz="0" w:space="0" w:color="auto"/>
                        <w:right w:val="none" w:sz="0" w:space="0" w:color="auto"/>
                      </w:divBdr>
                    </w:div>
                  </w:divsChild>
                </w:div>
                <w:div w:id="1720669474">
                  <w:marLeft w:val="0"/>
                  <w:marRight w:val="0"/>
                  <w:marTop w:val="0"/>
                  <w:marBottom w:val="0"/>
                  <w:divBdr>
                    <w:top w:val="none" w:sz="0" w:space="0" w:color="auto"/>
                    <w:left w:val="none" w:sz="0" w:space="0" w:color="auto"/>
                    <w:bottom w:val="none" w:sz="0" w:space="0" w:color="auto"/>
                    <w:right w:val="none" w:sz="0" w:space="0" w:color="auto"/>
                  </w:divBdr>
                  <w:divsChild>
                    <w:div w:id="1336492926">
                      <w:marLeft w:val="0"/>
                      <w:marRight w:val="0"/>
                      <w:marTop w:val="0"/>
                      <w:marBottom w:val="0"/>
                      <w:divBdr>
                        <w:top w:val="none" w:sz="0" w:space="0" w:color="auto"/>
                        <w:left w:val="none" w:sz="0" w:space="0" w:color="auto"/>
                        <w:bottom w:val="none" w:sz="0" w:space="0" w:color="auto"/>
                        <w:right w:val="none" w:sz="0" w:space="0" w:color="auto"/>
                      </w:divBdr>
                    </w:div>
                  </w:divsChild>
                </w:div>
                <w:div w:id="1780684643">
                  <w:marLeft w:val="0"/>
                  <w:marRight w:val="0"/>
                  <w:marTop w:val="0"/>
                  <w:marBottom w:val="0"/>
                  <w:divBdr>
                    <w:top w:val="none" w:sz="0" w:space="0" w:color="auto"/>
                    <w:left w:val="none" w:sz="0" w:space="0" w:color="auto"/>
                    <w:bottom w:val="none" w:sz="0" w:space="0" w:color="auto"/>
                    <w:right w:val="none" w:sz="0" w:space="0" w:color="auto"/>
                  </w:divBdr>
                  <w:divsChild>
                    <w:div w:id="2139689177">
                      <w:marLeft w:val="0"/>
                      <w:marRight w:val="0"/>
                      <w:marTop w:val="0"/>
                      <w:marBottom w:val="0"/>
                      <w:divBdr>
                        <w:top w:val="none" w:sz="0" w:space="0" w:color="auto"/>
                        <w:left w:val="none" w:sz="0" w:space="0" w:color="auto"/>
                        <w:bottom w:val="none" w:sz="0" w:space="0" w:color="auto"/>
                        <w:right w:val="none" w:sz="0" w:space="0" w:color="auto"/>
                      </w:divBdr>
                    </w:div>
                  </w:divsChild>
                </w:div>
                <w:div w:id="1849977108">
                  <w:marLeft w:val="0"/>
                  <w:marRight w:val="0"/>
                  <w:marTop w:val="0"/>
                  <w:marBottom w:val="0"/>
                  <w:divBdr>
                    <w:top w:val="none" w:sz="0" w:space="0" w:color="auto"/>
                    <w:left w:val="none" w:sz="0" w:space="0" w:color="auto"/>
                    <w:bottom w:val="none" w:sz="0" w:space="0" w:color="auto"/>
                    <w:right w:val="none" w:sz="0" w:space="0" w:color="auto"/>
                  </w:divBdr>
                  <w:divsChild>
                    <w:div w:id="1417629174">
                      <w:marLeft w:val="0"/>
                      <w:marRight w:val="0"/>
                      <w:marTop w:val="0"/>
                      <w:marBottom w:val="0"/>
                      <w:divBdr>
                        <w:top w:val="none" w:sz="0" w:space="0" w:color="auto"/>
                        <w:left w:val="none" w:sz="0" w:space="0" w:color="auto"/>
                        <w:bottom w:val="none" w:sz="0" w:space="0" w:color="auto"/>
                        <w:right w:val="none" w:sz="0" w:space="0" w:color="auto"/>
                      </w:divBdr>
                    </w:div>
                  </w:divsChild>
                </w:div>
                <w:div w:id="1864400176">
                  <w:marLeft w:val="0"/>
                  <w:marRight w:val="0"/>
                  <w:marTop w:val="0"/>
                  <w:marBottom w:val="0"/>
                  <w:divBdr>
                    <w:top w:val="none" w:sz="0" w:space="0" w:color="auto"/>
                    <w:left w:val="none" w:sz="0" w:space="0" w:color="auto"/>
                    <w:bottom w:val="none" w:sz="0" w:space="0" w:color="auto"/>
                    <w:right w:val="none" w:sz="0" w:space="0" w:color="auto"/>
                  </w:divBdr>
                  <w:divsChild>
                    <w:div w:id="531497346">
                      <w:marLeft w:val="0"/>
                      <w:marRight w:val="0"/>
                      <w:marTop w:val="0"/>
                      <w:marBottom w:val="0"/>
                      <w:divBdr>
                        <w:top w:val="none" w:sz="0" w:space="0" w:color="auto"/>
                        <w:left w:val="none" w:sz="0" w:space="0" w:color="auto"/>
                        <w:bottom w:val="none" w:sz="0" w:space="0" w:color="auto"/>
                        <w:right w:val="none" w:sz="0" w:space="0" w:color="auto"/>
                      </w:divBdr>
                    </w:div>
                  </w:divsChild>
                </w:div>
                <w:div w:id="1894392527">
                  <w:marLeft w:val="0"/>
                  <w:marRight w:val="0"/>
                  <w:marTop w:val="0"/>
                  <w:marBottom w:val="0"/>
                  <w:divBdr>
                    <w:top w:val="none" w:sz="0" w:space="0" w:color="auto"/>
                    <w:left w:val="none" w:sz="0" w:space="0" w:color="auto"/>
                    <w:bottom w:val="none" w:sz="0" w:space="0" w:color="auto"/>
                    <w:right w:val="none" w:sz="0" w:space="0" w:color="auto"/>
                  </w:divBdr>
                  <w:divsChild>
                    <w:div w:id="196889091">
                      <w:marLeft w:val="0"/>
                      <w:marRight w:val="0"/>
                      <w:marTop w:val="0"/>
                      <w:marBottom w:val="0"/>
                      <w:divBdr>
                        <w:top w:val="none" w:sz="0" w:space="0" w:color="auto"/>
                        <w:left w:val="none" w:sz="0" w:space="0" w:color="auto"/>
                        <w:bottom w:val="none" w:sz="0" w:space="0" w:color="auto"/>
                        <w:right w:val="none" w:sz="0" w:space="0" w:color="auto"/>
                      </w:divBdr>
                    </w:div>
                  </w:divsChild>
                </w:div>
                <w:div w:id="1995603368">
                  <w:marLeft w:val="0"/>
                  <w:marRight w:val="0"/>
                  <w:marTop w:val="0"/>
                  <w:marBottom w:val="0"/>
                  <w:divBdr>
                    <w:top w:val="none" w:sz="0" w:space="0" w:color="auto"/>
                    <w:left w:val="none" w:sz="0" w:space="0" w:color="auto"/>
                    <w:bottom w:val="none" w:sz="0" w:space="0" w:color="auto"/>
                    <w:right w:val="none" w:sz="0" w:space="0" w:color="auto"/>
                  </w:divBdr>
                  <w:divsChild>
                    <w:div w:id="96373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8893743">
          <w:marLeft w:val="0"/>
          <w:marRight w:val="0"/>
          <w:marTop w:val="0"/>
          <w:marBottom w:val="0"/>
          <w:divBdr>
            <w:top w:val="none" w:sz="0" w:space="0" w:color="auto"/>
            <w:left w:val="none" w:sz="0" w:space="0" w:color="auto"/>
            <w:bottom w:val="none" w:sz="0" w:space="0" w:color="auto"/>
            <w:right w:val="none" w:sz="0" w:space="0" w:color="auto"/>
          </w:divBdr>
        </w:div>
        <w:div w:id="1818960857">
          <w:marLeft w:val="0"/>
          <w:marRight w:val="0"/>
          <w:marTop w:val="0"/>
          <w:marBottom w:val="0"/>
          <w:divBdr>
            <w:top w:val="none" w:sz="0" w:space="0" w:color="auto"/>
            <w:left w:val="none" w:sz="0" w:space="0" w:color="auto"/>
            <w:bottom w:val="none" w:sz="0" w:space="0" w:color="auto"/>
            <w:right w:val="none" w:sz="0" w:space="0" w:color="auto"/>
          </w:divBdr>
        </w:div>
        <w:div w:id="1872985639">
          <w:marLeft w:val="0"/>
          <w:marRight w:val="0"/>
          <w:marTop w:val="0"/>
          <w:marBottom w:val="0"/>
          <w:divBdr>
            <w:top w:val="none" w:sz="0" w:space="0" w:color="auto"/>
            <w:left w:val="none" w:sz="0" w:space="0" w:color="auto"/>
            <w:bottom w:val="none" w:sz="0" w:space="0" w:color="auto"/>
            <w:right w:val="none" w:sz="0" w:space="0" w:color="auto"/>
          </w:divBdr>
        </w:div>
        <w:div w:id="1883319080">
          <w:marLeft w:val="0"/>
          <w:marRight w:val="0"/>
          <w:marTop w:val="0"/>
          <w:marBottom w:val="0"/>
          <w:divBdr>
            <w:top w:val="none" w:sz="0" w:space="0" w:color="auto"/>
            <w:left w:val="none" w:sz="0" w:space="0" w:color="auto"/>
            <w:bottom w:val="none" w:sz="0" w:space="0" w:color="auto"/>
            <w:right w:val="none" w:sz="0" w:space="0" w:color="auto"/>
          </w:divBdr>
        </w:div>
        <w:div w:id="2044355530">
          <w:marLeft w:val="0"/>
          <w:marRight w:val="0"/>
          <w:marTop w:val="0"/>
          <w:marBottom w:val="0"/>
          <w:divBdr>
            <w:top w:val="none" w:sz="0" w:space="0" w:color="auto"/>
            <w:left w:val="none" w:sz="0" w:space="0" w:color="auto"/>
            <w:bottom w:val="none" w:sz="0" w:space="0" w:color="auto"/>
            <w:right w:val="none" w:sz="0" w:space="0" w:color="auto"/>
          </w:divBdr>
        </w:div>
        <w:div w:id="2118019019">
          <w:marLeft w:val="0"/>
          <w:marRight w:val="0"/>
          <w:marTop w:val="0"/>
          <w:marBottom w:val="0"/>
          <w:divBdr>
            <w:top w:val="none" w:sz="0" w:space="0" w:color="auto"/>
            <w:left w:val="none" w:sz="0" w:space="0" w:color="auto"/>
            <w:bottom w:val="none" w:sz="0" w:space="0" w:color="auto"/>
            <w:right w:val="none" w:sz="0" w:space="0" w:color="auto"/>
          </w:divBdr>
        </w:div>
      </w:divsChild>
    </w:div>
    <w:div w:id="1514345127">
      <w:bodyDiv w:val="1"/>
      <w:marLeft w:val="0"/>
      <w:marRight w:val="0"/>
      <w:marTop w:val="0"/>
      <w:marBottom w:val="0"/>
      <w:divBdr>
        <w:top w:val="none" w:sz="0" w:space="0" w:color="auto"/>
        <w:left w:val="none" w:sz="0" w:space="0" w:color="auto"/>
        <w:bottom w:val="none" w:sz="0" w:space="0" w:color="auto"/>
        <w:right w:val="none" w:sz="0" w:space="0" w:color="auto"/>
      </w:divBdr>
      <w:divsChild>
        <w:div w:id="23679300">
          <w:marLeft w:val="0"/>
          <w:marRight w:val="0"/>
          <w:marTop w:val="0"/>
          <w:marBottom w:val="0"/>
          <w:divBdr>
            <w:top w:val="none" w:sz="0" w:space="0" w:color="auto"/>
            <w:left w:val="none" w:sz="0" w:space="0" w:color="auto"/>
            <w:bottom w:val="none" w:sz="0" w:space="0" w:color="auto"/>
            <w:right w:val="none" w:sz="0" w:space="0" w:color="auto"/>
          </w:divBdr>
        </w:div>
        <w:div w:id="67729505">
          <w:marLeft w:val="0"/>
          <w:marRight w:val="0"/>
          <w:marTop w:val="0"/>
          <w:marBottom w:val="0"/>
          <w:divBdr>
            <w:top w:val="none" w:sz="0" w:space="0" w:color="auto"/>
            <w:left w:val="none" w:sz="0" w:space="0" w:color="auto"/>
            <w:bottom w:val="none" w:sz="0" w:space="0" w:color="auto"/>
            <w:right w:val="none" w:sz="0" w:space="0" w:color="auto"/>
          </w:divBdr>
        </w:div>
        <w:div w:id="79376441">
          <w:marLeft w:val="0"/>
          <w:marRight w:val="0"/>
          <w:marTop w:val="0"/>
          <w:marBottom w:val="0"/>
          <w:divBdr>
            <w:top w:val="none" w:sz="0" w:space="0" w:color="auto"/>
            <w:left w:val="none" w:sz="0" w:space="0" w:color="auto"/>
            <w:bottom w:val="none" w:sz="0" w:space="0" w:color="auto"/>
            <w:right w:val="none" w:sz="0" w:space="0" w:color="auto"/>
          </w:divBdr>
        </w:div>
        <w:div w:id="91050267">
          <w:marLeft w:val="0"/>
          <w:marRight w:val="0"/>
          <w:marTop w:val="0"/>
          <w:marBottom w:val="0"/>
          <w:divBdr>
            <w:top w:val="none" w:sz="0" w:space="0" w:color="auto"/>
            <w:left w:val="none" w:sz="0" w:space="0" w:color="auto"/>
            <w:bottom w:val="none" w:sz="0" w:space="0" w:color="auto"/>
            <w:right w:val="none" w:sz="0" w:space="0" w:color="auto"/>
          </w:divBdr>
        </w:div>
        <w:div w:id="121657479">
          <w:marLeft w:val="0"/>
          <w:marRight w:val="0"/>
          <w:marTop w:val="0"/>
          <w:marBottom w:val="0"/>
          <w:divBdr>
            <w:top w:val="none" w:sz="0" w:space="0" w:color="auto"/>
            <w:left w:val="none" w:sz="0" w:space="0" w:color="auto"/>
            <w:bottom w:val="none" w:sz="0" w:space="0" w:color="auto"/>
            <w:right w:val="none" w:sz="0" w:space="0" w:color="auto"/>
          </w:divBdr>
        </w:div>
        <w:div w:id="124156496">
          <w:marLeft w:val="0"/>
          <w:marRight w:val="0"/>
          <w:marTop w:val="0"/>
          <w:marBottom w:val="0"/>
          <w:divBdr>
            <w:top w:val="none" w:sz="0" w:space="0" w:color="auto"/>
            <w:left w:val="none" w:sz="0" w:space="0" w:color="auto"/>
            <w:bottom w:val="none" w:sz="0" w:space="0" w:color="auto"/>
            <w:right w:val="none" w:sz="0" w:space="0" w:color="auto"/>
          </w:divBdr>
        </w:div>
        <w:div w:id="191772709">
          <w:marLeft w:val="0"/>
          <w:marRight w:val="0"/>
          <w:marTop w:val="0"/>
          <w:marBottom w:val="0"/>
          <w:divBdr>
            <w:top w:val="none" w:sz="0" w:space="0" w:color="auto"/>
            <w:left w:val="none" w:sz="0" w:space="0" w:color="auto"/>
            <w:bottom w:val="none" w:sz="0" w:space="0" w:color="auto"/>
            <w:right w:val="none" w:sz="0" w:space="0" w:color="auto"/>
          </w:divBdr>
        </w:div>
        <w:div w:id="233710086">
          <w:marLeft w:val="0"/>
          <w:marRight w:val="0"/>
          <w:marTop w:val="0"/>
          <w:marBottom w:val="0"/>
          <w:divBdr>
            <w:top w:val="none" w:sz="0" w:space="0" w:color="auto"/>
            <w:left w:val="none" w:sz="0" w:space="0" w:color="auto"/>
            <w:bottom w:val="none" w:sz="0" w:space="0" w:color="auto"/>
            <w:right w:val="none" w:sz="0" w:space="0" w:color="auto"/>
          </w:divBdr>
          <w:divsChild>
            <w:div w:id="565535938">
              <w:marLeft w:val="-75"/>
              <w:marRight w:val="0"/>
              <w:marTop w:val="30"/>
              <w:marBottom w:val="30"/>
              <w:divBdr>
                <w:top w:val="none" w:sz="0" w:space="0" w:color="auto"/>
                <w:left w:val="none" w:sz="0" w:space="0" w:color="auto"/>
                <w:bottom w:val="none" w:sz="0" w:space="0" w:color="auto"/>
                <w:right w:val="none" w:sz="0" w:space="0" w:color="auto"/>
              </w:divBdr>
              <w:divsChild>
                <w:div w:id="67581983">
                  <w:marLeft w:val="0"/>
                  <w:marRight w:val="0"/>
                  <w:marTop w:val="0"/>
                  <w:marBottom w:val="0"/>
                  <w:divBdr>
                    <w:top w:val="none" w:sz="0" w:space="0" w:color="auto"/>
                    <w:left w:val="none" w:sz="0" w:space="0" w:color="auto"/>
                    <w:bottom w:val="none" w:sz="0" w:space="0" w:color="auto"/>
                    <w:right w:val="none" w:sz="0" w:space="0" w:color="auto"/>
                  </w:divBdr>
                  <w:divsChild>
                    <w:div w:id="1032993926">
                      <w:marLeft w:val="0"/>
                      <w:marRight w:val="0"/>
                      <w:marTop w:val="0"/>
                      <w:marBottom w:val="0"/>
                      <w:divBdr>
                        <w:top w:val="none" w:sz="0" w:space="0" w:color="auto"/>
                        <w:left w:val="none" w:sz="0" w:space="0" w:color="auto"/>
                        <w:bottom w:val="none" w:sz="0" w:space="0" w:color="auto"/>
                        <w:right w:val="none" w:sz="0" w:space="0" w:color="auto"/>
                      </w:divBdr>
                    </w:div>
                  </w:divsChild>
                </w:div>
                <w:div w:id="132798410">
                  <w:marLeft w:val="0"/>
                  <w:marRight w:val="0"/>
                  <w:marTop w:val="0"/>
                  <w:marBottom w:val="0"/>
                  <w:divBdr>
                    <w:top w:val="none" w:sz="0" w:space="0" w:color="auto"/>
                    <w:left w:val="none" w:sz="0" w:space="0" w:color="auto"/>
                    <w:bottom w:val="none" w:sz="0" w:space="0" w:color="auto"/>
                    <w:right w:val="none" w:sz="0" w:space="0" w:color="auto"/>
                  </w:divBdr>
                  <w:divsChild>
                    <w:div w:id="880553981">
                      <w:marLeft w:val="0"/>
                      <w:marRight w:val="0"/>
                      <w:marTop w:val="0"/>
                      <w:marBottom w:val="0"/>
                      <w:divBdr>
                        <w:top w:val="none" w:sz="0" w:space="0" w:color="auto"/>
                        <w:left w:val="none" w:sz="0" w:space="0" w:color="auto"/>
                        <w:bottom w:val="none" w:sz="0" w:space="0" w:color="auto"/>
                        <w:right w:val="none" w:sz="0" w:space="0" w:color="auto"/>
                      </w:divBdr>
                    </w:div>
                  </w:divsChild>
                </w:div>
                <w:div w:id="191261061">
                  <w:marLeft w:val="0"/>
                  <w:marRight w:val="0"/>
                  <w:marTop w:val="0"/>
                  <w:marBottom w:val="0"/>
                  <w:divBdr>
                    <w:top w:val="none" w:sz="0" w:space="0" w:color="auto"/>
                    <w:left w:val="none" w:sz="0" w:space="0" w:color="auto"/>
                    <w:bottom w:val="none" w:sz="0" w:space="0" w:color="auto"/>
                    <w:right w:val="none" w:sz="0" w:space="0" w:color="auto"/>
                  </w:divBdr>
                  <w:divsChild>
                    <w:div w:id="1846750999">
                      <w:marLeft w:val="0"/>
                      <w:marRight w:val="0"/>
                      <w:marTop w:val="0"/>
                      <w:marBottom w:val="0"/>
                      <w:divBdr>
                        <w:top w:val="none" w:sz="0" w:space="0" w:color="auto"/>
                        <w:left w:val="none" w:sz="0" w:space="0" w:color="auto"/>
                        <w:bottom w:val="none" w:sz="0" w:space="0" w:color="auto"/>
                        <w:right w:val="none" w:sz="0" w:space="0" w:color="auto"/>
                      </w:divBdr>
                    </w:div>
                  </w:divsChild>
                </w:div>
                <w:div w:id="297342323">
                  <w:marLeft w:val="0"/>
                  <w:marRight w:val="0"/>
                  <w:marTop w:val="0"/>
                  <w:marBottom w:val="0"/>
                  <w:divBdr>
                    <w:top w:val="none" w:sz="0" w:space="0" w:color="auto"/>
                    <w:left w:val="none" w:sz="0" w:space="0" w:color="auto"/>
                    <w:bottom w:val="none" w:sz="0" w:space="0" w:color="auto"/>
                    <w:right w:val="none" w:sz="0" w:space="0" w:color="auto"/>
                  </w:divBdr>
                  <w:divsChild>
                    <w:div w:id="43145369">
                      <w:marLeft w:val="0"/>
                      <w:marRight w:val="0"/>
                      <w:marTop w:val="0"/>
                      <w:marBottom w:val="0"/>
                      <w:divBdr>
                        <w:top w:val="none" w:sz="0" w:space="0" w:color="auto"/>
                        <w:left w:val="none" w:sz="0" w:space="0" w:color="auto"/>
                        <w:bottom w:val="none" w:sz="0" w:space="0" w:color="auto"/>
                        <w:right w:val="none" w:sz="0" w:space="0" w:color="auto"/>
                      </w:divBdr>
                    </w:div>
                  </w:divsChild>
                </w:div>
                <w:div w:id="367799496">
                  <w:marLeft w:val="0"/>
                  <w:marRight w:val="0"/>
                  <w:marTop w:val="0"/>
                  <w:marBottom w:val="0"/>
                  <w:divBdr>
                    <w:top w:val="none" w:sz="0" w:space="0" w:color="auto"/>
                    <w:left w:val="none" w:sz="0" w:space="0" w:color="auto"/>
                    <w:bottom w:val="none" w:sz="0" w:space="0" w:color="auto"/>
                    <w:right w:val="none" w:sz="0" w:space="0" w:color="auto"/>
                  </w:divBdr>
                  <w:divsChild>
                    <w:div w:id="891582273">
                      <w:marLeft w:val="0"/>
                      <w:marRight w:val="0"/>
                      <w:marTop w:val="0"/>
                      <w:marBottom w:val="0"/>
                      <w:divBdr>
                        <w:top w:val="none" w:sz="0" w:space="0" w:color="auto"/>
                        <w:left w:val="none" w:sz="0" w:space="0" w:color="auto"/>
                        <w:bottom w:val="none" w:sz="0" w:space="0" w:color="auto"/>
                        <w:right w:val="none" w:sz="0" w:space="0" w:color="auto"/>
                      </w:divBdr>
                    </w:div>
                  </w:divsChild>
                </w:div>
                <w:div w:id="415325097">
                  <w:marLeft w:val="0"/>
                  <w:marRight w:val="0"/>
                  <w:marTop w:val="0"/>
                  <w:marBottom w:val="0"/>
                  <w:divBdr>
                    <w:top w:val="none" w:sz="0" w:space="0" w:color="auto"/>
                    <w:left w:val="none" w:sz="0" w:space="0" w:color="auto"/>
                    <w:bottom w:val="none" w:sz="0" w:space="0" w:color="auto"/>
                    <w:right w:val="none" w:sz="0" w:space="0" w:color="auto"/>
                  </w:divBdr>
                  <w:divsChild>
                    <w:div w:id="953638305">
                      <w:marLeft w:val="0"/>
                      <w:marRight w:val="0"/>
                      <w:marTop w:val="0"/>
                      <w:marBottom w:val="0"/>
                      <w:divBdr>
                        <w:top w:val="none" w:sz="0" w:space="0" w:color="auto"/>
                        <w:left w:val="none" w:sz="0" w:space="0" w:color="auto"/>
                        <w:bottom w:val="none" w:sz="0" w:space="0" w:color="auto"/>
                        <w:right w:val="none" w:sz="0" w:space="0" w:color="auto"/>
                      </w:divBdr>
                    </w:div>
                  </w:divsChild>
                </w:div>
                <w:div w:id="424963653">
                  <w:marLeft w:val="0"/>
                  <w:marRight w:val="0"/>
                  <w:marTop w:val="0"/>
                  <w:marBottom w:val="0"/>
                  <w:divBdr>
                    <w:top w:val="none" w:sz="0" w:space="0" w:color="auto"/>
                    <w:left w:val="none" w:sz="0" w:space="0" w:color="auto"/>
                    <w:bottom w:val="none" w:sz="0" w:space="0" w:color="auto"/>
                    <w:right w:val="none" w:sz="0" w:space="0" w:color="auto"/>
                  </w:divBdr>
                  <w:divsChild>
                    <w:div w:id="747075650">
                      <w:marLeft w:val="0"/>
                      <w:marRight w:val="0"/>
                      <w:marTop w:val="0"/>
                      <w:marBottom w:val="0"/>
                      <w:divBdr>
                        <w:top w:val="none" w:sz="0" w:space="0" w:color="auto"/>
                        <w:left w:val="none" w:sz="0" w:space="0" w:color="auto"/>
                        <w:bottom w:val="none" w:sz="0" w:space="0" w:color="auto"/>
                        <w:right w:val="none" w:sz="0" w:space="0" w:color="auto"/>
                      </w:divBdr>
                    </w:div>
                  </w:divsChild>
                </w:div>
                <w:div w:id="468745730">
                  <w:marLeft w:val="0"/>
                  <w:marRight w:val="0"/>
                  <w:marTop w:val="0"/>
                  <w:marBottom w:val="0"/>
                  <w:divBdr>
                    <w:top w:val="none" w:sz="0" w:space="0" w:color="auto"/>
                    <w:left w:val="none" w:sz="0" w:space="0" w:color="auto"/>
                    <w:bottom w:val="none" w:sz="0" w:space="0" w:color="auto"/>
                    <w:right w:val="none" w:sz="0" w:space="0" w:color="auto"/>
                  </w:divBdr>
                  <w:divsChild>
                    <w:div w:id="607392206">
                      <w:marLeft w:val="0"/>
                      <w:marRight w:val="0"/>
                      <w:marTop w:val="0"/>
                      <w:marBottom w:val="0"/>
                      <w:divBdr>
                        <w:top w:val="none" w:sz="0" w:space="0" w:color="auto"/>
                        <w:left w:val="none" w:sz="0" w:space="0" w:color="auto"/>
                        <w:bottom w:val="none" w:sz="0" w:space="0" w:color="auto"/>
                        <w:right w:val="none" w:sz="0" w:space="0" w:color="auto"/>
                      </w:divBdr>
                    </w:div>
                  </w:divsChild>
                </w:div>
                <w:div w:id="515316543">
                  <w:marLeft w:val="0"/>
                  <w:marRight w:val="0"/>
                  <w:marTop w:val="0"/>
                  <w:marBottom w:val="0"/>
                  <w:divBdr>
                    <w:top w:val="none" w:sz="0" w:space="0" w:color="auto"/>
                    <w:left w:val="none" w:sz="0" w:space="0" w:color="auto"/>
                    <w:bottom w:val="none" w:sz="0" w:space="0" w:color="auto"/>
                    <w:right w:val="none" w:sz="0" w:space="0" w:color="auto"/>
                  </w:divBdr>
                  <w:divsChild>
                    <w:div w:id="1992326901">
                      <w:marLeft w:val="0"/>
                      <w:marRight w:val="0"/>
                      <w:marTop w:val="0"/>
                      <w:marBottom w:val="0"/>
                      <w:divBdr>
                        <w:top w:val="none" w:sz="0" w:space="0" w:color="auto"/>
                        <w:left w:val="none" w:sz="0" w:space="0" w:color="auto"/>
                        <w:bottom w:val="none" w:sz="0" w:space="0" w:color="auto"/>
                        <w:right w:val="none" w:sz="0" w:space="0" w:color="auto"/>
                      </w:divBdr>
                    </w:div>
                  </w:divsChild>
                </w:div>
                <w:div w:id="542601448">
                  <w:marLeft w:val="0"/>
                  <w:marRight w:val="0"/>
                  <w:marTop w:val="0"/>
                  <w:marBottom w:val="0"/>
                  <w:divBdr>
                    <w:top w:val="none" w:sz="0" w:space="0" w:color="auto"/>
                    <w:left w:val="none" w:sz="0" w:space="0" w:color="auto"/>
                    <w:bottom w:val="none" w:sz="0" w:space="0" w:color="auto"/>
                    <w:right w:val="none" w:sz="0" w:space="0" w:color="auto"/>
                  </w:divBdr>
                  <w:divsChild>
                    <w:div w:id="766584492">
                      <w:marLeft w:val="0"/>
                      <w:marRight w:val="0"/>
                      <w:marTop w:val="0"/>
                      <w:marBottom w:val="0"/>
                      <w:divBdr>
                        <w:top w:val="none" w:sz="0" w:space="0" w:color="auto"/>
                        <w:left w:val="none" w:sz="0" w:space="0" w:color="auto"/>
                        <w:bottom w:val="none" w:sz="0" w:space="0" w:color="auto"/>
                        <w:right w:val="none" w:sz="0" w:space="0" w:color="auto"/>
                      </w:divBdr>
                    </w:div>
                  </w:divsChild>
                </w:div>
                <w:div w:id="685711723">
                  <w:marLeft w:val="0"/>
                  <w:marRight w:val="0"/>
                  <w:marTop w:val="0"/>
                  <w:marBottom w:val="0"/>
                  <w:divBdr>
                    <w:top w:val="none" w:sz="0" w:space="0" w:color="auto"/>
                    <w:left w:val="none" w:sz="0" w:space="0" w:color="auto"/>
                    <w:bottom w:val="none" w:sz="0" w:space="0" w:color="auto"/>
                    <w:right w:val="none" w:sz="0" w:space="0" w:color="auto"/>
                  </w:divBdr>
                  <w:divsChild>
                    <w:div w:id="106777746">
                      <w:marLeft w:val="0"/>
                      <w:marRight w:val="0"/>
                      <w:marTop w:val="0"/>
                      <w:marBottom w:val="0"/>
                      <w:divBdr>
                        <w:top w:val="none" w:sz="0" w:space="0" w:color="auto"/>
                        <w:left w:val="none" w:sz="0" w:space="0" w:color="auto"/>
                        <w:bottom w:val="none" w:sz="0" w:space="0" w:color="auto"/>
                        <w:right w:val="none" w:sz="0" w:space="0" w:color="auto"/>
                      </w:divBdr>
                    </w:div>
                  </w:divsChild>
                </w:div>
                <w:div w:id="738678156">
                  <w:marLeft w:val="0"/>
                  <w:marRight w:val="0"/>
                  <w:marTop w:val="0"/>
                  <w:marBottom w:val="0"/>
                  <w:divBdr>
                    <w:top w:val="none" w:sz="0" w:space="0" w:color="auto"/>
                    <w:left w:val="none" w:sz="0" w:space="0" w:color="auto"/>
                    <w:bottom w:val="none" w:sz="0" w:space="0" w:color="auto"/>
                    <w:right w:val="none" w:sz="0" w:space="0" w:color="auto"/>
                  </w:divBdr>
                  <w:divsChild>
                    <w:div w:id="487526392">
                      <w:marLeft w:val="0"/>
                      <w:marRight w:val="0"/>
                      <w:marTop w:val="0"/>
                      <w:marBottom w:val="0"/>
                      <w:divBdr>
                        <w:top w:val="none" w:sz="0" w:space="0" w:color="auto"/>
                        <w:left w:val="none" w:sz="0" w:space="0" w:color="auto"/>
                        <w:bottom w:val="none" w:sz="0" w:space="0" w:color="auto"/>
                        <w:right w:val="none" w:sz="0" w:space="0" w:color="auto"/>
                      </w:divBdr>
                    </w:div>
                  </w:divsChild>
                </w:div>
                <w:div w:id="752898212">
                  <w:marLeft w:val="0"/>
                  <w:marRight w:val="0"/>
                  <w:marTop w:val="0"/>
                  <w:marBottom w:val="0"/>
                  <w:divBdr>
                    <w:top w:val="none" w:sz="0" w:space="0" w:color="auto"/>
                    <w:left w:val="none" w:sz="0" w:space="0" w:color="auto"/>
                    <w:bottom w:val="none" w:sz="0" w:space="0" w:color="auto"/>
                    <w:right w:val="none" w:sz="0" w:space="0" w:color="auto"/>
                  </w:divBdr>
                  <w:divsChild>
                    <w:div w:id="1962177915">
                      <w:marLeft w:val="0"/>
                      <w:marRight w:val="0"/>
                      <w:marTop w:val="0"/>
                      <w:marBottom w:val="0"/>
                      <w:divBdr>
                        <w:top w:val="none" w:sz="0" w:space="0" w:color="auto"/>
                        <w:left w:val="none" w:sz="0" w:space="0" w:color="auto"/>
                        <w:bottom w:val="none" w:sz="0" w:space="0" w:color="auto"/>
                        <w:right w:val="none" w:sz="0" w:space="0" w:color="auto"/>
                      </w:divBdr>
                    </w:div>
                  </w:divsChild>
                </w:div>
                <w:div w:id="797377713">
                  <w:marLeft w:val="0"/>
                  <w:marRight w:val="0"/>
                  <w:marTop w:val="0"/>
                  <w:marBottom w:val="0"/>
                  <w:divBdr>
                    <w:top w:val="none" w:sz="0" w:space="0" w:color="auto"/>
                    <w:left w:val="none" w:sz="0" w:space="0" w:color="auto"/>
                    <w:bottom w:val="none" w:sz="0" w:space="0" w:color="auto"/>
                    <w:right w:val="none" w:sz="0" w:space="0" w:color="auto"/>
                  </w:divBdr>
                  <w:divsChild>
                    <w:div w:id="1557856838">
                      <w:marLeft w:val="0"/>
                      <w:marRight w:val="0"/>
                      <w:marTop w:val="0"/>
                      <w:marBottom w:val="0"/>
                      <w:divBdr>
                        <w:top w:val="none" w:sz="0" w:space="0" w:color="auto"/>
                        <w:left w:val="none" w:sz="0" w:space="0" w:color="auto"/>
                        <w:bottom w:val="none" w:sz="0" w:space="0" w:color="auto"/>
                        <w:right w:val="none" w:sz="0" w:space="0" w:color="auto"/>
                      </w:divBdr>
                    </w:div>
                  </w:divsChild>
                </w:div>
                <w:div w:id="901872389">
                  <w:marLeft w:val="0"/>
                  <w:marRight w:val="0"/>
                  <w:marTop w:val="0"/>
                  <w:marBottom w:val="0"/>
                  <w:divBdr>
                    <w:top w:val="none" w:sz="0" w:space="0" w:color="auto"/>
                    <w:left w:val="none" w:sz="0" w:space="0" w:color="auto"/>
                    <w:bottom w:val="none" w:sz="0" w:space="0" w:color="auto"/>
                    <w:right w:val="none" w:sz="0" w:space="0" w:color="auto"/>
                  </w:divBdr>
                  <w:divsChild>
                    <w:div w:id="27459916">
                      <w:marLeft w:val="0"/>
                      <w:marRight w:val="0"/>
                      <w:marTop w:val="0"/>
                      <w:marBottom w:val="0"/>
                      <w:divBdr>
                        <w:top w:val="none" w:sz="0" w:space="0" w:color="auto"/>
                        <w:left w:val="none" w:sz="0" w:space="0" w:color="auto"/>
                        <w:bottom w:val="none" w:sz="0" w:space="0" w:color="auto"/>
                        <w:right w:val="none" w:sz="0" w:space="0" w:color="auto"/>
                      </w:divBdr>
                    </w:div>
                  </w:divsChild>
                </w:div>
                <w:div w:id="947004610">
                  <w:marLeft w:val="0"/>
                  <w:marRight w:val="0"/>
                  <w:marTop w:val="0"/>
                  <w:marBottom w:val="0"/>
                  <w:divBdr>
                    <w:top w:val="none" w:sz="0" w:space="0" w:color="auto"/>
                    <w:left w:val="none" w:sz="0" w:space="0" w:color="auto"/>
                    <w:bottom w:val="none" w:sz="0" w:space="0" w:color="auto"/>
                    <w:right w:val="none" w:sz="0" w:space="0" w:color="auto"/>
                  </w:divBdr>
                  <w:divsChild>
                    <w:div w:id="1966152327">
                      <w:marLeft w:val="0"/>
                      <w:marRight w:val="0"/>
                      <w:marTop w:val="0"/>
                      <w:marBottom w:val="0"/>
                      <w:divBdr>
                        <w:top w:val="none" w:sz="0" w:space="0" w:color="auto"/>
                        <w:left w:val="none" w:sz="0" w:space="0" w:color="auto"/>
                        <w:bottom w:val="none" w:sz="0" w:space="0" w:color="auto"/>
                        <w:right w:val="none" w:sz="0" w:space="0" w:color="auto"/>
                      </w:divBdr>
                    </w:div>
                  </w:divsChild>
                </w:div>
                <w:div w:id="990988907">
                  <w:marLeft w:val="0"/>
                  <w:marRight w:val="0"/>
                  <w:marTop w:val="0"/>
                  <w:marBottom w:val="0"/>
                  <w:divBdr>
                    <w:top w:val="none" w:sz="0" w:space="0" w:color="auto"/>
                    <w:left w:val="none" w:sz="0" w:space="0" w:color="auto"/>
                    <w:bottom w:val="none" w:sz="0" w:space="0" w:color="auto"/>
                    <w:right w:val="none" w:sz="0" w:space="0" w:color="auto"/>
                  </w:divBdr>
                  <w:divsChild>
                    <w:div w:id="1191647685">
                      <w:marLeft w:val="0"/>
                      <w:marRight w:val="0"/>
                      <w:marTop w:val="0"/>
                      <w:marBottom w:val="0"/>
                      <w:divBdr>
                        <w:top w:val="none" w:sz="0" w:space="0" w:color="auto"/>
                        <w:left w:val="none" w:sz="0" w:space="0" w:color="auto"/>
                        <w:bottom w:val="none" w:sz="0" w:space="0" w:color="auto"/>
                        <w:right w:val="none" w:sz="0" w:space="0" w:color="auto"/>
                      </w:divBdr>
                    </w:div>
                  </w:divsChild>
                </w:div>
                <w:div w:id="1014770507">
                  <w:marLeft w:val="0"/>
                  <w:marRight w:val="0"/>
                  <w:marTop w:val="0"/>
                  <w:marBottom w:val="0"/>
                  <w:divBdr>
                    <w:top w:val="none" w:sz="0" w:space="0" w:color="auto"/>
                    <w:left w:val="none" w:sz="0" w:space="0" w:color="auto"/>
                    <w:bottom w:val="none" w:sz="0" w:space="0" w:color="auto"/>
                    <w:right w:val="none" w:sz="0" w:space="0" w:color="auto"/>
                  </w:divBdr>
                  <w:divsChild>
                    <w:div w:id="256987673">
                      <w:marLeft w:val="0"/>
                      <w:marRight w:val="0"/>
                      <w:marTop w:val="0"/>
                      <w:marBottom w:val="0"/>
                      <w:divBdr>
                        <w:top w:val="none" w:sz="0" w:space="0" w:color="auto"/>
                        <w:left w:val="none" w:sz="0" w:space="0" w:color="auto"/>
                        <w:bottom w:val="none" w:sz="0" w:space="0" w:color="auto"/>
                        <w:right w:val="none" w:sz="0" w:space="0" w:color="auto"/>
                      </w:divBdr>
                    </w:div>
                  </w:divsChild>
                </w:div>
                <w:div w:id="1019696724">
                  <w:marLeft w:val="0"/>
                  <w:marRight w:val="0"/>
                  <w:marTop w:val="0"/>
                  <w:marBottom w:val="0"/>
                  <w:divBdr>
                    <w:top w:val="none" w:sz="0" w:space="0" w:color="auto"/>
                    <w:left w:val="none" w:sz="0" w:space="0" w:color="auto"/>
                    <w:bottom w:val="none" w:sz="0" w:space="0" w:color="auto"/>
                    <w:right w:val="none" w:sz="0" w:space="0" w:color="auto"/>
                  </w:divBdr>
                  <w:divsChild>
                    <w:div w:id="144472027">
                      <w:marLeft w:val="0"/>
                      <w:marRight w:val="0"/>
                      <w:marTop w:val="0"/>
                      <w:marBottom w:val="0"/>
                      <w:divBdr>
                        <w:top w:val="none" w:sz="0" w:space="0" w:color="auto"/>
                        <w:left w:val="none" w:sz="0" w:space="0" w:color="auto"/>
                        <w:bottom w:val="none" w:sz="0" w:space="0" w:color="auto"/>
                        <w:right w:val="none" w:sz="0" w:space="0" w:color="auto"/>
                      </w:divBdr>
                    </w:div>
                  </w:divsChild>
                </w:div>
                <w:div w:id="1056467622">
                  <w:marLeft w:val="0"/>
                  <w:marRight w:val="0"/>
                  <w:marTop w:val="0"/>
                  <w:marBottom w:val="0"/>
                  <w:divBdr>
                    <w:top w:val="none" w:sz="0" w:space="0" w:color="auto"/>
                    <w:left w:val="none" w:sz="0" w:space="0" w:color="auto"/>
                    <w:bottom w:val="none" w:sz="0" w:space="0" w:color="auto"/>
                    <w:right w:val="none" w:sz="0" w:space="0" w:color="auto"/>
                  </w:divBdr>
                  <w:divsChild>
                    <w:div w:id="1928616191">
                      <w:marLeft w:val="0"/>
                      <w:marRight w:val="0"/>
                      <w:marTop w:val="0"/>
                      <w:marBottom w:val="0"/>
                      <w:divBdr>
                        <w:top w:val="none" w:sz="0" w:space="0" w:color="auto"/>
                        <w:left w:val="none" w:sz="0" w:space="0" w:color="auto"/>
                        <w:bottom w:val="none" w:sz="0" w:space="0" w:color="auto"/>
                        <w:right w:val="none" w:sz="0" w:space="0" w:color="auto"/>
                      </w:divBdr>
                    </w:div>
                  </w:divsChild>
                </w:div>
                <w:div w:id="1076442343">
                  <w:marLeft w:val="0"/>
                  <w:marRight w:val="0"/>
                  <w:marTop w:val="0"/>
                  <w:marBottom w:val="0"/>
                  <w:divBdr>
                    <w:top w:val="none" w:sz="0" w:space="0" w:color="auto"/>
                    <w:left w:val="none" w:sz="0" w:space="0" w:color="auto"/>
                    <w:bottom w:val="none" w:sz="0" w:space="0" w:color="auto"/>
                    <w:right w:val="none" w:sz="0" w:space="0" w:color="auto"/>
                  </w:divBdr>
                  <w:divsChild>
                    <w:div w:id="646783881">
                      <w:marLeft w:val="0"/>
                      <w:marRight w:val="0"/>
                      <w:marTop w:val="0"/>
                      <w:marBottom w:val="0"/>
                      <w:divBdr>
                        <w:top w:val="none" w:sz="0" w:space="0" w:color="auto"/>
                        <w:left w:val="none" w:sz="0" w:space="0" w:color="auto"/>
                        <w:bottom w:val="none" w:sz="0" w:space="0" w:color="auto"/>
                        <w:right w:val="none" w:sz="0" w:space="0" w:color="auto"/>
                      </w:divBdr>
                    </w:div>
                  </w:divsChild>
                </w:div>
                <w:div w:id="1082147419">
                  <w:marLeft w:val="0"/>
                  <w:marRight w:val="0"/>
                  <w:marTop w:val="0"/>
                  <w:marBottom w:val="0"/>
                  <w:divBdr>
                    <w:top w:val="none" w:sz="0" w:space="0" w:color="auto"/>
                    <w:left w:val="none" w:sz="0" w:space="0" w:color="auto"/>
                    <w:bottom w:val="none" w:sz="0" w:space="0" w:color="auto"/>
                    <w:right w:val="none" w:sz="0" w:space="0" w:color="auto"/>
                  </w:divBdr>
                  <w:divsChild>
                    <w:div w:id="664748141">
                      <w:marLeft w:val="0"/>
                      <w:marRight w:val="0"/>
                      <w:marTop w:val="0"/>
                      <w:marBottom w:val="0"/>
                      <w:divBdr>
                        <w:top w:val="none" w:sz="0" w:space="0" w:color="auto"/>
                        <w:left w:val="none" w:sz="0" w:space="0" w:color="auto"/>
                        <w:bottom w:val="none" w:sz="0" w:space="0" w:color="auto"/>
                        <w:right w:val="none" w:sz="0" w:space="0" w:color="auto"/>
                      </w:divBdr>
                    </w:div>
                  </w:divsChild>
                </w:div>
                <w:div w:id="1088502278">
                  <w:marLeft w:val="0"/>
                  <w:marRight w:val="0"/>
                  <w:marTop w:val="0"/>
                  <w:marBottom w:val="0"/>
                  <w:divBdr>
                    <w:top w:val="none" w:sz="0" w:space="0" w:color="auto"/>
                    <w:left w:val="none" w:sz="0" w:space="0" w:color="auto"/>
                    <w:bottom w:val="none" w:sz="0" w:space="0" w:color="auto"/>
                    <w:right w:val="none" w:sz="0" w:space="0" w:color="auto"/>
                  </w:divBdr>
                  <w:divsChild>
                    <w:div w:id="223412562">
                      <w:marLeft w:val="0"/>
                      <w:marRight w:val="0"/>
                      <w:marTop w:val="0"/>
                      <w:marBottom w:val="0"/>
                      <w:divBdr>
                        <w:top w:val="none" w:sz="0" w:space="0" w:color="auto"/>
                        <w:left w:val="none" w:sz="0" w:space="0" w:color="auto"/>
                        <w:bottom w:val="none" w:sz="0" w:space="0" w:color="auto"/>
                        <w:right w:val="none" w:sz="0" w:space="0" w:color="auto"/>
                      </w:divBdr>
                    </w:div>
                  </w:divsChild>
                </w:div>
                <w:div w:id="1276983624">
                  <w:marLeft w:val="0"/>
                  <w:marRight w:val="0"/>
                  <w:marTop w:val="0"/>
                  <w:marBottom w:val="0"/>
                  <w:divBdr>
                    <w:top w:val="none" w:sz="0" w:space="0" w:color="auto"/>
                    <w:left w:val="none" w:sz="0" w:space="0" w:color="auto"/>
                    <w:bottom w:val="none" w:sz="0" w:space="0" w:color="auto"/>
                    <w:right w:val="none" w:sz="0" w:space="0" w:color="auto"/>
                  </w:divBdr>
                  <w:divsChild>
                    <w:div w:id="243029770">
                      <w:marLeft w:val="0"/>
                      <w:marRight w:val="0"/>
                      <w:marTop w:val="0"/>
                      <w:marBottom w:val="0"/>
                      <w:divBdr>
                        <w:top w:val="none" w:sz="0" w:space="0" w:color="auto"/>
                        <w:left w:val="none" w:sz="0" w:space="0" w:color="auto"/>
                        <w:bottom w:val="none" w:sz="0" w:space="0" w:color="auto"/>
                        <w:right w:val="none" w:sz="0" w:space="0" w:color="auto"/>
                      </w:divBdr>
                    </w:div>
                  </w:divsChild>
                </w:div>
                <w:div w:id="1330407311">
                  <w:marLeft w:val="0"/>
                  <w:marRight w:val="0"/>
                  <w:marTop w:val="0"/>
                  <w:marBottom w:val="0"/>
                  <w:divBdr>
                    <w:top w:val="none" w:sz="0" w:space="0" w:color="auto"/>
                    <w:left w:val="none" w:sz="0" w:space="0" w:color="auto"/>
                    <w:bottom w:val="none" w:sz="0" w:space="0" w:color="auto"/>
                    <w:right w:val="none" w:sz="0" w:space="0" w:color="auto"/>
                  </w:divBdr>
                  <w:divsChild>
                    <w:div w:id="1279025191">
                      <w:marLeft w:val="0"/>
                      <w:marRight w:val="0"/>
                      <w:marTop w:val="0"/>
                      <w:marBottom w:val="0"/>
                      <w:divBdr>
                        <w:top w:val="none" w:sz="0" w:space="0" w:color="auto"/>
                        <w:left w:val="none" w:sz="0" w:space="0" w:color="auto"/>
                        <w:bottom w:val="none" w:sz="0" w:space="0" w:color="auto"/>
                        <w:right w:val="none" w:sz="0" w:space="0" w:color="auto"/>
                      </w:divBdr>
                    </w:div>
                  </w:divsChild>
                </w:div>
                <w:div w:id="1393193002">
                  <w:marLeft w:val="0"/>
                  <w:marRight w:val="0"/>
                  <w:marTop w:val="0"/>
                  <w:marBottom w:val="0"/>
                  <w:divBdr>
                    <w:top w:val="none" w:sz="0" w:space="0" w:color="auto"/>
                    <w:left w:val="none" w:sz="0" w:space="0" w:color="auto"/>
                    <w:bottom w:val="none" w:sz="0" w:space="0" w:color="auto"/>
                    <w:right w:val="none" w:sz="0" w:space="0" w:color="auto"/>
                  </w:divBdr>
                  <w:divsChild>
                    <w:div w:id="208614492">
                      <w:marLeft w:val="0"/>
                      <w:marRight w:val="0"/>
                      <w:marTop w:val="0"/>
                      <w:marBottom w:val="0"/>
                      <w:divBdr>
                        <w:top w:val="none" w:sz="0" w:space="0" w:color="auto"/>
                        <w:left w:val="none" w:sz="0" w:space="0" w:color="auto"/>
                        <w:bottom w:val="none" w:sz="0" w:space="0" w:color="auto"/>
                        <w:right w:val="none" w:sz="0" w:space="0" w:color="auto"/>
                      </w:divBdr>
                    </w:div>
                  </w:divsChild>
                </w:div>
                <w:div w:id="1429538648">
                  <w:marLeft w:val="0"/>
                  <w:marRight w:val="0"/>
                  <w:marTop w:val="0"/>
                  <w:marBottom w:val="0"/>
                  <w:divBdr>
                    <w:top w:val="none" w:sz="0" w:space="0" w:color="auto"/>
                    <w:left w:val="none" w:sz="0" w:space="0" w:color="auto"/>
                    <w:bottom w:val="none" w:sz="0" w:space="0" w:color="auto"/>
                    <w:right w:val="none" w:sz="0" w:space="0" w:color="auto"/>
                  </w:divBdr>
                  <w:divsChild>
                    <w:div w:id="514000145">
                      <w:marLeft w:val="0"/>
                      <w:marRight w:val="0"/>
                      <w:marTop w:val="0"/>
                      <w:marBottom w:val="0"/>
                      <w:divBdr>
                        <w:top w:val="none" w:sz="0" w:space="0" w:color="auto"/>
                        <w:left w:val="none" w:sz="0" w:space="0" w:color="auto"/>
                        <w:bottom w:val="none" w:sz="0" w:space="0" w:color="auto"/>
                        <w:right w:val="none" w:sz="0" w:space="0" w:color="auto"/>
                      </w:divBdr>
                    </w:div>
                  </w:divsChild>
                </w:div>
                <w:div w:id="1562863559">
                  <w:marLeft w:val="0"/>
                  <w:marRight w:val="0"/>
                  <w:marTop w:val="0"/>
                  <w:marBottom w:val="0"/>
                  <w:divBdr>
                    <w:top w:val="none" w:sz="0" w:space="0" w:color="auto"/>
                    <w:left w:val="none" w:sz="0" w:space="0" w:color="auto"/>
                    <w:bottom w:val="none" w:sz="0" w:space="0" w:color="auto"/>
                    <w:right w:val="none" w:sz="0" w:space="0" w:color="auto"/>
                  </w:divBdr>
                  <w:divsChild>
                    <w:div w:id="494536029">
                      <w:marLeft w:val="0"/>
                      <w:marRight w:val="0"/>
                      <w:marTop w:val="0"/>
                      <w:marBottom w:val="0"/>
                      <w:divBdr>
                        <w:top w:val="none" w:sz="0" w:space="0" w:color="auto"/>
                        <w:left w:val="none" w:sz="0" w:space="0" w:color="auto"/>
                        <w:bottom w:val="none" w:sz="0" w:space="0" w:color="auto"/>
                        <w:right w:val="none" w:sz="0" w:space="0" w:color="auto"/>
                      </w:divBdr>
                    </w:div>
                  </w:divsChild>
                </w:div>
                <w:div w:id="1615166998">
                  <w:marLeft w:val="0"/>
                  <w:marRight w:val="0"/>
                  <w:marTop w:val="0"/>
                  <w:marBottom w:val="0"/>
                  <w:divBdr>
                    <w:top w:val="none" w:sz="0" w:space="0" w:color="auto"/>
                    <w:left w:val="none" w:sz="0" w:space="0" w:color="auto"/>
                    <w:bottom w:val="none" w:sz="0" w:space="0" w:color="auto"/>
                    <w:right w:val="none" w:sz="0" w:space="0" w:color="auto"/>
                  </w:divBdr>
                  <w:divsChild>
                    <w:div w:id="1891115396">
                      <w:marLeft w:val="0"/>
                      <w:marRight w:val="0"/>
                      <w:marTop w:val="0"/>
                      <w:marBottom w:val="0"/>
                      <w:divBdr>
                        <w:top w:val="none" w:sz="0" w:space="0" w:color="auto"/>
                        <w:left w:val="none" w:sz="0" w:space="0" w:color="auto"/>
                        <w:bottom w:val="none" w:sz="0" w:space="0" w:color="auto"/>
                        <w:right w:val="none" w:sz="0" w:space="0" w:color="auto"/>
                      </w:divBdr>
                    </w:div>
                  </w:divsChild>
                </w:div>
                <w:div w:id="1626079620">
                  <w:marLeft w:val="0"/>
                  <w:marRight w:val="0"/>
                  <w:marTop w:val="0"/>
                  <w:marBottom w:val="0"/>
                  <w:divBdr>
                    <w:top w:val="none" w:sz="0" w:space="0" w:color="auto"/>
                    <w:left w:val="none" w:sz="0" w:space="0" w:color="auto"/>
                    <w:bottom w:val="none" w:sz="0" w:space="0" w:color="auto"/>
                    <w:right w:val="none" w:sz="0" w:space="0" w:color="auto"/>
                  </w:divBdr>
                  <w:divsChild>
                    <w:div w:id="180625643">
                      <w:marLeft w:val="0"/>
                      <w:marRight w:val="0"/>
                      <w:marTop w:val="0"/>
                      <w:marBottom w:val="0"/>
                      <w:divBdr>
                        <w:top w:val="none" w:sz="0" w:space="0" w:color="auto"/>
                        <w:left w:val="none" w:sz="0" w:space="0" w:color="auto"/>
                        <w:bottom w:val="none" w:sz="0" w:space="0" w:color="auto"/>
                        <w:right w:val="none" w:sz="0" w:space="0" w:color="auto"/>
                      </w:divBdr>
                    </w:div>
                  </w:divsChild>
                </w:div>
                <w:div w:id="1806702857">
                  <w:marLeft w:val="0"/>
                  <w:marRight w:val="0"/>
                  <w:marTop w:val="0"/>
                  <w:marBottom w:val="0"/>
                  <w:divBdr>
                    <w:top w:val="none" w:sz="0" w:space="0" w:color="auto"/>
                    <w:left w:val="none" w:sz="0" w:space="0" w:color="auto"/>
                    <w:bottom w:val="none" w:sz="0" w:space="0" w:color="auto"/>
                    <w:right w:val="none" w:sz="0" w:space="0" w:color="auto"/>
                  </w:divBdr>
                  <w:divsChild>
                    <w:div w:id="924000091">
                      <w:marLeft w:val="0"/>
                      <w:marRight w:val="0"/>
                      <w:marTop w:val="0"/>
                      <w:marBottom w:val="0"/>
                      <w:divBdr>
                        <w:top w:val="none" w:sz="0" w:space="0" w:color="auto"/>
                        <w:left w:val="none" w:sz="0" w:space="0" w:color="auto"/>
                        <w:bottom w:val="none" w:sz="0" w:space="0" w:color="auto"/>
                        <w:right w:val="none" w:sz="0" w:space="0" w:color="auto"/>
                      </w:divBdr>
                    </w:div>
                  </w:divsChild>
                </w:div>
                <w:div w:id="2137213000">
                  <w:marLeft w:val="0"/>
                  <w:marRight w:val="0"/>
                  <w:marTop w:val="0"/>
                  <w:marBottom w:val="0"/>
                  <w:divBdr>
                    <w:top w:val="none" w:sz="0" w:space="0" w:color="auto"/>
                    <w:left w:val="none" w:sz="0" w:space="0" w:color="auto"/>
                    <w:bottom w:val="none" w:sz="0" w:space="0" w:color="auto"/>
                    <w:right w:val="none" w:sz="0" w:space="0" w:color="auto"/>
                  </w:divBdr>
                  <w:divsChild>
                    <w:div w:id="213995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120820">
          <w:marLeft w:val="0"/>
          <w:marRight w:val="0"/>
          <w:marTop w:val="0"/>
          <w:marBottom w:val="0"/>
          <w:divBdr>
            <w:top w:val="none" w:sz="0" w:space="0" w:color="auto"/>
            <w:left w:val="none" w:sz="0" w:space="0" w:color="auto"/>
            <w:bottom w:val="none" w:sz="0" w:space="0" w:color="auto"/>
            <w:right w:val="none" w:sz="0" w:space="0" w:color="auto"/>
          </w:divBdr>
        </w:div>
        <w:div w:id="387800430">
          <w:marLeft w:val="0"/>
          <w:marRight w:val="0"/>
          <w:marTop w:val="0"/>
          <w:marBottom w:val="0"/>
          <w:divBdr>
            <w:top w:val="none" w:sz="0" w:space="0" w:color="auto"/>
            <w:left w:val="none" w:sz="0" w:space="0" w:color="auto"/>
            <w:bottom w:val="none" w:sz="0" w:space="0" w:color="auto"/>
            <w:right w:val="none" w:sz="0" w:space="0" w:color="auto"/>
          </w:divBdr>
        </w:div>
        <w:div w:id="397094205">
          <w:marLeft w:val="0"/>
          <w:marRight w:val="0"/>
          <w:marTop w:val="0"/>
          <w:marBottom w:val="0"/>
          <w:divBdr>
            <w:top w:val="none" w:sz="0" w:space="0" w:color="auto"/>
            <w:left w:val="none" w:sz="0" w:space="0" w:color="auto"/>
            <w:bottom w:val="none" w:sz="0" w:space="0" w:color="auto"/>
            <w:right w:val="none" w:sz="0" w:space="0" w:color="auto"/>
          </w:divBdr>
        </w:div>
        <w:div w:id="421948945">
          <w:marLeft w:val="0"/>
          <w:marRight w:val="0"/>
          <w:marTop w:val="0"/>
          <w:marBottom w:val="0"/>
          <w:divBdr>
            <w:top w:val="none" w:sz="0" w:space="0" w:color="auto"/>
            <w:left w:val="none" w:sz="0" w:space="0" w:color="auto"/>
            <w:bottom w:val="none" w:sz="0" w:space="0" w:color="auto"/>
            <w:right w:val="none" w:sz="0" w:space="0" w:color="auto"/>
          </w:divBdr>
        </w:div>
        <w:div w:id="431783491">
          <w:marLeft w:val="0"/>
          <w:marRight w:val="0"/>
          <w:marTop w:val="0"/>
          <w:marBottom w:val="0"/>
          <w:divBdr>
            <w:top w:val="none" w:sz="0" w:space="0" w:color="auto"/>
            <w:left w:val="none" w:sz="0" w:space="0" w:color="auto"/>
            <w:bottom w:val="none" w:sz="0" w:space="0" w:color="auto"/>
            <w:right w:val="none" w:sz="0" w:space="0" w:color="auto"/>
          </w:divBdr>
        </w:div>
        <w:div w:id="475294655">
          <w:marLeft w:val="0"/>
          <w:marRight w:val="0"/>
          <w:marTop w:val="0"/>
          <w:marBottom w:val="0"/>
          <w:divBdr>
            <w:top w:val="none" w:sz="0" w:space="0" w:color="auto"/>
            <w:left w:val="none" w:sz="0" w:space="0" w:color="auto"/>
            <w:bottom w:val="none" w:sz="0" w:space="0" w:color="auto"/>
            <w:right w:val="none" w:sz="0" w:space="0" w:color="auto"/>
          </w:divBdr>
        </w:div>
        <w:div w:id="508448178">
          <w:marLeft w:val="0"/>
          <w:marRight w:val="0"/>
          <w:marTop w:val="0"/>
          <w:marBottom w:val="0"/>
          <w:divBdr>
            <w:top w:val="none" w:sz="0" w:space="0" w:color="auto"/>
            <w:left w:val="none" w:sz="0" w:space="0" w:color="auto"/>
            <w:bottom w:val="none" w:sz="0" w:space="0" w:color="auto"/>
            <w:right w:val="none" w:sz="0" w:space="0" w:color="auto"/>
          </w:divBdr>
        </w:div>
        <w:div w:id="533808515">
          <w:marLeft w:val="0"/>
          <w:marRight w:val="0"/>
          <w:marTop w:val="0"/>
          <w:marBottom w:val="0"/>
          <w:divBdr>
            <w:top w:val="none" w:sz="0" w:space="0" w:color="auto"/>
            <w:left w:val="none" w:sz="0" w:space="0" w:color="auto"/>
            <w:bottom w:val="none" w:sz="0" w:space="0" w:color="auto"/>
            <w:right w:val="none" w:sz="0" w:space="0" w:color="auto"/>
          </w:divBdr>
        </w:div>
        <w:div w:id="547186085">
          <w:marLeft w:val="0"/>
          <w:marRight w:val="0"/>
          <w:marTop w:val="0"/>
          <w:marBottom w:val="0"/>
          <w:divBdr>
            <w:top w:val="none" w:sz="0" w:space="0" w:color="auto"/>
            <w:left w:val="none" w:sz="0" w:space="0" w:color="auto"/>
            <w:bottom w:val="none" w:sz="0" w:space="0" w:color="auto"/>
            <w:right w:val="none" w:sz="0" w:space="0" w:color="auto"/>
          </w:divBdr>
        </w:div>
        <w:div w:id="595288611">
          <w:marLeft w:val="0"/>
          <w:marRight w:val="0"/>
          <w:marTop w:val="0"/>
          <w:marBottom w:val="0"/>
          <w:divBdr>
            <w:top w:val="none" w:sz="0" w:space="0" w:color="auto"/>
            <w:left w:val="none" w:sz="0" w:space="0" w:color="auto"/>
            <w:bottom w:val="none" w:sz="0" w:space="0" w:color="auto"/>
            <w:right w:val="none" w:sz="0" w:space="0" w:color="auto"/>
          </w:divBdr>
        </w:div>
        <w:div w:id="597517881">
          <w:marLeft w:val="0"/>
          <w:marRight w:val="0"/>
          <w:marTop w:val="0"/>
          <w:marBottom w:val="0"/>
          <w:divBdr>
            <w:top w:val="none" w:sz="0" w:space="0" w:color="auto"/>
            <w:left w:val="none" w:sz="0" w:space="0" w:color="auto"/>
            <w:bottom w:val="none" w:sz="0" w:space="0" w:color="auto"/>
            <w:right w:val="none" w:sz="0" w:space="0" w:color="auto"/>
          </w:divBdr>
        </w:div>
        <w:div w:id="603615475">
          <w:marLeft w:val="0"/>
          <w:marRight w:val="0"/>
          <w:marTop w:val="0"/>
          <w:marBottom w:val="0"/>
          <w:divBdr>
            <w:top w:val="none" w:sz="0" w:space="0" w:color="auto"/>
            <w:left w:val="none" w:sz="0" w:space="0" w:color="auto"/>
            <w:bottom w:val="none" w:sz="0" w:space="0" w:color="auto"/>
            <w:right w:val="none" w:sz="0" w:space="0" w:color="auto"/>
          </w:divBdr>
        </w:div>
        <w:div w:id="618797295">
          <w:marLeft w:val="0"/>
          <w:marRight w:val="0"/>
          <w:marTop w:val="0"/>
          <w:marBottom w:val="0"/>
          <w:divBdr>
            <w:top w:val="none" w:sz="0" w:space="0" w:color="auto"/>
            <w:left w:val="none" w:sz="0" w:space="0" w:color="auto"/>
            <w:bottom w:val="none" w:sz="0" w:space="0" w:color="auto"/>
            <w:right w:val="none" w:sz="0" w:space="0" w:color="auto"/>
          </w:divBdr>
        </w:div>
        <w:div w:id="630861367">
          <w:marLeft w:val="0"/>
          <w:marRight w:val="0"/>
          <w:marTop w:val="0"/>
          <w:marBottom w:val="0"/>
          <w:divBdr>
            <w:top w:val="none" w:sz="0" w:space="0" w:color="auto"/>
            <w:left w:val="none" w:sz="0" w:space="0" w:color="auto"/>
            <w:bottom w:val="none" w:sz="0" w:space="0" w:color="auto"/>
            <w:right w:val="none" w:sz="0" w:space="0" w:color="auto"/>
          </w:divBdr>
        </w:div>
        <w:div w:id="644356380">
          <w:marLeft w:val="0"/>
          <w:marRight w:val="0"/>
          <w:marTop w:val="0"/>
          <w:marBottom w:val="0"/>
          <w:divBdr>
            <w:top w:val="none" w:sz="0" w:space="0" w:color="auto"/>
            <w:left w:val="none" w:sz="0" w:space="0" w:color="auto"/>
            <w:bottom w:val="none" w:sz="0" w:space="0" w:color="auto"/>
            <w:right w:val="none" w:sz="0" w:space="0" w:color="auto"/>
          </w:divBdr>
        </w:div>
        <w:div w:id="661391668">
          <w:marLeft w:val="0"/>
          <w:marRight w:val="0"/>
          <w:marTop w:val="0"/>
          <w:marBottom w:val="0"/>
          <w:divBdr>
            <w:top w:val="none" w:sz="0" w:space="0" w:color="auto"/>
            <w:left w:val="none" w:sz="0" w:space="0" w:color="auto"/>
            <w:bottom w:val="none" w:sz="0" w:space="0" w:color="auto"/>
            <w:right w:val="none" w:sz="0" w:space="0" w:color="auto"/>
          </w:divBdr>
        </w:div>
        <w:div w:id="671100795">
          <w:marLeft w:val="0"/>
          <w:marRight w:val="0"/>
          <w:marTop w:val="0"/>
          <w:marBottom w:val="0"/>
          <w:divBdr>
            <w:top w:val="none" w:sz="0" w:space="0" w:color="auto"/>
            <w:left w:val="none" w:sz="0" w:space="0" w:color="auto"/>
            <w:bottom w:val="none" w:sz="0" w:space="0" w:color="auto"/>
            <w:right w:val="none" w:sz="0" w:space="0" w:color="auto"/>
          </w:divBdr>
        </w:div>
        <w:div w:id="724371063">
          <w:marLeft w:val="0"/>
          <w:marRight w:val="0"/>
          <w:marTop w:val="0"/>
          <w:marBottom w:val="0"/>
          <w:divBdr>
            <w:top w:val="none" w:sz="0" w:space="0" w:color="auto"/>
            <w:left w:val="none" w:sz="0" w:space="0" w:color="auto"/>
            <w:bottom w:val="none" w:sz="0" w:space="0" w:color="auto"/>
            <w:right w:val="none" w:sz="0" w:space="0" w:color="auto"/>
          </w:divBdr>
        </w:div>
        <w:div w:id="780808710">
          <w:marLeft w:val="0"/>
          <w:marRight w:val="0"/>
          <w:marTop w:val="0"/>
          <w:marBottom w:val="0"/>
          <w:divBdr>
            <w:top w:val="none" w:sz="0" w:space="0" w:color="auto"/>
            <w:left w:val="none" w:sz="0" w:space="0" w:color="auto"/>
            <w:bottom w:val="none" w:sz="0" w:space="0" w:color="auto"/>
            <w:right w:val="none" w:sz="0" w:space="0" w:color="auto"/>
          </w:divBdr>
        </w:div>
        <w:div w:id="785546627">
          <w:marLeft w:val="0"/>
          <w:marRight w:val="0"/>
          <w:marTop w:val="0"/>
          <w:marBottom w:val="0"/>
          <w:divBdr>
            <w:top w:val="none" w:sz="0" w:space="0" w:color="auto"/>
            <w:left w:val="none" w:sz="0" w:space="0" w:color="auto"/>
            <w:bottom w:val="none" w:sz="0" w:space="0" w:color="auto"/>
            <w:right w:val="none" w:sz="0" w:space="0" w:color="auto"/>
          </w:divBdr>
        </w:div>
        <w:div w:id="888111047">
          <w:marLeft w:val="0"/>
          <w:marRight w:val="0"/>
          <w:marTop w:val="0"/>
          <w:marBottom w:val="0"/>
          <w:divBdr>
            <w:top w:val="none" w:sz="0" w:space="0" w:color="auto"/>
            <w:left w:val="none" w:sz="0" w:space="0" w:color="auto"/>
            <w:bottom w:val="none" w:sz="0" w:space="0" w:color="auto"/>
            <w:right w:val="none" w:sz="0" w:space="0" w:color="auto"/>
          </w:divBdr>
        </w:div>
        <w:div w:id="916213080">
          <w:marLeft w:val="0"/>
          <w:marRight w:val="0"/>
          <w:marTop w:val="0"/>
          <w:marBottom w:val="0"/>
          <w:divBdr>
            <w:top w:val="none" w:sz="0" w:space="0" w:color="auto"/>
            <w:left w:val="none" w:sz="0" w:space="0" w:color="auto"/>
            <w:bottom w:val="none" w:sz="0" w:space="0" w:color="auto"/>
            <w:right w:val="none" w:sz="0" w:space="0" w:color="auto"/>
          </w:divBdr>
        </w:div>
        <w:div w:id="962266834">
          <w:marLeft w:val="0"/>
          <w:marRight w:val="0"/>
          <w:marTop w:val="0"/>
          <w:marBottom w:val="0"/>
          <w:divBdr>
            <w:top w:val="none" w:sz="0" w:space="0" w:color="auto"/>
            <w:left w:val="none" w:sz="0" w:space="0" w:color="auto"/>
            <w:bottom w:val="none" w:sz="0" w:space="0" w:color="auto"/>
            <w:right w:val="none" w:sz="0" w:space="0" w:color="auto"/>
          </w:divBdr>
          <w:divsChild>
            <w:div w:id="1610813829">
              <w:marLeft w:val="-75"/>
              <w:marRight w:val="0"/>
              <w:marTop w:val="30"/>
              <w:marBottom w:val="30"/>
              <w:divBdr>
                <w:top w:val="none" w:sz="0" w:space="0" w:color="auto"/>
                <w:left w:val="none" w:sz="0" w:space="0" w:color="auto"/>
                <w:bottom w:val="none" w:sz="0" w:space="0" w:color="auto"/>
                <w:right w:val="none" w:sz="0" w:space="0" w:color="auto"/>
              </w:divBdr>
              <w:divsChild>
                <w:div w:id="21513633">
                  <w:marLeft w:val="0"/>
                  <w:marRight w:val="0"/>
                  <w:marTop w:val="0"/>
                  <w:marBottom w:val="0"/>
                  <w:divBdr>
                    <w:top w:val="none" w:sz="0" w:space="0" w:color="auto"/>
                    <w:left w:val="none" w:sz="0" w:space="0" w:color="auto"/>
                    <w:bottom w:val="none" w:sz="0" w:space="0" w:color="auto"/>
                    <w:right w:val="none" w:sz="0" w:space="0" w:color="auto"/>
                  </w:divBdr>
                  <w:divsChild>
                    <w:div w:id="2013289301">
                      <w:marLeft w:val="0"/>
                      <w:marRight w:val="0"/>
                      <w:marTop w:val="0"/>
                      <w:marBottom w:val="0"/>
                      <w:divBdr>
                        <w:top w:val="none" w:sz="0" w:space="0" w:color="auto"/>
                        <w:left w:val="none" w:sz="0" w:space="0" w:color="auto"/>
                        <w:bottom w:val="none" w:sz="0" w:space="0" w:color="auto"/>
                        <w:right w:val="none" w:sz="0" w:space="0" w:color="auto"/>
                      </w:divBdr>
                    </w:div>
                  </w:divsChild>
                </w:div>
                <w:div w:id="295989780">
                  <w:marLeft w:val="0"/>
                  <w:marRight w:val="0"/>
                  <w:marTop w:val="0"/>
                  <w:marBottom w:val="0"/>
                  <w:divBdr>
                    <w:top w:val="none" w:sz="0" w:space="0" w:color="auto"/>
                    <w:left w:val="none" w:sz="0" w:space="0" w:color="auto"/>
                    <w:bottom w:val="none" w:sz="0" w:space="0" w:color="auto"/>
                    <w:right w:val="none" w:sz="0" w:space="0" w:color="auto"/>
                  </w:divBdr>
                  <w:divsChild>
                    <w:div w:id="887301960">
                      <w:marLeft w:val="0"/>
                      <w:marRight w:val="0"/>
                      <w:marTop w:val="0"/>
                      <w:marBottom w:val="0"/>
                      <w:divBdr>
                        <w:top w:val="none" w:sz="0" w:space="0" w:color="auto"/>
                        <w:left w:val="none" w:sz="0" w:space="0" w:color="auto"/>
                        <w:bottom w:val="none" w:sz="0" w:space="0" w:color="auto"/>
                        <w:right w:val="none" w:sz="0" w:space="0" w:color="auto"/>
                      </w:divBdr>
                    </w:div>
                  </w:divsChild>
                </w:div>
                <w:div w:id="423258816">
                  <w:marLeft w:val="0"/>
                  <w:marRight w:val="0"/>
                  <w:marTop w:val="0"/>
                  <w:marBottom w:val="0"/>
                  <w:divBdr>
                    <w:top w:val="none" w:sz="0" w:space="0" w:color="auto"/>
                    <w:left w:val="none" w:sz="0" w:space="0" w:color="auto"/>
                    <w:bottom w:val="none" w:sz="0" w:space="0" w:color="auto"/>
                    <w:right w:val="none" w:sz="0" w:space="0" w:color="auto"/>
                  </w:divBdr>
                  <w:divsChild>
                    <w:div w:id="1953244323">
                      <w:marLeft w:val="0"/>
                      <w:marRight w:val="0"/>
                      <w:marTop w:val="0"/>
                      <w:marBottom w:val="0"/>
                      <w:divBdr>
                        <w:top w:val="none" w:sz="0" w:space="0" w:color="auto"/>
                        <w:left w:val="none" w:sz="0" w:space="0" w:color="auto"/>
                        <w:bottom w:val="none" w:sz="0" w:space="0" w:color="auto"/>
                        <w:right w:val="none" w:sz="0" w:space="0" w:color="auto"/>
                      </w:divBdr>
                    </w:div>
                  </w:divsChild>
                </w:div>
                <w:div w:id="589660047">
                  <w:marLeft w:val="0"/>
                  <w:marRight w:val="0"/>
                  <w:marTop w:val="0"/>
                  <w:marBottom w:val="0"/>
                  <w:divBdr>
                    <w:top w:val="none" w:sz="0" w:space="0" w:color="auto"/>
                    <w:left w:val="none" w:sz="0" w:space="0" w:color="auto"/>
                    <w:bottom w:val="none" w:sz="0" w:space="0" w:color="auto"/>
                    <w:right w:val="none" w:sz="0" w:space="0" w:color="auto"/>
                  </w:divBdr>
                  <w:divsChild>
                    <w:div w:id="1216165379">
                      <w:marLeft w:val="0"/>
                      <w:marRight w:val="0"/>
                      <w:marTop w:val="0"/>
                      <w:marBottom w:val="0"/>
                      <w:divBdr>
                        <w:top w:val="none" w:sz="0" w:space="0" w:color="auto"/>
                        <w:left w:val="none" w:sz="0" w:space="0" w:color="auto"/>
                        <w:bottom w:val="none" w:sz="0" w:space="0" w:color="auto"/>
                        <w:right w:val="none" w:sz="0" w:space="0" w:color="auto"/>
                      </w:divBdr>
                    </w:div>
                  </w:divsChild>
                </w:div>
                <w:div w:id="827286793">
                  <w:marLeft w:val="0"/>
                  <w:marRight w:val="0"/>
                  <w:marTop w:val="0"/>
                  <w:marBottom w:val="0"/>
                  <w:divBdr>
                    <w:top w:val="none" w:sz="0" w:space="0" w:color="auto"/>
                    <w:left w:val="none" w:sz="0" w:space="0" w:color="auto"/>
                    <w:bottom w:val="none" w:sz="0" w:space="0" w:color="auto"/>
                    <w:right w:val="none" w:sz="0" w:space="0" w:color="auto"/>
                  </w:divBdr>
                  <w:divsChild>
                    <w:div w:id="361563064">
                      <w:marLeft w:val="0"/>
                      <w:marRight w:val="0"/>
                      <w:marTop w:val="0"/>
                      <w:marBottom w:val="0"/>
                      <w:divBdr>
                        <w:top w:val="none" w:sz="0" w:space="0" w:color="auto"/>
                        <w:left w:val="none" w:sz="0" w:space="0" w:color="auto"/>
                        <w:bottom w:val="none" w:sz="0" w:space="0" w:color="auto"/>
                        <w:right w:val="none" w:sz="0" w:space="0" w:color="auto"/>
                      </w:divBdr>
                    </w:div>
                  </w:divsChild>
                </w:div>
                <w:div w:id="932855790">
                  <w:marLeft w:val="0"/>
                  <w:marRight w:val="0"/>
                  <w:marTop w:val="0"/>
                  <w:marBottom w:val="0"/>
                  <w:divBdr>
                    <w:top w:val="none" w:sz="0" w:space="0" w:color="auto"/>
                    <w:left w:val="none" w:sz="0" w:space="0" w:color="auto"/>
                    <w:bottom w:val="none" w:sz="0" w:space="0" w:color="auto"/>
                    <w:right w:val="none" w:sz="0" w:space="0" w:color="auto"/>
                  </w:divBdr>
                  <w:divsChild>
                    <w:div w:id="648245931">
                      <w:marLeft w:val="0"/>
                      <w:marRight w:val="0"/>
                      <w:marTop w:val="0"/>
                      <w:marBottom w:val="0"/>
                      <w:divBdr>
                        <w:top w:val="none" w:sz="0" w:space="0" w:color="auto"/>
                        <w:left w:val="none" w:sz="0" w:space="0" w:color="auto"/>
                        <w:bottom w:val="none" w:sz="0" w:space="0" w:color="auto"/>
                        <w:right w:val="none" w:sz="0" w:space="0" w:color="auto"/>
                      </w:divBdr>
                    </w:div>
                  </w:divsChild>
                </w:div>
                <w:div w:id="1109351153">
                  <w:marLeft w:val="0"/>
                  <w:marRight w:val="0"/>
                  <w:marTop w:val="0"/>
                  <w:marBottom w:val="0"/>
                  <w:divBdr>
                    <w:top w:val="none" w:sz="0" w:space="0" w:color="auto"/>
                    <w:left w:val="none" w:sz="0" w:space="0" w:color="auto"/>
                    <w:bottom w:val="none" w:sz="0" w:space="0" w:color="auto"/>
                    <w:right w:val="none" w:sz="0" w:space="0" w:color="auto"/>
                  </w:divBdr>
                  <w:divsChild>
                    <w:div w:id="1331719914">
                      <w:marLeft w:val="0"/>
                      <w:marRight w:val="0"/>
                      <w:marTop w:val="0"/>
                      <w:marBottom w:val="0"/>
                      <w:divBdr>
                        <w:top w:val="none" w:sz="0" w:space="0" w:color="auto"/>
                        <w:left w:val="none" w:sz="0" w:space="0" w:color="auto"/>
                        <w:bottom w:val="none" w:sz="0" w:space="0" w:color="auto"/>
                        <w:right w:val="none" w:sz="0" w:space="0" w:color="auto"/>
                      </w:divBdr>
                    </w:div>
                  </w:divsChild>
                </w:div>
                <w:div w:id="1459909092">
                  <w:marLeft w:val="0"/>
                  <w:marRight w:val="0"/>
                  <w:marTop w:val="0"/>
                  <w:marBottom w:val="0"/>
                  <w:divBdr>
                    <w:top w:val="none" w:sz="0" w:space="0" w:color="auto"/>
                    <w:left w:val="none" w:sz="0" w:space="0" w:color="auto"/>
                    <w:bottom w:val="none" w:sz="0" w:space="0" w:color="auto"/>
                    <w:right w:val="none" w:sz="0" w:space="0" w:color="auto"/>
                  </w:divBdr>
                  <w:divsChild>
                    <w:div w:id="96602171">
                      <w:marLeft w:val="0"/>
                      <w:marRight w:val="0"/>
                      <w:marTop w:val="0"/>
                      <w:marBottom w:val="0"/>
                      <w:divBdr>
                        <w:top w:val="none" w:sz="0" w:space="0" w:color="auto"/>
                        <w:left w:val="none" w:sz="0" w:space="0" w:color="auto"/>
                        <w:bottom w:val="none" w:sz="0" w:space="0" w:color="auto"/>
                        <w:right w:val="none" w:sz="0" w:space="0" w:color="auto"/>
                      </w:divBdr>
                    </w:div>
                  </w:divsChild>
                </w:div>
                <w:div w:id="2020808435">
                  <w:marLeft w:val="0"/>
                  <w:marRight w:val="0"/>
                  <w:marTop w:val="0"/>
                  <w:marBottom w:val="0"/>
                  <w:divBdr>
                    <w:top w:val="none" w:sz="0" w:space="0" w:color="auto"/>
                    <w:left w:val="none" w:sz="0" w:space="0" w:color="auto"/>
                    <w:bottom w:val="none" w:sz="0" w:space="0" w:color="auto"/>
                    <w:right w:val="none" w:sz="0" w:space="0" w:color="auto"/>
                  </w:divBdr>
                  <w:divsChild>
                    <w:div w:id="198188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207919">
          <w:marLeft w:val="0"/>
          <w:marRight w:val="0"/>
          <w:marTop w:val="0"/>
          <w:marBottom w:val="0"/>
          <w:divBdr>
            <w:top w:val="none" w:sz="0" w:space="0" w:color="auto"/>
            <w:left w:val="none" w:sz="0" w:space="0" w:color="auto"/>
            <w:bottom w:val="none" w:sz="0" w:space="0" w:color="auto"/>
            <w:right w:val="none" w:sz="0" w:space="0" w:color="auto"/>
          </w:divBdr>
        </w:div>
        <w:div w:id="983511006">
          <w:marLeft w:val="0"/>
          <w:marRight w:val="0"/>
          <w:marTop w:val="0"/>
          <w:marBottom w:val="0"/>
          <w:divBdr>
            <w:top w:val="none" w:sz="0" w:space="0" w:color="auto"/>
            <w:left w:val="none" w:sz="0" w:space="0" w:color="auto"/>
            <w:bottom w:val="none" w:sz="0" w:space="0" w:color="auto"/>
            <w:right w:val="none" w:sz="0" w:space="0" w:color="auto"/>
          </w:divBdr>
        </w:div>
        <w:div w:id="991329362">
          <w:marLeft w:val="0"/>
          <w:marRight w:val="0"/>
          <w:marTop w:val="0"/>
          <w:marBottom w:val="0"/>
          <w:divBdr>
            <w:top w:val="none" w:sz="0" w:space="0" w:color="auto"/>
            <w:left w:val="none" w:sz="0" w:space="0" w:color="auto"/>
            <w:bottom w:val="none" w:sz="0" w:space="0" w:color="auto"/>
            <w:right w:val="none" w:sz="0" w:space="0" w:color="auto"/>
          </w:divBdr>
          <w:divsChild>
            <w:div w:id="475025622">
              <w:marLeft w:val="-75"/>
              <w:marRight w:val="0"/>
              <w:marTop w:val="30"/>
              <w:marBottom w:val="30"/>
              <w:divBdr>
                <w:top w:val="none" w:sz="0" w:space="0" w:color="auto"/>
                <w:left w:val="none" w:sz="0" w:space="0" w:color="auto"/>
                <w:bottom w:val="none" w:sz="0" w:space="0" w:color="auto"/>
                <w:right w:val="none" w:sz="0" w:space="0" w:color="auto"/>
              </w:divBdr>
              <w:divsChild>
                <w:div w:id="60762956">
                  <w:marLeft w:val="0"/>
                  <w:marRight w:val="0"/>
                  <w:marTop w:val="0"/>
                  <w:marBottom w:val="0"/>
                  <w:divBdr>
                    <w:top w:val="none" w:sz="0" w:space="0" w:color="auto"/>
                    <w:left w:val="none" w:sz="0" w:space="0" w:color="auto"/>
                    <w:bottom w:val="none" w:sz="0" w:space="0" w:color="auto"/>
                    <w:right w:val="none" w:sz="0" w:space="0" w:color="auto"/>
                  </w:divBdr>
                  <w:divsChild>
                    <w:div w:id="901252416">
                      <w:marLeft w:val="0"/>
                      <w:marRight w:val="0"/>
                      <w:marTop w:val="0"/>
                      <w:marBottom w:val="0"/>
                      <w:divBdr>
                        <w:top w:val="none" w:sz="0" w:space="0" w:color="auto"/>
                        <w:left w:val="none" w:sz="0" w:space="0" w:color="auto"/>
                        <w:bottom w:val="none" w:sz="0" w:space="0" w:color="auto"/>
                        <w:right w:val="none" w:sz="0" w:space="0" w:color="auto"/>
                      </w:divBdr>
                    </w:div>
                  </w:divsChild>
                </w:div>
                <w:div w:id="67311131">
                  <w:marLeft w:val="0"/>
                  <w:marRight w:val="0"/>
                  <w:marTop w:val="0"/>
                  <w:marBottom w:val="0"/>
                  <w:divBdr>
                    <w:top w:val="none" w:sz="0" w:space="0" w:color="auto"/>
                    <w:left w:val="none" w:sz="0" w:space="0" w:color="auto"/>
                    <w:bottom w:val="none" w:sz="0" w:space="0" w:color="auto"/>
                    <w:right w:val="none" w:sz="0" w:space="0" w:color="auto"/>
                  </w:divBdr>
                  <w:divsChild>
                    <w:div w:id="1441296559">
                      <w:marLeft w:val="0"/>
                      <w:marRight w:val="0"/>
                      <w:marTop w:val="0"/>
                      <w:marBottom w:val="0"/>
                      <w:divBdr>
                        <w:top w:val="none" w:sz="0" w:space="0" w:color="auto"/>
                        <w:left w:val="none" w:sz="0" w:space="0" w:color="auto"/>
                        <w:bottom w:val="none" w:sz="0" w:space="0" w:color="auto"/>
                        <w:right w:val="none" w:sz="0" w:space="0" w:color="auto"/>
                      </w:divBdr>
                    </w:div>
                  </w:divsChild>
                </w:div>
                <w:div w:id="120804479">
                  <w:marLeft w:val="0"/>
                  <w:marRight w:val="0"/>
                  <w:marTop w:val="0"/>
                  <w:marBottom w:val="0"/>
                  <w:divBdr>
                    <w:top w:val="none" w:sz="0" w:space="0" w:color="auto"/>
                    <w:left w:val="none" w:sz="0" w:space="0" w:color="auto"/>
                    <w:bottom w:val="none" w:sz="0" w:space="0" w:color="auto"/>
                    <w:right w:val="none" w:sz="0" w:space="0" w:color="auto"/>
                  </w:divBdr>
                  <w:divsChild>
                    <w:div w:id="1227254681">
                      <w:marLeft w:val="0"/>
                      <w:marRight w:val="0"/>
                      <w:marTop w:val="0"/>
                      <w:marBottom w:val="0"/>
                      <w:divBdr>
                        <w:top w:val="none" w:sz="0" w:space="0" w:color="auto"/>
                        <w:left w:val="none" w:sz="0" w:space="0" w:color="auto"/>
                        <w:bottom w:val="none" w:sz="0" w:space="0" w:color="auto"/>
                        <w:right w:val="none" w:sz="0" w:space="0" w:color="auto"/>
                      </w:divBdr>
                    </w:div>
                  </w:divsChild>
                </w:div>
                <w:div w:id="151794790">
                  <w:marLeft w:val="0"/>
                  <w:marRight w:val="0"/>
                  <w:marTop w:val="0"/>
                  <w:marBottom w:val="0"/>
                  <w:divBdr>
                    <w:top w:val="none" w:sz="0" w:space="0" w:color="auto"/>
                    <w:left w:val="none" w:sz="0" w:space="0" w:color="auto"/>
                    <w:bottom w:val="none" w:sz="0" w:space="0" w:color="auto"/>
                    <w:right w:val="none" w:sz="0" w:space="0" w:color="auto"/>
                  </w:divBdr>
                  <w:divsChild>
                    <w:div w:id="671220433">
                      <w:marLeft w:val="0"/>
                      <w:marRight w:val="0"/>
                      <w:marTop w:val="0"/>
                      <w:marBottom w:val="0"/>
                      <w:divBdr>
                        <w:top w:val="none" w:sz="0" w:space="0" w:color="auto"/>
                        <w:left w:val="none" w:sz="0" w:space="0" w:color="auto"/>
                        <w:bottom w:val="none" w:sz="0" w:space="0" w:color="auto"/>
                        <w:right w:val="none" w:sz="0" w:space="0" w:color="auto"/>
                      </w:divBdr>
                    </w:div>
                  </w:divsChild>
                </w:div>
                <w:div w:id="172647977">
                  <w:marLeft w:val="0"/>
                  <w:marRight w:val="0"/>
                  <w:marTop w:val="0"/>
                  <w:marBottom w:val="0"/>
                  <w:divBdr>
                    <w:top w:val="none" w:sz="0" w:space="0" w:color="auto"/>
                    <w:left w:val="none" w:sz="0" w:space="0" w:color="auto"/>
                    <w:bottom w:val="none" w:sz="0" w:space="0" w:color="auto"/>
                    <w:right w:val="none" w:sz="0" w:space="0" w:color="auto"/>
                  </w:divBdr>
                  <w:divsChild>
                    <w:div w:id="592319746">
                      <w:marLeft w:val="0"/>
                      <w:marRight w:val="0"/>
                      <w:marTop w:val="0"/>
                      <w:marBottom w:val="0"/>
                      <w:divBdr>
                        <w:top w:val="none" w:sz="0" w:space="0" w:color="auto"/>
                        <w:left w:val="none" w:sz="0" w:space="0" w:color="auto"/>
                        <w:bottom w:val="none" w:sz="0" w:space="0" w:color="auto"/>
                        <w:right w:val="none" w:sz="0" w:space="0" w:color="auto"/>
                      </w:divBdr>
                    </w:div>
                  </w:divsChild>
                </w:div>
                <w:div w:id="780344095">
                  <w:marLeft w:val="0"/>
                  <w:marRight w:val="0"/>
                  <w:marTop w:val="0"/>
                  <w:marBottom w:val="0"/>
                  <w:divBdr>
                    <w:top w:val="none" w:sz="0" w:space="0" w:color="auto"/>
                    <w:left w:val="none" w:sz="0" w:space="0" w:color="auto"/>
                    <w:bottom w:val="none" w:sz="0" w:space="0" w:color="auto"/>
                    <w:right w:val="none" w:sz="0" w:space="0" w:color="auto"/>
                  </w:divBdr>
                  <w:divsChild>
                    <w:div w:id="993725188">
                      <w:marLeft w:val="0"/>
                      <w:marRight w:val="0"/>
                      <w:marTop w:val="0"/>
                      <w:marBottom w:val="0"/>
                      <w:divBdr>
                        <w:top w:val="none" w:sz="0" w:space="0" w:color="auto"/>
                        <w:left w:val="none" w:sz="0" w:space="0" w:color="auto"/>
                        <w:bottom w:val="none" w:sz="0" w:space="0" w:color="auto"/>
                        <w:right w:val="none" w:sz="0" w:space="0" w:color="auto"/>
                      </w:divBdr>
                    </w:div>
                  </w:divsChild>
                </w:div>
                <w:div w:id="893387882">
                  <w:marLeft w:val="0"/>
                  <w:marRight w:val="0"/>
                  <w:marTop w:val="0"/>
                  <w:marBottom w:val="0"/>
                  <w:divBdr>
                    <w:top w:val="none" w:sz="0" w:space="0" w:color="auto"/>
                    <w:left w:val="none" w:sz="0" w:space="0" w:color="auto"/>
                    <w:bottom w:val="none" w:sz="0" w:space="0" w:color="auto"/>
                    <w:right w:val="none" w:sz="0" w:space="0" w:color="auto"/>
                  </w:divBdr>
                  <w:divsChild>
                    <w:div w:id="1711569770">
                      <w:marLeft w:val="0"/>
                      <w:marRight w:val="0"/>
                      <w:marTop w:val="0"/>
                      <w:marBottom w:val="0"/>
                      <w:divBdr>
                        <w:top w:val="none" w:sz="0" w:space="0" w:color="auto"/>
                        <w:left w:val="none" w:sz="0" w:space="0" w:color="auto"/>
                        <w:bottom w:val="none" w:sz="0" w:space="0" w:color="auto"/>
                        <w:right w:val="none" w:sz="0" w:space="0" w:color="auto"/>
                      </w:divBdr>
                    </w:div>
                  </w:divsChild>
                </w:div>
                <w:div w:id="1052265713">
                  <w:marLeft w:val="0"/>
                  <w:marRight w:val="0"/>
                  <w:marTop w:val="0"/>
                  <w:marBottom w:val="0"/>
                  <w:divBdr>
                    <w:top w:val="none" w:sz="0" w:space="0" w:color="auto"/>
                    <w:left w:val="none" w:sz="0" w:space="0" w:color="auto"/>
                    <w:bottom w:val="none" w:sz="0" w:space="0" w:color="auto"/>
                    <w:right w:val="none" w:sz="0" w:space="0" w:color="auto"/>
                  </w:divBdr>
                  <w:divsChild>
                    <w:div w:id="1914388072">
                      <w:marLeft w:val="0"/>
                      <w:marRight w:val="0"/>
                      <w:marTop w:val="0"/>
                      <w:marBottom w:val="0"/>
                      <w:divBdr>
                        <w:top w:val="none" w:sz="0" w:space="0" w:color="auto"/>
                        <w:left w:val="none" w:sz="0" w:space="0" w:color="auto"/>
                        <w:bottom w:val="none" w:sz="0" w:space="0" w:color="auto"/>
                        <w:right w:val="none" w:sz="0" w:space="0" w:color="auto"/>
                      </w:divBdr>
                    </w:div>
                  </w:divsChild>
                </w:div>
                <w:div w:id="1077365281">
                  <w:marLeft w:val="0"/>
                  <w:marRight w:val="0"/>
                  <w:marTop w:val="0"/>
                  <w:marBottom w:val="0"/>
                  <w:divBdr>
                    <w:top w:val="none" w:sz="0" w:space="0" w:color="auto"/>
                    <w:left w:val="none" w:sz="0" w:space="0" w:color="auto"/>
                    <w:bottom w:val="none" w:sz="0" w:space="0" w:color="auto"/>
                    <w:right w:val="none" w:sz="0" w:space="0" w:color="auto"/>
                  </w:divBdr>
                  <w:divsChild>
                    <w:div w:id="342247030">
                      <w:marLeft w:val="0"/>
                      <w:marRight w:val="0"/>
                      <w:marTop w:val="0"/>
                      <w:marBottom w:val="0"/>
                      <w:divBdr>
                        <w:top w:val="none" w:sz="0" w:space="0" w:color="auto"/>
                        <w:left w:val="none" w:sz="0" w:space="0" w:color="auto"/>
                        <w:bottom w:val="none" w:sz="0" w:space="0" w:color="auto"/>
                        <w:right w:val="none" w:sz="0" w:space="0" w:color="auto"/>
                      </w:divBdr>
                    </w:div>
                  </w:divsChild>
                </w:div>
                <w:div w:id="1238586813">
                  <w:marLeft w:val="0"/>
                  <w:marRight w:val="0"/>
                  <w:marTop w:val="0"/>
                  <w:marBottom w:val="0"/>
                  <w:divBdr>
                    <w:top w:val="none" w:sz="0" w:space="0" w:color="auto"/>
                    <w:left w:val="none" w:sz="0" w:space="0" w:color="auto"/>
                    <w:bottom w:val="none" w:sz="0" w:space="0" w:color="auto"/>
                    <w:right w:val="none" w:sz="0" w:space="0" w:color="auto"/>
                  </w:divBdr>
                  <w:divsChild>
                    <w:div w:id="419912235">
                      <w:marLeft w:val="0"/>
                      <w:marRight w:val="0"/>
                      <w:marTop w:val="0"/>
                      <w:marBottom w:val="0"/>
                      <w:divBdr>
                        <w:top w:val="none" w:sz="0" w:space="0" w:color="auto"/>
                        <w:left w:val="none" w:sz="0" w:space="0" w:color="auto"/>
                        <w:bottom w:val="none" w:sz="0" w:space="0" w:color="auto"/>
                        <w:right w:val="none" w:sz="0" w:space="0" w:color="auto"/>
                      </w:divBdr>
                    </w:div>
                  </w:divsChild>
                </w:div>
                <w:div w:id="1279988248">
                  <w:marLeft w:val="0"/>
                  <w:marRight w:val="0"/>
                  <w:marTop w:val="0"/>
                  <w:marBottom w:val="0"/>
                  <w:divBdr>
                    <w:top w:val="none" w:sz="0" w:space="0" w:color="auto"/>
                    <w:left w:val="none" w:sz="0" w:space="0" w:color="auto"/>
                    <w:bottom w:val="none" w:sz="0" w:space="0" w:color="auto"/>
                    <w:right w:val="none" w:sz="0" w:space="0" w:color="auto"/>
                  </w:divBdr>
                  <w:divsChild>
                    <w:div w:id="1505124447">
                      <w:marLeft w:val="0"/>
                      <w:marRight w:val="0"/>
                      <w:marTop w:val="0"/>
                      <w:marBottom w:val="0"/>
                      <w:divBdr>
                        <w:top w:val="none" w:sz="0" w:space="0" w:color="auto"/>
                        <w:left w:val="none" w:sz="0" w:space="0" w:color="auto"/>
                        <w:bottom w:val="none" w:sz="0" w:space="0" w:color="auto"/>
                        <w:right w:val="none" w:sz="0" w:space="0" w:color="auto"/>
                      </w:divBdr>
                    </w:div>
                  </w:divsChild>
                </w:div>
                <w:div w:id="1350790990">
                  <w:marLeft w:val="0"/>
                  <w:marRight w:val="0"/>
                  <w:marTop w:val="0"/>
                  <w:marBottom w:val="0"/>
                  <w:divBdr>
                    <w:top w:val="none" w:sz="0" w:space="0" w:color="auto"/>
                    <w:left w:val="none" w:sz="0" w:space="0" w:color="auto"/>
                    <w:bottom w:val="none" w:sz="0" w:space="0" w:color="auto"/>
                    <w:right w:val="none" w:sz="0" w:space="0" w:color="auto"/>
                  </w:divBdr>
                  <w:divsChild>
                    <w:div w:id="163251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023008">
          <w:marLeft w:val="0"/>
          <w:marRight w:val="0"/>
          <w:marTop w:val="0"/>
          <w:marBottom w:val="0"/>
          <w:divBdr>
            <w:top w:val="none" w:sz="0" w:space="0" w:color="auto"/>
            <w:left w:val="none" w:sz="0" w:space="0" w:color="auto"/>
            <w:bottom w:val="none" w:sz="0" w:space="0" w:color="auto"/>
            <w:right w:val="none" w:sz="0" w:space="0" w:color="auto"/>
          </w:divBdr>
        </w:div>
        <w:div w:id="996540599">
          <w:marLeft w:val="0"/>
          <w:marRight w:val="0"/>
          <w:marTop w:val="0"/>
          <w:marBottom w:val="0"/>
          <w:divBdr>
            <w:top w:val="none" w:sz="0" w:space="0" w:color="auto"/>
            <w:left w:val="none" w:sz="0" w:space="0" w:color="auto"/>
            <w:bottom w:val="none" w:sz="0" w:space="0" w:color="auto"/>
            <w:right w:val="none" w:sz="0" w:space="0" w:color="auto"/>
          </w:divBdr>
        </w:div>
        <w:div w:id="1004556966">
          <w:marLeft w:val="0"/>
          <w:marRight w:val="0"/>
          <w:marTop w:val="0"/>
          <w:marBottom w:val="0"/>
          <w:divBdr>
            <w:top w:val="none" w:sz="0" w:space="0" w:color="auto"/>
            <w:left w:val="none" w:sz="0" w:space="0" w:color="auto"/>
            <w:bottom w:val="none" w:sz="0" w:space="0" w:color="auto"/>
            <w:right w:val="none" w:sz="0" w:space="0" w:color="auto"/>
          </w:divBdr>
        </w:div>
        <w:div w:id="1035930537">
          <w:marLeft w:val="0"/>
          <w:marRight w:val="0"/>
          <w:marTop w:val="0"/>
          <w:marBottom w:val="0"/>
          <w:divBdr>
            <w:top w:val="none" w:sz="0" w:space="0" w:color="auto"/>
            <w:left w:val="none" w:sz="0" w:space="0" w:color="auto"/>
            <w:bottom w:val="none" w:sz="0" w:space="0" w:color="auto"/>
            <w:right w:val="none" w:sz="0" w:space="0" w:color="auto"/>
          </w:divBdr>
        </w:div>
        <w:div w:id="1059670730">
          <w:marLeft w:val="0"/>
          <w:marRight w:val="0"/>
          <w:marTop w:val="0"/>
          <w:marBottom w:val="0"/>
          <w:divBdr>
            <w:top w:val="none" w:sz="0" w:space="0" w:color="auto"/>
            <w:left w:val="none" w:sz="0" w:space="0" w:color="auto"/>
            <w:bottom w:val="none" w:sz="0" w:space="0" w:color="auto"/>
            <w:right w:val="none" w:sz="0" w:space="0" w:color="auto"/>
          </w:divBdr>
        </w:div>
        <w:div w:id="1120150166">
          <w:marLeft w:val="0"/>
          <w:marRight w:val="0"/>
          <w:marTop w:val="0"/>
          <w:marBottom w:val="0"/>
          <w:divBdr>
            <w:top w:val="none" w:sz="0" w:space="0" w:color="auto"/>
            <w:left w:val="none" w:sz="0" w:space="0" w:color="auto"/>
            <w:bottom w:val="none" w:sz="0" w:space="0" w:color="auto"/>
            <w:right w:val="none" w:sz="0" w:space="0" w:color="auto"/>
          </w:divBdr>
        </w:div>
        <w:div w:id="1150755529">
          <w:marLeft w:val="0"/>
          <w:marRight w:val="0"/>
          <w:marTop w:val="0"/>
          <w:marBottom w:val="0"/>
          <w:divBdr>
            <w:top w:val="none" w:sz="0" w:space="0" w:color="auto"/>
            <w:left w:val="none" w:sz="0" w:space="0" w:color="auto"/>
            <w:bottom w:val="none" w:sz="0" w:space="0" w:color="auto"/>
            <w:right w:val="none" w:sz="0" w:space="0" w:color="auto"/>
          </w:divBdr>
        </w:div>
        <w:div w:id="1172377257">
          <w:marLeft w:val="0"/>
          <w:marRight w:val="0"/>
          <w:marTop w:val="0"/>
          <w:marBottom w:val="0"/>
          <w:divBdr>
            <w:top w:val="none" w:sz="0" w:space="0" w:color="auto"/>
            <w:left w:val="none" w:sz="0" w:space="0" w:color="auto"/>
            <w:bottom w:val="none" w:sz="0" w:space="0" w:color="auto"/>
            <w:right w:val="none" w:sz="0" w:space="0" w:color="auto"/>
          </w:divBdr>
        </w:div>
        <w:div w:id="1179655954">
          <w:marLeft w:val="0"/>
          <w:marRight w:val="0"/>
          <w:marTop w:val="0"/>
          <w:marBottom w:val="0"/>
          <w:divBdr>
            <w:top w:val="none" w:sz="0" w:space="0" w:color="auto"/>
            <w:left w:val="none" w:sz="0" w:space="0" w:color="auto"/>
            <w:bottom w:val="none" w:sz="0" w:space="0" w:color="auto"/>
            <w:right w:val="none" w:sz="0" w:space="0" w:color="auto"/>
          </w:divBdr>
        </w:div>
        <w:div w:id="1191139984">
          <w:marLeft w:val="0"/>
          <w:marRight w:val="0"/>
          <w:marTop w:val="0"/>
          <w:marBottom w:val="0"/>
          <w:divBdr>
            <w:top w:val="none" w:sz="0" w:space="0" w:color="auto"/>
            <w:left w:val="none" w:sz="0" w:space="0" w:color="auto"/>
            <w:bottom w:val="none" w:sz="0" w:space="0" w:color="auto"/>
            <w:right w:val="none" w:sz="0" w:space="0" w:color="auto"/>
          </w:divBdr>
        </w:div>
        <w:div w:id="1279874684">
          <w:marLeft w:val="0"/>
          <w:marRight w:val="0"/>
          <w:marTop w:val="0"/>
          <w:marBottom w:val="0"/>
          <w:divBdr>
            <w:top w:val="none" w:sz="0" w:space="0" w:color="auto"/>
            <w:left w:val="none" w:sz="0" w:space="0" w:color="auto"/>
            <w:bottom w:val="none" w:sz="0" w:space="0" w:color="auto"/>
            <w:right w:val="none" w:sz="0" w:space="0" w:color="auto"/>
          </w:divBdr>
        </w:div>
        <w:div w:id="1323000289">
          <w:marLeft w:val="0"/>
          <w:marRight w:val="0"/>
          <w:marTop w:val="0"/>
          <w:marBottom w:val="0"/>
          <w:divBdr>
            <w:top w:val="none" w:sz="0" w:space="0" w:color="auto"/>
            <w:left w:val="none" w:sz="0" w:space="0" w:color="auto"/>
            <w:bottom w:val="none" w:sz="0" w:space="0" w:color="auto"/>
            <w:right w:val="none" w:sz="0" w:space="0" w:color="auto"/>
          </w:divBdr>
          <w:divsChild>
            <w:div w:id="5835971">
              <w:marLeft w:val="0"/>
              <w:marRight w:val="0"/>
              <w:marTop w:val="0"/>
              <w:marBottom w:val="0"/>
              <w:divBdr>
                <w:top w:val="none" w:sz="0" w:space="0" w:color="auto"/>
                <w:left w:val="none" w:sz="0" w:space="0" w:color="auto"/>
                <w:bottom w:val="none" w:sz="0" w:space="0" w:color="auto"/>
                <w:right w:val="none" w:sz="0" w:space="0" w:color="auto"/>
              </w:divBdr>
            </w:div>
            <w:div w:id="103310737">
              <w:marLeft w:val="0"/>
              <w:marRight w:val="0"/>
              <w:marTop w:val="0"/>
              <w:marBottom w:val="0"/>
              <w:divBdr>
                <w:top w:val="none" w:sz="0" w:space="0" w:color="auto"/>
                <w:left w:val="none" w:sz="0" w:space="0" w:color="auto"/>
                <w:bottom w:val="none" w:sz="0" w:space="0" w:color="auto"/>
                <w:right w:val="none" w:sz="0" w:space="0" w:color="auto"/>
              </w:divBdr>
            </w:div>
            <w:div w:id="295835844">
              <w:marLeft w:val="0"/>
              <w:marRight w:val="0"/>
              <w:marTop w:val="0"/>
              <w:marBottom w:val="0"/>
              <w:divBdr>
                <w:top w:val="none" w:sz="0" w:space="0" w:color="auto"/>
                <w:left w:val="none" w:sz="0" w:space="0" w:color="auto"/>
                <w:bottom w:val="none" w:sz="0" w:space="0" w:color="auto"/>
                <w:right w:val="none" w:sz="0" w:space="0" w:color="auto"/>
              </w:divBdr>
            </w:div>
            <w:div w:id="330375305">
              <w:marLeft w:val="0"/>
              <w:marRight w:val="0"/>
              <w:marTop w:val="0"/>
              <w:marBottom w:val="0"/>
              <w:divBdr>
                <w:top w:val="none" w:sz="0" w:space="0" w:color="auto"/>
                <w:left w:val="none" w:sz="0" w:space="0" w:color="auto"/>
                <w:bottom w:val="none" w:sz="0" w:space="0" w:color="auto"/>
                <w:right w:val="none" w:sz="0" w:space="0" w:color="auto"/>
              </w:divBdr>
            </w:div>
            <w:div w:id="374231419">
              <w:marLeft w:val="0"/>
              <w:marRight w:val="0"/>
              <w:marTop w:val="0"/>
              <w:marBottom w:val="0"/>
              <w:divBdr>
                <w:top w:val="none" w:sz="0" w:space="0" w:color="auto"/>
                <w:left w:val="none" w:sz="0" w:space="0" w:color="auto"/>
                <w:bottom w:val="none" w:sz="0" w:space="0" w:color="auto"/>
                <w:right w:val="none" w:sz="0" w:space="0" w:color="auto"/>
              </w:divBdr>
            </w:div>
            <w:div w:id="746343496">
              <w:marLeft w:val="0"/>
              <w:marRight w:val="0"/>
              <w:marTop w:val="0"/>
              <w:marBottom w:val="0"/>
              <w:divBdr>
                <w:top w:val="none" w:sz="0" w:space="0" w:color="auto"/>
                <w:left w:val="none" w:sz="0" w:space="0" w:color="auto"/>
                <w:bottom w:val="none" w:sz="0" w:space="0" w:color="auto"/>
                <w:right w:val="none" w:sz="0" w:space="0" w:color="auto"/>
              </w:divBdr>
            </w:div>
            <w:div w:id="772163551">
              <w:marLeft w:val="0"/>
              <w:marRight w:val="0"/>
              <w:marTop w:val="0"/>
              <w:marBottom w:val="0"/>
              <w:divBdr>
                <w:top w:val="none" w:sz="0" w:space="0" w:color="auto"/>
                <w:left w:val="none" w:sz="0" w:space="0" w:color="auto"/>
                <w:bottom w:val="none" w:sz="0" w:space="0" w:color="auto"/>
                <w:right w:val="none" w:sz="0" w:space="0" w:color="auto"/>
              </w:divBdr>
            </w:div>
            <w:div w:id="930165303">
              <w:marLeft w:val="0"/>
              <w:marRight w:val="0"/>
              <w:marTop w:val="0"/>
              <w:marBottom w:val="0"/>
              <w:divBdr>
                <w:top w:val="none" w:sz="0" w:space="0" w:color="auto"/>
                <w:left w:val="none" w:sz="0" w:space="0" w:color="auto"/>
                <w:bottom w:val="none" w:sz="0" w:space="0" w:color="auto"/>
                <w:right w:val="none" w:sz="0" w:space="0" w:color="auto"/>
              </w:divBdr>
            </w:div>
            <w:div w:id="965503105">
              <w:marLeft w:val="0"/>
              <w:marRight w:val="0"/>
              <w:marTop w:val="0"/>
              <w:marBottom w:val="0"/>
              <w:divBdr>
                <w:top w:val="none" w:sz="0" w:space="0" w:color="auto"/>
                <w:left w:val="none" w:sz="0" w:space="0" w:color="auto"/>
                <w:bottom w:val="none" w:sz="0" w:space="0" w:color="auto"/>
                <w:right w:val="none" w:sz="0" w:space="0" w:color="auto"/>
              </w:divBdr>
            </w:div>
            <w:div w:id="1093667226">
              <w:marLeft w:val="0"/>
              <w:marRight w:val="0"/>
              <w:marTop w:val="0"/>
              <w:marBottom w:val="0"/>
              <w:divBdr>
                <w:top w:val="none" w:sz="0" w:space="0" w:color="auto"/>
                <w:left w:val="none" w:sz="0" w:space="0" w:color="auto"/>
                <w:bottom w:val="none" w:sz="0" w:space="0" w:color="auto"/>
                <w:right w:val="none" w:sz="0" w:space="0" w:color="auto"/>
              </w:divBdr>
            </w:div>
            <w:div w:id="1591311033">
              <w:marLeft w:val="0"/>
              <w:marRight w:val="0"/>
              <w:marTop w:val="0"/>
              <w:marBottom w:val="0"/>
              <w:divBdr>
                <w:top w:val="none" w:sz="0" w:space="0" w:color="auto"/>
                <w:left w:val="none" w:sz="0" w:space="0" w:color="auto"/>
                <w:bottom w:val="none" w:sz="0" w:space="0" w:color="auto"/>
                <w:right w:val="none" w:sz="0" w:space="0" w:color="auto"/>
              </w:divBdr>
            </w:div>
            <w:div w:id="1676418635">
              <w:marLeft w:val="0"/>
              <w:marRight w:val="0"/>
              <w:marTop w:val="0"/>
              <w:marBottom w:val="0"/>
              <w:divBdr>
                <w:top w:val="none" w:sz="0" w:space="0" w:color="auto"/>
                <w:left w:val="none" w:sz="0" w:space="0" w:color="auto"/>
                <w:bottom w:val="none" w:sz="0" w:space="0" w:color="auto"/>
                <w:right w:val="none" w:sz="0" w:space="0" w:color="auto"/>
              </w:divBdr>
            </w:div>
            <w:div w:id="1794595278">
              <w:marLeft w:val="0"/>
              <w:marRight w:val="0"/>
              <w:marTop w:val="0"/>
              <w:marBottom w:val="0"/>
              <w:divBdr>
                <w:top w:val="none" w:sz="0" w:space="0" w:color="auto"/>
                <w:left w:val="none" w:sz="0" w:space="0" w:color="auto"/>
                <w:bottom w:val="none" w:sz="0" w:space="0" w:color="auto"/>
                <w:right w:val="none" w:sz="0" w:space="0" w:color="auto"/>
              </w:divBdr>
            </w:div>
            <w:div w:id="2137790260">
              <w:marLeft w:val="0"/>
              <w:marRight w:val="0"/>
              <w:marTop w:val="0"/>
              <w:marBottom w:val="0"/>
              <w:divBdr>
                <w:top w:val="none" w:sz="0" w:space="0" w:color="auto"/>
                <w:left w:val="none" w:sz="0" w:space="0" w:color="auto"/>
                <w:bottom w:val="none" w:sz="0" w:space="0" w:color="auto"/>
                <w:right w:val="none" w:sz="0" w:space="0" w:color="auto"/>
              </w:divBdr>
            </w:div>
          </w:divsChild>
        </w:div>
        <w:div w:id="1356811503">
          <w:marLeft w:val="0"/>
          <w:marRight w:val="0"/>
          <w:marTop w:val="0"/>
          <w:marBottom w:val="0"/>
          <w:divBdr>
            <w:top w:val="none" w:sz="0" w:space="0" w:color="auto"/>
            <w:left w:val="none" w:sz="0" w:space="0" w:color="auto"/>
            <w:bottom w:val="none" w:sz="0" w:space="0" w:color="auto"/>
            <w:right w:val="none" w:sz="0" w:space="0" w:color="auto"/>
          </w:divBdr>
        </w:div>
        <w:div w:id="1418747481">
          <w:marLeft w:val="0"/>
          <w:marRight w:val="0"/>
          <w:marTop w:val="0"/>
          <w:marBottom w:val="0"/>
          <w:divBdr>
            <w:top w:val="none" w:sz="0" w:space="0" w:color="auto"/>
            <w:left w:val="none" w:sz="0" w:space="0" w:color="auto"/>
            <w:bottom w:val="none" w:sz="0" w:space="0" w:color="auto"/>
            <w:right w:val="none" w:sz="0" w:space="0" w:color="auto"/>
          </w:divBdr>
        </w:div>
        <w:div w:id="1425228297">
          <w:marLeft w:val="0"/>
          <w:marRight w:val="0"/>
          <w:marTop w:val="0"/>
          <w:marBottom w:val="0"/>
          <w:divBdr>
            <w:top w:val="none" w:sz="0" w:space="0" w:color="auto"/>
            <w:left w:val="none" w:sz="0" w:space="0" w:color="auto"/>
            <w:bottom w:val="none" w:sz="0" w:space="0" w:color="auto"/>
            <w:right w:val="none" w:sz="0" w:space="0" w:color="auto"/>
          </w:divBdr>
        </w:div>
        <w:div w:id="1461722973">
          <w:marLeft w:val="0"/>
          <w:marRight w:val="0"/>
          <w:marTop w:val="0"/>
          <w:marBottom w:val="0"/>
          <w:divBdr>
            <w:top w:val="none" w:sz="0" w:space="0" w:color="auto"/>
            <w:left w:val="none" w:sz="0" w:space="0" w:color="auto"/>
            <w:bottom w:val="none" w:sz="0" w:space="0" w:color="auto"/>
            <w:right w:val="none" w:sz="0" w:space="0" w:color="auto"/>
          </w:divBdr>
        </w:div>
        <w:div w:id="1491411521">
          <w:marLeft w:val="0"/>
          <w:marRight w:val="0"/>
          <w:marTop w:val="0"/>
          <w:marBottom w:val="0"/>
          <w:divBdr>
            <w:top w:val="none" w:sz="0" w:space="0" w:color="auto"/>
            <w:left w:val="none" w:sz="0" w:space="0" w:color="auto"/>
            <w:bottom w:val="none" w:sz="0" w:space="0" w:color="auto"/>
            <w:right w:val="none" w:sz="0" w:space="0" w:color="auto"/>
          </w:divBdr>
          <w:divsChild>
            <w:div w:id="483936206">
              <w:marLeft w:val="-75"/>
              <w:marRight w:val="0"/>
              <w:marTop w:val="30"/>
              <w:marBottom w:val="30"/>
              <w:divBdr>
                <w:top w:val="none" w:sz="0" w:space="0" w:color="auto"/>
                <w:left w:val="none" w:sz="0" w:space="0" w:color="auto"/>
                <w:bottom w:val="none" w:sz="0" w:space="0" w:color="auto"/>
                <w:right w:val="none" w:sz="0" w:space="0" w:color="auto"/>
              </w:divBdr>
              <w:divsChild>
                <w:div w:id="46465181">
                  <w:marLeft w:val="0"/>
                  <w:marRight w:val="0"/>
                  <w:marTop w:val="0"/>
                  <w:marBottom w:val="0"/>
                  <w:divBdr>
                    <w:top w:val="none" w:sz="0" w:space="0" w:color="auto"/>
                    <w:left w:val="none" w:sz="0" w:space="0" w:color="auto"/>
                    <w:bottom w:val="none" w:sz="0" w:space="0" w:color="auto"/>
                    <w:right w:val="none" w:sz="0" w:space="0" w:color="auto"/>
                  </w:divBdr>
                  <w:divsChild>
                    <w:div w:id="1537618440">
                      <w:marLeft w:val="0"/>
                      <w:marRight w:val="0"/>
                      <w:marTop w:val="0"/>
                      <w:marBottom w:val="0"/>
                      <w:divBdr>
                        <w:top w:val="none" w:sz="0" w:space="0" w:color="auto"/>
                        <w:left w:val="none" w:sz="0" w:space="0" w:color="auto"/>
                        <w:bottom w:val="none" w:sz="0" w:space="0" w:color="auto"/>
                        <w:right w:val="none" w:sz="0" w:space="0" w:color="auto"/>
                      </w:divBdr>
                    </w:div>
                    <w:div w:id="1921480362">
                      <w:marLeft w:val="0"/>
                      <w:marRight w:val="0"/>
                      <w:marTop w:val="0"/>
                      <w:marBottom w:val="0"/>
                      <w:divBdr>
                        <w:top w:val="none" w:sz="0" w:space="0" w:color="auto"/>
                        <w:left w:val="none" w:sz="0" w:space="0" w:color="auto"/>
                        <w:bottom w:val="none" w:sz="0" w:space="0" w:color="auto"/>
                        <w:right w:val="none" w:sz="0" w:space="0" w:color="auto"/>
                      </w:divBdr>
                    </w:div>
                  </w:divsChild>
                </w:div>
                <w:div w:id="48699261">
                  <w:marLeft w:val="0"/>
                  <w:marRight w:val="0"/>
                  <w:marTop w:val="0"/>
                  <w:marBottom w:val="0"/>
                  <w:divBdr>
                    <w:top w:val="none" w:sz="0" w:space="0" w:color="auto"/>
                    <w:left w:val="none" w:sz="0" w:space="0" w:color="auto"/>
                    <w:bottom w:val="none" w:sz="0" w:space="0" w:color="auto"/>
                    <w:right w:val="none" w:sz="0" w:space="0" w:color="auto"/>
                  </w:divBdr>
                  <w:divsChild>
                    <w:div w:id="364839973">
                      <w:marLeft w:val="0"/>
                      <w:marRight w:val="0"/>
                      <w:marTop w:val="0"/>
                      <w:marBottom w:val="0"/>
                      <w:divBdr>
                        <w:top w:val="none" w:sz="0" w:space="0" w:color="auto"/>
                        <w:left w:val="none" w:sz="0" w:space="0" w:color="auto"/>
                        <w:bottom w:val="none" w:sz="0" w:space="0" w:color="auto"/>
                        <w:right w:val="none" w:sz="0" w:space="0" w:color="auto"/>
                      </w:divBdr>
                    </w:div>
                  </w:divsChild>
                </w:div>
                <w:div w:id="80681163">
                  <w:marLeft w:val="0"/>
                  <w:marRight w:val="0"/>
                  <w:marTop w:val="0"/>
                  <w:marBottom w:val="0"/>
                  <w:divBdr>
                    <w:top w:val="none" w:sz="0" w:space="0" w:color="auto"/>
                    <w:left w:val="none" w:sz="0" w:space="0" w:color="auto"/>
                    <w:bottom w:val="none" w:sz="0" w:space="0" w:color="auto"/>
                    <w:right w:val="none" w:sz="0" w:space="0" w:color="auto"/>
                  </w:divBdr>
                  <w:divsChild>
                    <w:div w:id="2127919036">
                      <w:marLeft w:val="0"/>
                      <w:marRight w:val="0"/>
                      <w:marTop w:val="0"/>
                      <w:marBottom w:val="0"/>
                      <w:divBdr>
                        <w:top w:val="none" w:sz="0" w:space="0" w:color="auto"/>
                        <w:left w:val="none" w:sz="0" w:space="0" w:color="auto"/>
                        <w:bottom w:val="none" w:sz="0" w:space="0" w:color="auto"/>
                        <w:right w:val="none" w:sz="0" w:space="0" w:color="auto"/>
                      </w:divBdr>
                    </w:div>
                  </w:divsChild>
                </w:div>
                <w:div w:id="81992398">
                  <w:marLeft w:val="0"/>
                  <w:marRight w:val="0"/>
                  <w:marTop w:val="0"/>
                  <w:marBottom w:val="0"/>
                  <w:divBdr>
                    <w:top w:val="none" w:sz="0" w:space="0" w:color="auto"/>
                    <w:left w:val="none" w:sz="0" w:space="0" w:color="auto"/>
                    <w:bottom w:val="none" w:sz="0" w:space="0" w:color="auto"/>
                    <w:right w:val="none" w:sz="0" w:space="0" w:color="auto"/>
                  </w:divBdr>
                  <w:divsChild>
                    <w:div w:id="151609358">
                      <w:marLeft w:val="0"/>
                      <w:marRight w:val="0"/>
                      <w:marTop w:val="0"/>
                      <w:marBottom w:val="0"/>
                      <w:divBdr>
                        <w:top w:val="none" w:sz="0" w:space="0" w:color="auto"/>
                        <w:left w:val="none" w:sz="0" w:space="0" w:color="auto"/>
                        <w:bottom w:val="none" w:sz="0" w:space="0" w:color="auto"/>
                        <w:right w:val="none" w:sz="0" w:space="0" w:color="auto"/>
                      </w:divBdr>
                    </w:div>
                    <w:div w:id="768163281">
                      <w:marLeft w:val="0"/>
                      <w:marRight w:val="0"/>
                      <w:marTop w:val="0"/>
                      <w:marBottom w:val="0"/>
                      <w:divBdr>
                        <w:top w:val="none" w:sz="0" w:space="0" w:color="auto"/>
                        <w:left w:val="none" w:sz="0" w:space="0" w:color="auto"/>
                        <w:bottom w:val="none" w:sz="0" w:space="0" w:color="auto"/>
                        <w:right w:val="none" w:sz="0" w:space="0" w:color="auto"/>
                      </w:divBdr>
                    </w:div>
                  </w:divsChild>
                </w:div>
                <w:div w:id="83691217">
                  <w:marLeft w:val="0"/>
                  <w:marRight w:val="0"/>
                  <w:marTop w:val="0"/>
                  <w:marBottom w:val="0"/>
                  <w:divBdr>
                    <w:top w:val="none" w:sz="0" w:space="0" w:color="auto"/>
                    <w:left w:val="none" w:sz="0" w:space="0" w:color="auto"/>
                    <w:bottom w:val="none" w:sz="0" w:space="0" w:color="auto"/>
                    <w:right w:val="none" w:sz="0" w:space="0" w:color="auto"/>
                  </w:divBdr>
                  <w:divsChild>
                    <w:div w:id="372506899">
                      <w:marLeft w:val="0"/>
                      <w:marRight w:val="0"/>
                      <w:marTop w:val="0"/>
                      <w:marBottom w:val="0"/>
                      <w:divBdr>
                        <w:top w:val="none" w:sz="0" w:space="0" w:color="auto"/>
                        <w:left w:val="none" w:sz="0" w:space="0" w:color="auto"/>
                        <w:bottom w:val="none" w:sz="0" w:space="0" w:color="auto"/>
                        <w:right w:val="none" w:sz="0" w:space="0" w:color="auto"/>
                      </w:divBdr>
                    </w:div>
                    <w:div w:id="409038509">
                      <w:marLeft w:val="0"/>
                      <w:marRight w:val="0"/>
                      <w:marTop w:val="0"/>
                      <w:marBottom w:val="0"/>
                      <w:divBdr>
                        <w:top w:val="none" w:sz="0" w:space="0" w:color="auto"/>
                        <w:left w:val="none" w:sz="0" w:space="0" w:color="auto"/>
                        <w:bottom w:val="none" w:sz="0" w:space="0" w:color="auto"/>
                        <w:right w:val="none" w:sz="0" w:space="0" w:color="auto"/>
                      </w:divBdr>
                    </w:div>
                    <w:div w:id="897941266">
                      <w:marLeft w:val="0"/>
                      <w:marRight w:val="0"/>
                      <w:marTop w:val="0"/>
                      <w:marBottom w:val="0"/>
                      <w:divBdr>
                        <w:top w:val="none" w:sz="0" w:space="0" w:color="auto"/>
                        <w:left w:val="none" w:sz="0" w:space="0" w:color="auto"/>
                        <w:bottom w:val="none" w:sz="0" w:space="0" w:color="auto"/>
                        <w:right w:val="none" w:sz="0" w:space="0" w:color="auto"/>
                      </w:divBdr>
                    </w:div>
                    <w:div w:id="1743486225">
                      <w:marLeft w:val="0"/>
                      <w:marRight w:val="0"/>
                      <w:marTop w:val="0"/>
                      <w:marBottom w:val="0"/>
                      <w:divBdr>
                        <w:top w:val="none" w:sz="0" w:space="0" w:color="auto"/>
                        <w:left w:val="none" w:sz="0" w:space="0" w:color="auto"/>
                        <w:bottom w:val="none" w:sz="0" w:space="0" w:color="auto"/>
                        <w:right w:val="none" w:sz="0" w:space="0" w:color="auto"/>
                      </w:divBdr>
                    </w:div>
                  </w:divsChild>
                </w:div>
                <w:div w:id="88624494">
                  <w:marLeft w:val="0"/>
                  <w:marRight w:val="0"/>
                  <w:marTop w:val="0"/>
                  <w:marBottom w:val="0"/>
                  <w:divBdr>
                    <w:top w:val="none" w:sz="0" w:space="0" w:color="auto"/>
                    <w:left w:val="none" w:sz="0" w:space="0" w:color="auto"/>
                    <w:bottom w:val="none" w:sz="0" w:space="0" w:color="auto"/>
                    <w:right w:val="none" w:sz="0" w:space="0" w:color="auto"/>
                  </w:divBdr>
                  <w:divsChild>
                    <w:div w:id="325864036">
                      <w:marLeft w:val="0"/>
                      <w:marRight w:val="0"/>
                      <w:marTop w:val="0"/>
                      <w:marBottom w:val="0"/>
                      <w:divBdr>
                        <w:top w:val="none" w:sz="0" w:space="0" w:color="auto"/>
                        <w:left w:val="none" w:sz="0" w:space="0" w:color="auto"/>
                        <w:bottom w:val="none" w:sz="0" w:space="0" w:color="auto"/>
                        <w:right w:val="none" w:sz="0" w:space="0" w:color="auto"/>
                      </w:divBdr>
                    </w:div>
                  </w:divsChild>
                </w:div>
                <w:div w:id="146212311">
                  <w:marLeft w:val="0"/>
                  <w:marRight w:val="0"/>
                  <w:marTop w:val="0"/>
                  <w:marBottom w:val="0"/>
                  <w:divBdr>
                    <w:top w:val="none" w:sz="0" w:space="0" w:color="auto"/>
                    <w:left w:val="none" w:sz="0" w:space="0" w:color="auto"/>
                    <w:bottom w:val="none" w:sz="0" w:space="0" w:color="auto"/>
                    <w:right w:val="none" w:sz="0" w:space="0" w:color="auto"/>
                  </w:divBdr>
                  <w:divsChild>
                    <w:div w:id="1231111720">
                      <w:marLeft w:val="0"/>
                      <w:marRight w:val="0"/>
                      <w:marTop w:val="0"/>
                      <w:marBottom w:val="0"/>
                      <w:divBdr>
                        <w:top w:val="none" w:sz="0" w:space="0" w:color="auto"/>
                        <w:left w:val="none" w:sz="0" w:space="0" w:color="auto"/>
                        <w:bottom w:val="none" w:sz="0" w:space="0" w:color="auto"/>
                        <w:right w:val="none" w:sz="0" w:space="0" w:color="auto"/>
                      </w:divBdr>
                    </w:div>
                  </w:divsChild>
                </w:div>
                <w:div w:id="166214478">
                  <w:marLeft w:val="0"/>
                  <w:marRight w:val="0"/>
                  <w:marTop w:val="0"/>
                  <w:marBottom w:val="0"/>
                  <w:divBdr>
                    <w:top w:val="none" w:sz="0" w:space="0" w:color="auto"/>
                    <w:left w:val="none" w:sz="0" w:space="0" w:color="auto"/>
                    <w:bottom w:val="none" w:sz="0" w:space="0" w:color="auto"/>
                    <w:right w:val="none" w:sz="0" w:space="0" w:color="auto"/>
                  </w:divBdr>
                  <w:divsChild>
                    <w:div w:id="169371902">
                      <w:marLeft w:val="0"/>
                      <w:marRight w:val="0"/>
                      <w:marTop w:val="0"/>
                      <w:marBottom w:val="0"/>
                      <w:divBdr>
                        <w:top w:val="none" w:sz="0" w:space="0" w:color="auto"/>
                        <w:left w:val="none" w:sz="0" w:space="0" w:color="auto"/>
                        <w:bottom w:val="none" w:sz="0" w:space="0" w:color="auto"/>
                        <w:right w:val="none" w:sz="0" w:space="0" w:color="auto"/>
                      </w:divBdr>
                    </w:div>
                  </w:divsChild>
                </w:div>
                <w:div w:id="185562172">
                  <w:marLeft w:val="0"/>
                  <w:marRight w:val="0"/>
                  <w:marTop w:val="0"/>
                  <w:marBottom w:val="0"/>
                  <w:divBdr>
                    <w:top w:val="none" w:sz="0" w:space="0" w:color="auto"/>
                    <w:left w:val="none" w:sz="0" w:space="0" w:color="auto"/>
                    <w:bottom w:val="none" w:sz="0" w:space="0" w:color="auto"/>
                    <w:right w:val="none" w:sz="0" w:space="0" w:color="auto"/>
                  </w:divBdr>
                  <w:divsChild>
                    <w:div w:id="182088035">
                      <w:marLeft w:val="0"/>
                      <w:marRight w:val="0"/>
                      <w:marTop w:val="0"/>
                      <w:marBottom w:val="0"/>
                      <w:divBdr>
                        <w:top w:val="none" w:sz="0" w:space="0" w:color="auto"/>
                        <w:left w:val="none" w:sz="0" w:space="0" w:color="auto"/>
                        <w:bottom w:val="none" w:sz="0" w:space="0" w:color="auto"/>
                        <w:right w:val="none" w:sz="0" w:space="0" w:color="auto"/>
                      </w:divBdr>
                    </w:div>
                    <w:div w:id="1789664565">
                      <w:marLeft w:val="0"/>
                      <w:marRight w:val="0"/>
                      <w:marTop w:val="0"/>
                      <w:marBottom w:val="0"/>
                      <w:divBdr>
                        <w:top w:val="none" w:sz="0" w:space="0" w:color="auto"/>
                        <w:left w:val="none" w:sz="0" w:space="0" w:color="auto"/>
                        <w:bottom w:val="none" w:sz="0" w:space="0" w:color="auto"/>
                        <w:right w:val="none" w:sz="0" w:space="0" w:color="auto"/>
                      </w:divBdr>
                    </w:div>
                  </w:divsChild>
                </w:div>
                <w:div w:id="208153925">
                  <w:marLeft w:val="0"/>
                  <w:marRight w:val="0"/>
                  <w:marTop w:val="0"/>
                  <w:marBottom w:val="0"/>
                  <w:divBdr>
                    <w:top w:val="none" w:sz="0" w:space="0" w:color="auto"/>
                    <w:left w:val="none" w:sz="0" w:space="0" w:color="auto"/>
                    <w:bottom w:val="none" w:sz="0" w:space="0" w:color="auto"/>
                    <w:right w:val="none" w:sz="0" w:space="0" w:color="auto"/>
                  </w:divBdr>
                  <w:divsChild>
                    <w:div w:id="1664699154">
                      <w:marLeft w:val="0"/>
                      <w:marRight w:val="0"/>
                      <w:marTop w:val="0"/>
                      <w:marBottom w:val="0"/>
                      <w:divBdr>
                        <w:top w:val="none" w:sz="0" w:space="0" w:color="auto"/>
                        <w:left w:val="none" w:sz="0" w:space="0" w:color="auto"/>
                        <w:bottom w:val="none" w:sz="0" w:space="0" w:color="auto"/>
                        <w:right w:val="none" w:sz="0" w:space="0" w:color="auto"/>
                      </w:divBdr>
                    </w:div>
                    <w:div w:id="2015842609">
                      <w:marLeft w:val="0"/>
                      <w:marRight w:val="0"/>
                      <w:marTop w:val="0"/>
                      <w:marBottom w:val="0"/>
                      <w:divBdr>
                        <w:top w:val="none" w:sz="0" w:space="0" w:color="auto"/>
                        <w:left w:val="none" w:sz="0" w:space="0" w:color="auto"/>
                        <w:bottom w:val="none" w:sz="0" w:space="0" w:color="auto"/>
                        <w:right w:val="none" w:sz="0" w:space="0" w:color="auto"/>
                      </w:divBdr>
                    </w:div>
                  </w:divsChild>
                </w:div>
                <w:div w:id="313609299">
                  <w:marLeft w:val="0"/>
                  <w:marRight w:val="0"/>
                  <w:marTop w:val="0"/>
                  <w:marBottom w:val="0"/>
                  <w:divBdr>
                    <w:top w:val="none" w:sz="0" w:space="0" w:color="auto"/>
                    <w:left w:val="none" w:sz="0" w:space="0" w:color="auto"/>
                    <w:bottom w:val="none" w:sz="0" w:space="0" w:color="auto"/>
                    <w:right w:val="none" w:sz="0" w:space="0" w:color="auto"/>
                  </w:divBdr>
                  <w:divsChild>
                    <w:div w:id="944533269">
                      <w:marLeft w:val="0"/>
                      <w:marRight w:val="0"/>
                      <w:marTop w:val="0"/>
                      <w:marBottom w:val="0"/>
                      <w:divBdr>
                        <w:top w:val="none" w:sz="0" w:space="0" w:color="auto"/>
                        <w:left w:val="none" w:sz="0" w:space="0" w:color="auto"/>
                        <w:bottom w:val="none" w:sz="0" w:space="0" w:color="auto"/>
                        <w:right w:val="none" w:sz="0" w:space="0" w:color="auto"/>
                      </w:divBdr>
                    </w:div>
                    <w:div w:id="1619945898">
                      <w:marLeft w:val="0"/>
                      <w:marRight w:val="0"/>
                      <w:marTop w:val="0"/>
                      <w:marBottom w:val="0"/>
                      <w:divBdr>
                        <w:top w:val="none" w:sz="0" w:space="0" w:color="auto"/>
                        <w:left w:val="none" w:sz="0" w:space="0" w:color="auto"/>
                        <w:bottom w:val="none" w:sz="0" w:space="0" w:color="auto"/>
                        <w:right w:val="none" w:sz="0" w:space="0" w:color="auto"/>
                      </w:divBdr>
                    </w:div>
                  </w:divsChild>
                </w:div>
                <w:div w:id="369454894">
                  <w:marLeft w:val="0"/>
                  <w:marRight w:val="0"/>
                  <w:marTop w:val="0"/>
                  <w:marBottom w:val="0"/>
                  <w:divBdr>
                    <w:top w:val="none" w:sz="0" w:space="0" w:color="auto"/>
                    <w:left w:val="none" w:sz="0" w:space="0" w:color="auto"/>
                    <w:bottom w:val="none" w:sz="0" w:space="0" w:color="auto"/>
                    <w:right w:val="none" w:sz="0" w:space="0" w:color="auto"/>
                  </w:divBdr>
                  <w:divsChild>
                    <w:div w:id="682052487">
                      <w:marLeft w:val="0"/>
                      <w:marRight w:val="0"/>
                      <w:marTop w:val="0"/>
                      <w:marBottom w:val="0"/>
                      <w:divBdr>
                        <w:top w:val="none" w:sz="0" w:space="0" w:color="auto"/>
                        <w:left w:val="none" w:sz="0" w:space="0" w:color="auto"/>
                        <w:bottom w:val="none" w:sz="0" w:space="0" w:color="auto"/>
                        <w:right w:val="none" w:sz="0" w:space="0" w:color="auto"/>
                      </w:divBdr>
                    </w:div>
                  </w:divsChild>
                </w:div>
                <w:div w:id="482887861">
                  <w:marLeft w:val="0"/>
                  <w:marRight w:val="0"/>
                  <w:marTop w:val="0"/>
                  <w:marBottom w:val="0"/>
                  <w:divBdr>
                    <w:top w:val="none" w:sz="0" w:space="0" w:color="auto"/>
                    <w:left w:val="none" w:sz="0" w:space="0" w:color="auto"/>
                    <w:bottom w:val="none" w:sz="0" w:space="0" w:color="auto"/>
                    <w:right w:val="none" w:sz="0" w:space="0" w:color="auto"/>
                  </w:divBdr>
                  <w:divsChild>
                    <w:div w:id="1428841146">
                      <w:marLeft w:val="0"/>
                      <w:marRight w:val="0"/>
                      <w:marTop w:val="0"/>
                      <w:marBottom w:val="0"/>
                      <w:divBdr>
                        <w:top w:val="none" w:sz="0" w:space="0" w:color="auto"/>
                        <w:left w:val="none" w:sz="0" w:space="0" w:color="auto"/>
                        <w:bottom w:val="none" w:sz="0" w:space="0" w:color="auto"/>
                        <w:right w:val="none" w:sz="0" w:space="0" w:color="auto"/>
                      </w:divBdr>
                    </w:div>
                  </w:divsChild>
                </w:div>
                <w:div w:id="555973751">
                  <w:marLeft w:val="0"/>
                  <w:marRight w:val="0"/>
                  <w:marTop w:val="0"/>
                  <w:marBottom w:val="0"/>
                  <w:divBdr>
                    <w:top w:val="none" w:sz="0" w:space="0" w:color="auto"/>
                    <w:left w:val="none" w:sz="0" w:space="0" w:color="auto"/>
                    <w:bottom w:val="none" w:sz="0" w:space="0" w:color="auto"/>
                    <w:right w:val="none" w:sz="0" w:space="0" w:color="auto"/>
                  </w:divBdr>
                  <w:divsChild>
                    <w:div w:id="1205019540">
                      <w:marLeft w:val="0"/>
                      <w:marRight w:val="0"/>
                      <w:marTop w:val="0"/>
                      <w:marBottom w:val="0"/>
                      <w:divBdr>
                        <w:top w:val="none" w:sz="0" w:space="0" w:color="auto"/>
                        <w:left w:val="none" w:sz="0" w:space="0" w:color="auto"/>
                        <w:bottom w:val="none" w:sz="0" w:space="0" w:color="auto"/>
                        <w:right w:val="none" w:sz="0" w:space="0" w:color="auto"/>
                      </w:divBdr>
                    </w:div>
                    <w:div w:id="1693804152">
                      <w:marLeft w:val="0"/>
                      <w:marRight w:val="0"/>
                      <w:marTop w:val="0"/>
                      <w:marBottom w:val="0"/>
                      <w:divBdr>
                        <w:top w:val="none" w:sz="0" w:space="0" w:color="auto"/>
                        <w:left w:val="none" w:sz="0" w:space="0" w:color="auto"/>
                        <w:bottom w:val="none" w:sz="0" w:space="0" w:color="auto"/>
                        <w:right w:val="none" w:sz="0" w:space="0" w:color="auto"/>
                      </w:divBdr>
                    </w:div>
                  </w:divsChild>
                </w:div>
                <w:div w:id="588275238">
                  <w:marLeft w:val="0"/>
                  <w:marRight w:val="0"/>
                  <w:marTop w:val="0"/>
                  <w:marBottom w:val="0"/>
                  <w:divBdr>
                    <w:top w:val="none" w:sz="0" w:space="0" w:color="auto"/>
                    <w:left w:val="none" w:sz="0" w:space="0" w:color="auto"/>
                    <w:bottom w:val="none" w:sz="0" w:space="0" w:color="auto"/>
                    <w:right w:val="none" w:sz="0" w:space="0" w:color="auto"/>
                  </w:divBdr>
                  <w:divsChild>
                    <w:div w:id="1657955820">
                      <w:marLeft w:val="0"/>
                      <w:marRight w:val="0"/>
                      <w:marTop w:val="0"/>
                      <w:marBottom w:val="0"/>
                      <w:divBdr>
                        <w:top w:val="none" w:sz="0" w:space="0" w:color="auto"/>
                        <w:left w:val="none" w:sz="0" w:space="0" w:color="auto"/>
                        <w:bottom w:val="none" w:sz="0" w:space="0" w:color="auto"/>
                        <w:right w:val="none" w:sz="0" w:space="0" w:color="auto"/>
                      </w:divBdr>
                    </w:div>
                  </w:divsChild>
                </w:div>
                <w:div w:id="664236848">
                  <w:marLeft w:val="0"/>
                  <w:marRight w:val="0"/>
                  <w:marTop w:val="0"/>
                  <w:marBottom w:val="0"/>
                  <w:divBdr>
                    <w:top w:val="none" w:sz="0" w:space="0" w:color="auto"/>
                    <w:left w:val="none" w:sz="0" w:space="0" w:color="auto"/>
                    <w:bottom w:val="none" w:sz="0" w:space="0" w:color="auto"/>
                    <w:right w:val="none" w:sz="0" w:space="0" w:color="auto"/>
                  </w:divBdr>
                  <w:divsChild>
                    <w:div w:id="645281540">
                      <w:marLeft w:val="0"/>
                      <w:marRight w:val="0"/>
                      <w:marTop w:val="0"/>
                      <w:marBottom w:val="0"/>
                      <w:divBdr>
                        <w:top w:val="none" w:sz="0" w:space="0" w:color="auto"/>
                        <w:left w:val="none" w:sz="0" w:space="0" w:color="auto"/>
                        <w:bottom w:val="none" w:sz="0" w:space="0" w:color="auto"/>
                        <w:right w:val="none" w:sz="0" w:space="0" w:color="auto"/>
                      </w:divBdr>
                    </w:div>
                  </w:divsChild>
                </w:div>
                <w:div w:id="684287667">
                  <w:marLeft w:val="0"/>
                  <w:marRight w:val="0"/>
                  <w:marTop w:val="0"/>
                  <w:marBottom w:val="0"/>
                  <w:divBdr>
                    <w:top w:val="none" w:sz="0" w:space="0" w:color="auto"/>
                    <w:left w:val="none" w:sz="0" w:space="0" w:color="auto"/>
                    <w:bottom w:val="none" w:sz="0" w:space="0" w:color="auto"/>
                    <w:right w:val="none" w:sz="0" w:space="0" w:color="auto"/>
                  </w:divBdr>
                  <w:divsChild>
                    <w:div w:id="350759606">
                      <w:marLeft w:val="0"/>
                      <w:marRight w:val="0"/>
                      <w:marTop w:val="0"/>
                      <w:marBottom w:val="0"/>
                      <w:divBdr>
                        <w:top w:val="none" w:sz="0" w:space="0" w:color="auto"/>
                        <w:left w:val="none" w:sz="0" w:space="0" w:color="auto"/>
                        <w:bottom w:val="none" w:sz="0" w:space="0" w:color="auto"/>
                        <w:right w:val="none" w:sz="0" w:space="0" w:color="auto"/>
                      </w:divBdr>
                    </w:div>
                  </w:divsChild>
                </w:div>
                <w:div w:id="688261867">
                  <w:marLeft w:val="0"/>
                  <w:marRight w:val="0"/>
                  <w:marTop w:val="0"/>
                  <w:marBottom w:val="0"/>
                  <w:divBdr>
                    <w:top w:val="none" w:sz="0" w:space="0" w:color="auto"/>
                    <w:left w:val="none" w:sz="0" w:space="0" w:color="auto"/>
                    <w:bottom w:val="none" w:sz="0" w:space="0" w:color="auto"/>
                    <w:right w:val="none" w:sz="0" w:space="0" w:color="auto"/>
                  </w:divBdr>
                  <w:divsChild>
                    <w:div w:id="491340168">
                      <w:marLeft w:val="0"/>
                      <w:marRight w:val="0"/>
                      <w:marTop w:val="0"/>
                      <w:marBottom w:val="0"/>
                      <w:divBdr>
                        <w:top w:val="none" w:sz="0" w:space="0" w:color="auto"/>
                        <w:left w:val="none" w:sz="0" w:space="0" w:color="auto"/>
                        <w:bottom w:val="none" w:sz="0" w:space="0" w:color="auto"/>
                        <w:right w:val="none" w:sz="0" w:space="0" w:color="auto"/>
                      </w:divBdr>
                    </w:div>
                  </w:divsChild>
                </w:div>
                <w:div w:id="708799977">
                  <w:marLeft w:val="0"/>
                  <w:marRight w:val="0"/>
                  <w:marTop w:val="0"/>
                  <w:marBottom w:val="0"/>
                  <w:divBdr>
                    <w:top w:val="none" w:sz="0" w:space="0" w:color="auto"/>
                    <w:left w:val="none" w:sz="0" w:space="0" w:color="auto"/>
                    <w:bottom w:val="none" w:sz="0" w:space="0" w:color="auto"/>
                    <w:right w:val="none" w:sz="0" w:space="0" w:color="auto"/>
                  </w:divBdr>
                  <w:divsChild>
                    <w:div w:id="752167983">
                      <w:marLeft w:val="0"/>
                      <w:marRight w:val="0"/>
                      <w:marTop w:val="0"/>
                      <w:marBottom w:val="0"/>
                      <w:divBdr>
                        <w:top w:val="none" w:sz="0" w:space="0" w:color="auto"/>
                        <w:left w:val="none" w:sz="0" w:space="0" w:color="auto"/>
                        <w:bottom w:val="none" w:sz="0" w:space="0" w:color="auto"/>
                        <w:right w:val="none" w:sz="0" w:space="0" w:color="auto"/>
                      </w:divBdr>
                    </w:div>
                  </w:divsChild>
                </w:div>
                <w:div w:id="808861811">
                  <w:marLeft w:val="0"/>
                  <w:marRight w:val="0"/>
                  <w:marTop w:val="0"/>
                  <w:marBottom w:val="0"/>
                  <w:divBdr>
                    <w:top w:val="none" w:sz="0" w:space="0" w:color="auto"/>
                    <w:left w:val="none" w:sz="0" w:space="0" w:color="auto"/>
                    <w:bottom w:val="none" w:sz="0" w:space="0" w:color="auto"/>
                    <w:right w:val="none" w:sz="0" w:space="0" w:color="auto"/>
                  </w:divBdr>
                  <w:divsChild>
                    <w:div w:id="1276448193">
                      <w:marLeft w:val="0"/>
                      <w:marRight w:val="0"/>
                      <w:marTop w:val="0"/>
                      <w:marBottom w:val="0"/>
                      <w:divBdr>
                        <w:top w:val="none" w:sz="0" w:space="0" w:color="auto"/>
                        <w:left w:val="none" w:sz="0" w:space="0" w:color="auto"/>
                        <w:bottom w:val="none" w:sz="0" w:space="0" w:color="auto"/>
                        <w:right w:val="none" w:sz="0" w:space="0" w:color="auto"/>
                      </w:divBdr>
                    </w:div>
                  </w:divsChild>
                </w:div>
                <w:div w:id="836534106">
                  <w:marLeft w:val="0"/>
                  <w:marRight w:val="0"/>
                  <w:marTop w:val="0"/>
                  <w:marBottom w:val="0"/>
                  <w:divBdr>
                    <w:top w:val="none" w:sz="0" w:space="0" w:color="auto"/>
                    <w:left w:val="none" w:sz="0" w:space="0" w:color="auto"/>
                    <w:bottom w:val="none" w:sz="0" w:space="0" w:color="auto"/>
                    <w:right w:val="none" w:sz="0" w:space="0" w:color="auto"/>
                  </w:divBdr>
                  <w:divsChild>
                    <w:div w:id="256907194">
                      <w:marLeft w:val="0"/>
                      <w:marRight w:val="0"/>
                      <w:marTop w:val="0"/>
                      <w:marBottom w:val="0"/>
                      <w:divBdr>
                        <w:top w:val="none" w:sz="0" w:space="0" w:color="auto"/>
                        <w:left w:val="none" w:sz="0" w:space="0" w:color="auto"/>
                        <w:bottom w:val="none" w:sz="0" w:space="0" w:color="auto"/>
                        <w:right w:val="none" w:sz="0" w:space="0" w:color="auto"/>
                      </w:divBdr>
                    </w:div>
                    <w:div w:id="1470902910">
                      <w:marLeft w:val="0"/>
                      <w:marRight w:val="0"/>
                      <w:marTop w:val="0"/>
                      <w:marBottom w:val="0"/>
                      <w:divBdr>
                        <w:top w:val="none" w:sz="0" w:space="0" w:color="auto"/>
                        <w:left w:val="none" w:sz="0" w:space="0" w:color="auto"/>
                        <w:bottom w:val="none" w:sz="0" w:space="0" w:color="auto"/>
                        <w:right w:val="none" w:sz="0" w:space="0" w:color="auto"/>
                      </w:divBdr>
                    </w:div>
                  </w:divsChild>
                </w:div>
                <w:div w:id="901915838">
                  <w:marLeft w:val="0"/>
                  <w:marRight w:val="0"/>
                  <w:marTop w:val="0"/>
                  <w:marBottom w:val="0"/>
                  <w:divBdr>
                    <w:top w:val="none" w:sz="0" w:space="0" w:color="auto"/>
                    <w:left w:val="none" w:sz="0" w:space="0" w:color="auto"/>
                    <w:bottom w:val="none" w:sz="0" w:space="0" w:color="auto"/>
                    <w:right w:val="none" w:sz="0" w:space="0" w:color="auto"/>
                  </w:divBdr>
                  <w:divsChild>
                    <w:div w:id="159540933">
                      <w:marLeft w:val="0"/>
                      <w:marRight w:val="0"/>
                      <w:marTop w:val="0"/>
                      <w:marBottom w:val="0"/>
                      <w:divBdr>
                        <w:top w:val="none" w:sz="0" w:space="0" w:color="auto"/>
                        <w:left w:val="none" w:sz="0" w:space="0" w:color="auto"/>
                        <w:bottom w:val="none" w:sz="0" w:space="0" w:color="auto"/>
                        <w:right w:val="none" w:sz="0" w:space="0" w:color="auto"/>
                      </w:divBdr>
                    </w:div>
                  </w:divsChild>
                </w:div>
                <w:div w:id="1075009312">
                  <w:marLeft w:val="0"/>
                  <w:marRight w:val="0"/>
                  <w:marTop w:val="0"/>
                  <w:marBottom w:val="0"/>
                  <w:divBdr>
                    <w:top w:val="none" w:sz="0" w:space="0" w:color="auto"/>
                    <w:left w:val="none" w:sz="0" w:space="0" w:color="auto"/>
                    <w:bottom w:val="none" w:sz="0" w:space="0" w:color="auto"/>
                    <w:right w:val="none" w:sz="0" w:space="0" w:color="auto"/>
                  </w:divBdr>
                  <w:divsChild>
                    <w:div w:id="99297668">
                      <w:marLeft w:val="0"/>
                      <w:marRight w:val="0"/>
                      <w:marTop w:val="0"/>
                      <w:marBottom w:val="0"/>
                      <w:divBdr>
                        <w:top w:val="none" w:sz="0" w:space="0" w:color="auto"/>
                        <w:left w:val="none" w:sz="0" w:space="0" w:color="auto"/>
                        <w:bottom w:val="none" w:sz="0" w:space="0" w:color="auto"/>
                        <w:right w:val="none" w:sz="0" w:space="0" w:color="auto"/>
                      </w:divBdr>
                    </w:div>
                    <w:div w:id="2113699559">
                      <w:marLeft w:val="0"/>
                      <w:marRight w:val="0"/>
                      <w:marTop w:val="0"/>
                      <w:marBottom w:val="0"/>
                      <w:divBdr>
                        <w:top w:val="none" w:sz="0" w:space="0" w:color="auto"/>
                        <w:left w:val="none" w:sz="0" w:space="0" w:color="auto"/>
                        <w:bottom w:val="none" w:sz="0" w:space="0" w:color="auto"/>
                        <w:right w:val="none" w:sz="0" w:space="0" w:color="auto"/>
                      </w:divBdr>
                    </w:div>
                  </w:divsChild>
                </w:div>
                <w:div w:id="1080716718">
                  <w:marLeft w:val="0"/>
                  <w:marRight w:val="0"/>
                  <w:marTop w:val="0"/>
                  <w:marBottom w:val="0"/>
                  <w:divBdr>
                    <w:top w:val="none" w:sz="0" w:space="0" w:color="auto"/>
                    <w:left w:val="none" w:sz="0" w:space="0" w:color="auto"/>
                    <w:bottom w:val="none" w:sz="0" w:space="0" w:color="auto"/>
                    <w:right w:val="none" w:sz="0" w:space="0" w:color="auto"/>
                  </w:divBdr>
                  <w:divsChild>
                    <w:div w:id="594561211">
                      <w:marLeft w:val="0"/>
                      <w:marRight w:val="0"/>
                      <w:marTop w:val="0"/>
                      <w:marBottom w:val="0"/>
                      <w:divBdr>
                        <w:top w:val="none" w:sz="0" w:space="0" w:color="auto"/>
                        <w:left w:val="none" w:sz="0" w:space="0" w:color="auto"/>
                        <w:bottom w:val="none" w:sz="0" w:space="0" w:color="auto"/>
                        <w:right w:val="none" w:sz="0" w:space="0" w:color="auto"/>
                      </w:divBdr>
                    </w:div>
                  </w:divsChild>
                </w:div>
                <w:div w:id="1089698621">
                  <w:marLeft w:val="0"/>
                  <w:marRight w:val="0"/>
                  <w:marTop w:val="0"/>
                  <w:marBottom w:val="0"/>
                  <w:divBdr>
                    <w:top w:val="none" w:sz="0" w:space="0" w:color="auto"/>
                    <w:left w:val="none" w:sz="0" w:space="0" w:color="auto"/>
                    <w:bottom w:val="none" w:sz="0" w:space="0" w:color="auto"/>
                    <w:right w:val="none" w:sz="0" w:space="0" w:color="auto"/>
                  </w:divBdr>
                  <w:divsChild>
                    <w:div w:id="174393560">
                      <w:marLeft w:val="0"/>
                      <w:marRight w:val="0"/>
                      <w:marTop w:val="0"/>
                      <w:marBottom w:val="0"/>
                      <w:divBdr>
                        <w:top w:val="none" w:sz="0" w:space="0" w:color="auto"/>
                        <w:left w:val="none" w:sz="0" w:space="0" w:color="auto"/>
                        <w:bottom w:val="none" w:sz="0" w:space="0" w:color="auto"/>
                        <w:right w:val="none" w:sz="0" w:space="0" w:color="auto"/>
                      </w:divBdr>
                    </w:div>
                  </w:divsChild>
                </w:div>
                <w:div w:id="1095131907">
                  <w:marLeft w:val="0"/>
                  <w:marRight w:val="0"/>
                  <w:marTop w:val="0"/>
                  <w:marBottom w:val="0"/>
                  <w:divBdr>
                    <w:top w:val="none" w:sz="0" w:space="0" w:color="auto"/>
                    <w:left w:val="none" w:sz="0" w:space="0" w:color="auto"/>
                    <w:bottom w:val="none" w:sz="0" w:space="0" w:color="auto"/>
                    <w:right w:val="none" w:sz="0" w:space="0" w:color="auto"/>
                  </w:divBdr>
                  <w:divsChild>
                    <w:div w:id="2134326168">
                      <w:marLeft w:val="0"/>
                      <w:marRight w:val="0"/>
                      <w:marTop w:val="0"/>
                      <w:marBottom w:val="0"/>
                      <w:divBdr>
                        <w:top w:val="none" w:sz="0" w:space="0" w:color="auto"/>
                        <w:left w:val="none" w:sz="0" w:space="0" w:color="auto"/>
                        <w:bottom w:val="none" w:sz="0" w:space="0" w:color="auto"/>
                        <w:right w:val="none" w:sz="0" w:space="0" w:color="auto"/>
                      </w:divBdr>
                    </w:div>
                  </w:divsChild>
                </w:div>
                <w:div w:id="1106003340">
                  <w:marLeft w:val="0"/>
                  <w:marRight w:val="0"/>
                  <w:marTop w:val="0"/>
                  <w:marBottom w:val="0"/>
                  <w:divBdr>
                    <w:top w:val="none" w:sz="0" w:space="0" w:color="auto"/>
                    <w:left w:val="none" w:sz="0" w:space="0" w:color="auto"/>
                    <w:bottom w:val="none" w:sz="0" w:space="0" w:color="auto"/>
                    <w:right w:val="none" w:sz="0" w:space="0" w:color="auto"/>
                  </w:divBdr>
                  <w:divsChild>
                    <w:div w:id="253561401">
                      <w:marLeft w:val="0"/>
                      <w:marRight w:val="0"/>
                      <w:marTop w:val="0"/>
                      <w:marBottom w:val="0"/>
                      <w:divBdr>
                        <w:top w:val="none" w:sz="0" w:space="0" w:color="auto"/>
                        <w:left w:val="none" w:sz="0" w:space="0" w:color="auto"/>
                        <w:bottom w:val="none" w:sz="0" w:space="0" w:color="auto"/>
                        <w:right w:val="none" w:sz="0" w:space="0" w:color="auto"/>
                      </w:divBdr>
                    </w:div>
                  </w:divsChild>
                </w:div>
                <w:div w:id="1110390885">
                  <w:marLeft w:val="0"/>
                  <w:marRight w:val="0"/>
                  <w:marTop w:val="0"/>
                  <w:marBottom w:val="0"/>
                  <w:divBdr>
                    <w:top w:val="none" w:sz="0" w:space="0" w:color="auto"/>
                    <w:left w:val="none" w:sz="0" w:space="0" w:color="auto"/>
                    <w:bottom w:val="none" w:sz="0" w:space="0" w:color="auto"/>
                    <w:right w:val="none" w:sz="0" w:space="0" w:color="auto"/>
                  </w:divBdr>
                  <w:divsChild>
                    <w:div w:id="465899356">
                      <w:marLeft w:val="0"/>
                      <w:marRight w:val="0"/>
                      <w:marTop w:val="0"/>
                      <w:marBottom w:val="0"/>
                      <w:divBdr>
                        <w:top w:val="none" w:sz="0" w:space="0" w:color="auto"/>
                        <w:left w:val="none" w:sz="0" w:space="0" w:color="auto"/>
                        <w:bottom w:val="none" w:sz="0" w:space="0" w:color="auto"/>
                        <w:right w:val="none" w:sz="0" w:space="0" w:color="auto"/>
                      </w:divBdr>
                    </w:div>
                  </w:divsChild>
                </w:div>
                <w:div w:id="1176386538">
                  <w:marLeft w:val="0"/>
                  <w:marRight w:val="0"/>
                  <w:marTop w:val="0"/>
                  <w:marBottom w:val="0"/>
                  <w:divBdr>
                    <w:top w:val="none" w:sz="0" w:space="0" w:color="auto"/>
                    <w:left w:val="none" w:sz="0" w:space="0" w:color="auto"/>
                    <w:bottom w:val="none" w:sz="0" w:space="0" w:color="auto"/>
                    <w:right w:val="none" w:sz="0" w:space="0" w:color="auto"/>
                  </w:divBdr>
                  <w:divsChild>
                    <w:div w:id="260722572">
                      <w:marLeft w:val="0"/>
                      <w:marRight w:val="0"/>
                      <w:marTop w:val="0"/>
                      <w:marBottom w:val="0"/>
                      <w:divBdr>
                        <w:top w:val="none" w:sz="0" w:space="0" w:color="auto"/>
                        <w:left w:val="none" w:sz="0" w:space="0" w:color="auto"/>
                        <w:bottom w:val="none" w:sz="0" w:space="0" w:color="auto"/>
                        <w:right w:val="none" w:sz="0" w:space="0" w:color="auto"/>
                      </w:divBdr>
                    </w:div>
                    <w:div w:id="1272778947">
                      <w:marLeft w:val="0"/>
                      <w:marRight w:val="0"/>
                      <w:marTop w:val="0"/>
                      <w:marBottom w:val="0"/>
                      <w:divBdr>
                        <w:top w:val="none" w:sz="0" w:space="0" w:color="auto"/>
                        <w:left w:val="none" w:sz="0" w:space="0" w:color="auto"/>
                        <w:bottom w:val="none" w:sz="0" w:space="0" w:color="auto"/>
                        <w:right w:val="none" w:sz="0" w:space="0" w:color="auto"/>
                      </w:divBdr>
                    </w:div>
                  </w:divsChild>
                </w:div>
                <w:div w:id="1236434026">
                  <w:marLeft w:val="0"/>
                  <w:marRight w:val="0"/>
                  <w:marTop w:val="0"/>
                  <w:marBottom w:val="0"/>
                  <w:divBdr>
                    <w:top w:val="none" w:sz="0" w:space="0" w:color="auto"/>
                    <w:left w:val="none" w:sz="0" w:space="0" w:color="auto"/>
                    <w:bottom w:val="none" w:sz="0" w:space="0" w:color="auto"/>
                    <w:right w:val="none" w:sz="0" w:space="0" w:color="auto"/>
                  </w:divBdr>
                  <w:divsChild>
                    <w:div w:id="1819297362">
                      <w:marLeft w:val="0"/>
                      <w:marRight w:val="0"/>
                      <w:marTop w:val="0"/>
                      <w:marBottom w:val="0"/>
                      <w:divBdr>
                        <w:top w:val="none" w:sz="0" w:space="0" w:color="auto"/>
                        <w:left w:val="none" w:sz="0" w:space="0" w:color="auto"/>
                        <w:bottom w:val="none" w:sz="0" w:space="0" w:color="auto"/>
                        <w:right w:val="none" w:sz="0" w:space="0" w:color="auto"/>
                      </w:divBdr>
                    </w:div>
                  </w:divsChild>
                </w:div>
                <w:div w:id="1301807954">
                  <w:marLeft w:val="0"/>
                  <w:marRight w:val="0"/>
                  <w:marTop w:val="0"/>
                  <w:marBottom w:val="0"/>
                  <w:divBdr>
                    <w:top w:val="none" w:sz="0" w:space="0" w:color="auto"/>
                    <w:left w:val="none" w:sz="0" w:space="0" w:color="auto"/>
                    <w:bottom w:val="none" w:sz="0" w:space="0" w:color="auto"/>
                    <w:right w:val="none" w:sz="0" w:space="0" w:color="auto"/>
                  </w:divBdr>
                  <w:divsChild>
                    <w:div w:id="646975502">
                      <w:marLeft w:val="0"/>
                      <w:marRight w:val="0"/>
                      <w:marTop w:val="0"/>
                      <w:marBottom w:val="0"/>
                      <w:divBdr>
                        <w:top w:val="none" w:sz="0" w:space="0" w:color="auto"/>
                        <w:left w:val="none" w:sz="0" w:space="0" w:color="auto"/>
                        <w:bottom w:val="none" w:sz="0" w:space="0" w:color="auto"/>
                        <w:right w:val="none" w:sz="0" w:space="0" w:color="auto"/>
                      </w:divBdr>
                    </w:div>
                    <w:div w:id="2051413843">
                      <w:marLeft w:val="0"/>
                      <w:marRight w:val="0"/>
                      <w:marTop w:val="0"/>
                      <w:marBottom w:val="0"/>
                      <w:divBdr>
                        <w:top w:val="none" w:sz="0" w:space="0" w:color="auto"/>
                        <w:left w:val="none" w:sz="0" w:space="0" w:color="auto"/>
                        <w:bottom w:val="none" w:sz="0" w:space="0" w:color="auto"/>
                        <w:right w:val="none" w:sz="0" w:space="0" w:color="auto"/>
                      </w:divBdr>
                    </w:div>
                  </w:divsChild>
                </w:div>
                <w:div w:id="1362896587">
                  <w:marLeft w:val="0"/>
                  <w:marRight w:val="0"/>
                  <w:marTop w:val="0"/>
                  <w:marBottom w:val="0"/>
                  <w:divBdr>
                    <w:top w:val="none" w:sz="0" w:space="0" w:color="auto"/>
                    <w:left w:val="none" w:sz="0" w:space="0" w:color="auto"/>
                    <w:bottom w:val="none" w:sz="0" w:space="0" w:color="auto"/>
                    <w:right w:val="none" w:sz="0" w:space="0" w:color="auto"/>
                  </w:divBdr>
                  <w:divsChild>
                    <w:div w:id="1969161378">
                      <w:marLeft w:val="0"/>
                      <w:marRight w:val="0"/>
                      <w:marTop w:val="0"/>
                      <w:marBottom w:val="0"/>
                      <w:divBdr>
                        <w:top w:val="none" w:sz="0" w:space="0" w:color="auto"/>
                        <w:left w:val="none" w:sz="0" w:space="0" w:color="auto"/>
                        <w:bottom w:val="none" w:sz="0" w:space="0" w:color="auto"/>
                        <w:right w:val="none" w:sz="0" w:space="0" w:color="auto"/>
                      </w:divBdr>
                    </w:div>
                  </w:divsChild>
                </w:div>
                <w:div w:id="1367098438">
                  <w:marLeft w:val="0"/>
                  <w:marRight w:val="0"/>
                  <w:marTop w:val="0"/>
                  <w:marBottom w:val="0"/>
                  <w:divBdr>
                    <w:top w:val="none" w:sz="0" w:space="0" w:color="auto"/>
                    <w:left w:val="none" w:sz="0" w:space="0" w:color="auto"/>
                    <w:bottom w:val="none" w:sz="0" w:space="0" w:color="auto"/>
                    <w:right w:val="none" w:sz="0" w:space="0" w:color="auto"/>
                  </w:divBdr>
                  <w:divsChild>
                    <w:div w:id="1998459871">
                      <w:marLeft w:val="0"/>
                      <w:marRight w:val="0"/>
                      <w:marTop w:val="0"/>
                      <w:marBottom w:val="0"/>
                      <w:divBdr>
                        <w:top w:val="none" w:sz="0" w:space="0" w:color="auto"/>
                        <w:left w:val="none" w:sz="0" w:space="0" w:color="auto"/>
                        <w:bottom w:val="none" w:sz="0" w:space="0" w:color="auto"/>
                        <w:right w:val="none" w:sz="0" w:space="0" w:color="auto"/>
                      </w:divBdr>
                    </w:div>
                  </w:divsChild>
                </w:div>
                <w:div w:id="1385371377">
                  <w:marLeft w:val="0"/>
                  <w:marRight w:val="0"/>
                  <w:marTop w:val="0"/>
                  <w:marBottom w:val="0"/>
                  <w:divBdr>
                    <w:top w:val="none" w:sz="0" w:space="0" w:color="auto"/>
                    <w:left w:val="none" w:sz="0" w:space="0" w:color="auto"/>
                    <w:bottom w:val="none" w:sz="0" w:space="0" w:color="auto"/>
                    <w:right w:val="none" w:sz="0" w:space="0" w:color="auto"/>
                  </w:divBdr>
                  <w:divsChild>
                    <w:div w:id="1387223459">
                      <w:marLeft w:val="0"/>
                      <w:marRight w:val="0"/>
                      <w:marTop w:val="0"/>
                      <w:marBottom w:val="0"/>
                      <w:divBdr>
                        <w:top w:val="none" w:sz="0" w:space="0" w:color="auto"/>
                        <w:left w:val="none" w:sz="0" w:space="0" w:color="auto"/>
                        <w:bottom w:val="none" w:sz="0" w:space="0" w:color="auto"/>
                        <w:right w:val="none" w:sz="0" w:space="0" w:color="auto"/>
                      </w:divBdr>
                    </w:div>
                  </w:divsChild>
                </w:div>
                <w:div w:id="1399286800">
                  <w:marLeft w:val="0"/>
                  <w:marRight w:val="0"/>
                  <w:marTop w:val="0"/>
                  <w:marBottom w:val="0"/>
                  <w:divBdr>
                    <w:top w:val="none" w:sz="0" w:space="0" w:color="auto"/>
                    <w:left w:val="none" w:sz="0" w:space="0" w:color="auto"/>
                    <w:bottom w:val="none" w:sz="0" w:space="0" w:color="auto"/>
                    <w:right w:val="none" w:sz="0" w:space="0" w:color="auto"/>
                  </w:divBdr>
                  <w:divsChild>
                    <w:div w:id="1821582367">
                      <w:marLeft w:val="0"/>
                      <w:marRight w:val="0"/>
                      <w:marTop w:val="0"/>
                      <w:marBottom w:val="0"/>
                      <w:divBdr>
                        <w:top w:val="none" w:sz="0" w:space="0" w:color="auto"/>
                        <w:left w:val="none" w:sz="0" w:space="0" w:color="auto"/>
                        <w:bottom w:val="none" w:sz="0" w:space="0" w:color="auto"/>
                        <w:right w:val="none" w:sz="0" w:space="0" w:color="auto"/>
                      </w:divBdr>
                    </w:div>
                  </w:divsChild>
                </w:div>
                <w:div w:id="1543517114">
                  <w:marLeft w:val="0"/>
                  <w:marRight w:val="0"/>
                  <w:marTop w:val="0"/>
                  <w:marBottom w:val="0"/>
                  <w:divBdr>
                    <w:top w:val="none" w:sz="0" w:space="0" w:color="auto"/>
                    <w:left w:val="none" w:sz="0" w:space="0" w:color="auto"/>
                    <w:bottom w:val="none" w:sz="0" w:space="0" w:color="auto"/>
                    <w:right w:val="none" w:sz="0" w:space="0" w:color="auto"/>
                  </w:divBdr>
                  <w:divsChild>
                    <w:div w:id="694043108">
                      <w:marLeft w:val="0"/>
                      <w:marRight w:val="0"/>
                      <w:marTop w:val="0"/>
                      <w:marBottom w:val="0"/>
                      <w:divBdr>
                        <w:top w:val="none" w:sz="0" w:space="0" w:color="auto"/>
                        <w:left w:val="none" w:sz="0" w:space="0" w:color="auto"/>
                        <w:bottom w:val="none" w:sz="0" w:space="0" w:color="auto"/>
                        <w:right w:val="none" w:sz="0" w:space="0" w:color="auto"/>
                      </w:divBdr>
                    </w:div>
                  </w:divsChild>
                </w:div>
                <w:div w:id="1612130409">
                  <w:marLeft w:val="0"/>
                  <w:marRight w:val="0"/>
                  <w:marTop w:val="0"/>
                  <w:marBottom w:val="0"/>
                  <w:divBdr>
                    <w:top w:val="none" w:sz="0" w:space="0" w:color="auto"/>
                    <w:left w:val="none" w:sz="0" w:space="0" w:color="auto"/>
                    <w:bottom w:val="none" w:sz="0" w:space="0" w:color="auto"/>
                    <w:right w:val="none" w:sz="0" w:space="0" w:color="auto"/>
                  </w:divBdr>
                  <w:divsChild>
                    <w:div w:id="80759515">
                      <w:marLeft w:val="0"/>
                      <w:marRight w:val="0"/>
                      <w:marTop w:val="0"/>
                      <w:marBottom w:val="0"/>
                      <w:divBdr>
                        <w:top w:val="none" w:sz="0" w:space="0" w:color="auto"/>
                        <w:left w:val="none" w:sz="0" w:space="0" w:color="auto"/>
                        <w:bottom w:val="none" w:sz="0" w:space="0" w:color="auto"/>
                        <w:right w:val="none" w:sz="0" w:space="0" w:color="auto"/>
                      </w:divBdr>
                    </w:div>
                  </w:divsChild>
                </w:div>
                <w:div w:id="1701125612">
                  <w:marLeft w:val="0"/>
                  <w:marRight w:val="0"/>
                  <w:marTop w:val="0"/>
                  <w:marBottom w:val="0"/>
                  <w:divBdr>
                    <w:top w:val="none" w:sz="0" w:space="0" w:color="auto"/>
                    <w:left w:val="none" w:sz="0" w:space="0" w:color="auto"/>
                    <w:bottom w:val="none" w:sz="0" w:space="0" w:color="auto"/>
                    <w:right w:val="none" w:sz="0" w:space="0" w:color="auto"/>
                  </w:divBdr>
                  <w:divsChild>
                    <w:div w:id="570966745">
                      <w:marLeft w:val="0"/>
                      <w:marRight w:val="0"/>
                      <w:marTop w:val="0"/>
                      <w:marBottom w:val="0"/>
                      <w:divBdr>
                        <w:top w:val="none" w:sz="0" w:space="0" w:color="auto"/>
                        <w:left w:val="none" w:sz="0" w:space="0" w:color="auto"/>
                        <w:bottom w:val="none" w:sz="0" w:space="0" w:color="auto"/>
                        <w:right w:val="none" w:sz="0" w:space="0" w:color="auto"/>
                      </w:divBdr>
                    </w:div>
                    <w:div w:id="625232420">
                      <w:marLeft w:val="0"/>
                      <w:marRight w:val="0"/>
                      <w:marTop w:val="0"/>
                      <w:marBottom w:val="0"/>
                      <w:divBdr>
                        <w:top w:val="none" w:sz="0" w:space="0" w:color="auto"/>
                        <w:left w:val="none" w:sz="0" w:space="0" w:color="auto"/>
                        <w:bottom w:val="none" w:sz="0" w:space="0" w:color="auto"/>
                        <w:right w:val="none" w:sz="0" w:space="0" w:color="auto"/>
                      </w:divBdr>
                    </w:div>
                  </w:divsChild>
                </w:div>
                <w:div w:id="1725761159">
                  <w:marLeft w:val="0"/>
                  <w:marRight w:val="0"/>
                  <w:marTop w:val="0"/>
                  <w:marBottom w:val="0"/>
                  <w:divBdr>
                    <w:top w:val="none" w:sz="0" w:space="0" w:color="auto"/>
                    <w:left w:val="none" w:sz="0" w:space="0" w:color="auto"/>
                    <w:bottom w:val="none" w:sz="0" w:space="0" w:color="auto"/>
                    <w:right w:val="none" w:sz="0" w:space="0" w:color="auto"/>
                  </w:divBdr>
                  <w:divsChild>
                    <w:div w:id="696928106">
                      <w:marLeft w:val="0"/>
                      <w:marRight w:val="0"/>
                      <w:marTop w:val="0"/>
                      <w:marBottom w:val="0"/>
                      <w:divBdr>
                        <w:top w:val="none" w:sz="0" w:space="0" w:color="auto"/>
                        <w:left w:val="none" w:sz="0" w:space="0" w:color="auto"/>
                        <w:bottom w:val="none" w:sz="0" w:space="0" w:color="auto"/>
                        <w:right w:val="none" w:sz="0" w:space="0" w:color="auto"/>
                      </w:divBdr>
                    </w:div>
                    <w:div w:id="1191648487">
                      <w:marLeft w:val="0"/>
                      <w:marRight w:val="0"/>
                      <w:marTop w:val="0"/>
                      <w:marBottom w:val="0"/>
                      <w:divBdr>
                        <w:top w:val="none" w:sz="0" w:space="0" w:color="auto"/>
                        <w:left w:val="none" w:sz="0" w:space="0" w:color="auto"/>
                        <w:bottom w:val="none" w:sz="0" w:space="0" w:color="auto"/>
                        <w:right w:val="none" w:sz="0" w:space="0" w:color="auto"/>
                      </w:divBdr>
                    </w:div>
                  </w:divsChild>
                </w:div>
                <w:div w:id="1809930332">
                  <w:marLeft w:val="0"/>
                  <w:marRight w:val="0"/>
                  <w:marTop w:val="0"/>
                  <w:marBottom w:val="0"/>
                  <w:divBdr>
                    <w:top w:val="none" w:sz="0" w:space="0" w:color="auto"/>
                    <w:left w:val="none" w:sz="0" w:space="0" w:color="auto"/>
                    <w:bottom w:val="none" w:sz="0" w:space="0" w:color="auto"/>
                    <w:right w:val="none" w:sz="0" w:space="0" w:color="auto"/>
                  </w:divBdr>
                  <w:divsChild>
                    <w:div w:id="1676885953">
                      <w:marLeft w:val="0"/>
                      <w:marRight w:val="0"/>
                      <w:marTop w:val="0"/>
                      <w:marBottom w:val="0"/>
                      <w:divBdr>
                        <w:top w:val="none" w:sz="0" w:space="0" w:color="auto"/>
                        <w:left w:val="none" w:sz="0" w:space="0" w:color="auto"/>
                        <w:bottom w:val="none" w:sz="0" w:space="0" w:color="auto"/>
                        <w:right w:val="none" w:sz="0" w:space="0" w:color="auto"/>
                      </w:divBdr>
                    </w:div>
                  </w:divsChild>
                </w:div>
                <w:div w:id="1813450445">
                  <w:marLeft w:val="0"/>
                  <w:marRight w:val="0"/>
                  <w:marTop w:val="0"/>
                  <w:marBottom w:val="0"/>
                  <w:divBdr>
                    <w:top w:val="none" w:sz="0" w:space="0" w:color="auto"/>
                    <w:left w:val="none" w:sz="0" w:space="0" w:color="auto"/>
                    <w:bottom w:val="none" w:sz="0" w:space="0" w:color="auto"/>
                    <w:right w:val="none" w:sz="0" w:space="0" w:color="auto"/>
                  </w:divBdr>
                  <w:divsChild>
                    <w:div w:id="1155681842">
                      <w:marLeft w:val="0"/>
                      <w:marRight w:val="0"/>
                      <w:marTop w:val="0"/>
                      <w:marBottom w:val="0"/>
                      <w:divBdr>
                        <w:top w:val="none" w:sz="0" w:space="0" w:color="auto"/>
                        <w:left w:val="none" w:sz="0" w:space="0" w:color="auto"/>
                        <w:bottom w:val="none" w:sz="0" w:space="0" w:color="auto"/>
                        <w:right w:val="none" w:sz="0" w:space="0" w:color="auto"/>
                      </w:divBdr>
                    </w:div>
                  </w:divsChild>
                </w:div>
                <w:div w:id="2027442026">
                  <w:marLeft w:val="0"/>
                  <w:marRight w:val="0"/>
                  <w:marTop w:val="0"/>
                  <w:marBottom w:val="0"/>
                  <w:divBdr>
                    <w:top w:val="none" w:sz="0" w:space="0" w:color="auto"/>
                    <w:left w:val="none" w:sz="0" w:space="0" w:color="auto"/>
                    <w:bottom w:val="none" w:sz="0" w:space="0" w:color="auto"/>
                    <w:right w:val="none" w:sz="0" w:space="0" w:color="auto"/>
                  </w:divBdr>
                  <w:divsChild>
                    <w:div w:id="1302228332">
                      <w:marLeft w:val="0"/>
                      <w:marRight w:val="0"/>
                      <w:marTop w:val="0"/>
                      <w:marBottom w:val="0"/>
                      <w:divBdr>
                        <w:top w:val="none" w:sz="0" w:space="0" w:color="auto"/>
                        <w:left w:val="none" w:sz="0" w:space="0" w:color="auto"/>
                        <w:bottom w:val="none" w:sz="0" w:space="0" w:color="auto"/>
                        <w:right w:val="none" w:sz="0" w:space="0" w:color="auto"/>
                      </w:divBdr>
                    </w:div>
                  </w:divsChild>
                </w:div>
                <w:div w:id="2029216320">
                  <w:marLeft w:val="0"/>
                  <w:marRight w:val="0"/>
                  <w:marTop w:val="0"/>
                  <w:marBottom w:val="0"/>
                  <w:divBdr>
                    <w:top w:val="none" w:sz="0" w:space="0" w:color="auto"/>
                    <w:left w:val="none" w:sz="0" w:space="0" w:color="auto"/>
                    <w:bottom w:val="none" w:sz="0" w:space="0" w:color="auto"/>
                    <w:right w:val="none" w:sz="0" w:space="0" w:color="auto"/>
                  </w:divBdr>
                  <w:divsChild>
                    <w:div w:id="830364915">
                      <w:marLeft w:val="0"/>
                      <w:marRight w:val="0"/>
                      <w:marTop w:val="0"/>
                      <w:marBottom w:val="0"/>
                      <w:divBdr>
                        <w:top w:val="none" w:sz="0" w:space="0" w:color="auto"/>
                        <w:left w:val="none" w:sz="0" w:space="0" w:color="auto"/>
                        <w:bottom w:val="none" w:sz="0" w:space="0" w:color="auto"/>
                        <w:right w:val="none" w:sz="0" w:space="0" w:color="auto"/>
                      </w:divBdr>
                    </w:div>
                    <w:div w:id="1643926392">
                      <w:marLeft w:val="0"/>
                      <w:marRight w:val="0"/>
                      <w:marTop w:val="0"/>
                      <w:marBottom w:val="0"/>
                      <w:divBdr>
                        <w:top w:val="none" w:sz="0" w:space="0" w:color="auto"/>
                        <w:left w:val="none" w:sz="0" w:space="0" w:color="auto"/>
                        <w:bottom w:val="none" w:sz="0" w:space="0" w:color="auto"/>
                        <w:right w:val="none" w:sz="0" w:space="0" w:color="auto"/>
                      </w:divBdr>
                    </w:div>
                  </w:divsChild>
                </w:div>
                <w:div w:id="2115123619">
                  <w:marLeft w:val="0"/>
                  <w:marRight w:val="0"/>
                  <w:marTop w:val="0"/>
                  <w:marBottom w:val="0"/>
                  <w:divBdr>
                    <w:top w:val="none" w:sz="0" w:space="0" w:color="auto"/>
                    <w:left w:val="none" w:sz="0" w:space="0" w:color="auto"/>
                    <w:bottom w:val="none" w:sz="0" w:space="0" w:color="auto"/>
                    <w:right w:val="none" w:sz="0" w:space="0" w:color="auto"/>
                  </w:divBdr>
                  <w:divsChild>
                    <w:div w:id="556935528">
                      <w:marLeft w:val="0"/>
                      <w:marRight w:val="0"/>
                      <w:marTop w:val="0"/>
                      <w:marBottom w:val="0"/>
                      <w:divBdr>
                        <w:top w:val="none" w:sz="0" w:space="0" w:color="auto"/>
                        <w:left w:val="none" w:sz="0" w:space="0" w:color="auto"/>
                        <w:bottom w:val="none" w:sz="0" w:space="0" w:color="auto"/>
                        <w:right w:val="none" w:sz="0" w:space="0" w:color="auto"/>
                      </w:divBdr>
                    </w:div>
                  </w:divsChild>
                </w:div>
                <w:div w:id="2141652416">
                  <w:marLeft w:val="0"/>
                  <w:marRight w:val="0"/>
                  <w:marTop w:val="0"/>
                  <w:marBottom w:val="0"/>
                  <w:divBdr>
                    <w:top w:val="none" w:sz="0" w:space="0" w:color="auto"/>
                    <w:left w:val="none" w:sz="0" w:space="0" w:color="auto"/>
                    <w:bottom w:val="none" w:sz="0" w:space="0" w:color="auto"/>
                    <w:right w:val="none" w:sz="0" w:space="0" w:color="auto"/>
                  </w:divBdr>
                  <w:divsChild>
                    <w:div w:id="152582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468008">
          <w:marLeft w:val="0"/>
          <w:marRight w:val="0"/>
          <w:marTop w:val="0"/>
          <w:marBottom w:val="0"/>
          <w:divBdr>
            <w:top w:val="none" w:sz="0" w:space="0" w:color="auto"/>
            <w:left w:val="none" w:sz="0" w:space="0" w:color="auto"/>
            <w:bottom w:val="none" w:sz="0" w:space="0" w:color="auto"/>
            <w:right w:val="none" w:sz="0" w:space="0" w:color="auto"/>
          </w:divBdr>
        </w:div>
        <w:div w:id="1623420730">
          <w:marLeft w:val="0"/>
          <w:marRight w:val="0"/>
          <w:marTop w:val="0"/>
          <w:marBottom w:val="0"/>
          <w:divBdr>
            <w:top w:val="none" w:sz="0" w:space="0" w:color="auto"/>
            <w:left w:val="none" w:sz="0" w:space="0" w:color="auto"/>
            <w:bottom w:val="none" w:sz="0" w:space="0" w:color="auto"/>
            <w:right w:val="none" w:sz="0" w:space="0" w:color="auto"/>
          </w:divBdr>
        </w:div>
        <w:div w:id="1647663335">
          <w:marLeft w:val="0"/>
          <w:marRight w:val="0"/>
          <w:marTop w:val="0"/>
          <w:marBottom w:val="0"/>
          <w:divBdr>
            <w:top w:val="none" w:sz="0" w:space="0" w:color="auto"/>
            <w:left w:val="none" w:sz="0" w:space="0" w:color="auto"/>
            <w:bottom w:val="none" w:sz="0" w:space="0" w:color="auto"/>
            <w:right w:val="none" w:sz="0" w:space="0" w:color="auto"/>
          </w:divBdr>
        </w:div>
        <w:div w:id="1662849893">
          <w:marLeft w:val="0"/>
          <w:marRight w:val="0"/>
          <w:marTop w:val="0"/>
          <w:marBottom w:val="0"/>
          <w:divBdr>
            <w:top w:val="none" w:sz="0" w:space="0" w:color="auto"/>
            <w:left w:val="none" w:sz="0" w:space="0" w:color="auto"/>
            <w:bottom w:val="none" w:sz="0" w:space="0" w:color="auto"/>
            <w:right w:val="none" w:sz="0" w:space="0" w:color="auto"/>
          </w:divBdr>
        </w:div>
        <w:div w:id="1723282899">
          <w:marLeft w:val="0"/>
          <w:marRight w:val="0"/>
          <w:marTop w:val="0"/>
          <w:marBottom w:val="0"/>
          <w:divBdr>
            <w:top w:val="none" w:sz="0" w:space="0" w:color="auto"/>
            <w:left w:val="none" w:sz="0" w:space="0" w:color="auto"/>
            <w:bottom w:val="none" w:sz="0" w:space="0" w:color="auto"/>
            <w:right w:val="none" w:sz="0" w:space="0" w:color="auto"/>
          </w:divBdr>
        </w:div>
        <w:div w:id="1792942356">
          <w:marLeft w:val="0"/>
          <w:marRight w:val="0"/>
          <w:marTop w:val="0"/>
          <w:marBottom w:val="0"/>
          <w:divBdr>
            <w:top w:val="none" w:sz="0" w:space="0" w:color="auto"/>
            <w:left w:val="none" w:sz="0" w:space="0" w:color="auto"/>
            <w:bottom w:val="none" w:sz="0" w:space="0" w:color="auto"/>
            <w:right w:val="none" w:sz="0" w:space="0" w:color="auto"/>
          </w:divBdr>
        </w:div>
        <w:div w:id="1804423290">
          <w:marLeft w:val="0"/>
          <w:marRight w:val="0"/>
          <w:marTop w:val="0"/>
          <w:marBottom w:val="0"/>
          <w:divBdr>
            <w:top w:val="none" w:sz="0" w:space="0" w:color="auto"/>
            <w:left w:val="none" w:sz="0" w:space="0" w:color="auto"/>
            <w:bottom w:val="none" w:sz="0" w:space="0" w:color="auto"/>
            <w:right w:val="none" w:sz="0" w:space="0" w:color="auto"/>
          </w:divBdr>
        </w:div>
        <w:div w:id="1809546601">
          <w:marLeft w:val="0"/>
          <w:marRight w:val="0"/>
          <w:marTop w:val="0"/>
          <w:marBottom w:val="0"/>
          <w:divBdr>
            <w:top w:val="none" w:sz="0" w:space="0" w:color="auto"/>
            <w:left w:val="none" w:sz="0" w:space="0" w:color="auto"/>
            <w:bottom w:val="none" w:sz="0" w:space="0" w:color="auto"/>
            <w:right w:val="none" w:sz="0" w:space="0" w:color="auto"/>
          </w:divBdr>
          <w:divsChild>
            <w:div w:id="276642376">
              <w:marLeft w:val="-75"/>
              <w:marRight w:val="0"/>
              <w:marTop w:val="30"/>
              <w:marBottom w:val="30"/>
              <w:divBdr>
                <w:top w:val="none" w:sz="0" w:space="0" w:color="auto"/>
                <w:left w:val="none" w:sz="0" w:space="0" w:color="auto"/>
                <w:bottom w:val="none" w:sz="0" w:space="0" w:color="auto"/>
                <w:right w:val="none" w:sz="0" w:space="0" w:color="auto"/>
              </w:divBdr>
              <w:divsChild>
                <w:div w:id="28338763">
                  <w:marLeft w:val="0"/>
                  <w:marRight w:val="0"/>
                  <w:marTop w:val="0"/>
                  <w:marBottom w:val="0"/>
                  <w:divBdr>
                    <w:top w:val="none" w:sz="0" w:space="0" w:color="auto"/>
                    <w:left w:val="none" w:sz="0" w:space="0" w:color="auto"/>
                    <w:bottom w:val="none" w:sz="0" w:space="0" w:color="auto"/>
                    <w:right w:val="none" w:sz="0" w:space="0" w:color="auto"/>
                  </w:divBdr>
                  <w:divsChild>
                    <w:div w:id="1438329966">
                      <w:marLeft w:val="0"/>
                      <w:marRight w:val="0"/>
                      <w:marTop w:val="0"/>
                      <w:marBottom w:val="0"/>
                      <w:divBdr>
                        <w:top w:val="none" w:sz="0" w:space="0" w:color="auto"/>
                        <w:left w:val="none" w:sz="0" w:space="0" w:color="auto"/>
                        <w:bottom w:val="none" w:sz="0" w:space="0" w:color="auto"/>
                        <w:right w:val="none" w:sz="0" w:space="0" w:color="auto"/>
                      </w:divBdr>
                    </w:div>
                  </w:divsChild>
                </w:div>
                <w:div w:id="484787320">
                  <w:marLeft w:val="0"/>
                  <w:marRight w:val="0"/>
                  <w:marTop w:val="0"/>
                  <w:marBottom w:val="0"/>
                  <w:divBdr>
                    <w:top w:val="none" w:sz="0" w:space="0" w:color="auto"/>
                    <w:left w:val="none" w:sz="0" w:space="0" w:color="auto"/>
                    <w:bottom w:val="none" w:sz="0" w:space="0" w:color="auto"/>
                    <w:right w:val="none" w:sz="0" w:space="0" w:color="auto"/>
                  </w:divBdr>
                  <w:divsChild>
                    <w:div w:id="2068649085">
                      <w:marLeft w:val="0"/>
                      <w:marRight w:val="0"/>
                      <w:marTop w:val="0"/>
                      <w:marBottom w:val="0"/>
                      <w:divBdr>
                        <w:top w:val="none" w:sz="0" w:space="0" w:color="auto"/>
                        <w:left w:val="none" w:sz="0" w:space="0" w:color="auto"/>
                        <w:bottom w:val="none" w:sz="0" w:space="0" w:color="auto"/>
                        <w:right w:val="none" w:sz="0" w:space="0" w:color="auto"/>
                      </w:divBdr>
                    </w:div>
                  </w:divsChild>
                </w:div>
                <w:div w:id="489564886">
                  <w:marLeft w:val="0"/>
                  <w:marRight w:val="0"/>
                  <w:marTop w:val="0"/>
                  <w:marBottom w:val="0"/>
                  <w:divBdr>
                    <w:top w:val="none" w:sz="0" w:space="0" w:color="auto"/>
                    <w:left w:val="none" w:sz="0" w:space="0" w:color="auto"/>
                    <w:bottom w:val="none" w:sz="0" w:space="0" w:color="auto"/>
                    <w:right w:val="none" w:sz="0" w:space="0" w:color="auto"/>
                  </w:divBdr>
                  <w:divsChild>
                    <w:div w:id="1793284176">
                      <w:marLeft w:val="0"/>
                      <w:marRight w:val="0"/>
                      <w:marTop w:val="0"/>
                      <w:marBottom w:val="0"/>
                      <w:divBdr>
                        <w:top w:val="none" w:sz="0" w:space="0" w:color="auto"/>
                        <w:left w:val="none" w:sz="0" w:space="0" w:color="auto"/>
                        <w:bottom w:val="none" w:sz="0" w:space="0" w:color="auto"/>
                        <w:right w:val="none" w:sz="0" w:space="0" w:color="auto"/>
                      </w:divBdr>
                    </w:div>
                  </w:divsChild>
                </w:div>
                <w:div w:id="687147186">
                  <w:marLeft w:val="0"/>
                  <w:marRight w:val="0"/>
                  <w:marTop w:val="0"/>
                  <w:marBottom w:val="0"/>
                  <w:divBdr>
                    <w:top w:val="none" w:sz="0" w:space="0" w:color="auto"/>
                    <w:left w:val="none" w:sz="0" w:space="0" w:color="auto"/>
                    <w:bottom w:val="none" w:sz="0" w:space="0" w:color="auto"/>
                    <w:right w:val="none" w:sz="0" w:space="0" w:color="auto"/>
                  </w:divBdr>
                  <w:divsChild>
                    <w:div w:id="2083985834">
                      <w:marLeft w:val="0"/>
                      <w:marRight w:val="0"/>
                      <w:marTop w:val="0"/>
                      <w:marBottom w:val="0"/>
                      <w:divBdr>
                        <w:top w:val="none" w:sz="0" w:space="0" w:color="auto"/>
                        <w:left w:val="none" w:sz="0" w:space="0" w:color="auto"/>
                        <w:bottom w:val="none" w:sz="0" w:space="0" w:color="auto"/>
                        <w:right w:val="none" w:sz="0" w:space="0" w:color="auto"/>
                      </w:divBdr>
                    </w:div>
                  </w:divsChild>
                </w:div>
                <w:div w:id="850069678">
                  <w:marLeft w:val="0"/>
                  <w:marRight w:val="0"/>
                  <w:marTop w:val="0"/>
                  <w:marBottom w:val="0"/>
                  <w:divBdr>
                    <w:top w:val="none" w:sz="0" w:space="0" w:color="auto"/>
                    <w:left w:val="none" w:sz="0" w:space="0" w:color="auto"/>
                    <w:bottom w:val="none" w:sz="0" w:space="0" w:color="auto"/>
                    <w:right w:val="none" w:sz="0" w:space="0" w:color="auto"/>
                  </w:divBdr>
                  <w:divsChild>
                    <w:div w:id="1485005278">
                      <w:marLeft w:val="0"/>
                      <w:marRight w:val="0"/>
                      <w:marTop w:val="0"/>
                      <w:marBottom w:val="0"/>
                      <w:divBdr>
                        <w:top w:val="none" w:sz="0" w:space="0" w:color="auto"/>
                        <w:left w:val="none" w:sz="0" w:space="0" w:color="auto"/>
                        <w:bottom w:val="none" w:sz="0" w:space="0" w:color="auto"/>
                        <w:right w:val="none" w:sz="0" w:space="0" w:color="auto"/>
                      </w:divBdr>
                    </w:div>
                  </w:divsChild>
                </w:div>
                <w:div w:id="953053261">
                  <w:marLeft w:val="0"/>
                  <w:marRight w:val="0"/>
                  <w:marTop w:val="0"/>
                  <w:marBottom w:val="0"/>
                  <w:divBdr>
                    <w:top w:val="none" w:sz="0" w:space="0" w:color="auto"/>
                    <w:left w:val="none" w:sz="0" w:space="0" w:color="auto"/>
                    <w:bottom w:val="none" w:sz="0" w:space="0" w:color="auto"/>
                    <w:right w:val="none" w:sz="0" w:space="0" w:color="auto"/>
                  </w:divBdr>
                  <w:divsChild>
                    <w:div w:id="601643556">
                      <w:marLeft w:val="0"/>
                      <w:marRight w:val="0"/>
                      <w:marTop w:val="0"/>
                      <w:marBottom w:val="0"/>
                      <w:divBdr>
                        <w:top w:val="none" w:sz="0" w:space="0" w:color="auto"/>
                        <w:left w:val="none" w:sz="0" w:space="0" w:color="auto"/>
                        <w:bottom w:val="none" w:sz="0" w:space="0" w:color="auto"/>
                        <w:right w:val="none" w:sz="0" w:space="0" w:color="auto"/>
                      </w:divBdr>
                    </w:div>
                  </w:divsChild>
                </w:div>
                <w:div w:id="1206143070">
                  <w:marLeft w:val="0"/>
                  <w:marRight w:val="0"/>
                  <w:marTop w:val="0"/>
                  <w:marBottom w:val="0"/>
                  <w:divBdr>
                    <w:top w:val="none" w:sz="0" w:space="0" w:color="auto"/>
                    <w:left w:val="none" w:sz="0" w:space="0" w:color="auto"/>
                    <w:bottom w:val="none" w:sz="0" w:space="0" w:color="auto"/>
                    <w:right w:val="none" w:sz="0" w:space="0" w:color="auto"/>
                  </w:divBdr>
                  <w:divsChild>
                    <w:div w:id="980764832">
                      <w:marLeft w:val="0"/>
                      <w:marRight w:val="0"/>
                      <w:marTop w:val="0"/>
                      <w:marBottom w:val="0"/>
                      <w:divBdr>
                        <w:top w:val="none" w:sz="0" w:space="0" w:color="auto"/>
                        <w:left w:val="none" w:sz="0" w:space="0" w:color="auto"/>
                        <w:bottom w:val="none" w:sz="0" w:space="0" w:color="auto"/>
                        <w:right w:val="none" w:sz="0" w:space="0" w:color="auto"/>
                      </w:divBdr>
                    </w:div>
                  </w:divsChild>
                </w:div>
                <w:div w:id="1431388440">
                  <w:marLeft w:val="0"/>
                  <w:marRight w:val="0"/>
                  <w:marTop w:val="0"/>
                  <w:marBottom w:val="0"/>
                  <w:divBdr>
                    <w:top w:val="none" w:sz="0" w:space="0" w:color="auto"/>
                    <w:left w:val="none" w:sz="0" w:space="0" w:color="auto"/>
                    <w:bottom w:val="none" w:sz="0" w:space="0" w:color="auto"/>
                    <w:right w:val="none" w:sz="0" w:space="0" w:color="auto"/>
                  </w:divBdr>
                  <w:divsChild>
                    <w:div w:id="1894653302">
                      <w:marLeft w:val="0"/>
                      <w:marRight w:val="0"/>
                      <w:marTop w:val="0"/>
                      <w:marBottom w:val="0"/>
                      <w:divBdr>
                        <w:top w:val="none" w:sz="0" w:space="0" w:color="auto"/>
                        <w:left w:val="none" w:sz="0" w:space="0" w:color="auto"/>
                        <w:bottom w:val="none" w:sz="0" w:space="0" w:color="auto"/>
                        <w:right w:val="none" w:sz="0" w:space="0" w:color="auto"/>
                      </w:divBdr>
                    </w:div>
                  </w:divsChild>
                </w:div>
                <w:div w:id="1434588224">
                  <w:marLeft w:val="0"/>
                  <w:marRight w:val="0"/>
                  <w:marTop w:val="0"/>
                  <w:marBottom w:val="0"/>
                  <w:divBdr>
                    <w:top w:val="none" w:sz="0" w:space="0" w:color="auto"/>
                    <w:left w:val="none" w:sz="0" w:space="0" w:color="auto"/>
                    <w:bottom w:val="none" w:sz="0" w:space="0" w:color="auto"/>
                    <w:right w:val="none" w:sz="0" w:space="0" w:color="auto"/>
                  </w:divBdr>
                  <w:divsChild>
                    <w:div w:id="1573419255">
                      <w:marLeft w:val="0"/>
                      <w:marRight w:val="0"/>
                      <w:marTop w:val="0"/>
                      <w:marBottom w:val="0"/>
                      <w:divBdr>
                        <w:top w:val="none" w:sz="0" w:space="0" w:color="auto"/>
                        <w:left w:val="none" w:sz="0" w:space="0" w:color="auto"/>
                        <w:bottom w:val="none" w:sz="0" w:space="0" w:color="auto"/>
                        <w:right w:val="none" w:sz="0" w:space="0" w:color="auto"/>
                      </w:divBdr>
                    </w:div>
                  </w:divsChild>
                </w:div>
                <w:div w:id="1549685613">
                  <w:marLeft w:val="0"/>
                  <w:marRight w:val="0"/>
                  <w:marTop w:val="0"/>
                  <w:marBottom w:val="0"/>
                  <w:divBdr>
                    <w:top w:val="none" w:sz="0" w:space="0" w:color="auto"/>
                    <w:left w:val="none" w:sz="0" w:space="0" w:color="auto"/>
                    <w:bottom w:val="none" w:sz="0" w:space="0" w:color="auto"/>
                    <w:right w:val="none" w:sz="0" w:space="0" w:color="auto"/>
                  </w:divBdr>
                  <w:divsChild>
                    <w:div w:id="338120191">
                      <w:marLeft w:val="0"/>
                      <w:marRight w:val="0"/>
                      <w:marTop w:val="0"/>
                      <w:marBottom w:val="0"/>
                      <w:divBdr>
                        <w:top w:val="none" w:sz="0" w:space="0" w:color="auto"/>
                        <w:left w:val="none" w:sz="0" w:space="0" w:color="auto"/>
                        <w:bottom w:val="none" w:sz="0" w:space="0" w:color="auto"/>
                        <w:right w:val="none" w:sz="0" w:space="0" w:color="auto"/>
                      </w:divBdr>
                    </w:div>
                  </w:divsChild>
                </w:div>
                <w:div w:id="1694762218">
                  <w:marLeft w:val="0"/>
                  <w:marRight w:val="0"/>
                  <w:marTop w:val="0"/>
                  <w:marBottom w:val="0"/>
                  <w:divBdr>
                    <w:top w:val="none" w:sz="0" w:space="0" w:color="auto"/>
                    <w:left w:val="none" w:sz="0" w:space="0" w:color="auto"/>
                    <w:bottom w:val="none" w:sz="0" w:space="0" w:color="auto"/>
                    <w:right w:val="none" w:sz="0" w:space="0" w:color="auto"/>
                  </w:divBdr>
                  <w:divsChild>
                    <w:div w:id="1112482027">
                      <w:marLeft w:val="0"/>
                      <w:marRight w:val="0"/>
                      <w:marTop w:val="0"/>
                      <w:marBottom w:val="0"/>
                      <w:divBdr>
                        <w:top w:val="none" w:sz="0" w:space="0" w:color="auto"/>
                        <w:left w:val="none" w:sz="0" w:space="0" w:color="auto"/>
                        <w:bottom w:val="none" w:sz="0" w:space="0" w:color="auto"/>
                        <w:right w:val="none" w:sz="0" w:space="0" w:color="auto"/>
                      </w:divBdr>
                    </w:div>
                  </w:divsChild>
                </w:div>
                <w:div w:id="2009549951">
                  <w:marLeft w:val="0"/>
                  <w:marRight w:val="0"/>
                  <w:marTop w:val="0"/>
                  <w:marBottom w:val="0"/>
                  <w:divBdr>
                    <w:top w:val="none" w:sz="0" w:space="0" w:color="auto"/>
                    <w:left w:val="none" w:sz="0" w:space="0" w:color="auto"/>
                    <w:bottom w:val="none" w:sz="0" w:space="0" w:color="auto"/>
                    <w:right w:val="none" w:sz="0" w:space="0" w:color="auto"/>
                  </w:divBdr>
                  <w:divsChild>
                    <w:div w:id="161778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423119">
          <w:marLeft w:val="0"/>
          <w:marRight w:val="0"/>
          <w:marTop w:val="0"/>
          <w:marBottom w:val="0"/>
          <w:divBdr>
            <w:top w:val="none" w:sz="0" w:space="0" w:color="auto"/>
            <w:left w:val="none" w:sz="0" w:space="0" w:color="auto"/>
            <w:bottom w:val="none" w:sz="0" w:space="0" w:color="auto"/>
            <w:right w:val="none" w:sz="0" w:space="0" w:color="auto"/>
          </w:divBdr>
        </w:div>
        <w:div w:id="1833787881">
          <w:marLeft w:val="0"/>
          <w:marRight w:val="0"/>
          <w:marTop w:val="0"/>
          <w:marBottom w:val="0"/>
          <w:divBdr>
            <w:top w:val="none" w:sz="0" w:space="0" w:color="auto"/>
            <w:left w:val="none" w:sz="0" w:space="0" w:color="auto"/>
            <w:bottom w:val="none" w:sz="0" w:space="0" w:color="auto"/>
            <w:right w:val="none" w:sz="0" w:space="0" w:color="auto"/>
          </w:divBdr>
        </w:div>
        <w:div w:id="1881550703">
          <w:marLeft w:val="0"/>
          <w:marRight w:val="0"/>
          <w:marTop w:val="0"/>
          <w:marBottom w:val="0"/>
          <w:divBdr>
            <w:top w:val="none" w:sz="0" w:space="0" w:color="auto"/>
            <w:left w:val="none" w:sz="0" w:space="0" w:color="auto"/>
            <w:bottom w:val="none" w:sz="0" w:space="0" w:color="auto"/>
            <w:right w:val="none" w:sz="0" w:space="0" w:color="auto"/>
          </w:divBdr>
        </w:div>
        <w:div w:id="1895576510">
          <w:marLeft w:val="0"/>
          <w:marRight w:val="0"/>
          <w:marTop w:val="0"/>
          <w:marBottom w:val="0"/>
          <w:divBdr>
            <w:top w:val="none" w:sz="0" w:space="0" w:color="auto"/>
            <w:left w:val="none" w:sz="0" w:space="0" w:color="auto"/>
            <w:bottom w:val="none" w:sz="0" w:space="0" w:color="auto"/>
            <w:right w:val="none" w:sz="0" w:space="0" w:color="auto"/>
          </w:divBdr>
        </w:div>
        <w:div w:id="1916472878">
          <w:marLeft w:val="0"/>
          <w:marRight w:val="0"/>
          <w:marTop w:val="0"/>
          <w:marBottom w:val="0"/>
          <w:divBdr>
            <w:top w:val="none" w:sz="0" w:space="0" w:color="auto"/>
            <w:left w:val="none" w:sz="0" w:space="0" w:color="auto"/>
            <w:bottom w:val="none" w:sz="0" w:space="0" w:color="auto"/>
            <w:right w:val="none" w:sz="0" w:space="0" w:color="auto"/>
          </w:divBdr>
        </w:div>
        <w:div w:id="1934388907">
          <w:marLeft w:val="0"/>
          <w:marRight w:val="0"/>
          <w:marTop w:val="0"/>
          <w:marBottom w:val="0"/>
          <w:divBdr>
            <w:top w:val="none" w:sz="0" w:space="0" w:color="auto"/>
            <w:left w:val="none" w:sz="0" w:space="0" w:color="auto"/>
            <w:bottom w:val="none" w:sz="0" w:space="0" w:color="auto"/>
            <w:right w:val="none" w:sz="0" w:space="0" w:color="auto"/>
          </w:divBdr>
        </w:div>
        <w:div w:id="1990085346">
          <w:marLeft w:val="0"/>
          <w:marRight w:val="0"/>
          <w:marTop w:val="0"/>
          <w:marBottom w:val="0"/>
          <w:divBdr>
            <w:top w:val="none" w:sz="0" w:space="0" w:color="auto"/>
            <w:left w:val="none" w:sz="0" w:space="0" w:color="auto"/>
            <w:bottom w:val="none" w:sz="0" w:space="0" w:color="auto"/>
            <w:right w:val="none" w:sz="0" w:space="0" w:color="auto"/>
          </w:divBdr>
        </w:div>
        <w:div w:id="2008484561">
          <w:marLeft w:val="0"/>
          <w:marRight w:val="0"/>
          <w:marTop w:val="0"/>
          <w:marBottom w:val="0"/>
          <w:divBdr>
            <w:top w:val="none" w:sz="0" w:space="0" w:color="auto"/>
            <w:left w:val="none" w:sz="0" w:space="0" w:color="auto"/>
            <w:bottom w:val="none" w:sz="0" w:space="0" w:color="auto"/>
            <w:right w:val="none" w:sz="0" w:space="0" w:color="auto"/>
          </w:divBdr>
        </w:div>
        <w:div w:id="2054697028">
          <w:marLeft w:val="0"/>
          <w:marRight w:val="0"/>
          <w:marTop w:val="0"/>
          <w:marBottom w:val="0"/>
          <w:divBdr>
            <w:top w:val="none" w:sz="0" w:space="0" w:color="auto"/>
            <w:left w:val="none" w:sz="0" w:space="0" w:color="auto"/>
            <w:bottom w:val="none" w:sz="0" w:space="0" w:color="auto"/>
            <w:right w:val="none" w:sz="0" w:space="0" w:color="auto"/>
          </w:divBdr>
        </w:div>
        <w:div w:id="2063403520">
          <w:marLeft w:val="0"/>
          <w:marRight w:val="0"/>
          <w:marTop w:val="0"/>
          <w:marBottom w:val="0"/>
          <w:divBdr>
            <w:top w:val="none" w:sz="0" w:space="0" w:color="auto"/>
            <w:left w:val="none" w:sz="0" w:space="0" w:color="auto"/>
            <w:bottom w:val="none" w:sz="0" w:space="0" w:color="auto"/>
            <w:right w:val="none" w:sz="0" w:space="0" w:color="auto"/>
          </w:divBdr>
        </w:div>
        <w:div w:id="2106613808">
          <w:marLeft w:val="0"/>
          <w:marRight w:val="0"/>
          <w:marTop w:val="0"/>
          <w:marBottom w:val="0"/>
          <w:divBdr>
            <w:top w:val="none" w:sz="0" w:space="0" w:color="auto"/>
            <w:left w:val="none" w:sz="0" w:space="0" w:color="auto"/>
            <w:bottom w:val="none" w:sz="0" w:space="0" w:color="auto"/>
            <w:right w:val="none" w:sz="0" w:space="0" w:color="auto"/>
          </w:divBdr>
        </w:div>
        <w:div w:id="2107648588">
          <w:marLeft w:val="0"/>
          <w:marRight w:val="0"/>
          <w:marTop w:val="0"/>
          <w:marBottom w:val="0"/>
          <w:divBdr>
            <w:top w:val="none" w:sz="0" w:space="0" w:color="auto"/>
            <w:left w:val="none" w:sz="0" w:space="0" w:color="auto"/>
            <w:bottom w:val="none" w:sz="0" w:space="0" w:color="auto"/>
            <w:right w:val="none" w:sz="0" w:space="0" w:color="auto"/>
          </w:divBdr>
        </w:div>
        <w:div w:id="2146772647">
          <w:marLeft w:val="0"/>
          <w:marRight w:val="0"/>
          <w:marTop w:val="0"/>
          <w:marBottom w:val="0"/>
          <w:divBdr>
            <w:top w:val="none" w:sz="0" w:space="0" w:color="auto"/>
            <w:left w:val="none" w:sz="0" w:space="0" w:color="auto"/>
            <w:bottom w:val="none" w:sz="0" w:space="0" w:color="auto"/>
            <w:right w:val="none" w:sz="0" w:space="0" w:color="auto"/>
          </w:divBdr>
        </w:div>
      </w:divsChild>
    </w:div>
    <w:div w:id="1826431474">
      <w:bodyDiv w:val="1"/>
      <w:marLeft w:val="0"/>
      <w:marRight w:val="0"/>
      <w:marTop w:val="0"/>
      <w:marBottom w:val="0"/>
      <w:divBdr>
        <w:top w:val="none" w:sz="0" w:space="0" w:color="auto"/>
        <w:left w:val="none" w:sz="0" w:space="0" w:color="auto"/>
        <w:bottom w:val="none" w:sz="0" w:space="0" w:color="auto"/>
        <w:right w:val="none" w:sz="0" w:space="0" w:color="auto"/>
      </w:divBdr>
    </w:div>
    <w:div w:id="1854102889">
      <w:bodyDiv w:val="1"/>
      <w:marLeft w:val="0"/>
      <w:marRight w:val="0"/>
      <w:marTop w:val="0"/>
      <w:marBottom w:val="0"/>
      <w:divBdr>
        <w:top w:val="none" w:sz="0" w:space="0" w:color="auto"/>
        <w:left w:val="none" w:sz="0" w:space="0" w:color="auto"/>
        <w:bottom w:val="none" w:sz="0" w:space="0" w:color="auto"/>
        <w:right w:val="none" w:sz="0" w:space="0" w:color="auto"/>
      </w:divBdr>
      <w:divsChild>
        <w:div w:id="123810816">
          <w:marLeft w:val="0"/>
          <w:marRight w:val="0"/>
          <w:marTop w:val="0"/>
          <w:marBottom w:val="0"/>
          <w:divBdr>
            <w:top w:val="none" w:sz="0" w:space="0" w:color="auto"/>
            <w:left w:val="none" w:sz="0" w:space="0" w:color="auto"/>
            <w:bottom w:val="none" w:sz="0" w:space="0" w:color="auto"/>
            <w:right w:val="none" w:sz="0" w:space="0" w:color="auto"/>
          </w:divBdr>
        </w:div>
        <w:div w:id="1800032820">
          <w:marLeft w:val="0"/>
          <w:marRight w:val="0"/>
          <w:marTop w:val="0"/>
          <w:marBottom w:val="0"/>
          <w:divBdr>
            <w:top w:val="none" w:sz="0" w:space="0" w:color="auto"/>
            <w:left w:val="none" w:sz="0" w:space="0" w:color="auto"/>
            <w:bottom w:val="none" w:sz="0" w:space="0" w:color="auto"/>
            <w:right w:val="none" w:sz="0" w:space="0" w:color="auto"/>
          </w:divBdr>
        </w:div>
        <w:div w:id="2055351292">
          <w:marLeft w:val="0"/>
          <w:marRight w:val="0"/>
          <w:marTop w:val="0"/>
          <w:marBottom w:val="0"/>
          <w:divBdr>
            <w:top w:val="none" w:sz="0" w:space="0" w:color="auto"/>
            <w:left w:val="none" w:sz="0" w:space="0" w:color="auto"/>
            <w:bottom w:val="none" w:sz="0" w:space="0" w:color="auto"/>
            <w:right w:val="none" w:sz="0" w:space="0" w:color="auto"/>
          </w:divBdr>
        </w:div>
        <w:div w:id="2083290911">
          <w:marLeft w:val="0"/>
          <w:marRight w:val="0"/>
          <w:marTop w:val="0"/>
          <w:marBottom w:val="0"/>
          <w:divBdr>
            <w:top w:val="none" w:sz="0" w:space="0" w:color="auto"/>
            <w:left w:val="none" w:sz="0" w:space="0" w:color="auto"/>
            <w:bottom w:val="none" w:sz="0" w:space="0" w:color="auto"/>
            <w:right w:val="none" w:sz="0" w:space="0" w:color="auto"/>
          </w:divBdr>
          <w:divsChild>
            <w:div w:id="1545558229">
              <w:marLeft w:val="-75"/>
              <w:marRight w:val="0"/>
              <w:marTop w:val="30"/>
              <w:marBottom w:val="30"/>
              <w:divBdr>
                <w:top w:val="none" w:sz="0" w:space="0" w:color="auto"/>
                <w:left w:val="none" w:sz="0" w:space="0" w:color="auto"/>
                <w:bottom w:val="none" w:sz="0" w:space="0" w:color="auto"/>
                <w:right w:val="none" w:sz="0" w:space="0" w:color="auto"/>
              </w:divBdr>
              <w:divsChild>
                <w:div w:id="5138203">
                  <w:marLeft w:val="0"/>
                  <w:marRight w:val="0"/>
                  <w:marTop w:val="0"/>
                  <w:marBottom w:val="0"/>
                  <w:divBdr>
                    <w:top w:val="none" w:sz="0" w:space="0" w:color="auto"/>
                    <w:left w:val="none" w:sz="0" w:space="0" w:color="auto"/>
                    <w:bottom w:val="none" w:sz="0" w:space="0" w:color="auto"/>
                    <w:right w:val="none" w:sz="0" w:space="0" w:color="auto"/>
                  </w:divBdr>
                  <w:divsChild>
                    <w:div w:id="1468546736">
                      <w:marLeft w:val="0"/>
                      <w:marRight w:val="0"/>
                      <w:marTop w:val="0"/>
                      <w:marBottom w:val="0"/>
                      <w:divBdr>
                        <w:top w:val="none" w:sz="0" w:space="0" w:color="auto"/>
                        <w:left w:val="none" w:sz="0" w:space="0" w:color="auto"/>
                        <w:bottom w:val="none" w:sz="0" w:space="0" w:color="auto"/>
                        <w:right w:val="none" w:sz="0" w:space="0" w:color="auto"/>
                      </w:divBdr>
                    </w:div>
                  </w:divsChild>
                </w:div>
                <w:div w:id="16153457">
                  <w:marLeft w:val="0"/>
                  <w:marRight w:val="0"/>
                  <w:marTop w:val="0"/>
                  <w:marBottom w:val="0"/>
                  <w:divBdr>
                    <w:top w:val="none" w:sz="0" w:space="0" w:color="auto"/>
                    <w:left w:val="none" w:sz="0" w:space="0" w:color="auto"/>
                    <w:bottom w:val="none" w:sz="0" w:space="0" w:color="auto"/>
                    <w:right w:val="none" w:sz="0" w:space="0" w:color="auto"/>
                  </w:divBdr>
                  <w:divsChild>
                    <w:div w:id="1410888118">
                      <w:marLeft w:val="0"/>
                      <w:marRight w:val="0"/>
                      <w:marTop w:val="0"/>
                      <w:marBottom w:val="0"/>
                      <w:divBdr>
                        <w:top w:val="none" w:sz="0" w:space="0" w:color="auto"/>
                        <w:left w:val="none" w:sz="0" w:space="0" w:color="auto"/>
                        <w:bottom w:val="none" w:sz="0" w:space="0" w:color="auto"/>
                        <w:right w:val="none" w:sz="0" w:space="0" w:color="auto"/>
                      </w:divBdr>
                    </w:div>
                  </w:divsChild>
                </w:div>
                <w:div w:id="53937351">
                  <w:marLeft w:val="0"/>
                  <w:marRight w:val="0"/>
                  <w:marTop w:val="0"/>
                  <w:marBottom w:val="0"/>
                  <w:divBdr>
                    <w:top w:val="none" w:sz="0" w:space="0" w:color="auto"/>
                    <w:left w:val="none" w:sz="0" w:space="0" w:color="auto"/>
                    <w:bottom w:val="none" w:sz="0" w:space="0" w:color="auto"/>
                    <w:right w:val="none" w:sz="0" w:space="0" w:color="auto"/>
                  </w:divBdr>
                  <w:divsChild>
                    <w:div w:id="715275932">
                      <w:marLeft w:val="0"/>
                      <w:marRight w:val="0"/>
                      <w:marTop w:val="0"/>
                      <w:marBottom w:val="0"/>
                      <w:divBdr>
                        <w:top w:val="none" w:sz="0" w:space="0" w:color="auto"/>
                        <w:left w:val="none" w:sz="0" w:space="0" w:color="auto"/>
                        <w:bottom w:val="none" w:sz="0" w:space="0" w:color="auto"/>
                        <w:right w:val="none" w:sz="0" w:space="0" w:color="auto"/>
                      </w:divBdr>
                    </w:div>
                  </w:divsChild>
                </w:div>
                <w:div w:id="129253221">
                  <w:marLeft w:val="0"/>
                  <w:marRight w:val="0"/>
                  <w:marTop w:val="0"/>
                  <w:marBottom w:val="0"/>
                  <w:divBdr>
                    <w:top w:val="none" w:sz="0" w:space="0" w:color="auto"/>
                    <w:left w:val="none" w:sz="0" w:space="0" w:color="auto"/>
                    <w:bottom w:val="none" w:sz="0" w:space="0" w:color="auto"/>
                    <w:right w:val="none" w:sz="0" w:space="0" w:color="auto"/>
                  </w:divBdr>
                  <w:divsChild>
                    <w:div w:id="983772850">
                      <w:marLeft w:val="0"/>
                      <w:marRight w:val="0"/>
                      <w:marTop w:val="0"/>
                      <w:marBottom w:val="0"/>
                      <w:divBdr>
                        <w:top w:val="none" w:sz="0" w:space="0" w:color="auto"/>
                        <w:left w:val="none" w:sz="0" w:space="0" w:color="auto"/>
                        <w:bottom w:val="none" w:sz="0" w:space="0" w:color="auto"/>
                        <w:right w:val="none" w:sz="0" w:space="0" w:color="auto"/>
                      </w:divBdr>
                    </w:div>
                  </w:divsChild>
                </w:div>
                <w:div w:id="215896536">
                  <w:marLeft w:val="0"/>
                  <w:marRight w:val="0"/>
                  <w:marTop w:val="0"/>
                  <w:marBottom w:val="0"/>
                  <w:divBdr>
                    <w:top w:val="none" w:sz="0" w:space="0" w:color="auto"/>
                    <w:left w:val="none" w:sz="0" w:space="0" w:color="auto"/>
                    <w:bottom w:val="none" w:sz="0" w:space="0" w:color="auto"/>
                    <w:right w:val="none" w:sz="0" w:space="0" w:color="auto"/>
                  </w:divBdr>
                  <w:divsChild>
                    <w:div w:id="110712685">
                      <w:marLeft w:val="0"/>
                      <w:marRight w:val="0"/>
                      <w:marTop w:val="0"/>
                      <w:marBottom w:val="0"/>
                      <w:divBdr>
                        <w:top w:val="none" w:sz="0" w:space="0" w:color="auto"/>
                        <w:left w:val="none" w:sz="0" w:space="0" w:color="auto"/>
                        <w:bottom w:val="none" w:sz="0" w:space="0" w:color="auto"/>
                        <w:right w:val="none" w:sz="0" w:space="0" w:color="auto"/>
                      </w:divBdr>
                    </w:div>
                  </w:divsChild>
                </w:div>
                <w:div w:id="431053748">
                  <w:marLeft w:val="0"/>
                  <w:marRight w:val="0"/>
                  <w:marTop w:val="0"/>
                  <w:marBottom w:val="0"/>
                  <w:divBdr>
                    <w:top w:val="none" w:sz="0" w:space="0" w:color="auto"/>
                    <w:left w:val="none" w:sz="0" w:space="0" w:color="auto"/>
                    <w:bottom w:val="none" w:sz="0" w:space="0" w:color="auto"/>
                    <w:right w:val="none" w:sz="0" w:space="0" w:color="auto"/>
                  </w:divBdr>
                  <w:divsChild>
                    <w:div w:id="1866289105">
                      <w:marLeft w:val="0"/>
                      <w:marRight w:val="0"/>
                      <w:marTop w:val="0"/>
                      <w:marBottom w:val="0"/>
                      <w:divBdr>
                        <w:top w:val="none" w:sz="0" w:space="0" w:color="auto"/>
                        <w:left w:val="none" w:sz="0" w:space="0" w:color="auto"/>
                        <w:bottom w:val="none" w:sz="0" w:space="0" w:color="auto"/>
                        <w:right w:val="none" w:sz="0" w:space="0" w:color="auto"/>
                      </w:divBdr>
                    </w:div>
                  </w:divsChild>
                </w:div>
                <w:div w:id="455828717">
                  <w:marLeft w:val="0"/>
                  <w:marRight w:val="0"/>
                  <w:marTop w:val="0"/>
                  <w:marBottom w:val="0"/>
                  <w:divBdr>
                    <w:top w:val="none" w:sz="0" w:space="0" w:color="auto"/>
                    <w:left w:val="none" w:sz="0" w:space="0" w:color="auto"/>
                    <w:bottom w:val="none" w:sz="0" w:space="0" w:color="auto"/>
                    <w:right w:val="none" w:sz="0" w:space="0" w:color="auto"/>
                  </w:divBdr>
                  <w:divsChild>
                    <w:div w:id="1553232805">
                      <w:marLeft w:val="0"/>
                      <w:marRight w:val="0"/>
                      <w:marTop w:val="0"/>
                      <w:marBottom w:val="0"/>
                      <w:divBdr>
                        <w:top w:val="none" w:sz="0" w:space="0" w:color="auto"/>
                        <w:left w:val="none" w:sz="0" w:space="0" w:color="auto"/>
                        <w:bottom w:val="none" w:sz="0" w:space="0" w:color="auto"/>
                        <w:right w:val="none" w:sz="0" w:space="0" w:color="auto"/>
                      </w:divBdr>
                    </w:div>
                  </w:divsChild>
                </w:div>
                <w:div w:id="457114350">
                  <w:marLeft w:val="0"/>
                  <w:marRight w:val="0"/>
                  <w:marTop w:val="0"/>
                  <w:marBottom w:val="0"/>
                  <w:divBdr>
                    <w:top w:val="none" w:sz="0" w:space="0" w:color="auto"/>
                    <w:left w:val="none" w:sz="0" w:space="0" w:color="auto"/>
                    <w:bottom w:val="none" w:sz="0" w:space="0" w:color="auto"/>
                    <w:right w:val="none" w:sz="0" w:space="0" w:color="auto"/>
                  </w:divBdr>
                  <w:divsChild>
                    <w:div w:id="1821844546">
                      <w:marLeft w:val="0"/>
                      <w:marRight w:val="0"/>
                      <w:marTop w:val="0"/>
                      <w:marBottom w:val="0"/>
                      <w:divBdr>
                        <w:top w:val="none" w:sz="0" w:space="0" w:color="auto"/>
                        <w:left w:val="none" w:sz="0" w:space="0" w:color="auto"/>
                        <w:bottom w:val="none" w:sz="0" w:space="0" w:color="auto"/>
                        <w:right w:val="none" w:sz="0" w:space="0" w:color="auto"/>
                      </w:divBdr>
                    </w:div>
                  </w:divsChild>
                </w:div>
                <w:div w:id="520627411">
                  <w:marLeft w:val="0"/>
                  <w:marRight w:val="0"/>
                  <w:marTop w:val="0"/>
                  <w:marBottom w:val="0"/>
                  <w:divBdr>
                    <w:top w:val="none" w:sz="0" w:space="0" w:color="auto"/>
                    <w:left w:val="none" w:sz="0" w:space="0" w:color="auto"/>
                    <w:bottom w:val="none" w:sz="0" w:space="0" w:color="auto"/>
                    <w:right w:val="none" w:sz="0" w:space="0" w:color="auto"/>
                  </w:divBdr>
                  <w:divsChild>
                    <w:div w:id="337773112">
                      <w:marLeft w:val="0"/>
                      <w:marRight w:val="0"/>
                      <w:marTop w:val="0"/>
                      <w:marBottom w:val="0"/>
                      <w:divBdr>
                        <w:top w:val="none" w:sz="0" w:space="0" w:color="auto"/>
                        <w:left w:val="none" w:sz="0" w:space="0" w:color="auto"/>
                        <w:bottom w:val="none" w:sz="0" w:space="0" w:color="auto"/>
                        <w:right w:val="none" w:sz="0" w:space="0" w:color="auto"/>
                      </w:divBdr>
                    </w:div>
                  </w:divsChild>
                </w:div>
                <w:div w:id="528684298">
                  <w:marLeft w:val="0"/>
                  <w:marRight w:val="0"/>
                  <w:marTop w:val="0"/>
                  <w:marBottom w:val="0"/>
                  <w:divBdr>
                    <w:top w:val="none" w:sz="0" w:space="0" w:color="auto"/>
                    <w:left w:val="none" w:sz="0" w:space="0" w:color="auto"/>
                    <w:bottom w:val="none" w:sz="0" w:space="0" w:color="auto"/>
                    <w:right w:val="none" w:sz="0" w:space="0" w:color="auto"/>
                  </w:divBdr>
                  <w:divsChild>
                    <w:div w:id="1862163076">
                      <w:marLeft w:val="0"/>
                      <w:marRight w:val="0"/>
                      <w:marTop w:val="0"/>
                      <w:marBottom w:val="0"/>
                      <w:divBdr>
                        <w:top w:val="none" w:sz="0" w:space="0" w:color="auto"/>
                        <w:left w:val="none" w:sz="0" w:space="0" w:color="auto"/>
                        <w:bottom w:val="none" w:sz="0" w:space="0" w:color="auto"/>
                        <w:right w:val="none" w:sz="0" w:space="0" w:color="auto"/>
                      </w:divBdr>
                    </w:div>
                  </w:divsChild>
                </w:div>
                <w:div w:id="549458004">
                  <w:marLeft w:val="0"/>
                  <w:marRight w:val="0"/>
                  <w:marTop w:val="0"/>
                  <w:marBottom w:val="0"/>
                  <w:divBdr>
                    <w:top w:val="none" w:sz="0" w:space="0" w:color="auto"/>
                    <w:left w:val="none" w:sz="0" w:space="0" w:color="auto"/>
                    <w:bottom w:val="none" w:sz="0" w:space="0" w:color="auto"/>
                    <w:right w:val="none" w:sz="0" w:space="0" w:color="auto"/>
                  </w:divBdr>
                  <w:divsChild>
                    <w:div w:id="1053502147">
                      <w:marLeft w:val="0"/>
                      <w:marRight w:val="0"/>
                      <w:marTop w:val="0"/>
                      <w:marBottom w:val="0"/>
                      <w:divBdr>
                        <w:top w:val="none" w:sz="0" w:space="0" w:color="auto"/>
                        <w:left w:val="none" w:sz="0" w:space="0" w:color="auto"/>
                        <w:bottom w:val="none" w:sz="0" w:space="0" w:color="auto"/>
                        <w:right w:val="none" w:sz="0" w:space="0" w:color="auto"/>
                      </w:divBdr>
                    </w:div>
                  </w:divsChild>
                </w:div>
                <w:div w:id="665743140">
                  <w:marLeft w:val="0"/>
                  <w:marRight w:val="0"/>
                  <w:marTop w:val="0"/>
                  <w:marBottom w:val="0"/>
                  <w:divBdr>
                    <w:top w:val="none" w:sz="0" w:space="0" w:color="auto"/>
                    <w:left w:val="none" w:sz="0" w:space="0" w:color="auto"/>
                    <w:bottom w:val="none" w:sz="0" w:space="0" w:color="auto"/>
                    <w:right w:val="none" w:sz="0" w:space="0" w:color="auto"/>
                  </w:divBdr>
                  <w:divsChild>
                    <w:div w:id="1200585991">
                      <w:marLeft w:val="0"/>
                      <w:marRight w:val="0"/>
                      <w:marTop w:val="0"/>
                      <w:marBottom w:val="0"/>
                      <w:divBdr>
                        <w:top w:val="none" w:sz="0" w:space="0" w:color="auto"/>
                        <w:left w:val="none" w:sz="0" w:space="0" w:color="auto"/>
                        <w:bottom w:val="none" w:sz="0" w:space="0" w:color="auto"/>
                        <w:right w:val="none" w:sz="0" w:space="0" w:color="auto"/>
                      </w:divBdr>
                    </w:div>
                  </w:divsChild>
                </w:div>
                <w:div w:id="703209626">
                  <w:marLeft w:val="0"/>
                  <w:marRight w:val="0"/>
                  <w:marTop w:val="0"/>
                  <w:marBottom w:val="0"/>
                  <w:divBdr>
                    <w:top w:val="none" w:sz="0" w:space="0" w:color="auto"/>
                    <w:left w:val="none" w:sz="0" w:space="0" w:color="auto"/>
                    <w:bottom w:val="none" w:sz="0" w:space="0" w:color="auto"/>
                    <w:right w:val="none" w:sz="0" w:space="0" w:color="auto"/>
                  </w:divBdr>
                  <w:divsChild>
                    <w:div w:id="1621959170">
                      <w:marLeft w:val="0"/>
                      <w:marRight w:val="0"/>
                      <w:marTop w:val="0"/>
                      <w:marBottom w:val="0"/>
                      <w:divBdr>
                        <w:top w:val="none" w:sz="0" w:space="0" w:color="auto"/>
                        <w:left w:val="none" w:sz="0" w:space="0" w:color="auto"/>
                        <w:bottom w:val="none" w:sz="0" w:space="0" w:color="auto"/>
                        <w:right w:val="none" w:sz="0" w:space="0" w:color="auto"/>
                      </w:divBdr>
                    </w:div>
                  </w:divsChild>
                </w:div>
                <w:div w:id="714236487">
                  <w:marLeft w:val="0"/>
                  <w:marRight w:val="0"/>
                  <w:marTop w:val="0"/>
                  <w:marBottom w:val="0"/>
                  <w:divBdr>
                    <w:top w:val="none" w:sz="0" w:space="0" w:color="auto"/>
                    <w:left w:val="none" w:sz="0" w:space="0" w:color="auto"/>
                    <w:bottom w:val="none" w:sz="0" w:space="0" w:color="auto"/>
                    <w:right w:val="none" w:sz="0" w:space="0" w:color="auto"/>
                  </w:divBdr>
                  <w:divsChild>
                    <w:div w:id="263080956">
                      <w:marLeft w:val="0"/>
                      <w:marRight w:val="0"/>
                      <w:marTop w:val="0"/>
                      <w:marBottom w:val="0"/>
                      <w:divBdr>
                        <w:top w:val="none" w:sz="0" w:space="0" w:color="auto"/>
                        <w:left w:val="none" w:sz="0" w:space="0" w:color="auto"/>
                        <w:bottom w:val="none" w:sz="0" w:space="0" w:color="auto"/>
                        <w:right w:val="none" w:sz="0" w:space="0" w:color="auto"/>
                      </w:divBdr>
                    </w:div>
                  </w:divsChild>
                </w:div>
                <w:div w:id="851727408">
                  <w:marLeft w:val="0"/>
                  <w:marRight w:val="0"/>
                  <w:marTop w:val="0"/>
                  <w:marBottom w:val="0"/>
                  <w:divBdr>
                    <w:top w:val="none" w:sz="0" w:space="0" w:color="auto"/>
                    <w:left w:val="none" w:sz="0" w:space="0" w:color="auto"/>
                    <w:bottom w:val="none" w:sz="0" w:space="0" w:color="auto"/>
                    <w:right w:val="none" w:sz="0" w:space="0" w:color="auto"/>
                  </w:divBdr>
                  <w:divsChild>
                    <w:div w:id="1816725562">
                      <w:marLeft w:val="0"/>
                      <w:marRight w:val="0"/>
                      <w:marTop w:val="0"/>
                      <w:marBottom w:val="0"/>
                      <w:divBdr>
                        <w:top w:val="none" w:sz="0" w:space="0" w:color="auto"/>
                        <w:left w:val="none" w:sz="0" w:space="0" w:color="auto"/>
                        <w:bottom w:val="none" w:sz="0" w:space="0" w:color="auto"/>
                        <w:right w:val="none" w:sz="0" w:space="0" w:color="auto"/>
                      </w:divBdr>
                    </w:div>
                  </w:divsChild>
                </w:div>
                <w:div w:id="985544989">
                  <w:marLeft w:val="0"/>
                  <w:marRight w:val="0"/>
                  <w:marTop w:val="0"/>
                  <w:marBottom w:val="0"/>
                  <w:divBdr>
                    <w:top w:val="none" w:sz="0" w:space="0" w:color="auto"/>
                    <w:left w:val="none" w:sz="0" w:space="0" w:color="auto"/>
                    <w:bottom w:val="none" w:sz="0" w:space="0" w:color="auto"/>
                    <w:right w:val="none" w:sz="0" w:space="0" w:color="auto"/>
                  </w:divBdr>
                  <w:divsChild>
                    <w:div w:id="380785534">
                      <w:marLeft w:val="0"/>
                      <w:marRight w:val="0"/>
                      <w:marTop w:val="0"/>
                      <w:marBottom w:val="0"/>
                      <w:divBdr>
                        <w:top w:val="none" w:sz="0" w:space="0" w:color="auto"/>
                        <w:left w:val="none" w:sz="0" w:space="0" w:color="auto"/>
                        <w:bottom w:val="none" w:sz="0" w:space="0" w:color="auto"/>
                        <w:right w:val="none" w:sz="0" w:space="0" w:color="auto"/>
                      </w:divBdr>
                    </w:div>
                  </w:divsChild>
                </w:div>
                <w:div w:id="1012998220">
                  <w:marLeft w:val="0"/>
                  <w:marRight w:val="0"/>
                  <w:marTop w:val="0"/>
                  <w:marBottom w:val="0"/>
                  <w:divBdr>
                    <w:top w:val="none" w:sz="0" w:space="0" w:color="auto"/>
                    <w:left w:val="none" w:sz="0" w:space="0" w:color="auto"/>
                    <w:bottom w:val="none" w:sz="0" w:space="0" w:color="auto"/>
                    <w:right w:val="none" w:sz="0" w:space="0" w:color="auto"/>
                  </w:divBdr>
                  <w:divsChild>
                    <w:div w:id="1176110542">
                      <w:marLeft w:val="0"/>
                      <w:marRight w:val="0"/>
                      <w:marTop w:val="0"/>
                      <w:marBottom w:val="0"/>
                      <w:divBdr>
                        <w:top w:val="none" w:sz="0" w:space="0" w:color="auto"/>
                        <w:left w:val="none" w:sz="0" w:space="0" w:color="auto"/>
                        <w:bottom w:val="none" w:sz="0" w:space="0" w:color="auto"/>
                        <w:right w:val="none" w:sz="0" w:space="0" w:color="auto"/>
                      </w:divBdr>
                    </w:div>
                  </w:divsChild>
                </w:div>
                <w:div w:id="1045838932">
                  <w:marLeft w:val="0"/>
                  <w:marRight w:val="0"/>
                  <w:marTop w:val="0"/>
                  <w:marBottom w:val="0"/>
                  <w:divBdr>
                    <w:top w:val="none" w:sz="0" w:space="0" w:color="auto"/>
                    <w:left w:val="none" w:sz="0" w:space="0" w:color="auto"/>
                    <w:bottom w:val="none" w:sz="0" w:space="0" w:color="auto"/>
                    <w:right w:val="none" w:sz="0" w:space="0" w:color="auto"/>
                  </w:divBdr>
                  <w:divsChild>
                    <w:div w:id="2070574914">
                      <w:marLeft w:val="0"/>
                      <w:marRight w:val="0"/>
                      <w:marTop w:val="0"/>
                      <w:marBottom w:val="0"/>
                      <w:divBdr>
                        <w:top w:val="none" w:sz="0" w:space="0" w:color="auto"/>
                        <w:left w:val="none" w:sz="0" w:space="0" w:color="auto"/>
                        <w:bottom w:val="none" w:sz="0" w:space="0" w:color="auto"/>
                        <w:right w:val="none" w:sz="0" w:space="0" w:color="auto"/>
                      </w:divBdr>
                    </w:div>
                  </w:divsChild>
                </w:div>
                <w:div w:id="1172767611">
                  <w:marLeft w:val="0"/>
                  <w:marRight w:val="0"/>
                  <w:marTop w:val="0"/>
                  <w:marBottom w:val="0"/>
                  <w:divBdr>
                    <w:top w:val="none" w:sz="0" w:space="0" w:color="auto"/>
                    <w:left w:val="none" w:sz="0" w:space="0" w:color="auto"/>
                    <w:bottom w:val="none" w:sz="0" w:space="0" w:color="auto"/>
                    <w:right w:val="none" w:sz="0" w:space="0" w:color="auto"/>
                  </w:divBdr>
                  <w:divsChild>
                    <w:div w:id="3748562">
                      <w:marLeft w:val="0"/>
                      <w:marRight w:val="0"/>
                      <w:marTop w:val="0"/>
                      <w:marBottom w:val="0"/>
                      <w:divBdr>
                        <w:top w:val="none" w:sz="0" w:space="0" w:color="auto"/>
                        <w:left w:val="none" w:sz="0" w:space="0" w:color="auto"/>
                        <w:bottom w:val="none" w:sz="0" w:space="0" w:color="auto"/>
                        <w:right w:val="none" w:sz="0" w:space="0" w:color="auto"/>
                      </w:divBdr>
                    </w:div>
                  </w:divsChild>
                </w:div>
                <w:div w:id="1178470025">
                  <w:marLeft w:val="0"/>
                  <w:marRight w:val="0"/>
                  <w:marTop w:val="0"/>
                  <w:marBottom w:val="0"/>
                  <w:divBdr>
                    <w:top w:val="none" w:sz="0" w:space="0" w:color="auto"/>
                    <w:left w:val="none" w:sz="0" w:space="0" w:color="auto"/>
                    <w:bottom w:val="none" w:sz="0" w:space="0" w:color="auto"/>
                    <w:right w:val="none" w:sz="0" w:space="0" w:color="auto"/>
                  </w:divBdr>
                  <w:divsChild>
                    <w:div w:id="299577002">
                      <w:marLeft w:val="0"/>
                      <w:marRight w:val="0"/>
                      <w:marTop w:val="0"/>
                      <w:marBottom w:val="0"/>
                      <w:divBdr>
                        <w:top w:val="none" w:sz="0" w:space="0" w:color="auto"/>
                        <w:left w:val="none" w:sz="0" w:space="0" w:color="auto"/>
                        <w:bottom w:val="none" w:sz="0" w:space="0" w:color="auto"/>
                        <w:right w:val="none" w:sz="0" w:space="0" w:color="auto"/>
                      </w:divBdr>
                    </w:div>
                  </w:divsChild>
                </w:div>
                <w:div w:id="1215777477">
                  <w:marLeft w:val="0"/>
                  <w:marRight w:val="0"/>
                  <w:marTop w:val="0"/>
                  <w:marBottom w:val="0"/>
                  <w:divBdr>
                    <w:top w:val="none" w:sz="0" w:space="0" w:color="auto"/>
                    <w:left w:val="none" w:sz="0" w:space="0" w:color="auto"/>
                    <w:bottom w:val="none" w:sz="0" w:space="0" w:color="auto"/>
                    <w:right w:val="none" w:sz="0" w:space="0" w:color="auto"/>
                  </w:divBdr>
                  <w:divsChild>
                    <w:div w:id="486241660">
                      <w:marLeft w:val="0"/>
                      <w:marRight w:val="0"/>
                      <w:marTop w:val="0"/>
                      <w:marBottom w:val="0"/>
                      <w:divBdr>
                        <w:top w:val="none" w:sz="0" w:space="0" w:color="auto"/>
                        <w:left w:val="none" w:sz="0" w:space="0" w:color="auto"/>
                        <w:bottom w:val="none" w:sz="0" w:space="0" w:color="auto"/>
                        <w:right w:val="none" w:sz="0" w:space="0" w:color="auto"/>
                      </w:divBdr>
                    </w:div>
                  </w:divsChild>
                </w:div>
                <w:div w:id="1371565726">
                  <w:marLeft w:val="0"/>
                  <w:marRight w:val="0"/>
                  <w:marTop w:val="0"/>
                  <w:marBottom w:val="0"/>
                  <w:divBdr>
                    <w:top w:val="none" w:sz="0" w:space="0" w:color="auto"/>
                    <w:left w:val="none" w:sz="0" w:space="0" w:color="auto"/>
                    <w:bottom w:val="none" w:sz="0" w:space="0" w:color="auto"/>
                    <w:right w:val="none" w:sz="0" w:space="0" w:color="auto"/>
                  </w:divBdr>
                  <w:divsChild>
                    <w:div w:id="183712247">
                      <w:marLeft w:val="0"/>
                      <w:marRight w:val="0"/>
                      <w:marTop w:val="0"/>
                      <w:marBottom w:val="0"/>
                      <w:divBdr>
                        <w:top w:val="none" w:sz="0" w:space="0" w:color="auto"/>
                        <w:left w:val="none" w:sz="0" w:space="0" w:color="auto"/>
                        <w:bottom w:val="none" w:sz="0" w:space="0" w:color="auto"/>
                        <w:right w:val="none" w:sz="0" w:space="0" w:color="auto"/>
                      </w:divBdr>
                    </w:div>
                  </w:divsChild>
                </w:div>
                <w:div w:id="1406493350">
                  <w:marLeft w:val="0"/>
                  <w:marRight w:val="0"/>
                  <w:marTop w:val="0"/>
                  <w:marBottom w:val="0"/>
                  <w:divBdr>
                    <w:top w:val="none" w:sz="0" w:space="0" w:color="auto"/>
                    <w:left w:val="none" w:sz="0" w:space="0" w:color="auto"/>
                    <w:bottom w:val="none" w:sz="0" w:space="0" w:color="auto"/>
                    <w:right w:val="none" w:sz="0" w:space="0" w:color="auto"/>
                  </w:divBdr>
                  <w:divsChild>
                    <w:div w:id="144056077">
                      <w:marLeft w:val="0"/>
                      <w:marRight w:val="0"/>
                      <w:marTop w:val="0"/>
                      <w:marBottom w:val="0"/>
                      <w:divBdr>
                        <w:top w:val="none" w:sz="0" w:space="0" w:color="auto"/>
                        <w:left w:val="none" w:sz="0" w:space="0" w:color="auto"/>
                        <w:bottom w:val="none" w:sz="0" w:space="0" w:color="auto"/>
                        <w:right w:val="none" w:sz="0" w:space="0" w:color="auto"/>
                      </w:divBdr>
                    </w:div>
                  </w:divsChild>
                </w:div>
                <w:div w:id="1435859869">
                  <w:marLeft w:val="0"/>
                  <w:marRight w:val="0"/>
                  <w:marTop w:val="0"/>
                  <w:marBottom w:val="0"/>
                  <w:divBdr>
                    <w:top w:val="none" w:sz="0" w:space="0" w:color="auto"/>
                    <w:left w:val="none" w:sz="0" w:space="0" w:color="auto"/>
                    <w:bottom w:val="none" w:sz="0" w:space="0" w:color="auto"/>
                    <w:right w:val="none" w:sz="0" w:space="0" w:color="auto"/>
                  </w:divBdr>
                  <w:divsChild>
                    <w:div w:id="1359233971">
                      <w:marLeft w:val="0"/>
                      <w:marRight w:val="0"/>
                      <w:marTop w:val="0"/>
                      <w:marBottom w:val="0"/>
                      <w:divBdr>
                        <w:top w:val="none" w:sz="0" w:space="0" w:color="auto"/>
                        <w:left w:val="none" w:sz="0" w:space="0" w:color="auto"/>
                        <w:bottom w:val="none" w:sz="0" w:space="0" w:color="auto"/>
                        <w:right w:val="none" w:sz="0" w:space="0" w:color="auto"/>
                      </w:divBdr>
                    </w:div>
                  </w:divsChild>
                </w:div>
                <w:div w:id="1532769023">
                  <w:marLeft w:val="0"/>
                  <w:marRight w:val="0"/>
                  <w:marTop w:val="0"/>
                  <w:marBottom w:val="0"/>
                  <w:divBdr>
                    <w:top w:val="none" w:sz="0" w:space="0" w:color="auto"/>
                    <w:left w:val="none" w:sz="0" w:space="0" w:color="auto"/>
                    <w:bottom w:val="none" w:sz="0" w:space="0" w:color="auto"/>
                    <w:right w:val="none" w:sz="0" w:space="0" w:color="auto"/>
                  </w:divBdr>
                  <w:divsChild>
                    <w:div w:id="114718107">
                      <w:marLeft w:val="0"/>
                      <w:marRight w:val="0"/>
                      <w:marTop w:val="0"/>
                      <w:marBottom w:val="0"/>
                      <w:divBdr>
                        <w:top w:val="none" w:sz="0" w:space="0" w:color="auto"/>
                        <w:left w:val="none" w:sz="0" w:space="0" w:color="auto"/>
                        <w:bottom w:val="none" w:sz="0" w:space="0" w:color="auto"/>
                        <w:right w:val="none" w:sz="0" w:space="0" w:color="auto"/>
                      </w:divBdr>
                    </w:div>
                  </w:divsChild>
                </w:div>
                <w:div w:id="1684669371">
                  <w:marLeft w:val="0"/>
                  <w:marRight w:val="0"/>
                  <w:marTop w:val="0"/>
                  <w:marBottom w:val="0"/>
                  <w:divBdr>
                    <w:top w:val="none" w:sz="0" w:space="0" w:color="auto"/>
                    <w:left w:val="none" w:sz="0" w:space="0" w:color="auto"/>
                    <w:bottom w:val="none" w:sz="0" w:space="0" w:color="auto"/>
                    <w:right w:val="none" w:sz="0" w:space="0" w:color="auto"/>
                  </w:divBdr>
                  <w:divsChild>
                    <w:div w:id="1431852411">
                      <w:marLeft w:val="0"/>
                      <w:marRight w:val="0"/>
                      <w:marTop w:val="0"/>
                      <w:marBottom w:val="0"/>
                      <w:divBdr>
                        <w:top w:val="none" w:sz="0" w:space="0" w:color="auto"/>
                        <w:left w:val="none" w:sz="0" w:space="0" w:color="auto"/>
                        <w:bottom w:val="none" w:sz="0" w:space="0" w:color="auto"/>
                        <w:right w:val="none" w:sz="0" w:space="0" w:color="auto"/>
                      </w:divBdr>
                    </w:div>
                  </w:divsChild>
                </w:div>
                <w:div w:id="1727758262">
                  <w:marLeft w:val="0"/>
                  <w:marRight w:val="0"/>
                  <w:marTop w:val="0"/>
                  <w:marBottom w:val="0"/>
                  <w:divBdr>
                    <w:top w:val="none" w:sz="0" w:space="0" w:color="auto"/>
                    <w:left w:val="none" w:sz="0" w:space="0" w:color="auto"/>
                    <w:bottom w:val="none" w:sz="0" w:space="0" w:color="auto"/>
                    <w:right w:val="none" w:sz="0" w:space="0" w:color="auto"/>
                  </w:divBdr>
                  <w:divsChild>
                    <w:div w:id="1378237914">
                      <w:marLeft w:val="0"/>
                      <w:marRight w:val="0"/>
                      <w:marTop w:val="0"/>
                      <w:marBottom w:val="0"/>
                      <w:divBdr>
                        <w:top w:val="none" w:sz="0" w:space="0" w:color="auto"/>
                        <w:left w:val="none" w:sz="0" w:space="0" w:color="auto"/>
                        <w:bottom w:val="none" w:sz="0" w:space="0" w:color="auto"/>
                        <w:right w:val="none" w:sz="0" w:space="0" w:color="auto"/>
                      </w:divBdr>
                    </w:div>
                  </w:divsChild>
                </w:div>
                <w:div w:id="1729648993">
                  <w:marLeft w:val="0"/>
                  <w:marRight w:val="0"/>
                  <w:marTop w:val="0"/>
                  <w:marBottom w:val="0"/>
                  <w:divBdr>
                    <w:top w:val="none" w:sz="0" w:space="0" w:color="auto"/>
                    <w:left w:val="none" w:sz="0" w:space="0" w:color="auto"/>
                    <w:bottom w:val="none" w:sz="0" w:space="0" w:color="auto"/>
                    <w:right w:val="none" w:sz="0" w:space="0" w:color="auto"/>
                  </w:divBdr>
                  <w:divsChild>
                    <w:div w:id="1176648290">
                      <w:marLeft w:val="0"/>
                      <w:marRight w:val="0"/>
                      <w:marTop w:val="0"/>
                      <w:marBottom w:val="0"/>
                      <w:divBdr>
                        <w:top w:val="none" w:sz="0" w:space="0" w:color="auto"/>
                        <w:left w:val="none" w:sz="0" w:space="0" w:color="auto"/>
                        <w:bottom w:val="none" w:sz="0" w:space="0" w:color="auto"/>
                        <w:right w:val="none" w:sz="0" w:space="0" w:color="auto"/>
                      </w:divBdr>
                    </w:div>
                  </w:divsChild>
                </w:div>
                <w:div w:id="1827428028">
                  <w:marLeft w:val="0"/>
                  <w:marRight w:val="0"/>
                  <w:marTop w:val="0"/>
                  <w:marBottom w:val="0"/>
                  <w:divBdr>
                    <w:top w:val="none" w:sz="0" w:space="0" w:color="auto"/>
                    <w:left w:val="none" w:sz="0" w:space="0" w:color="auto"/>
                    <w:bottom w:val="none" w:sz="0" w:space="0" w:color="auto"/>
                    <w:right w:val="none" w:sz="0" w:space="0" w:color="auto"/>
                  </w:divBdr>
                  <w:divsChild>
                    <w:div w:id="286938998">
                      <w:marLeft w:val="0"/>
                      <w:marRight w:val="0"/>
                      <w:marTop w:val="0"/>
                      <w:marBottom w:val="0"/>
                      <w:divBdr>
                        <w:top w:val="none" w:sz="0" w:space="0" w:color="auto"/>
                        <w:left w:val="none" w:sz="0" w:space="0" w:color="auto"/>
                        <w:bottom w:val="none" w:sz="0" w:space="0" w:color="auto"/>
                        <w:right w:val="none" w:sz="0" w:space="0" w:color="auto"/>
                      </w:divBdr>
                    </w:div>
                  </w:divsChild>
                </w:div>
                <w:div w:id="1847482065">
                  <w:marLeft w:val="0"/>
                  <w:marRight w:val="0"/>
                  <w:marTop w:val="0"/>
                  <w:marBottom w:val="0"/>
                  <w:divBdr>
                    <w:top w:val="none" w:sz="0" w:space="0" w:color="auto"/>
                    <w:left w:val="none" w:sz="0" w:space="0" w:color="auto"/>
                    <w:bottom w:val="none" w:sz="0" w:space="0" w:color="auto"/>
                    <w:right w:val="none" w:sz="0" w:space="0" w:color="auto"/>
                  </w:divBdr>
                  <w:divsChild>
                    <w:div w:id="466901028">
                      <w:marLeft w:val="0"/>
                      <w:marRight w:val="0"/>
                      <w:marTop w:val="0"/>
                      <w:marBottom w:val="0"/>
                      <w:divBdr>
                        <w:top w:val="none" w:sz="0" w:space="0" w:color="auto"/>
                        <w:left w:val="none" w:sz="0" w:space="0" w:color="auto"/>
                        <w:bottom w:val="none" w:sz="0" w:space="0" w:color="auto"/>
                        <w:right w:val="none" w:sz="0" w:space="0" w:color="auto"/>
                      </w:divBdr>
                    </w:div>
                  </w:divsChild>
                </w:div>
                <w:div w:id="1913199713">
                  <w:marLeft w:val="0"/>
                  <w:marRight w:val="0"/>
                  <w:marTop w:val="0"/>
                  <w:marBottom w:val="0"/>
                  <w:divBdr>
                    <w:top w:val="none" w:sz="0" w:space="0" w:color="auto"/>
                    <w:left w:val="none" w:sz="0" w:space="0" w:color="auto"/>
                    <w:bottom w:val="none" w:sz="0" w:space="0" w:color="auto"/>
                    <w:right w:val="none" w:sz="0" w:space="0" w:color="auto"/>
                  </w:divBdr>
                  <w:divsChild>
                    <w:div w:id="793330806">
                      <w:marLeft w:val="0"/>
                      <w:marRight w:val="0"/>
                      <w:marTop w:val="0"/>
                      <w:marBottom w:val="0"/>
                      <w:divBdr>
                        <w:top w:val="none" w:sz="0" w:space="0" w:color="auto"/>
                        <w:left w:val="none" w:sz="0" w:space="0" w:color="auto"/>
                        <w:bottom w:val="none" w:sz="0" w:space="0" w:color="auto"/>
                        <w:right w:val="none" w:sz="0" w:space="0" w:color="auto"/>
                      </w:divBdr>
                    </w:div>
                  </w:divsChild>
                </w:div>
                <w:div w:id="2099279553">
                  <w:marLeft w:val="0"/>
                  <w:marRight w:val="0"/>
                  <w:marTop w:val="0"/>
                  <w:marBottom w:val="0"/>
                  <w:divBdr>
                    <w:top w:val="none" w:sz="0" w:space="0" w:color="auto"/>
                    <w:left w:val="none" w:sz="0" w:space="0" w:color="auto"/>
                    <w:bottom w:val="none" w:sz="0" w:space="0" w:color="auto"/>
                    <w:right w:val="none" w:sz="0" w:space="0" w:color="auto"/>
                  </w:divBdr>
                  <w:divsChild>
                    <w:div w:id="202948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8305724">
      <w:bodyDiv w:val="1"/>
      <w:marLeft w:val="0"/>
      <w:marRight w:val="0"/>
      <w:marTop w:val="0"/>
      <w:marBottom w:val="0"/>
      <w:divBdr>
        <w:top w:val="none" w:sz="0" w:space="0" w:color="auto"/>
        <w:left w:val="none" w:sz="0" w:space="0" w:color="auto"/>
        <w:bottom w:val="none" w:sz="0" w:space="0" w:color="auto"/>
        <w:right w:val="none" w:sz="0" w:space="0" w:color="auto"/>
      </w:divBdr>
    </w:div>
    <w:div w:id="1906867328">
      <w:bodyDiv w:val="1"/>
      <w:marLeft w:val="0"/>
      <w:marRight w:val="0"/>
      <w:marTop w:val="0"/>
      <w:marBottom w:val="0"/>
      <w:divBdr>
        <w:top w:val="none" w:sz="0" w:space="0" w:color="auto"/>
        <w:left w:val="none" w:sz="0" w:space="0" w:color="auto"/>
        <w:bottom w:val="none" w:sz="0" w:space="0" w:color="auto"/>
        <w:right w:val="none" w:sz="0" w:space="0" w:color="auto"/>
      </w:divBdr>
    </w:div>
    <w:div w:id="1938707138">
      <w:bodyDiv w:val="1"/>
      <w:marLeft w:val="0"/>
      <w:marRight w:val="0"/>
      <w:marTop w:val="0"/>
      <w:marBottom w:val="0"/>
      <w:divBdr>
        <w:top w:val="none" w:sz="0" w:space="0" w:color="auto"/>
        <w:left w:val="none" w:sz="0" w:space="0" w:color="auto"/>
        <w:bottom w:val="none" w:sz="0" w:space="0" w:color="auto"/>
        <w:right w:val="none" w:sz="0" w:space="0" w:color="auto"/>
      </w:divBdr>
      <w:divsChild>
        <w:div w:id="276332025">
          <w:marLeft w:val="0"/>
          <w:marRight w:val="0"/>
          <w:marTop w:val="0"/>
          <w:marBottom w:val="0"/>
          <w:divBdr>
            <w:top w:val="none" w:sz="0" w:space="0" w:color="auto"/>
            <w:left w:val="none" w:sz="0" w:space="0" w:color="auto"/>
            <w:bottom w:val="none" w:sz="0" w:space="0" w:color="auto"/>
            <w:right w:val="none" w:sz="0" w:space="0" w:color="auto"/>
          </w:divBdr>
        </w:div>
        <w:div w:id="1197306298">
          <w:marLeft w:val="0"/>
          <w:marRight w:val="0"/>
          <w:marTop w:val="0"/>
          <w:marBottom w:val="0"/>
          <w:divBdr>
            <w:top w:val="none" w:sz="0" w:space="0" w:color="auto"/>
            <w:left w:val="none" w:sz="0" w:space="0" w:color="auto"/>
            <w:bottom w:val="none" w:sz="0" w:space="0" w:color="auto"/>
            <w:right w:val="none" w:sz="0" w:space="0" w:color="auto"/>
          </w:divBdr>
        </w:div>
      </w:divsChild>
    </w:div>
    <w:div w:id="2109235824">
      <w:bodyDiv w:val="1"/>
      <w:marLeft w:val="0"/>
      <w:marRight w:val="0"/>
      <w:marTop w:val="0"/>
      <w:marBottom w:val="0"/>
      <w:divBdr>
        <w:top w:val="none" w:sz="0" w:space="0" w:color="auto"/>
        <w:left w:val="none" w:sz="0" w:space="0" w:color="auto"/>
        <w:bottom w:val="none" w:sz="0" w:space="0" w:color="auto"/>
        <w:right w:val="none" w:sz="0" w:space="0" w:color="auto"/>
      </w:divBdr>
      <w:divsChild>
        <w:div w:id="58334206">
          <w:marLeft w:val="0"/>
          <w:marRight w:val="0"/>
          <w:marTop w:val="0"/>
          <w:marBottom w:val="0"/>
          <w:divBdr>
            <w:top w:val="none" w:sz="0" w:space="0" w:color="auto"/>
            <w:left w:val="none" w:sz="0" w:space="0" w:color="auto"/>
            <w:bottom w:val="none" w:sz="0" w:space="0" w:color="auto"/>
            <w:right w:val="none" w:sz="0" w:space="0" w:color="auto"/>
          </w:divBdr>
        </w:div>
        <w:div w:id="220949981">
          <w:marLeft w:val="0"/>
          <w:marRight w:val="0"/>
          <w:marTop w:val="0"/>
          <w:marBottom w:val="0"/>
          <w:divBdr>
            <w:top w:val="none" w:sz="0" w:space="0" w:color="auto"/>
            <w:left w:val="none" w:sz="0" w:space="0" w:color="auto"/>
            <w:bottom w:val="none" w:sz="0" w:space="0" w:color="auto"/>
            <w:right w:val="none" w:sz="0" w:space="0" w:color="auto"/>
          </w:divBdr>
        </w:div>
        <w:div w:id="542987530">
          <w:marLeft w:val="0"/>
          <w:marRight w:val="0"/>
          <w:marTop w:val="0"/>
          <w:marBottom w:val="0"/>
          <w:divBdr>
            <w:top w:val="none" w:sz="0" w:space="0" w:color="auto"/>
            <w:left w:val="none" w:sz="0" w:space="0" w:color="auto"/>
            <w:bottom w:val="none" w:sz="0" w:space="0" w:color="auto"/>
            <w:right w:val="none" w:sz="0" w:space="0" w:color="auto"/>
          </w:divBdr>
          <w:divsChild>
            <w:div w:id="1518344932">
              <w:marLeft w:val="-75"/>
              <w:marRight w:val="0"/>
              <w:marTop w:val="30"/>
              <w:marBottom w:val="30"/>
              <w:divBdr>
                <w:top w:val="none" w:sz="0" w:space="0" w:color="auto"/>
                <w:left w:val="none" w:sz="0" w:space="0" w:color="auto"/>
                <w:bottom w:val="none" w:sz="0" w:space="0" w:color="auto"/>
                <w:right w:val="none" w:sz="0" w:space="0" w:color="auto"/>
              </w:divBdr>
              <w:divsChild>
                <w:div w:id="48891243">
                  <w:marLeft w:val="0"/>
                  <w:marRight w:val="0"/>
                  <w:marTop w:val="0"/>
                  <w:marBottom w:val="0"/>
                  <w:divBdr>
                    <w:top w:val="none" w:sz="0" w:space="0" w:color="auto"/>
                    <w:left w:val="none" w:sz="0" w:space="0" w:color="auto"/>
                    <w:bottom w:val="none" w:sz="0" w:space="0" w:color="auto"/>
                    <w:right w:val="none" w:sz="0" w:space="0" w:color="auto"/>
                  </w:divBdr>
                  <w:divsChild>
                    <w:div w:id="954560960">
                      <w:marLeft w:val="0"/>
                      <w:marRight w:val="0"/>
                      <w:marTop w:val="0"/>
                      <w:marBottom w:val="0"/>
                      <w:divBdr>
                        <w:top w:val="none" w:sz="0" w:space="0" w:color="auto"/>
                        <w:left w:val="none" w:sz="0" w:space="0" w:color="auto"/>
                        <w:bottom w:val="none" w:sz="0" w:space="0" w:color="auto"/>
                        <w:right w:val="none" w:sz="0" w:space="0" w:color="auto"/>
                      </w:divBdr>
                    </w:div>
                  </w:divsChild>
                </w:div>
                <w:div w:id="54160946">
                  <w:marLeft w:val="0"/>
                  <w:marRight w:val="0"/>
                  <w:marTop w:val="0"/>
                  <w:marBottom w:val="0"/>
                  <w:divBdr>
                    <w:top w:val="none" w:sz="0" w:space="0" w:color="auto"/>
                    <w:left w:val="none" w:sz="0" w:space="0" w:color="auto"/>
                    <w:bottom w:val="none" w:sz="0" w:space="0" w:color="auto"/>
                    <w:right w:val="none" w:sz="0" w:space="0" w:color="auto"/>
                  </w:divBdr>
                  <w:divsChild>
                    <w:div w:id="863057026">
                      <w:marLeft w:val="0"/>
                      <w:marRight w:val="0"/>
                      <w:marTop w:val="0"/>
                      <w:marBottom w:val="0"/>
                      <w:divBdr>
                        <w:top w:val="none" w:sz="0" w:space="0" w:color="auto"/>
                        <w:left w:val="none" w:sz="0" w:space="0" w:color="auto"/>
                        <w:bottom w:val="none" w:sz="0" w:space="0" w:color="auto"/>
                        <w:right w:val="none" w:sz="0" w:space="0" w:color="auto"/>
                      </w:divBdr>
                    </w:div>
                  </w:divsChild>
                </w:div>
                <w:div w:id="66416519">
                  <w:marLeft w:val="0"/>
                  <w:marRight w:val="0"/>
                  <w:marTop w:val="0"/>
                  <w:marBottom w:val="0"/>
                  <w:divBdr>
                    <w:top w:val="none" w:sz="0" w:space="0" w:color="auto"/>
                    <w:left w:val="none" w:sz="0" w:space="0" w:color="auto"/>
                    <w:bottom w:val="none" w:sz="0" w:space="0" w:color="auto"/>
                    <w:right w:val="none" w:sz="0" w:space="0" w:color="auto"/>
                  </w:divBdr>
                  <w:divsChild>
                    <w:div w:id="583757044">
                      <w:marLeft w:val="0"/>
                      <w:marRight w:val="0"/>
                      <w:marTop w:val="0"/>
                      <w:marBottom w:val="0"/>
                      <w:divBdr>
                        <w:top w:val="none" w:sz="0" w:space="0" w:color="auto"/>
                        <w:left w:val="none" w:sz="0" w:space="0" w:color="auto"/>
                        <w:bottom w:val="none" w:sz="0" w:space="0" w:color="auto"/>
                        <w:right w:val="none" w:sz="0" w:space="0" w:color="auto"/>
                      </w:divBdr>
                    </w:div>
                  </w:divsChild>
                </w:div>
                <w:div w:id="531958766">
                  <w:marLeft w:val="0"/>
                  <w:marRight w:val="0"/>
                  <w:marTop w:val="0"/>
                  <w:marBottom w:val="0"/>
                  <w:divBdr>
                    <w:top w:val="none" w:sz="0" w:space="0" w:color="auto"/>
                    <w:left w:val="none" w:sz="0" w:space="0" w:color="auto"/>
                    <w:bottom w:val="none" w:sz="0" w:space="0" w:color="auto"/>
                    <w:right w:val="none" w:sz="0" w:space="0" w:color="auto"/>
                  </w:divBdr>
                  <w:divsChild>
                    <w:div w:id="849418673">
                      <w:marLeft w:val="0"/>
                      <w:marRight w:val="0"/>
                      <w:marTop w:val="0"/>
                      <w:marBottom w:val="0"/>
                      <w:divBdr>
                        <w:top w:val="none" w:sz="0" w:space="0" w:color="auto"/>
                        <w:left w:val="none" w:sz="0" w:space="0" w:color="auto"/>
                        <w:bottom w:val="none" w:sz="0" w:space="0" w:color="auto"/>
                        <w:right w:val="none" w:sz="0" w:space="0" w:color="auto"/>
                      </w:divBdr>
                    </w:div>
                  </w:divsChild>
                </w:div>
                <w:div w:id="684984606">
                  <w:marLeft w:val="0"/>
                  <w:marRight w:val="0"/>
                  <w:marTop w:val="0"/>
                  <w:marBottom w:val="0"/>
                  <w:divBdr>
                    <w:top w:val="none" w:sz="0" w:space="0" w:color="auto"/>
                    <w:left w:val="none" w:sz="0" w:space="0" w:color="auto"/>
                    <w:bottom w:val="none" w:sz="0" w:space="0" w:color="auto"/>
                    <w:right w:val="none" w:sz="0" w:space="0" w:color="auto"/>
                  </w:divBdr>
                  <w:divsChild>
                    <w:div w:id="761992998">
                      <w:marLeft w:val="0"/>
                      <w:marRight w:val="0"/>
                      <w:marTop w:val="0"/>
                      <w:marBottom w:val="0"/>
                      <w:divBdr>
                        <w:top w:val="none" w:sz="0" w:space="0" w:color="auto"/>
                        <w:left w:val="none" w:sz="0" w:space="0" w:color="auto"/>
                        <w:bottom w:val="none" w:sz="0" w:space="0" w:color="auto"/>
                        <w:right w:val="none" w:sz="0" w:space="0" w:color="auto"/>
                      </w:divBdr>
                    </w:div>
                  </w:divsChild>
                </w:div>
                <w:div w:id="729236055">
                  <w:marLeft w:val="0"/>
                  <w:marRight w:val="0"/>
                  <w:marTop w:val="0"/>
                  <w:marBottom w:val="0"/>
                  <w:divBdr>
                    <w:top w:val="none" w:sz="0" w:space="0" w:color="auto"/>
                    <w:left w:val="none" w:sz="0" w:space="0" w:color="auto"/>
                    <w:bottom w:val="none" w:sz="0" w:space="0" w:color="auto"/>
                    <w:right w:val="none" w:sz="0" w:space="0" w:color="auto"/>
                  </w:divBdr>
                  <w:divsChild>
                    <w:div w:id="95297646">
                      <w:marLeft w:val="0"/>
                      <w:marRight w:val="0"/>
                      <w:marTop w:val="0"/>
                      <w:marBottom w:val="0"/>
                      <w:divBdr>
                        <w:top w:val="none" w:sz="0" w:space="0" w:color="auto"/>
                        <w:left w:val="none" w:sz="0" w:space="0" w:color="auto"/>
                        <w:bottom w:val="none" w:sz="0" w:space="0" w:color="auto"/>
                        <w:right w:val="none" w:sz="0" w:space="0" w:color="auto"/>
                      </w:divBdr>
                    </w:div>
                  </w:divsChild>
                </w:div>
                <w:div w:id="743332975">
                  <w:marLeft w:val="0"/>
                  <w:marRight w:val="0"/>
                  <w:marTop w:val="0"/>
                  <w:marBottom w:val="0"/>
                  <w:divBdr>
                    <w:top w:val="none" w:sz="0" w:space="0" w:color="auto"/>
                    <w:left w:val="none" w:sz="0" w:space="0" w:color="auto"/>
                    <w:bottom w:val="none" w:sz="0" w:space="0" w:color="auto"/>
                    <w:right w:val="none" w:sz="0" w:space="0" w:color="auto"/>
                  </w:divBdr>
                  <w:divsChild>
                    <w:div w:id="1731034635">
                      <w:marLeft w:val="0"/>
                      <w:marRight w:val="0"/>
                      <w:marTop w:val="0"/>
                      <w:marBottom w:val="0"/>
                      <w:divBdr>
                        <w:top w:val="none" w:sz="0" w:space="0" w:color="auto"/>
                        <w:left w:val="none" w:sz="0" w:space="0" w:color="auto"/>
                        <w:bottom w:val="none" w:sz="0" w:space="0" w:color="auto"/>
                        <w:right w:val="none" w:sz="0" w:space="0" w:color="auto"/>
                      </w:divBdr>
                    </w:div>
                  </w:divsChild>
                </w:div>
                <w:div w:id="989939888">
                  <w:marLeft w:val="0"/>
                  <w:marRight w:val="0"/>
                  <w:marTop w:val="0"/>
                  <w:marBottom w:val="0"/>
                  <w:divBdr>
                    <w:top w:val="none" w:sz="0" w:space="0" w:color="auto"/>
                    <w:left w:val="none" w:sz="0" w:space="0" w:color="auto"/>
                    <w:bottom w:val="none" w:sz="0" w:space="0" w:color="auto"/>
                    <w:right w:val="none" w:sz="0" w:space="0" w:color="auto"/>
                  </w:divBdr>
                  <w:divsChild>
                    <w:div w:id="1847592949">
                      <w:marLeft w:val="0"/>
                      <w:marRight w:val="0"/>
                      <w:marTop w:val="0"/>
                      <w:marBottom w:val="0"/>
                      <w:divBdr>
                        <w:top w:val="none" w:sz="0" w:space="0" w:color="auto"/>
                        <w:left w:val="none" w:sz="0" w:space="0" w:color="auto"/>
                        <w:bottom w:val="none" w:sz="0" w:space="0" w:color="auto"/>
                        <w:right w:val="none" w:sz="0" w:space="0" w:color="auto"/>
                      </w:divBdr>
                    </w:div>
                  </w:divsChild>
                </w:div>
                <w:div w:id="1493059461">
                  <w:marLeft w:val="0"/>
                  <w:marRight w:val="0"/>
                  <w:marTop w:val="0"/>
                  <w:marBottom w:val="0"/>
                  <w:divBdr>
                    <w:top w:val="none" w:sz="0" w:space="0" w:color="auto"/>
                    <w:left w:val="none" w:sz="0" w:space="0" w:color="auto"/>
                    <w:bottom w:val="none" w:sz="0" w:space="0" w:color="auto"/>
                    <w:right w:val="none" w:sz="0" w:space="0" w:color="auto"/>
                  </w:divBdr>
                  <w:divsChild>
                    <w:div w:id="245191341">
                      <w:marLeft w:val="0"/>
                      <w:marRight w:val="0"/>
                      <w:marTop w:val="0"/>
                      <w:marBottom w:val="0"/>
                      <w:divBdr>
                        <w:top w:val="none" w:sz="0" w:space="0" w:color="auto"/>
                        <w:left w:val="none" w:sz="0" w:space="0" w:color="auto"/>
                        <w:bottom w:val="none" w:sz="0" w:space="0" w:color="auto"/>
                        <w:right w:val="none" w:sz="0" w:space="0" w:color="auto"/>
                      </w:divBdr>
                    </w:div>
                  </w:divsChild>
                </w:div>
                <w:div w:id="1666862556">
                  <w:marLeft w:val="0"/>
                  <w:marRight w:val="0"/>
                  <w:marTop w:val="0"/>
                  <w:marBottom w:val="0"/>
                  <w:divBdr>
                    <w:top w:val="none" w:sz="0" w:space="0" w:color="auto"/>
                    <w:left w:val="none" w:sz="0" w:space="0" w:color="auto"/>
                    <w:bottom w:val="none" w:sz="0" w:space="0" w:color="auto"/>
                    <w:right w:val="none" w:sz="0" w:space="0" w:color="auto"/>
                  </w:divBdr>
                  <w:divsChild>
                    <w:div w:id="1015766442">
                      <w:marLeft w:val="0"/>
                      <w:marRight w:val="0"/>
                      <w:marTop w:val="0"/>
                      <w:marBottom w:val="0"/>
                      <w:divBdr>
                        <w:top w:val="none" w:sz="0" w:space="0" w:color="auto"/>
                        <w:left w:val="none" w:sz="0" w:space="0" w:color="auto"/>
                        <w:bottom w:val="none" w:sz="0" w:space="0" w:color="auto"/>
                        <w:right w:val="none" w:sz="0" w:space="0" w:color="auto"/>
                      </w:divBdr>
                    </w:div>
                  </w:divsChild>
                </w:div>
                <w:div w:id="1886676870">
                  <w:marLeft w:val="0"/>
                  <w:marRight w:val="0"/>
                  <w:marTop w:val="0"/>
                  <w:marBottom w:val="0"/>
                  <w:divBdr>
                    <w:top w:val="none" w:sz="0" w:space="0" w:color="auto"/>
                    <w:left w:val="none" w:sz="0" w:space="0" w:color="auto"/>
                    <w:bottom w:val="none" w:sz="0" w:space="0" w:color="auto"/>
                    <w:right w:val="none" w:sz="0" w:space="0" w:color="auto"/>
                  </w:divBdr>
                  <w:divsChild>
                    <w:div w:id="1223565200">
                      <w:marLeft w:val="0"/>
                      <w:marRight w:val="0"/>
                      <w:marTop w:val="0"/>
                      <w:marBottom w:val="0"/>
                      <w:divBdr>
                        <w:top w:val="none" w:sz="0" w:space="0" w:color="auto"/>
                        <w:left w:val="none" w:sz="0" w:space="0" w:color="auto"/>
                        <w:bottom w:val="none" w:sz="0" w:space="0" w:color="auto"/>
                        <w:right w:val="none" w:sz="0" w:space="0" w:color="auto"/>
                      </w:divBdr>
                    </w:div>
                  </w:divsChild>
                </w:div>
                <w:div w:id="2141069383">
                  <w:marLeft w:val="0"/>
                  <w:marRight w:val="0"/>
                  <w:marTop w:val="0"/>
                  <w:marBottom w:val="0"/>
                  <w:divBdr>
                    <w:top w:val="none" w:sz="0" w:space="0" w:color="auto"/>
                    <w:left w:val="none" w:sz="0" w:space="0" w:color="auto"/>
                    <w:bottom w:val="none" w:sz="0" w:space="0" w:color="auto"/>
                    <w:right w:val="none" w:sz="0" w:space="0" w:color="auto"/>
                  </w:divBdr>
                  <w:divsChild>
                    <w:div w:id="85072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1145655">
          <w:marLeft w:val="0"/>
          <w:marRight w:val="0"/>
          <w:marTop w:val="0"/>
          <w:marBottom w:val="0"/>
          <w:divBdr>
            <w:top w:val="none" w:sz="0" w:space="0" w:color="auto"/>
            <w:left w:val="none" w:sz="0" w:space="0" w:color="auto"/>
            <w:bottom w:val="none" w:sz="0" w:space="0" w:color="auto"/>
            <w:right w:val="none" w:sz="0" w:space="0" w:color="auto"/>
          </w:divBdr>
        </w:div>
        <w:div w:id="1168322589">
          <w:marLeft w:val="0"/>
          <w:marRight w:val="0"/>
          <w:marTop w:val="0"/>
          <w:marBottom w:val="0"/>
          <w:divBdr>
            <w:top w:val="none" w:sz="0" w:space="0" w:color="auto"/>
            <w:left w:val="none" w:sz="0" w:space="0" w:color="auto"/>
            <w:bottom w:val="none" w:sz="0" w:space="0" w:color="auto"/>
            <w:right w:val="none" w:sz="0" w:space="0" w:color="auto"/>
          </w:divBdr>
        </w:div>
        <w:div w:id="1343049460">
          <w:marLeft w:val="0"/>
          <w:marRight w:val="0"/>
          <w:marTop w:val="0"/>
          <w:marBottom w:val="0"/>
          <w:divBdr>
            <w:top w:val="none" w:sz="0" w:space="0" w:color="auto"/>
            <w:left w:val="none" w:sz="0" w:space="0" w:color="auto"/>
            <w:bottom w:val="none" w:sz="0" w:space="0" w:color="auto"/>
            <w:right w:val="none" w:sz="0" w:space="0" w:color="auto"/>
          </w:divBdr>
        </w:div>
        <w:div w:id="1439987251">
          <w:marLeft w:val="0"/>
          <w:marRight w:val="0"/>
          <w:marTop w:val="0"/>
          <w:marBottom w:val="0"/>
          <w:divBdr>
            <w:top w:val="none" w:sz="0" w:space="0" w:color="auto"/>
            <w:left w:val="none" w:sz="0" w:space="0" w:color="auto"/>
            <w:bottom w:val="none" w:sz="0" w:space="0" w:color="auto"/>
            <w:right w:val="none" w:sz="0" w:space="0" w:color="auto"/>
          </w:divBdr>
        </w:div>
        <w:div w:id="1541936712">
          <w:marLeft w:val="0"/>
          <w:marRight w:val="0"/>
          <w:marTop w:val="0"/>
          <w:marBottom w:val="0"/>
          <w:divBdr>
            <w:top w:val="none" w:sz="0" w:space="0" w:color="auto"/>
            <w:left w:val="none" w:sz="0" w:space="0" w:color="auto"/>
            <w:bottom w:val="none" w:sz="0" w:space="0" w:color="auto"/>
            <w:right w:val="none" w:sz="0" w:space="0" w:color="auto"/>
          </w:divBdr>
        </w:div>
        <w:div w:id="1585413080">
          <w:marLeft w:val="0"/>
          <w:marRight w:val="0"/>
          <w:marTop w:val="0"/>
          <w:marBottom w:val="0"/>
          <w:divBdr>
            <w:top w:val="none" w:sz="0" w:space="0" w:color="auto"/>
            <w:left w:val="none" w:sz="0" w:space="0" w:color="auto"/>
            <w:bottom w:val="none" w:sz="0" w:space="0" w:color="auto"/>
            <w:right w:val="none" w:sz="0" w:space="0" w:color="auto"/>
          </w:divBdr>
        </w:div>
        <w:div w:id="1949510067">
          <w:marLeft w:val="0"/>
          <w:marRight w:val="0"/>
          <w:marTop w:val="0"/>
          <w:marBottom w:val="0"/>
          <w:divBdr>
            <w:top w:val="none" w:sz="0" w:space="0" w:color="auto"/>
            <w:left w:val="none" w:sz="0" w:space="0" w:color="auto"/>
            <w:bottom w:val="none" w:sz="0" w:space="0" w:color="auto"/>
            <w:right w:val="none" w:sz="0" w:space="0" w:color="auto"/>
          </w:divBdr>
        </w:div>
        <w:div w:id="20975090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sites.wustl.edu/acag/datasets/surface-pm2-5/" TargetMode="Externa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hyperlink" Target="https://doi.org/10.1186/s12940-015-0031-x" TargetMode="External"/><Relationship Id="rId34"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doi.org/10.1289/ehp.1205958" TargetMode="External"/><Relationship Id="rId29" Type="http://schemas.openxmlformats.org/officeDocument/2006/relationships/hyperlink" Target="mailto:engage@healthdata.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yperlink" Target="https://urldefense.com/v3/__https:/ghdx.healthdata.org/gbd-2023/sources__;!!K-Hz7m0Vt54!l0-iMlldqFTXmZtHw5Xoc1UrE5oUr5-5dVDs5ZaQAOWyNmv1y9TAdt5Egp3LE3efKnI0EThIwF7a4xh8$" TargetMode="External"/><Relationship Id="rId10" Type="http://schemas.openxmlformats.org/officeDocument/2006/relationships/endnotes" Target="endnotes.xml"/><Relationship Id="rId19" Type="http://schemas.openxmlformats.org/officeDocument/2006/relationships/hyperlink" Target="https://doi.org/10.1093/aje/kwu280" TargetMode="External"/><Relationship Id="rId31" Type="http://schemas.openxmlformats.org/officeDocument/2006/relationships/hyperlink" Target="https://urldefense.com/v3/__https:/ghdx.healthdata.org/record/ihme-data/gbd-2023-meningitis-1990-2023__;!!K-Hz7m0Vt54!lo7Ouy6pIynkige__kLqJ-6VZa7cmhWdFNglRKN04W0RASX1T-F3pZxTmLL-qmAht9vd2xg6eYq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urldefense.com/v3/__https:/ghdx.healthdata.org/gbd-2023/sources__;!!K-Hz7m0Vt54!l0-iMlldqFTXmZtHw5Xoc1UrE5oUr5-5dVDs5ZaQAOWyNmv1y9TAdt5Egp3LE3efKnI0EThIwF7a4xh8$" TargetMode="External"/><Relationship Id="rId30" Type="http://schemas.openxmlformats.org/officeDocument/2006/relationships/hyperlink" Target="https://vizhub.healthdata.org/gbd-results" TargetMode="External"/><Relationship Id="rId35" Type="http://schemas.microsoft.com/office/2020/10/relationships/intelligence" Target="intelligence2.xml"/><Relationship Id="rId8" Type="http://schemas.openxmlformats.org/officeDocument/2006/relationships/webSettings" Target="webSettings.xml"/></Relationships>
</file>

<file path=word/documenttasks/documenttasks1.xml><?xml version="1.0" encoding="utf-8"?>
<t:Tasks xmlns:t="http://schemas.microsoft.com/office/tasks/2019/documenttasks" xmlns:oel="http://schemas.microsoft.com/office/2019/extlst">
  <t:Task id="{3E627022-142A-447D-9D99-AF69B3F6F670}">
    <t:Anchor>
      <t:Comment id="1040350254"/>
    </t:Anchor>
    <t:History>
      <t:Event id="{A324990F-A296-4AE4-A467-F25F2766A36E}" time="2022-07-18T19:02:42.221Z">
        <t:Attribution userId="S::hwunrow@uw.edu::7b4844eb-5030-4b20-8797-c7e998ca1a15" userProvider="AD" userName="Han Yong Wunrow"/>
        <t:Anchor>
          <t:Comment id="1040350254"/>
        </t:Anchor>
        <t:Create/>
      </t:Event>
      <t:Event id="{3DF6947D-C6E7-4E51-B6C8-634513C8EF25}" time="2022-07-18T19:02:42.221Z">
        <t:Attribution userId="S::hwunrow@uw.edu::7b4844eb-5030-4b20-8797-c7e998ca1a15" userProvider="AD" userName="Han Yong Wunrow"/>
        <t:Anchor>
          <t:Comment id="1040350254"/>
        </t:Anchor>
        <t:Assign userId="S::avinav@uw.edu::5e3158ce-754b-4b41-8c06-9128d91c7ff3" userProvider="AD" userName="Avina Vongpradith"/>
      </t:Event>
      <t:Event id="{B66E4B81-8B04-410D-95E8-1A553A8BA677}" time="2022-07-18T19:02:42.221Z">
        <t:Attribution userId="S::hwunrow@uw.edu::7b4844eb-5030-4b20-8797-c7e998ca1a15" userProvider="AD" userName="Han Yong Wunrow"/>
        <t:Anchor>
          <t:Comment id="1040350254"/>
        </t:Anchor>
        <t:SetTitle title="@Avina Vongpradith I believe we made a PRISMA diagram for the GBD 2019 SR...? If you can find it, I would include it here."/>
      </t:Event>
      <t:Event id="{6E4E9780-F0DA-4A92-A943-16349ED20518}" time="2022-07-18T23:28:25.193Z">
        <t:Attribution userId="S::avinav@uw.edu::5e3158ce-754b-4b41-8c06-9128d91c7ff3" userProvider="AD" userName="Avina Vongpradith"/>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01cc8c0-4621-43b0-afce-2e2348d6bd3c" xsi:nil="true"/>
    <lcf76f155ced4ddcb4097134ff3c332f xmlns="6b61bd86-16e5-4acc-a76c-13869bca2fa7">
      <Terms xmlns="http://schemas.microsoft.com/office/infopath/2007/PartnerControls"/>
    </lcf76f155ced4ddcb4097134ff3c332f>
    <DataFor xmlns="6b61bd86-16e5-4acc-a76c-13869bca2fa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4A5E8664182064E8C0D4C23C5B178CA" ma:contentTypeVersion="16" ma:contentTypeDescription="Create a new document." ma:contentTypeScope="" ma:versionID="18a92b89a26fdc649828eac4c2f66e99">
  <xsd:schema xmlns:xsd="http://www.w3.org/2001/XMLSchema" xmlns:xs="http://www.w3.org/2001/XMLSchema" xmlns:p="http://schemas.microsoft.com/office/2006/metadata/properties" xmlns:ns2="6b61bd86-16e5-4acc-a76c-13869bca2fa7" xmlns:ns3="801cc8c0-4621-43b0-afce-2e2348d6bd3c" targetNamespace="http://schemas.microsoft.com/office/2006/metadata/properties" ma:root="true" ma:fieldsID="bb402d9882e5073922849ac1879ac731" ns2:_="" ns3:_="">
    <xsd:import namespace="6b61bd86-16e5-4acc-a76c-13869bca2fa7"/>
    <xsd:import namespace="801cc8c0-4621-43b0-afce-2e2348d6bd3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DataF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1bd86-16e5-4acc-a76c-13869bca2f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e20148b9-20a4-48a0-acba-ba52d68a37a3"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DataFor" ma:index="22" nillable="true" ma:displayName="Notes" ma:format="Dropdown" ma:internalName="DataFo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01cc8c0-4621-43b0-afce-2e2348d6bd3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2b26bef1-046c-4542-8887-e9e85cda0b71}" ma:internalName="TaxCatchAll" ma:showField="CatchAllData" ma:web="801cc8c0-4621-43b0-afce-2e2348d6bd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BACD23-C428-41A2-AF7B-497AEEAC1535}">
  <ds:schemaRefs>
    <ds:schemaRef ds:uri="http://schemas.microsoft.com/office/2006/metadata/properties"/>
    <ds:schemaRef ds:uri="http://schemas.microsoft.com/office/infopath/2007/PartnerControls"/>
    <ds:schemaRef ds:uri="801cc8c0-4621-43b0-afce-2e2348d6bd3c"/>
    <ds:schemaRef ds:uri="6b61bd86-16e5-4acc-a76c-13869bca2fa7"/>
  </ds:schemaRefs>
</ds:datastoreItem>
</file>

<file path=customXml/itemProps2.xml><?xml version="1.0" encoding="utf-8"?>
<ds:datastoreItem xmlns:ds="http://schemas.openxmlformats.org/officeDocument/2006/customXml" ds:itemID="{ED792427-F543-4907-852D-4F4B37BD08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61bd86-16e5-4acc-a76c-13869bca2fa7"/>
    <ds:schemaRef ds:uri="801cc8c0-4621-43b0-afce-2e2348d6bd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3E7743-7074-45FD-9174-367587D31F92}">
  <ds:schemaRefs>
    <ds:schemaRef ds:uri="http://schemas.microsoft.com/sharepoint/v3/contenttype/forms"/>
  </ds:schemaRefs>
</ds:datastoreItem>
</file>

<file path=customXml/itemProps4.xml><?xml version="1.0" encoding="utf-8"?>
<ds:datastoreItem xmlns:ds="http://schemas.openxmlformats.org/officeDocument/2006/customXml" ds:itemID="{1F95B8E5-2FE5-1A4C-B66D-4103B88012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93315</Words>
  <Characters>531901</Characters>
  <Application>Microsoft Office Word</Application>
  <DocSecurity>4</DocSecurity>
  <Lines>4432</Lines>
  <Paragraphs>1247</Paragraphs>
  <ScaleCrop>false</ScaleCrop>
  <Company/>
  <LinksUpToDate>false</LinksUpToDate>
  <CharactersWithSpaces>623969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Novotney</dc:creator>
  <cp:keywords/>
  <dc:description/>
  <cp:lastModifiedBy>Hmwe H. Kyu</cp:lastModifiedBy>
  <cp:revision>611</cp:revision>
  <dcterms:created xsi:type="dcterms:W3CDTF">2024-02-03T19:31:00Z</dcterms:created>
  <dcterms:modified xsi:type="dcterms:W3CDTF">2026-02-04T22:41:00Z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0x01010064A5E8664182064E8C0D4C23C5B178CA</vt:lpwstr>
  </property>
  <property fmtid="{D5CDD505-2E9C-101B-9397-08002B2CF9AE}" pid="3" name="GrammarlyDocumentId">
    <vt:lpwstr>8a3db08b7e1c5ddd64bb229fa1ea7c378f4b8f297400deb1f5860292b53024a7</vt:lpwstr>
  </property>
  <property fmtid="{D5CDD505-2E9C-101B-9397-08002B2CF9AE}" pid="4" name="MediaServiceImageTags">
    <vt:lpwstr/>
  </property>
  <property fmtid="{D5CDD505-2E9C-101B-9397-08002B2CF9AE}" pid="5" name="ZOTERO_PREF_2">
    <vt:lpwstr>rnalAbbreviations" value="true"/&gt;&lt;pref name="dontAskDelayCitationUpdates" value="true"/&gt;&lt;/prefs&gt;&lt;/data&gt;</vt:lpwstr>
  </property>
  <property fmtid="{D5CDD505-2E9C-101B-9397-08002B2CF9AE}" pid="6" name="ZOTERO_PREF_1">
    <vt:lpwstr>&lt;data data-version="3" zotero-version="7.0.27"&gt;&lt;session id="2r5qN3V4"/&gt;&lt;style id="http://www.zotero.org/styles/the-lancet-neurology" hasBibliography="1" bibliographyStyleHasBeenSet="1"/&gt;&lt;prefs&gt;&lt;pref name="fieldType" value="Field"/&gt;&lt;pref name="automaticJou</vt:lpwstr>
  </property>
</Properties>
</file>