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1A" w:rsidRPr="001430E5" w:rsidRDefault="005C4B1A" w:rsidP="005C4B1A">
      <w:pPr>
        <w:rPr>
          <w:rFonts w:cs="Times New Roman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914"/>
        <w:gridCol w:w="2261"/>
        <w:gridCol w:w="2608"/>
        <w:gridCol w:w="1476"/>
        <w:gridCol w:w="1158"/>
      </w:tblGrid>
      <w:tr w:rsidR="005C4B1A" w:rsidRPr="001430E5">
        <w:trPr>
          <w:trHeight w:val="517"/>
        </w:trPr>
        <w:tc>
          <w:tcPr>
            <w:tcW w:w="821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Area of control dLGN in mm</w:t>
            </w:r>
            <w:r w:rsidRPr="001430E5">
              <w:rPr>
                <w:b/>
                <w:vertAlign w:val="superscript"/>
              </w:rPr>
              <w:t>2</w:t>
            </w:r>
            <w:r w:rsidRPr="001430E5">
              <w:rPr>
                <w:b/>
              </w:rPr>
              <w:t xml:space="preserve"> </w:t>
            </w:r>
            <w:r w:rsidRPr="001430E5">
              <w:rPr>
                <w:rStyle w:val="st"/>
              </w:rPr>
              <w:t xml:space="preserve">± </w:t>
            </w:r>
            <w:r w:rsidRPr="001430E5">
              <w:rPr>
                <w:rStyle w:val="st"/>
                <w:b/>
              </w:rPr>
              <w:t>s.d.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Area of enucleated dLGN in mm</w:t>
            </w:r>
            <w:r w:rsidRPr="001430E5">
              <w:rPr>
                <w:b/>
                <w:vertAlign w:val="superscript"/>
              </w:rPr>
              <w:t>2</w:t>
            </w:r>
            <w:r w:rsidRPr="001430E5">
              <w:rPr>
                <w:b/>
              </w:rPr>
              <w:t xml:space="preserve"> </w:t>
            </w:r>
            <w:r w:rsidRPr="001430E5">
              <w:rPr>
                <w:rStyle w:val="st"/>
              </w:rPr>
              <w:t xml:space="preserve">± </w:t>
            </w:r>
            <w:r w:rsidRPr="001430E5">
              <w:rPr>
                <w:rStyle w:val="st"/>
                <w:b/>
              </w:rPr>
              <w:t>s.d.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n</w:t>
            </w:r>
          </w:p>
        </w:tc>
      </w:tr>
      <w:tr w:rsidR="005C4B1A" w:rsidRPr="001430E5">
        <w:trPr>
          <w:trHeight w:val="278"/>
        </w:trPr>
        <w:tc>
          <w:tcPr>
            <w:tcW w:w="821" w:type="dxa"/>
            <w:vMerge w:val="restart"/>
            <w:textDirection w:val="btLr"/>
          </w:tcPr>
          <w:p w:rsidR="005C4B1A" w:rsidRPr="001430E5" w:rsidRDefault="005C4B1A" w:rsidP="005B28D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0E5">
              <w:rPr>
                <w:b/>
                <w:sz w:val="20"/>
                <w:szCs w:val="20"/>
              </w:rPr>
              <w:t>Golli-</w:t>
            </w:r>
            <w:r w:rsidRPr="001430E5">
              <w:rPr>
                <w:rFonts w:cs="Times New Roman"/>
                <w:b/>
                <w:sz w:val="20"/>
                <w:szCs w:val="20"/>
              </w:rPr>
              <w:t>τ-eGFP</w:t>
            </w: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P2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1.095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0.03204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tabs>
                <w:tab w:val="left" w:pos="945"/>
                <w:tab w:val="center" w:pos="1593"/>
                <w:tab w:val="right" w:pos="3186"/>
              </w:tabs>
              <w:jc w:val="center"/>
            </w:pPr>
            <w:r w:rsidRPr="001430E5">
              <w:t xml:space="preserve">0.7342 </w:t>
            </w:r>
            <w:r w:rsidRPr="001430E5">
              <w:rPr>
                <w:rStyle w:val="st"/>
              </w:rPr>
              <w:t>±</w:t>
            </w:r>
            <w:r w:rsidRPr="001430E5">
              <w:t xml:space="preserve"> 0.06000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0.0041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3</w:t>
            </w:r>
          </w:p>
        </w:tc>
      </w:tr>
      <w:tr w:rsidR="005C4B1A" w:rsidRPr="001430E5">
        <w:trPr>
          <w:trHeight w:val="278"/>
        </w:trPr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P4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1.179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0.09664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0.9316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0.07085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0.0003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6</w:t>
            </w:r>
          </w:p>
        </w:tc>
      </w:tr>
      <w:tr w:rsidR="005C4B1A" w:rsidRPr="001430E5">
        <w:trPr>
          <w:trHeight w:val="278"/>
        </w:trPr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P6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1.015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0.05616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0.7400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0.03643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0.0013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6</w:t>
            </w:r>
          </w:p>
        </w:tc>
      </w:tr>
      <w:tr w:rsidR="005C4B1A" w:rsidRPr="001430E5">
        <w:trPr>
          <w:trHeight w:val="278"/>
        </w:trPr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P8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>1.310 ± 0.1550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0.9052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0.06824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0.0014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4</w:t>
            </w:r>
          </w:p>
        </w:tc>
      </w:tr>
      <w:tr w:rsidR="005C4B1A" w:rsidRPr="001430E5">
        <w:trPr>
          <w:trHeight w:val="278"/>
        </w:trPr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P10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2.196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0.09352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1.215 </w:t>
            </w:r>
            <w:r w:rsidRPr="001430E5">
              <w:rPr>
                <w:rStyle w:val="st"/>
              </w:rPr>
              <w:t xml:space="preserve">± </w:t>
            </w:r>
            <w:r w:rsidRPr="001430E5">
              <w:t>0.1469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0.0002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5</w:t>
            </w:r>
          </w:p>
        </w:tc>
      </w:tr>
      <w:tr w:rsidR="005C4B1A" w:rsidRPr="001430E5">
        <w:trPr>
          <w:trHeight w:val="303"/>
        </w:trPr>
        <w:tc>
          <w:tcPr>
            <w:tcW w:w="821" w:type="dxa"/>
            <w:vMerge w:val="restart"/>
            <w:textDirection w:val="btLr"/>
          </w:tcPr>
          <w:p w:rsidR="005C4B1A" w:rsidRPr="001430E5" w:rsidRDefault="005C4B1A" w:rsidP="005B28D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0E5">
              <w:rPr>
                <w:b/>
                <w:sz w:val="20"/>
                <w:szCs w:val="20"/>
              </w:rPr>
              <w:t>Ntsr1-Cre</w:t>
            </w: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P4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1.433 </w:t>
            </w:r>
            <w:r w:rsidRPr="001430E5">
              <w:rPr>
                <w:rStyle w:val="st"/>
              </w:rPr>
              <w:t xml:space="preserve">± </w:t>
            </w:r>
            <w:r w:rsidRPr="001430E5">
              <w:t>0.08711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1.118 </w:t>
            </w:r>
            <w:r w:rsidRPr="001430E5">
              <w:rPr>
                <w:rStyle w:val="st"/>
              </w:rPr>
              <w:t>±</w:t>
            </w:r>
            <w:r w:rsidRPr="001430E5">
              <w:t xml:space="preserve"> 0.09820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0.0124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3</w:t>
            </w:r>
          </w:p>
        </w:tc>
      </w:tr>
      <w:tr w:rsidR="005C4B1A" w:rsidRPr="001430E5">
        <w:trPr>
          <w:trHeight w:val="303"/>
        </w:trPr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P6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1.928 </w:t>
            </w:r>
            <w:r w:rsidRPr="001430E5">
              <w:rPr>
                <w:rStyle w:val="st"/>
              </w:rPr>
              <w:t xml:space="preserve">± </w:t>
            </w:r>
            <w:r w:rsidRPr="001430E5">
              <w:t>0.2165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1.507 </w:t>
            </w:r>
            <w:r w:rsidRPr="001430E5">
              <w:rPr>
                <w:rStyle w:val="st"/>
              </w:rPr>
              <w:t>±</w:t>
            </w:r>
            <w:r w:rsidRPr="001430E5">
              <w:t xml:space="preserve"> 0.1124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0.0040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4</w:t>
            </w:r>
          </w:p>
        </w:tc>
      </w:tr>
      <w:tr w:rsidR="005C4B1A" w:rsidRPr="001430E5">
        <w:trPr>
          <w:trHeight w:val="303"/>
        </w:trPr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P8</w:t>
            </w:r>
          </w:p>
        </w:tc>
        <w:tc>
          <w:tcPr>
            <w:tcW w:w="2262" w:type="dxa"/>
          </w:tcPr>
          <w:p w:rsidR="005C4B1A" w:rsidRPr="00FA39BB" w:rsidRDefault="00E67E1A" w:rsidP="005B28D2">
            <w:pPr>
              <w:jc w:val="center"/>
              <w:rPr>
                <w:color w:val="FF0000"/>
              </w:rPr>
            </w:pPr>
            <w:r w:rsidRPr="00E67E1A">
              <w:t xml:space="preserve">2.54 </w:t>
            </w:r>
            <w:r w:rsidRPr="001430E5">
              <w:rPr>
                <w:rStyle w:val="st"/>
              </w:rPr>
              <w:t>±</w:t>
            </w:r>
            <w:r>
              <w:rPr>
                <w:rStyle w:val="st"/>
              </w:rPr>
              <w:t xml:space="preserve"> 0.4505</w:t>
            </w:r>
          </w:p>
        </w:tc>
        <w:tc>
          <w:tcPr>
            <w:tcW w:w="2609" w:type="dxa"/>
          </w:tcPr>
          <w:p w:rsidR="005C4B1A" w:rsidRPr="00FA39BB" w:rsidRDefault="00E67E1A" w:rsidP="005B28D2">
            <w:pPr>
              <w:jc w:val="center"/>
              <w:rPr>
                <w:color w:val="FF0000"/>
              </w:rPr>
            </w:pPr>
            <w:r w:rsidRPr="00E67E1A">
              <w:t xml:space="preserve">1.763 </w:t>
            </w:r>
            <w:r w:rsidRPr="00E67E1A">
              <w:rPr>
                <w:rStyle w:val="st"/>
              </w:rPr>
              <w:t xml:space="preserve">± </w:t>
            </w:r>
            <w:r>
              <w:rPr>
                <w:rStyle w:val="st"/>
              </w:rPr>
              <w:t>0.1473</w:t>
            </w:r>
          </w:p>
        </w:tc>
        <w:tc>
          <w:tcPr>
            <w:tcW w:w="1477" w:type="dxa"/>
          </w:tcPr>
          <w:p w:rsidR="005C4B1A" w:rsidRPr="00E67E1A" w:rsidRDefault="00E67E1A" w:rsidP="005B28D2">
            <w:pPr>
              <w:jc w:val="center"/>
            </w:pPr>
            <w:r>
              <w:t>0.0168</w:t>
            </w:r>
          </w:p>
        </w:tc>
        <w:tc>
          <w:tcPr>
            <w:tcW w:w="1159" w:type="dxa"/>
          </w:tcPr>
          <w:p w:rsidR="005C4B1A" w:rsidRPr="001430E5" w:rsidRDefault="0077608A" w:rsidP="005B28D2">
            <w:pPr>
              <w:jc w:val="center"/>
            </w:pPr>
            <w:r>
              <w:t>4</w:t>
            </w:r>
          </w:p>
        </w:tc>
      </w:tr>
      <w:tr w:rsidR="005C4B1A" w:rsidRPr="001430E5">
        <w:tc>
          <w:tcPr>
            <w:tcW w:w="821" w:type="dxa"/>
            <w:vMerge w:val="restart"/>
            <w:textDirection w:val="btLr"/>
          </w:tcPr>
          <w:p w:rsidR="005C4B1A" w:rsidRPr="001430E5" w:rsidRDefault="005C4B1A" w:rsidP="005B28D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0E5">
              <w:rPr>
                <w:b/>
                <w:sz w:val="20"/>
                <w:szCs w:val="20"/>
              </w:rPr>
              <w:t>Rbp4-Cre</w:t>
            </w: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P4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1.836 </w:t>
            </w:r>
            <w:r w:rsidRPr="001430E5">
              <w:rPr>
                <w:rStyle w:val="st"/>
              </w:rPr>
              <w:t xml:space="preserve">± </w:t>
            </w:r>
            <w:r w:rsidRPr="001430E5">
              <w:t>0.3461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1.434 </w:t>
            </w:r>
            <w:r w:rsidRPr="001430E5">
              <w:rPr>
                <w:rStyle w:val="st"/>
              </w:rPr>
              <w:t>±</w:t>
            </w:r>
            <w:r w:rsidRPr="001430E5">
              <w:t xml:space="preserve"> 0.1965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0.0224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3</w:t>
            </w:r>
          </w:p>
        </w:tc>
      </w:tr>
      <w:tr w:rsidR="005C4B1A" w:rsidRPr="001430E5"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P6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2.122 </w:t>
            </w:r>
            <w:r w:rsidRPr="001430E5">
              <w:rPr>
                <w:rStyle w:val="st"/>
              </w:rPr>
              <w:t xml:space="preserve">± </w:t>
            </w:r>
            <w:r w:rsidRPr="001430E5">
              <w:t>0.1406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1.402 </w:t>
            </w:r>
            <w:r w:rsidRPr="001430E5">
              <w:rPr>
                <w:rStyle w:val="st"/>
              </w:rPr>
              <w:t>±</w:t>
            </w:r>
            <w:r w:rsidRPr="001430E5">
              <w:t xml:space="preserve"> 0.09496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0.0002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4</w:t>
            </w:r>
          </w:p>
        </w:tc>
      </w:tr>
      <w:tr w:rsidR="005C4B1A" w:rsidRPr="001430E5">
        <w:tc>
          <w:tcPr>
            <w:tcW w:w="821" w:type="dxa"/>
            <w:vMerge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</w:p>
        </w:tc>
        <w:tc>
          <w:tcPr>
            <w:tcW w:w="914" w:type="dxa"/>
          </w:tcPr>
          <w:p w:rsidR="005C4B1A" w:rsidRPr="001430E5" w:rsidRDefault="005C4B1A" w:rsidP="005B28D2">
            <w:pPr>
              <w:jc w:val="center"/>
              <w:rPr>
                <w:b/>
              </w:rPr>
            </w:pPr>
            <w:r w:rsidRPr="001430E5">
              <w:rPr>
                <w:b/>
              </w:rPr>
              <w:t>P8</w:t>
            </w:r>
          </w:p>
        </w:tc>
        <w:tc>
          <w:tcPr>
            <w:tcW w:w="2262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2.114 </w:t>
            </w:r>
            <w:r w:rsidRPr="001430E5">
              <w:rPr>
                <w:rStyle w:val="st"/>
              </w:rPr>
              <w:t xml:space="preserve">± </w:t>
            </w:r>
            <w:r w:rsidRPr="001430E5">
              <w:t>0.3322</w:t>
            </w:r>
          </w:p>
        </w:tc>
        <w:tc>
          <w:tcPr>
            <w:tcW w:w="2609" w:type="dxa"/>
          </w:tcPr>
          <w:p w:rsidR="005C4B1A" w:rsidRPr="001430E5" w:rsidRDefault="005C4B1A" w:rsidP="005B28D2">
            <w:pPr>
              <w:jc w:val="center"/>
            </w:pPr>
            <w:r w:rsidRPr="001430E5">
              <w:t xml:space="preserve">1.870 </w:t>
            </w:r>
            <w:r w:rsidRPr="001430E5">
              <w:rPr>
                <w:rStyle w:val="st"/>
              </w:rPr>
              <w:t>±</w:t>
            </w:r>
            <w:r w:rsidRPr="001430E5">
              <w:t xml:space="preserve"> 0.08951</w:t>
            </w:r>
          </w:p>
        </w:tc>
        <w:tc>
          <w:tcPr>
            <w:tcW w:w="1477" w:type="dxa"/>
          </w:tcPr>
          <w:p w:rsidR="005C4B1A" w:rsidRPr="001430E5" w:rsidRDefault="005C4B1A" w:rsidP="005B28D2">
            <w:pPr>
              <w:jc w:val="center"/>
            </w:pPr>
            <w:r w:rsidRPr="001430E5">
              <w:t>0.1545</w:t>
            </w:r>
          </w:p>
        </w:tc>
        <w:tc>
          <w:tcPr>
            <w:tcW w:w="1159" w:type="dxa"/>
          </w:tcPr>
          <w:p w:rsidR="005C4B1A" w:rsidRPr="001430E5" w:rsidRDefault="005C4B1A" w:rsidP="005B28D2">
            <w:pPr>
              <w:jc w:val="center"/>
            </w:pPr>
            <w:r w:rsidRPr="001430E5">
              <w:t>3</w:t>
            </w:r>
          </w:p>
        </w:tc>
      </w:tr>
    </w:tbl>
    <w:p w:rsidR="005C4B1A" w:rsidRDefault="005C4B1A" w:rsidP="005C4B1A">
      <w:pPr>
        <w:rPr>
          <w:rStyle w:val="st"/>
        </w:rPr>
      </w:pPr>
      <w:proofErr w:type="gramStart"/>
      <w:r w:rsidRPr="001430E5">
        <w:rPr>
          <w:b/>
          <w:szCs w:val="24"/>
        </w:rPr>
        <w:t>Supplementary table 1.</w:t>
      </w:r>
      <w:proofErr w:type="gramEnd"/>
      <w:r w:rsidRPr="001430E5">
        <w:rPr>
          <w:sz w:val="20"/>
          <w:szCs w:val="20"/>
        </w:rPr>
        <w:t xml:space="preserve"> Table showing the mean area of control and enucleated dLGN of the Golli-</w:t>
      </w:r>
      <w:r w:rsidRPr="001430E5">
        <w:rPr>
          <w:rFonts w:cs="Times New Roman"/>
          <w:sz w:val="20"/>
          <w:szCs w:val="20"/>
        </w:rPr>
        <w:t xml:space="preserve">τ-eGFP mice, </w:t>
      </w:r>
      <w:r w:rsidRPr="001430E5">
        <w:rPr>
          <w:sz w:val="20"/>
          <w:szCs w:val="20"/>
        </w:rPr>
        <w:t>Ntsr1-Cre:</w:t>
      </w:r>
      <w:proofErr w:type="gramStart"/>
      <w:r w:rsidRPr="001430E5">
        <w:rPr>
          <w:sz w:val="20"/>
          <w:szCs w:val="20"/>
        </w:rPr>
        <w:t>:tdTomato</w:t>
      </w:r>
      <w:proofErr w:type="gramEnd"/>
      <w:r w:rsidRPr="001430E5">
        <w:rPr>
          <w:sz w:val="20"/>
          <w:szCs w:val="20"/>
        </w:rPr>
        <w:t xml:space="preserve"> mice and Rbp4-Cre::tdTomato mice on coronal sections in mm</w:t>
      </w:r>
      <w:r w:rsidRPr="001430E5">
        <w:rPr>
          <w:sz w:val="20"/>
          <w:szCs w:val="20"/>
          <w:vertAlign w:val="superscript"/>
        </w:rPr>
        <w:t>2</w:t>
      </w:r>
      <w:r w:rsidRPr="001430E5">
        <w:rPr>
          <w:sz w:val="20"/>
          <w:szCs w:val="20"/>
        </w:rPr>
        <w:t xml:space="preserve"> </w:t>
      </w:r>
      <w:r w:rsidRPr="001430E5">
        <w:rPr>
          <w:rStyle w:val="st"/>
          <w:sz w:val="20"/>
          <w:szCs w:val="20"/>
        </w:rPr>
        <w:t>± s.d. A one tailed, paired t-test comparing control dLGN with enucleated dLGN at each age shows that the area of the dLGN was significantly different between control dLGN and enucleated dLGN at all ages, p value shown.</w:t>
      </w:r>
    </w:p>
    <w:p w:rsidR="005C4B1A" w:rsidRPr="00D4776D" w:rsidRDefault="005C4B1A" w:rsidP="005C4B1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2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2419"/>
        <w:gridCol w:w="2676"/>
        <w:gridCol w:w="1476"/>
        <w:gridCol w:w="1302"/>
      </w:tblGrid>
      <w:tr w:rsidR="005C4B1A" w:rsidRPr="00CA4849">
        <w:tc>
          <w:tcPr>
            <w:tcW w:w="1363" w:type="dxa"/>
          </w:tcPr>
          <w:p w:rsidR="005C4B1A" w:rsidRPr="00CA4849" w:rsidRDefault="005C4B1A" w:rsidP="005B28D2">
            <w:pPr>
              <w:jc w:val="center"/>
              <w:rPr>
                <w:b/>
              </w:rPr>
            </w:pPr>
          </w:p>
        </w:tc>
        <w:tc>
          <w:tcPr>
            <w:tcW w:w="2421" w:type="dxa"/>
          </w:tcPr>
          <w:p w:rsidR="005C4B1A" w:rsidRPr="00CA4849" w:rsidRDefault="005C4B1A" w:rsidP="005B28D2">
            <w:pPr>
              <w:jc w:val="center"/>
              <w:rPr>
                <w:b/>
              </w:rPr>
            </w:pPr>
            <w:r>
              <w:rPr>
                <w:b/>
              </w:rPr>
              <w:t>Area of control dLGN</w:t>
            </w:r>
            <w:r w:rsidR="00233CEA">
              <w:rPr>
                <w:b/>
              </w:rPr>
              <w:t xml:space="preserve"> in mm</w:t>
            </w:r>
            <w:r w:rsidR="00233CEA" w:rsidRPr="00233CEA"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rStyle w:val="st"/>
              </w:rPr>
              <w:t xml:space="preserve">± </w:t>
            </w:r>
            <w:r>
              <w:rPr>
                <w:rStyle w:val="st"/>
                <w:b/>
              </w:rPr>
              <w:t>s.d.</w:t>
            </w:r>
          </w:p>
        </w:tc>
        <w:tc>
          <w:tcPr>
            <w:tcW w:w="2678" w:type="dxa"/>
          </w:tcPr>
          <w:p w:rsidR="005C4B1A" w:rsidRPr="00CA4849" w:rsidRDefault="005C4B1A" w:rsidP="005B28D2">
            <w:pPr>
              <w:jc w:val="center"/>
              <w:rPr>
                <w:b/>
              </w:rPr>
            </w:pPr>
            <w:r>
              <w:rPr>
                <w:b/>
              </w:rPr>
              <w:t>Area of dLGN receiving input from injected eye</w:t>
            </w:r>
            <w:r w:rsidR="00233CEA">
              <w:rPr>
                <w:b/>
              </w:rPr>
              <w:t xml:space="preserve">  in mm</w:t>
            </w:r>
            <w:r w:rsidR="00233CEA" w:rsidRPr="00233CEA">
              <w:rPr>
                <w:b/>
                <w:vertAlign w:val="superscript"/>
              </w:rPr>
              <w:t>2</w:t>
            </w:r>
            <w:r w:rsidR="00233CEA">
              <w:rPr>
                <w:b/>
              </w:rPr>
              <w:t xml:space="preserve"> </w:t>
            </w:r>
            <w:r>
              <w:rPr>
                <w:rStyle w:val="st"/>
              </w:rPr>
              <w:t xml:space="preserve">± </w:t>
            </w:r>
            <w:r>
              <w:rPr>
                <w:rStyle w:val="st"/>
                <w:b/>
              </w:rPr>
              <w:t>s.d.</w:t>
            </w:r>
          </w:p>
        </w:tc>
        <w:tc>
          <w:tcPr>
            <w:tcW w:w="1477" w:type="dxa"/>
          </w:tcPr>
          <w:p w:rsidR="005C4B1A" w:rsidRDefault="005C4B1A" w:rsidP="005B28D2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303" w:type="dxa"/>
          </w:tcPr>
          <w:p w:rsidR="005C4B1A" w:rsidRDefault="005C4B1A" w:rsidP="005B28D2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</w:tr>
      <w:tr w:rsidR="005C4B1A">
        <w:tc>
          <w:tcPr>
            <w:tcW w:w="1363" w:type="dxa"/>
          </w:tcPr>
          <w:p w:rsidR="005C4B1A" w:rsidRPr="00CA4849" w:rsidRDefault="005C4B1A" w:rsidP="005B28D2">
            <w:pPr>
              <w:jc w:val="center"/>
              <w:rPr>
                <w:b/>
              </w:rPr>
            </w:pPr>
            <w:r>
              <w:rPr>
                <w:b/>
              </w:rPr>
              <w:t>P6 epibatidine injection</w:t>
            </w:r>
          </w:p>
        </w:tc>
        <w:tc>
          <w:tcPr>
            <w:tcW w:w="2421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>
              <w:t>0.9746</w:t>
            </w:r>
            <w:r>
              <w:tab/>
            </w:r>
            <w:r>
              <w:rPr>
                <w:rStyle w:val="st"/>
              </w:rPr>
              <w:t xml:space="preserve">± </w:t>
            </w:r>
            <w:r>
              <w:t>0.1297</w:t>
            </w:r>
          </w:p>
        </w:tc>
        <w:tc>
          <w:tcPr>
            <w:tcW w:w="2678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>
              <w:t xml:space="preserve">0.8817 </w:t>
            </w:r>
            <w:r>
              <w:rPr>
                <w:rStyle w:val="st"/>
              </w:rPr>
              <w:t>±</w:t>
            </w:r>
            <w:r>
              <w:t xml:space="preserve"> 0.1052</w:t>
            </w:r>
          </w:p>
        </w:tc>
        <w:tc>
          <w:tcPr>
            <w:tcW w:w="1477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 w:rsidRPr="00395561">
              <w:t>0.0218</w:t>
            </w:r>
          </w:p>
        </w:tc>
        <w:tc>
          <w:tcPr>
            <w:tcW w:w="1303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>
              <w:t>7</w:t>
            </w:r>
          </w:p>
        </w:tc>
      </w:tr>
      <w:tr w:rsidR="005C4B1A">
        <w:tc>
          <w:tcPr>
            <w:tcW w:w="1363" w:type="dxa"/>
          </w:tcPr>
          <w:p w:rsidR="005C4B1A" w:rsidRPr="00CA4849" w:rsidRDefault="005C4B1A" w:rsidP="005B28D2">
            <w:pPr>
              <w:jc w:val="center"/>
              <w:rPr>
                <w:b/>
              </w:rPr>
            </w:pPr>
            <w:r>
              <w:rPr>
                <w:b/>
              </w:rPr>
              <w:t>P6 sterile saline injection</w:t>
            </w:r>
          </w:p>
        </w:tc>
        <w:tc>
          <w:tcPr>
            <w:tcW w:w="2421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>
              <w:t xml:space="preserve">1.445 </w:t>
            </w:r>
            <w:r>
              <w:rPr>
                <w:rStyle w:val="st"/>
              </w:rPr>
              <w:t>±</w:t>
            </w:r>
            <w:r>
              <w:t xml:space="preserve"> 0.2322</w:t>
            </w:r>
          </w:p>
        </w:tc>
        <w:tc>
          <w:tcPr>
            <w:tcW w:w="2678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>
              <w:t xml:space="preserve">1.325 </w:t>
            </w:r>
            <w:r>
              <w:rPr>
                <w:rStyle w:val="st"/>
              </w:rPr>
              <w:t>±</w:t>
            </w:r>
            <w:r>
              <w:t xml:space="preserve"> 0.3119</w:t>
            </w:r>
          </w:p>
        </w:tc>
        <w:tc>
          <w:tcPr>
            <w:tcW w:w="1477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 w:rsidRPr="00395561">
              <w:t>0.1052</w:t>
            </w:r>
          </w:p>
        </w:tc>
        <w:tc>
          <w:tcPr>
            <w:tcW w:w="1303" w:type="dxa"/>
          </w:tcPr>
          <w:p w:rsidR="005C4B1A" w:rsidRDefault="005C4B1A" w:rsidP="005B28D2">
            <w:pPr>
              <w:jc w:val="center"/>
            </w:pPr>
          </w:p>
          <w:p w:rsidR="005C4B1A" w:rsidRDefault="005C4B1A" w:rsidP="005B28D2">
            <w:pPr>
              <w:jc w:val="center"/>
            </w:pPr>
            <w:r>
              <w:t>8</w:t>
            </w:r>
          </w:p>
        </w:tc>
      </w:tr>
    </w:tbl>
    <w:p w:rsidR="005C4B1A" w:rsidRPr="00EC1B62" w:rsidRDefault="005C4B1A" w:rsidP="005C4B1A">
      <w:pPr>
        <w:rPr>
          <w:sz w:val="20"/>
          <w:szCs w:val="20"/>
        </w:rPr>
      </w:pPr>
      <w:proofErr w:type="gramStart"/>
      <w:r>
        <w:rPr>
          <w:b/>
          <w:szCs w:val="24"/>
        </w:rPr>
        <w:t>Supplementary table 2</w:t>
      </w:r>
      <w:r w:rsidRPr="00DD78BC">
        <w:rPr>
          <w:b/>
          <w:szCs w:val="24"/>
        </w:rPr>
        <w:t>.</w:t>
      </w:r>
      <w:proofErr w:type="gramEnd"/>
      <w:r w:rsidRPr="00EC1B62">
        <w:rPr>
          <w:b/>
          <w:sz w:val="20"/>
          <w:szCs w:val="20"/>
        </w:rPr>
        <w:t xml:space="preserve"> </w:t>
      </w:r>
      <w:r w:rsidRPr="00EC1B62">
        <w:rPr>
          <w:sz w:val="20"/>
          <w:szCs w:val="20"/>
        </w:rPr>
        <w:t>Area of the dLGN</w:t>
      </w:r>
      <w:r>
        <w:rPr>
          <w:sz w:val="20"/>
          <w:szCs w:val="20"/>
        </w:rPr>
        <w:t xml:space="preserve"> in </w:t>
      </w:r>
      <w:r w:rsidRPr="00E54CF5">
        <w:rPr>
          <w:sz w:val="20"/>
          <w:szCs w:val="20"/>
        </w:rPr>
        <w:t>Golli-</w:t>
      </w:r>
      <w:r w:rsidRPr="00E54CF5">
        <w:rPr>
          <w:rFonts w:cs="Times New Roman"/>
          <w:sz w:val="20"/>
          <w:szCs w:val="20"/>
        </w:rPr>
        <w:t>τ-eGFP</w:t>
      </w:r>
      <w:r>
        <w:rPr>
          <w:rFonts w:cs="Times New Roman"/>
          <w:sz w:val="20"/>
          <w:szCs w:val="20"/>
        </w:rPr>
        <w:t xml:space="preserve"> mice</w:t>
      </w:r>
      <w:r w:rsidRPr="00EC1B62">
        <w:rPr>
          <w:sz w:val="20"/>
          <w:szCs w:val="20"/>
        </w:rPr>
        <w:t xml:space="preserve"> on coronal sections in mm</w:t>
      </w:r>
      <w:r w:rsidRPr="00EC1B62">
        <w:rPr>
          <w:sz w:val="20"/>
          <w:szCs w:val="20"/>
          <w:vertAlign w:val="superscript"/>
        </w:rPr>
        <w:t>2</w:t>
      </w:r>
      <w:r w:rsidRPr="00EC1B62">
        <w:rPr>
          <w:sz w:val="20"/>
          <w:szCs w:val="20"/>
        </w:rPr>
        <w:t xml:space="preserve"> in control</w:t>
      </w:r>
      <w:r>
        <w:rPr>
          <w:sz w:val="20"/>
          <w:szCs w:val="20"/>
        </w:rPr>
        <w:t xml:space="preserve"> dLGN</w:t>
      </w:r>
      <w:r w:rsidRPr="00EC1B62">
        <w:rPr>
          <w:sz w:val="20"/>
          <w:szCs w:val="20"/>
        </w:rPr>
        <w:t xml:space="preserve"> and dLGN receiving input from the eye receiving epibatidine injections or sterile saline injections.</w:t>
      </w:r>
    </w:p>
    <w:p w:rsidR="005C4B1A" w:rsidRPr="00142C8B" w:rsidRDefault="005C4B1A" w:rsidP="005C4B1A"/>
    <w:p w:rsidR="008742B6" w:rsidRDefault="008742B6" w:rsidP="00A261E4">
      <w:pPr>
        <w:pStyle w:val="Heading3"/>
      </w:pPr>
    </w:p>
    <w:sectPr w:rsidR="008742B6" w:rsidSect="00786B57">
      <w:footerReference w:type="default" r:id="rId7"/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457" w:rsidRDefault="009F5457">
      <w:pPr>
        <w:spacing w:after="0" w:line="240" w:lineRule="auto"/>
      </w:pPr>
      <w:r>
        <w:separator/>
      </w:r>
    </w:p>
  </w:endnote>
  <w:endnote w:type="continuationSeparator" w:id="0">
    <w:p w:rsidR="009F5457" w:rsidRDefault="009F5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166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0425" w:rsidRDefault="009F54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3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0425" w:rsidRDefault="009F54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457" w:rsidRDefault="009F5457">
      <w:pPr>
        <w:spacing w:after="0" w:line="240" w:lineRule="auto"/>
      </w:pPr>
      <w:r>
        <w:separator/>
      </w:r>
    </w:p>
  </w:footnote>
  <w:footnote w:type="continuationSeparator" w:id="0">
    <w:p w:rsidR="009F5457" w:rsidRDefault="009F5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1A"/>
    <w:rsid w:val="00103C6D"/>
    <w:rsid w:val="00233CEA"/>
    <w:rsid w:val="00377062"/>
    <w:rsid w:val="005C4B1A"/>
    <w:rsid w:val="0077608A"/>
    <w:rsid w:val="008742B6"/>
    <w:rsid w:val="00982ECF"/>
    <w:rsid w:val="009F5457"/>
    <w:rsid w:val="00A261E4"/>
    <w:rsid w:val="00C855E8"/>
    <w:rsid w:val="00DA23A0"/>
    <w:rsid w:val="00DA4C22"/>
    <w:rsid w:val="00E67E1A"/>
    <w:rsid w:val="00FA39BB"/>
    <w:rsid w:val="00FE4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B1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706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7062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E4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E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06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77062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77062"/>
    <w:pP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7062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062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7062"/>
    <w:rPr>
      <w:rFonts w:ascii="Times New Roman" w:eastAsiaTheme="majorEastAsia" w:hAnsi="Times New Roman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77062"/>
    <w:rPr>
      <w:rFonts w:ascii="Times New Roman" w:hAnsi="Times New Roman"/>
      <w:i/>
      <w:iCs/>
      <w:color w:val="auto"/>
      <w:sz w:val="20"/>
    </w:rPr>
  </w:style>
  <w:style w:type="character" w:styleId="Emphasis">
    <w:name w:val="Emphasis"/>
    <w:basedOn w:val="DefaultParagraphFont"/>
    <w:uiPriority w:val="20"/>
    <w:qFormat/>
    <w:rsid w:val="00377062"/>
    <w:rPr>
      <w:rFonts w:ascii="Times New Roman" w:hAnsi="Times New Roman"/>
      <w:i/>
      <w:iCs/>
      <w:sz w:val="20"/>
    </w:rPr>
  </w:style>
  <w:style w:type="character" w:styleId="IntenseEmphasis">
    <w:name w:val="Intense Emphasis"/>
    <w:basedOn w:val="DefaultParagraphFont"/>
    <w:uiPriority w:val="21"/>
    <w:qFormat/>
    <w:rsid w:val="00377062"/>
    <w:rPr>
      <w:rFonts w:ascii="Times New Roman" w:hAnsi="Times New Roman"/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377062"/>
    <w:rPr>
      <w:rFonts w:ascii="Times New Roman" w:hAnsi="Times New Roman"/>
      <w:b/>
      <w:bCs/>
      <w:color w:val="auto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37706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7062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062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062"/>
    <w:rPr>
      <w:rFonts w:ascii="Times New Roman" w:hAnsi="Times New Roman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377062"/>
    <w:rPr>
      <w:rFonts w:ascii="Times New Roman" w:hAnsi="Times New Roman"/>
      <w:smallCaps/>
      <w:color w:val="auto"/>
      <w:u w:val="single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77062"/>
    <w:rPr>
      <w:b/>
      <w:bCs/>
      <w:smallCaps/>
      <w:color w:val="auto"/>
      <w:spacing w:val="5"/>
      <w:u w:val="single"/>
      <w:bdr w:val="none" w:sz="0" w:space="0" w:color="auto"/>
    </w:rPr>
  </w:style>
  <w:style w:type="character" w:styleId="BookTitle">
    <w:name w:val="Book Title"/>
    <w:basedOn w:val="DefaultParagraphFont"/>
    <w:uiPriority w:val="33"/>
    <w:qFormat/>
    <w:rsid w:val="00377062"/>
    <w:rPr>
      <w:rFonts w:ascii="Times New Roman" w:hAnsi="Times New Roman"/>
      <w:b/>
      <w:bCs/>
      <w:smallCaps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rsid w:val="00A261E4"/>
    <w:rPr>
      <w:rFonts w:ascii="Times New Roman" w:eastAsiaTheme="majorEastAsia" w:hAnsi="Times New Roman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E4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Footer">
    <w:name w:val="footer"/>
    <w:basedOn w:val="Normal"/>
    <w:link w:val="FooterChar"/>
    <w:uiPriority w:val="99"/>
    <w:unhideWhenUsed/>
    <w:rsid w:val="005C4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B1A"/>
    <w:rPr>
      <w:rFonts w:ascii="Times New Roman" w:hAnsi="Times New Roman"/>
      <w:sz w:val="24"/>
    </w:rPr>
  </w:style>
  <w:style w:type="character" w:customStyle="1" w:styleId="st">
    <w:name w:val="st"/>
    <w:basedOn w:val="DefaultParagraphFont"/>
    <w:rsid w:val="005C4B1A"/>
  </w:style>
  <w:style w:type="table" w:styleId="TableGrid">
    <w:name w:val="Table Grid"/>
    <w:basedOn w:val="TableNormal"/>
    <w:uiPriority w:val="59"/>
    <w:rsid w:val="005C4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B1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706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7062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E4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E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06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77062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77062"/>
    <w:pP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7062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062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7062"/>
    <w:rPr>
      <w:rFonts w:ascii="Times New Roman" w:eastAsiaTheme="majorEastAsia" w:hAnsi="Times New Roman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77062"/>
    <w:rPr>
      <w:rFonts w:ascii="Times New Roman" w:hAnsi="Times New Roman"/>
      <w:i/>
      <w:iCs/>
      <w:color w:val="auto"/>
      <w:sz w:val="20"/>
    </w:rPr>
  </w:style>
  <w:style w:type="character" w:styleId="Emphasis">
    <w:name w:val="Emphasis"/>
    <w:basedOn w:val="DefaultParagraphFont"/>
    <w:uiPriority w:val="20"/>
    <w:qFormat/>
    <w:rsid w:val="00377062"/>
    <w:rPr>
      <w:rFonts w:ascii="Times New Roman" w:hAnsi="Times New Roman"/>
      <w:i/>
      <w:iCs/>
      <w:sz w:val="20"/>
    </w:rPr>
  </w:style>
  <w:style w:type="character" w:styleId="IntenseEmphasis">
    <w:name w:val="Intense Emphasis"/>
    <w:basedOn w:val="DefaultParagraphFont"/>
    <w:uiPriority w:val="21"/>
    <w:qFormat/>
    <w:rsid w:val="00377062"/>
    <w:rPr>
      <w:rFonts w:ascii="Times New Roman" w:hAnsi="Times New Roman"/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377062"/>
    <w:rPr>
      <w:rFonts w:ascii="Times New Roman" w:hAnsi="Times New Roman"/>
      <w:b/>
      <w:bCs/>
      <w:color w:val="auto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37706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7062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062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062"/>
    <w:rPr>
      <w:rFonts w:ascii="Times New Roman" w:hAnsi="Times New Roman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377062"/>
    <w:rPr>
      <w:rFonts w:ascii="Times New Roman" w:hAnsi="Times New Roman"/>
      <w:smallCaps/>
      <w:color w:val="auto"/>
      <w:u w:val="single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77062"/>
    <w:rPr>
      <w:b/>
      <w:bCs/>
      <w:smallCaps/>
      <w:color w:val="auto"/>
      <w:spacing w:val="5"/>
      <w:u w:val="single"/>
      <w:bdr w:val="none" w:sz="0" w:space="0" w:color="auto"/>
    </w:rPr>
  </w:style>
  <w:style w:type="character" w:styleId="BookTitle">
    <w:name w:val="Book Title"/>
    <w:basedOn w:val="DefaultParagraphFont"/>
    <w:uiPriority w:val="33"/>
    <w:qFormat/>
    <w:rsid w:val="00377062"/>
    <w:rPr>
      <w:rFonts w:ascii="Times New Roman" w:hAnsi="Times New Roman"/>
      <w:b/>
      <w:bCs/>
      <w:smallCaps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rsid w:val="00A261E4"/>
    <w:rPr>
      <w:rFonts w:ascii="Times New Roman" w:eastAsiaTheme="majorEastAsia" w:hAnsi="Times New Roman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E4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Footer">
    <w:name w:val="footer"/>
    <w:basedOn w:val="Normal"/>
    <w:link w:val="FooterChar"/>
    <w:uiPriority w:val="99"/>
    <w:unhideWhenUsed/>
    <w:rsid w:val="005C4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B1A"/>
    <w:rPr>
      <w:rFonts w:ascii="Times New Roman" w:hAnsi="Times New Roman"/>
      <w:sz w:val="24"/>
    </w:rPr>
  </w:style>
  <w:style w:type="character" w:customStyle="1" w:styleId="st">
    <w:name w:val="st"/>
    <w:basedOn w:val="DefaultParagraphFont"/>
    <w:rsid w:val="005C4B1A"/>
  </w:style>
  <w:style w:type="table" w:styleId="TableGrid">
    <w:name w:val="Table Grid"/>
    <w:basedOn w:val="TableNormal"/>
    <w:uiPriority w:val="59"/>
    <w:rsid w:val="005C4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 Eleanor</dc:creator>
  <cp:lastModifiedBy>, Eleanor</cp:lastModifiedBy>
  <cp:revision>2</cp:revision>
  <dcterms:created xsi:type="dcterms:W3CDTF">2015-09-16T01:34:00Z</dcterms:created>
  <dcterms:modified xsi:type="dcterms:W3CDTF">2015-09-16T01:34:00Z</dcterms:modified>
</cp:coreProperties>
</file>