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117BC" w:rsidRDefault="00A117BC" w:rsidP="00A117BC">
      <w:pPr>
        <w:jc w:val="center"/>
        <w:rPr>
          <w:b/>
        </w:rPr>
      </w:pPr>
      <w:r>
        <w:rPr>
          <w:b/>
          <w:noProof/>
          <w:lang w:val="en-IN" w:eastAsia="en-IN"/>
        </w:rPr>
        <w:drawing>
          <wp:inline distT="0" distB="0" distL="0" distR="0">
            <wp:extent cx="4382135" cy="2760345"/>
            <wp:effectExtent l="0" t="0" r="0" b="1905"/>
            <wp:docPr id="1" name="Picture 1" descr="P:\OUP\cercor\PAP\Work\cercorPAP\Supplement\bhv315\Grant et al Suppl Figure 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OUP\cercor\PAP\Work\cercorPAP\Supplement\bhv315\Grant et al Suppl Figure 1.tif"/>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4382135" cy="2760345"/>
                    </a:xfrm>
                    <a:prstGeom prst="rect">
                      <a:avLst/>
                    </a:prstGeom>
                    <a:noFill/>
                    <a:ln>
                      <a:noFill/>
                    </a:ln>
                  </pic:spPr>
                </pic:pic>
              </a:graphicData>
            </a:graphic>
          </wp:inline>
        </w:drawing>
      </w:r>
    </w:p>
    <w:p w:rsidR="00FB49A8" w:rsidRDefault="00FB49A8" w:rsidP="00FB49A8">
      <w:r w:rsidRPr="00FB49A8">
        <w:rPr>
          <w:b/>
        </w:rPr>
        <w:t>Supplementary Figure 1. Layer V, VIa and VIb have complementary projections to subcortical and inter-</w:t>
      </w:r>
      <w:r>
        <w:rPr>
          <w:b/>
        </w:rPr>
        <w:t xml:space="preserve">hemispheric targets.  </w:t>
      </w:r>
      <w:r w:rsidRPr="0088529C">
        <w:rPr>
          <w:b/>
          <w:szCs w:val="24"/>
        </w:rPr>
        <w:t>A.</w:t>
      </w:r>
      <w:r w:rsidRPr="0088529C">
        <w:rPr>
          <w:szCs w:val="24"/>
        </w:rPr>
        <w:t xml:space="preserve"> Layer V Rbp4-Cre::tdTomato fibres project through the caudate putamen of the striatum and narrow to project through the corridor before widening at the cerebral peduncle. Many fibres continue in the cerebral peduncle. Some fibres turn dorsally to enter the thalamus. There is also dense labelling of the caudate putamen. </w:t>
      </w:r>
      <w:r>
        <w:rPr>
          <w:b/>
          <w:szCs w:val="24"/>
        </w:rPr>
        <w:t xml:space="preserve">B. </w:t>
      </w:r>
      <w:r w:rsidRPr="0088529C">
        <w:rPr>
          <w:szCs w:val="24"/>
        </w:rPr>
        <w:t>Ntsr1-Cre::tdTomato layer VI</w:t>
      </w:r>
      <w:r>
        <w:rPr>
          <w:szCs w:val="24"/>
        </w:rPr>
        <w:t xml:space="preserve"> </w:t>
      </w:r>
      <w:r w:rsidRPr="0088529C">
        <w:rPr>
          <w:szCs w:val="24"/>
        </w:rPr>
        <w:t xml:space="preserve">and </w:t>
      </w:r>
      <w:r>
        <w:rPr>
          <w:b/>
          <w:szCs w:val="24"/>
        </w:rPr>
        <w:t xml:space="preserve">C. </w:t>
      </w:r>
      <w:r w:rsidRPr="0088529C">
        <w:rPr>
          <w:szCs w:val="24"/>
        </w:rPr>
        <w:t>Golli-</w:t>
      </w:r>
      <w:r w:rsidRPr="0088529C">
        <w:rPr>
          <w:rFonts w:cs="Times New Roman"/>
          <w:szCs w:val="24"/>
        </w:rPr>
        <w:t>τ</w:t>
      </w:r>
      <w:r w:rsidRPr="0088529C">
        <w:rPr>
          <w:szCs w:val="24"/>
        </w:rPr>
        <w:t>-eGFP VI and VIb</w:t>
      </w:r>
      <w:r>
        <w:rPr>
          <w:szCs w:val="24"/>
        </w:rPr>
        <w:t xml:space="preserve"> </w:t>
      </w:r>
      <w:r w:rsidRPr="0088529C">
        <w:rPr>
          <w:szCs w:val="24"/>
        </w:rPr>
        <w:t xml:space="preserve">neurons project through the caudate putamen and narrow to project through the globus pallidus before reorienting to project dorsally into the TRN and thalamus. Dotted line represents boundary between caudate putamen and globus pallidus. </w:t>
      </w:r>
      <w:r w:rsidRPr="0088529C">
        <w:rPr>
          <w:b/>
          <w:szCs w:val="24"/>
        </w:rPr>
        <w:t xml:space="preserve">D. </w:t>
      </w:r>
      <w:r w:rsidRPr="0088529C">
        <w:rPr>
          <w:szCs w:val="24"/>
        </w:rPr>
        <w:t xml:space="preserve">Rbp4-Cre::tdTomato labels cortico-cortical layer V projection neurons whose fibres cross the corpus callosum (CC) and the anterior commissure (AC). </w:t>
      </w:r>
      <w:r w:rsidRPr="0088529C">
        <w:rPr>
          <w:b/>
          <w:szCs w:val="24"/>
        </w:rPr>
        <w:t xml:space="preserve">E. </w:t>
      </w:r>
      <w:r w:rsidRPr="0088529C">
        <w:rPr>
          <w:szCs w:val="24"/>
        </w:rPr>
        <w:t xml:space="preserve">Ntsr1-Cre::tdTomato does not label fibres in the corpus callosum or anterior commissure. </w:t>
      </w:r>
      <w:r w:rsidRPr="0088529C">
        <w:rPr>
          <w:b/>
          <w:szCs w:val="24"/>
        </w:rPr>
        <w:t>F.</w:t>
      </w:r>
      <w:r w:rsidRPr="0088529C">
        <w:rPr>
          <w:szCs w:val="24"/>
        </w:rPr>
        <w:t xml:space="preserve"> Golli-</w:t>
      </w:r>
      <w:r w:rsidRPr="0088529C">
        <w:rPr>
          <w:rFonts w:cs="Times New Roman"/>
          <w:szCs w:val="24"/>
        </w:rPr>
        <w:t>τ</w:t>
      </w:r>
      <w:r w:rsidRPr="0088529C">
        <w:rPr>
          <w:szCs w:val="24"/>
        </w:rPr>
        <w:t>-eGFP labels cross-callosal intracortical fibres. Abbreviations used: CP, caudate putamen; GP, globus pallidus; AC, anterior commissure; CC, corpus callosum. Scale bars= 500</w:t>
      </w:r>
      <w:r w:rsidRPr="0088529C">
        <w:rPr>
          <w:rFonts w:cs="Times New Roman"/>
          <w:szCs w:val="24"/>
        </w:rPr>
        <w:t>µ</w:t>
      </w:r>
      <w:r w:rsidRPr="0088529C">
        <w:rPr>
          <w:szCs w:val="24"/>
        </w:rPr>
        <w:t>m (A-C), 250</w:t>
      </w:r>
      <w:r w:rsidRPr="0088529C">
        <w:rPr>
          <w:rFonts w:cs="Times New Roman"/>
          <w:szCs w:val="24"/>
        </w:rPr>
        <w:t>µ</w:t>
      </w:r>
      <w:r w:rsidRPr="0088529C">
        <w:rPr>
          <w:szCs w:val="24"/>
        </w:rPr>
        <w:t>m (</w:t>
      </w:r>
      <w:r w:rsidRPr="00FB49A8">
        <w:rPr>
          <w:szCs w:val="24"/>
        </w:rPr>
        <w:t>D-F). n= 3 per strain per age.</w:t>
      </w:r>
    </w:p>
    <w:p w:rsidR="00FB49A8" w:rsidRDefault="00A117BC" w:rsidP="00A117BC">
      <w:pPr>
        <w:jc w:val="center"/>
        <w:rPr>
          <w:rStyle w:val="st"/>
        </w:rPr>
      </w:pPr>
      <w:r>
        <w:rPr>
          <w:rStyle w:val="st"/>
          <w:noProof/>
          <w:lang w:val="en-IN" w:eastAsia="en-IN"/>
        </w:rPr>
        <w:drawing>
          <wp:inline distT="0" distB="0" distL="0" distR="0">
            <wp:extent cx="3286760" cy="4494530"/>
            <wp:effectExtent l="0" t="0" r="8890" b="1270"/>
            <wp:docPr id="2" name="Picture 2" descr="P:\OUP\cercor\PAP\Work\cercorPAP\Supplement\bhv315\Grant et al Suppl Figure 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OUP\cercor\PAP\Work\cercorPAP\Supplement\bhv315\Grant et al Suppl Figure 2.tif"/>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3286760" cy="4494530"/>
                    </a:xfrm>
                    <a:prstGeom prst="rect">
                      <a:avLst/>
                    </a:prstGeom>
                    <a:noFill/>
                    <a:ln>
                      <a:noFill/>
                    </a:ln>
                  </pic:spPr>
                </pic:pic>
              </a:graphicData>
            </a:graphic>
          </wp:inline>
        </w:drawing>
      </w:r>
    </w:p>
    <w:p w:rsidR="00FB49A8" w:rsidRDefault="00FB49A8" w:rsidP="00FB49A8">
      <w:pPr>
        <w:rPr>
          <w:rStyle w:val="st"/>
        </w:rPr>
      </w:pPr>
      <w:r>
        <w:rPr>
          <w:rStyle w:val="st"/>
          <w:b/>
        </w:rPr>
        <w:t xml:space="preserve">Supplementary Figure 2. Fibres prematurely entering the dLGN are from primary visual cortex shown by retrograde labelling from the dLGN. A-B. </w:t>
      </w:r>
      <w:r>
        <w:rPr>
          <w:rStyle w:val="st"/>
        </w:rPr>
        <w:t xml:space="preserve">Representative DiI crystal placements in the control and enucleated dLGN. </w:t>
      </w:r>
      <w:r>
        <w:rPr>
          <w:rStyle w:val="st"/>
          <w:b/>
        </w:rPr>
        <w:t xml:space="preserve">C. </w:t>
      </w:r>
      <w:r w:rsidRPr="00FB49A8">
        <w:rPr>
          <w:rStyle w:val="st"/>
        </w:rPr>
        <w:t xml:space="preserve">Sparse back-labelled cells were sometimes visible in layer V of the control primary visual cortex n=4. </w:t>
      </w:r>
      <w:r w:rsidRPr="00FB49A8">
        <w:rPr>
          <w:rStyle w:val="st"/>
          <w:b/>
        </w:rPr>
        <w:t xml:space="preserve">D. </w:t>
      </w:r>
      <w:r w:rsidRPr="00FB49A8">
        <w:rPr>
          <w:rStyle w:val="st"/>
        </w:rPr>
        <w:t>Back-labelled cells were present in layer VI of the enucleated primary visual cortex n=3. No cells were found back-labelled in the control or enucleated primary somatosensory cortex (</w:t>
      </w:r>
      <w:r w:rsidRPr="00FB49A8">
        <w:rPr>
          <w:rStyle w:val="st"/>
          <w:b/>
        </w:rPr>
        <w:t>E and F</w:t>
      </w:r>
      <w:r w:rsidRPr="00FB49A8">
        <w:rPr>
          <w:rStyle w:val="st"/>
        </w:rPr>
        <w:t>) or the control or enucleated primary auditory cortex (</w:t>
      </w:r>
      <w:r w:rsidRPr="00FB49A8">
        <w:rPr>
          <w:rStyle w:val="st"/>
          <w:b/>
        </w:rPr>
        <w:t>G and H</w:t>
      </w:r>
      <w:r w:rsidRPr="00FB49A8">
        <w:rPr>
          <w:rStyle w:val="st"/>
        </w:rPr>
        <w:t>). Scale bars= 500</w:t>
      </w:r>
      <w:r w:rsidRPr="00FB49A8">
        <w:rPr>
          <w:rStyle w:val="st"/>
          <w:rFonts w:cs="Times New Roman"/>
        </w:rPr>
        <w:t>µ</w:t>
      </w:r>
      <w:r w:rsidRPr="00FB49A8">
        <w:rPr>
          <w:rStyle w:val="st"/>
        </w:rPr>
        <w:t>m</w:t>
      </w:r>
      <w:r>
        <w:rPr>
          <w:rStyle w:val="st"/>
        </w:rPr>
        <w:t xml:space="preserve"> A-B, 250</w:t>
      </w:r>
      <w:r>
        <w:rPr>
          <w:rStyle w:val="st"/>
          <w:rFonts w:cs="Times New Roman"/>
        </w:rPr>
        <w:t>µm C-D, E-H.</w:t>
      </w:r>
    </w:p>
    <w:p w:rsidR="00A117BC" w:rsidRDefault="00A117BC" w:rsidP="00A117BC">
      <w:pPr>
        <w:jc w:val="center"/>
        <w:rPr>
          <w:rStyle w:val="st"/>
          <w:rFonts w:cs="Times New Roman"/>
          <w:b/>
        </w:rPr>
      </w:pPr>
      <w:r>
        <w:rPr>
          <w:rStyle w:val="st"/>
          <w:rFonts w:cs="Times New Roman"/>
          <w:b/>
          <w:noProof/>
          <w:lang w:val="en-IN" w:eastAsia="en-IN"/>
        </w:rPr>
        <w:drawing>
          <wp:inline distT="0" distB="0" distL="0" distR="0">
            <wp:extent cx="4408170" cy="7789545"/>
            <wp:effectExtent l="0" t="0" r="0" b="1905"/>
            <wp:docPr id="3" name="Picture 3" descr="P:\OUP\cercor\PAP\Work\cercorPAP\Supplement\bhv315\Grant et al Suppl Figure 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OUP\cercor\PAP\Work\cercorPAP\Supplement\bhv315\Grant et al Suppl Figure 3.tif"/>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4408170" cy="7789545"/>
                    </a:xfrm>
                    <a:prstGeom prst="rect">
                      <a:avLst/>
                    </a:prstGeom>
                    <a:noFill/>
                    <a:ln>
                      <a:noFill/>
                    </a:ln>
                  </pic:spPr>
                </pic:pic>
              </a:graphicData>
            </a:graphic>
          </wp:inline>
        </w:drawing>
      </w:r>
    </w:p>
    <w:p w:rsidR="00FB49A8" w:rsidRDefault="00FB49A8" w:rsidP="00FB49A8">
      <w:pPr>
        <w:rPr>
          <w:rFonts w:cs="Times New Roman"/>
        </w:rPr>
      </w:pPr>
      <w:r>
        <w:rPr>
          <w:rStyle w:val="st"/>
          <w:rFonts w:cs="Times New Roman"/>
          <w:b/>
        </w:rPr>
        <w:t>Supplementary Figure 3.</w:t>
      </w:r>
      <w:r w:rsidRPr="00D01035">
        <w:rPr>
          <w:b/>
        </w:rPr>
        <w:t xml:space="preserve"> Ingrowth</w:t>
      </w:r>
      <w:r>
        <w:rPr>
          <w:b/>
        </w:rPr>
        <w:t xml:space="preserve"> of Golli-</w:t>
      </w:r>
      <w:r>
        <w:rPr>
          <w:rFonts w:cs="Times New Roman"/>
          <w:b/>
        </w:rPr>
        <w:t>τ</w:t>
      </w:r>
      <w:r>
        <w:rPr>
          <w:b/>
        </w:rPr>
        <w:t>-eGFP layer VI</w:t>
      </w:r>
      <w:r w:rsidR="00146CA6">
        <w:rPr>
          <w:b/>
        </w:rPr>
        <w:t>a</w:t>
      </w:r>
      <w:r>
        <w:rPr>
          <w:b/>
        </w:rPr>
        <w:t xml:space="preserve"> and VIb fibres to the visual sector of the TRN in the control hemisphere and enucleated </w:t>
      </w:r>
      <w:r w:rsidRPr="00D94872">
        <w:rPr>
          <w:b/>
          <w:szCs w:val="24"/>
        </w:rPr>
        <w:t>hemisphere. A-J.</w:t>
      </w:r>
      <w:r w:rsidRPr="00D94872">
        <w:rPr>
          <w:szCs w:val="24"/>
        </w:rPr>
        <w:t xml:space="preserve"> Golli-</w:t>
      </w:r>
      <w:r w:rsidRPr="00D94872">
        <w:rPr>
          <w:rFonts w:cs="Times New Roman"/>
          <w:szCs w:val="24"/>
        </w:rPr>
        <w:t>τ-eGFP fibres project to the visual sector of the TRN (white arrows). The patterning</w:t>
      </w:r>
      <w:r>
        <w:rPr>
          <w:rFonts w:cs="Times New Roman"/>
          <w:szCs w:val="24"/>
        </w:rPr>
        <w:t xml:space="preserve"> and timing</w:t>
      </w:r>
      <w:r w:rsidRPr="00D94872">
        <w:rPr>
          <w:rFonts w:cs="Times New Roman"/>
          <w:szCs w:val="24"/>
        </w:rPr>
        <w:t xml:space="preserve"> of </w:t>
      </w:r>
      <w:r w:rsidRPr="00D94872">
        <w:rPr>
          <w:szCs w:val="24"/>
        </w:rPr>
        <w:t>Golli-</w:t>
      </w:r>
      <w:r w:rsidRPr="00D94872">
        <w:rPr>
          <w:rFonts w:cs="Times New Roman"/>
          <w:szCs w:val="24"/>
        </w:rPr>
        <w:t>τ-eGFP fibre</w:t>
      </w:r>
      <w:r>
        <w:rPr>
          <w:rFonts w:cs="Times New Roman"/>
          <w:szCs w:val="24"/>
        </w:rPr>
        <w:t xml:space="preserve"> </w:t>
      </w:r>
      <w:r w:rsidRPr="00FB49A8">
        <w:rPr>
          <w:rFonts w:cs="Times New Roman"/>
          <w:szCs w:val="24"/>
        </w:rPr>
        <w:t>ingrowth to the TRN is not different between the control and enucleated hemisphere. P2 n=3, P4 n=6, P6 n=6, P8 n= 4, P10 n=5. Scale</w:t>
      </w:r>
      <w:r w:rsidRPr="00D94872">
        <w:rPr>
          <w:rFonts w:cs="Times New Roman"/>
          <w:szCs w:val="24"/>
        </w:rPr>
        <w:t xml:space="preserve"> bar=</w:t>
      </w:r>
      <w:r w:rsidRPr="00D94872">
        <w:rPr>
          <w:szCs w:val="24"/>
        </w:rPr>
        <w:t xml:space="preserve"> 500</w:t>
      </w:r>
      <w:r w:rsidRPr="00D94872">
        <w:rPr>
          <w:rFonts w:cs="Times New Roman"/>
          <w:szCs w:val="24"/>
        </w:rPr>
        <w:t>µ</w:t>
      </w:r>
      <w:r w:rsidRPr="00D94872">
        <w:rPr>
          <w:szCs w:val="24"/>
        </w:rPr>
        <w:t>m.</w:t>
      </w:r>
    </w:p>
    <w:p w:rsidR="00FB49A8" w:rsidRDefault="00A117BC" w:rsidP="00FB49A8">
      <w:pPr>
        <w:rPr>
          <w:rStyle w:val="st"/>
        </w:rPr>
      </w:pPr>
      <w:r>
        <w:rPr>
          <w:rStyle w:val="st"/>
          <w:noProof/>
          <w:lang w:val="en-IN" w:eastAsia="en-IN"/>
        </w:rPr>
        <w:drawing>
          <wp:inline distT="0" distB="0" distL="0" distR="0">
            <wp:extent cx="5736590" cy="7858760"/>
            <wp:effectExtent l="0" t="0" r="0" b="8890"/>
            <wp:docPr id="4" name="Picture 4" descr="P:\OUP\cercor\PAP\Work\cercorPAP\Supplement\bhv315\Grant et al Suppl Figure 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OUP\cercor\PAP\Work\cercorPAP\Supplement\bhv315\Grant et al Suppl Figure 4.tif"/>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36590" cy="7858760"/>
                    </a:xfrm>
                    <a:prstGeom prst="rect">
                      <a:avLst/>
                    </a:prstGeom>
                    <a:noFill/>
                    <a:ln>
                      <a:noFill/>
                    </a:ln>
                  </pic:spPr>
                </pic:pic>
              </a:graphicData>
            </a:graphic>
          </wp:inline>
        </w:drawing>
      </w:r>
      <w:bookmarkStart w:id="0" w:name="_GoBack"/>
      <w:bookmarkEnd w:id="0"/>
    </w:p>
    <w:p w:rsidR="00FB49A8" w:rsidRPr="00FD415F" w:rsidRDefault="00FB49A8" w:rsidP="00FB49A8">
      <w:r>
        <w:rPr>
          <w:rStyle w:val="st"/>
          <w:rFonts w:cs="Times New Roman"/>
          <w:b/>
        </w:rPr>
        <w:t>Supplementary Figure 4. Aggrecan immunohistochemistry in the superior colliculus following m</w:t>
      </w:r>
      <w:r w:rsidRPr="005D0885">
        <w:rPr>
          <w:rStyle w:val="st"/>
          <w:rFonts w:cs="Times New Roman"/>
          <w:b/>
          <w:szCs w:val="24"/>
        </w:rPr>
        <w:t xml:space="preserve">onocular enucleation at birth. </w:t>
      </w:r>
      <w:r w:rsidRPr="005D0885">
        <w:rPr>
          <w:b/>
          <w:szCs w:val="24"/>
        </w:rPr>
        <w:t>A</w:t>
      </w:r>
      <w:r>
        <w:rPr>
          <w:b/>
          <w:szCs w:val="24"/>
        </w:rPr>
        <w:t>-F</w:t>
      </w:r>
      <w:r w:rsidRPr="005D0885">
        <w:rPr>
          <w:b/>
          <w:szCs w:val="24"/>
        </w:rPr>
        <w:t xml:space="preserve">. </w:t>
      </w:r>
      <w:r w:rsidRPr="005D0885">
        <w:rPr>
          <w:szCs w:val="24"/>
        </w:rPr>
        <w:t>Aggrecan is present in the control and enucleated superior colliculus. It co-localises with Rbp4-Cre::tdTomato positive layer V bundles in the intermediate white layer (filled arrow heads) and fibres in the o</w:t>
      </w:r>
      <w:r>
        <w:rPr>
          <w:szCs w:val="24"/>
        </w:rPr>
        <w:t>ptic nerve layer (filled arrow</w:t>
      </w:r>
      <w:r w:rsidRPr="005D0885">
        <w:rPr>
          <w:szCs w:val="24"/>
        </w:rPr>
        <w:t>). It does not co-localise with tdTomato expressing cells which reside in the superior colliculus (hollow arrow heads).</w:t>
      </w:r>
      <w:r>
        <w:rPr>
          <w:szCs w:val="24"/>
        </w:rPr>
        <w:t xml:space="preserve"> At P6 and P8 it co-localises with tdTomato positive fibres in the superficial grey layer (chevron arrows </w:t>
      </w:r>
      <w:r>
        <w:rPr>
          <w:b/>
          <w:szCs w:val="24"/>
        </w:rPr>
        <w:t>D-F</w:t>
      </w:r>
      <w:r>
        <w:rPr>
          <w:szCs w:val="24"/>
        </w:rPr>
        <w:t>).</w:t>
      </w:r>
      <w:r w:rsidRPr="005D0885">
        <w:rPr>
          <w:szCs w:val="24"/>
        </w:rPr>
        <w:t xml:space="preserve"> </w:t>
      </w:r>
      <w:r w:rsidRPr="005D0885">
        <w:rPr>
          <w:b/>
          <w:szCs w:val="24"/>
        </w:rPr>
        <w:t xml:space="preserve">A’ and B’. </w:t>
      </w:r>
      <w:r w:rsidRPr="00C95573">
        <w:rPr>
          <w:szCs w:val="24"/>
        </w:rPr>
        <w:t xml:space="preserve">At </w:t>
      </w:r>
      <w:r w:rsidRPr="00FB49A8">
        <w:rPr>
          <w:szCs w:val="24"/>
        </w:rPr>
        <w:t xml:space="preserve">P4 aggrecan labelling is not different between the control and enucleated superior colliculus n=3. </w:t>
      </w:r>
      <w:r w:rsidRPr="00FB49A8">
        <w:rPr>
          <w:b/>
          <w:szCs w:val="24"/>
        </w:rPr>
        <w:t xml:space="preserve">C’ and D’. </w:t>
      </w:r>
      <w:r w:rsidRPr="00FB49A8">
        <w:rPr>
          <w:szCs w:val="24"/>
        </w:rPr>
        <w:t xml:space="preserve">By P6 aggrecan labelling is weaker in the superficial grey layer of the control and enucleated superior colliculus although there is a stronger patch in the lateral side of the enucleated superficial grey layer n=4. </w:t>
      </w:r>
      <w:r w:rsidRPr="00FB49A8">
        <w:rPr>
          <w:b/>
          <w:szCs w:val="24"/>
        </w:rPr>
        <w:t xml:space="preserve">E’ and F’. </w:t>
      </w:r>
      <w:r w:rsidRPr="000F4910">
        <w:rPr>
          <w:szCs w:val="24"/>
        </w:rPr>
        <w:t xml:space="preserve">By P8 aggrecan labelling is absent in the control and enucleated superficial grey layer but present throughout the rest of the superior colliculus n=3. Midline is on the right of control images and on the left of enucleated images. </w:t>
      </w:r>
      <w:r w:rsidRPr="000F4910">
        <w:rPr>
          <w:b/>
          <w:szCs w:val="24"/>
        </w:rPr>
        <w:t xml:space="preserve">G, H and I. </w:t>
      </w:r>
      <w:r w:rsidRPr="000F4910">
        <w:rPr>
          <w:szCs w:val="24"/>
        </w:rPr>
        <w:t>Pixel intensity analysis of the superficial grey layer shows no significant difference between the intensity of aggrecan staining in the control and enucleated hemispheres at P4 (</w:t>
      </w:r>
      <w:r w:rsidRPr="000F4910">
        <w:rPr>
          <w:b/>
          <w:szCs w:val="24"/>
        </w:rPr>
        <w:t>G</w:t>
      </w:r>
      <w:r w:rsidRPr="000F4910">
        <w:rPr>
          <w:szCs w:val="24"/>
        </w:rPr>
        <w:t>) P6 (</w:t>
      </w:r>
      <w:r w:rsidRPr="000F4910">
        <w:rPr>
          <w:b/>
          <w:szCs w:val="24"/>
        </w:rPr>
        <w:t>H</w:t>
      </w:r>
      <w:r w:rsidRPr="000F4910">
        <w:rPr>
          <w:szCs w:val="24"/>
        </w:rPr>
        <w:t>) and P8 (</w:t>
      </w:r>
      <w:r w:rsidRPr="000F4910">
        <w:rPr>
          <w:b/>
          <w:szCs w:val="24"/>
        </w:rPr>
        <w:t>I</w:t>
      </w:r>
      <w:r w:rsidRPr="000F4910">
        <w:rPr>
          <w:szCs w:val="24"/>
        </w:rPr>
        <w:t>)</w:t>
      </w:r>
      <w:r w:rsidR="00B36533" w:rsidRPr="000F4910">
        <w:rPr>
          <w:b/>
          <w:szCs w:val="24"/>
        </w:rPr>
        <w:t xml:space="preserve">. </w:t>
      </w:r>
      <w:r w:rsidRPr="000F4910">
        <w:rPr>
          <w:szCs w:val="24"/>
        </w:rPr>
        <w:t>Scale bar= 50</w:t>
      </w:r>
      <w:r w:rsidRPr="000F4910">
        <w:rPr>
          <w:rFonts w:cs="Times New Roman"/>
          <w:szCs w:val="24"/>
        </w:rPr>
        <w:t>µ</w:t>
      </w:r>
      <w:r w:rsidRPr="000F4910">
        <w:rPr>
          <w:szCs w:val="24"/>
        </w:rPr>
        <w:t>m.</w:t>
      </w:r>
    </w:p>
    <w:p w:rsidR="008742B6" w:rsidRDefault="008742B6" w:rsidP="00A261E4">
      <w:pPr>
        <w:pStyle w:val="Heading3"/>
      </w:pPr>
    </w:p>
    <w:sectPr w:rsidR="008742B6" w:rsidSect="006C6B88">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74D3E"/>
    <w:rsid w:val="000F4910"/>
    <w:rsid w:val="00146CA6"/>
    <w:rsid w:val="00377062"/>
    <w:rsid w:val="006C6B88"/>
    <w:rsid w:val="008742B6"/>
    <w:rsid w:val="00874D3E"/>
    <w:rsid w:val="00982ECF"/>
    <w:rsid w:val="00A117BC"/>
    <w:rsid w:val="00A261E4"/>
    <w:rsid w:val="00B36533"/>
    <w:rsid w:val="00C9651A"/>
    <w:rsid w:val="00DA4C22"/>
    <w:rsid w:val="00FB49A8"/>
  </w:rsids>
  <m:mathPr>
    <m:mathFont m:val="Cambria Math"/>
    <m:brkBin m:val="before"/>
    <m:brkBinSub m:val="--"/>
    <m:smallFrac/>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645A77DB-29EA-43DF-8FE6-F7AF3A0526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B49A8"/>
    <w:rPr>
      <w:rFonts w:ascii="Times New Roman" w:hAnsi="Times New Roman"/>
      <w:sz w:val="24"/>
    </w:rPr>
  </w:style>
  <w:style w:type="paragraph" w:styleId="Heading1">
    <w:name w:val="heading 1"/>
    <w:basedOn w:val="Normal"/>
    <w:next w:val="Normal"/>
    <w:link w:val="Heading1Char"/>
    <w:uiPriority w:val="9"/>
    <w:qFormat/>
    <w:rsid w:val="00377062"/>
    <w:pPr>
      <w:keepNext/>
      <w:keepLines/>
      <w:spacing w:before="480" w:after="0"/>
      <w:outlineLvl w:val="0"/>
    </w:pPr>
    <w:rPr>
      <w:rFonts w:eastAsiaTheme="majorEastAsia" w:cstheme="majorBidi"/>
      <w:b/>
      <w:bCs/>
      <w:sz w:val="28"/>
      <w:szCs w:val="28"/>
    </w:rPr>
  </w:style>
  <w:style w:type="paragraph" w:styleId="Heading2">
    <w:name w:val="heading 2"/>
    <w:basedOn w:val="Normal"/>
    <w:next w:val="Normal"/>
    <w:link w:val="Heading2Char"/>
    <w:uiPriority w:val="9"/>
    <w:unhideWhenUsed/>
    <w:qFormat/>
    <w:rsid w:val="00377062"/>
    <w:pPr>
      <w:keepNext/>
      <w:keepLines/>
      <w:spacing w:before="200" w:after="0"/>
      <w:outlineLvl w:val="1"/>
    </w:pPr>
    <w:rPr>
      <w:rFonts w:eastAsiaTheme="majorEastAsia" w:cstheme="majorBidi"/>
      <w:b/>
      <w:bCs/>
      <w:sz w:val="26"/>
      <w:szCs w:val="26"/>
    </w:rPr>
  </w:style>
  <w:style w:type="paragraph" w:styleId="Heading3">
    <w:name w:val="heading 3"/>
    <w:basedOn w:val="Normal"/>
    <w:next w:val="Normal"/>
    <w:link w:val="Heading3Char"/>
    <w:uiPriority w:val="9"/>
    <w:unhideWhenUsed/>
    <w:qFormat/>
    <w:rsid w:val="00A261E4"/>
    <w:pPr>
      <w:keepNext/>
      <w:keepLines/>
      <w:spacing w:before="200" w:after="0"/>
      <w:outlineLvl w:val="2"/>
    </w:pPr>
    <w:rPr>
      <w:rFonts w:eastAsiaTheme="majorEastAsia" w:cstheme="majorBidi"/>
      <w:b/>
      <w:bCs/>
    </w:rPr>
  </w:style>
  <w:style w:type="paragraph" w:styleId="Heading4">
    <w:name w:val="heading 4"/>
    <w:basedOn w:val="Normal"/>
    <w:next w:val="Normal"/>
    <w:link w:val="Heading4Char"/>
    <w:uiPriority w:val="9"/>
    <w:semiHidden/>
    <w:unhideWhenUsed/>
    <w:qFormat/>
    <w:rsid w:val="00A261E4"/>
    <w:pPr>
      <w:keepNext/>
      <w:keepLines/>
      <w:spacing w:before="200" w:after="0"/>
      <w:outlineLvl w:val="3"/>
    </w:pPr>
    <w:rPr>
      <w:rFonts w:eastAsiaTheme="majorEastAsia" w:cstheme="majorBidi"/>
      <w:b/>
      <w:bCs/>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77062"/>
    <w:rPr>
      <w:rFonts w:ascii="Times New Roman" w:eastAsiaTheme="majorEastAsia" w:hAnsi="Times New Roman" w:cstheme="majorBidi"/>
      <w:b/>
      <w:bCs/>
      <w:sz w:val="28"/>
      <w:szCs w:val="28"/>
    </w:rPr>
  </w:style>
  <w:style w:type="character" w:customStyle="1" w:styleId="Heading2Char">
    <w:name w:val="Heading 2 Char"/>
    <w:basedOn w:val="DefaultParagraphFont"/>
    <w:link w:val="Heading2"/>
    <w:uiPriority w:val="9"/>
    <w:rsid w:val="00377062"/>
    <w:rPr>
      <w:rFonts w:ascii="Times New Roman" w:eastAsiaTheme="majorEastAsia" w:hAnsi="Times New Roman" w:cstheme="majorBidi"/>
      <w:b/>
      <w:bCs/>
      <w:sz w:val="26"/>
      <w:szCs w:val="26"/>
    </w:rPr>
  </w:style>
  <w:style w:type="paragraph" w:styleId="Title">
    <w:name w:val="Title"/>
    <w:basedOn w:val="Normal"/>
    <w:next w:val="Normal"/>
    <w:link w:val="TitleChar"/>
    <w:uiPriority w:val="10"/>
    <w:qFormat/>
    <w:rsid w:val="00377062"/>
    <w:pPr>
      <w:spacing w:after="300" w:line="240" w:lineRule="auto"/>
      <w:contextualSpacing/>
    </w:pPr>
    <w:rPr>
      <w:rFonts w:eastAsiaTheme="majorEastAsia" w:cstheme="majorBidi"/>
      <w:spacing w:val="5"/>
      <w:kern w:val="28"/>
      <w:sz w:val="52"/>
      <w:szCs w:val="52"/>
    </w:rPr>
  </w:style>
  <w:style w:type="character" w:customStyle="1" w:styleId="TitleChar">
    <w:name w:val="Title Char"/>
    <w:basedOn w:val="DefaultParagraphFont"/>
    <w:link w:val="Title"/>
    <w:uiPriority w:val="10"/>
    <w:rsid w:val="00377062"/>
    <w:rPr>
      <w:rFonts w:ascii="Times New Roman" w:eastAsiaTheme="majorEastAsia" w:hAnsi="Times New Roman" w:cstheme="majorBidi"/>
      <w:spacing w:val="5"/>
      <w:kern w:val="28"/>
      <w:sz w:val="52"/>
      <w:szCs w:val="52"/>
    </w:rPr>
  </w:style>
  <w:style w:type="paragraph" w:styleId="Subtitle">
    <w:name w:val="Subtitle"/>
    <w:basedOn w:val="Normal"/>
    <w:next w:val="Normal"/>
    <w:link w:val="SubtitleChar"/>
    <w:uiPriority w:val="11"/>
    <w:qFormat/>
    <w:rsid w:val="00377062"/>
    <w:pPr>
      <w:numPr>
        <w:ilvl w:val="1"/>
      </w:numPr>
    </w:pPr>
    <w:rPr>
      <w:rFonts w:eastAsiaTheme="majorEastAsia" w:cstheme="majorBidi"/>
      <w:i/>
      <w:iCs/>
      <w:spacing w:val="15"/>
      <w:szCs w:val="24"/>
    </w:rPr>
  </w:style>
  <w:style w:type="character" w:customStyle="1" w:styleId="SubtitleChar">
    <w:name w:val="Subtitle Char"/>
    <w:basedOn w:val="DefaultParagraphFont"/>
    <w:link w:val="Subtitle"/>
    <w:uiPriority w:val="11"/>
    <w:rsid w:val="00377062"/>
    <w:rPr>
      <w:rFonts w:ascii="Times New Roman" w:eastAsiaTheme="majorEastAsia" w:hAnsi="Times New Roman" w:cstheme="majorBidi"/>
      <w:i/>
      <w:iCs/>
      <w:spacing w:val="15"/>
      <w:sz w:val="24"/>
      <w:szCs w:val="24"/>
    </w:rPr>
  </w:style>
  <w:style w:type="character" w:styleId="SubtleEmphasis">
    <w:name w:val="Subtle Emphasis"/>
    <w:basedOn w:val="DefaultParagraphFont"/>
    <w:uiPriority w:val="19"/>
    <w:qFormat/>
    <w:rsid w:val="00377062"/>
    <w:rPr>
      <w:rFonts w:ascii="Times New Roman" w:hAnsi="Times New Roman"/>
      <w:i/>
      <w:iCs/>
      <w:color w:val="auto"/>
      <w:sz w:val="20"/>
    </w:rPr>
  </w:style>
  <w:style w:type="character" w:styleId="Emphasis">
    <w:name w:val="Emphasis"/>
    <w:basedOn w:val="DefaultParagraphFont"/>
    <w:uiPriority w:val="20"/>
    <w:qFormat/>
    <w:rsid w:val="00377062"/>
    <w:rPr>
      <w:rFonts w:ascii="Times New Roman" w:hAnsi="Times New Roman"/>
      <w:i/>
      <w:iCs/>
      <w:sz w:val="20"/>
    </w:rPr>
  </w:style>
  <w:style w:type="character" w:styleId="IntenseEmphasis">
    <w:name w:val="Intense Emphasis"/>
    <w:basedOn w:val="DefaultParagraphFont"/>
    <w:uiPriority w:val="21"/>
    <w:qFormat/>
    <w:rsid w:val="00377062"/>
    <w:rPr>
      <w:rFonts w:ascii="Times New Roman" w:hAnsi="Times New Roman"/>
      <w:b/>
      <w:bCs/>
      <w:i/>
      <w:iCs/>
      <w:color w:val="auto"/>
    </w:rPr>
  </w:style>
  <w:style w:type="character" w:styleId="Strong">
    <w:name w:val="Strong"/>
    <w:basedOn w:val="DefaultParagraphFont"/>
    <w:uiPriority w:val="22"/>
    <w:qFormat/>
    <w:rsid w:val="00377062"/>
    <w:rPr>
      <w:rFonts w:ascii="Times New Roman" w:hAnsi="Times New Roman"/>
      <w:b/>
      <w:bCs/>
      <w:color w:val="auto"/>
      <w:sz w:val="24"/>
    </w:rPr>
  </w:style>
  <w:style w:type="paragraph" w:styleId="Quote">
    <w:name w:val="Quote"/>
    <w:basedOn w:val="Normal"/>
    <w:next w:val="Normal"/>
    <w:link w:val="QuoteChar"/>
    <w:uiPriority w:val="29"/>
    <w:qFormat/>
    <w:rsid w:val="00377062"/>
    <w:rPr>
      <w:i/>
      <w:iCs/>
      <w:color w:val="000000" w:themeColor="text1"/>
    </w:rPr>
  </w:style>
  <w:style w:type="character" w:customStyle="1" w:styleId="QuoteChar">
    <w:name w:val="Quote Char"/>
    <w:basedOn w:val="DefaultParagraphFont"/>
    <w:link w:val="Quote"/>
    <w:uiPriority w:val="29"/>
    <w:rsid w:val="00377062"/>
    <w:rPr>
      <w:rFonts w:ascii="Times New Roman" w:hAnsi="Times New Roman"/>
      <w:i/>
      <w:iCs/>
      <w:color w:val="000000" w:themeColor="text1"/>
      <w:sz w:val="24"/>
    </w:rPr>
  </w:style>
  <w:style w:type="paragraph" w:styleId="IntenseQuote">
    <w:name w:val="Intense Quote"/>
    <w:basedOn w:val="Normal"/>
    <w:next w:val="Normal"/>
    <w:link w:val="IntenseQuoteChar"/>
    <w:uiPriority w:val="30"/>
    <w:qFormat/>
    <w:rsid w:val="00377062"/>
    <w:pPr>
      <w:spacing w:before="200" w:after="280"/>
      <w:ind w:left="936" w:right="936"/>
    </w:pPr>
    <w:rPr>
      <w:b/>
      <w:bCs/>
      <w:i/>
      <w:iCs/>
    </w:rPr>
  </w:style>
  <w:style w:type="character" w:customStyle="1" w:styleId="IntenseQuoteChar">
    <w:name w:val="Intense Quote Char"/>
    <w:basedOn w:val="DefaultParagraphFont"/>
    <w:link w:val="IntenseQuote"/>
    <w:uiPriority w:val="30"/>
    <w:rsid w:val="00377062"/>
    <w:rPr>
      <w:rFonts w:ascii="Times New Roman" w:hAnsi="Times New Roman"/>
      <w:b/>
      <w:bCs/>
      <w:i/>
      <w:iCs/>
      <w:sz w:val="24"/>
    </w:rPr>
  </w:style>
  <w:style w:type="character" w:styleId="SubtleReference">
    <w:name w:val="Subtle Reference"/>
    <w:basedOn w:val="DefaultParagraphFont"/>
    <w:uiPriority w:val="31"/>
    <w:qFormat/>
    <w:rsid w:val="00377062"/>
    <w:rPr>
      <w:rFonts w:ascii="Times New Roman" w:hAnsi="Times New Roman"/>
      <w:smallCaps/>
      <w:color w:val="auto"/>
      <w:u w:val="single"/>
      <w:bdr w:val="none" w:sz="0" w:space="0" w:color="auto"/>
    </w:rPr>
  </w:style>
  <w:style w:type="character" w:styleId="IntenseReference">
    <w:name w:val="Intense Reference"/>
    <w:basedOn w:val="DefaultParagraphFont"/>
    <w:uiPriority w:val="32"/>
    <w:qFormat/>
    <w:rsid w:val="00377062"/>
    <w:rPr>
      <w:b/>
      <w:bCs/>
      <w:smallCaps/>
      <w:color w:val="auto"/>
      <w:spacing w:val="5"/>
      <w:u w:val="single"/>
      <w:bdr w:val="none" w:sz="0" w:space="0" w:color="auto"/>
    </w:rPr>
  </w:style>
  <w:style w:type="character" w:styleId="BookTitle">
    <w:name w:val="Book Title"/>
    <w:basedOn w:val="DefaultParagraphFont"/>
    <w:uiPriority w:val="33"/>
    <w:qFormat/>
    <w:rsid w:val="00377062"/>
    <w:rPr>
      <w:rFonts w:ascii="Times New Roman" w:hAnsi="Times New Roman"/>
      <w:b/>
      <w:bCs/>
      <w:smallCaps/>
      <w:spacing w:val="5"/>
    </w:rPr>
  </w:style>
  <w:style w:type="character" w:customStyle="1" w:styleId="Heading3Char">
    <w:name w:val="Heading 3 Char"/>
    <w:basedOn w:val="DefaultParagraphFont"/>
    <w:link w:val="Heading3"/>
    <w:uiPriority w:val="9"/>
    <w:rsid w:val="00A261E4"/>
    <w:rPr>
      <w:rFonts w:ascii="Times New Roman" w:eastAsiaTheme="majorEastAsia" w:hAnsi="Times New Roman" w:cstheme="majorBidi"/>
      <w:b/>
      <w:bCs/>
      <w:sz w:val="24"/>
    </w:rPr>
  </w:style>
  <w:style w:type="character" w:customStyle="1" w:styleId="Heading4Char">
    <w:name w:val="Heading 4 Char"/>
    <w:basedOn w:val="DefaultParagraphFont"/>
    <w:link w:val="Heading4"/>
    <w:uiPriority w:val="9"/>
    <w:semiHidden/>
    <w:rsid w:val="00A261E4"/>
    <w:rPr>
      <w:rFonts w:ascii="Times New Roman" w:eastAsiaTheme="majorEastAsia" w:hAnsi="Times New Roman" w:cstheme="majorBidi"/>
      <w:b/>
      <w:bCs/>
      <w:i/>
      <w:iCs/>
      <w:sz w:val="24"/>
    </w:rPr>
  </w:style>
  <w:style w:type="character" w:customStyle="1" w:styleId="st">
    <w:name w:val="st"/>
    <w:basedOn w:val="DefaultParagraphFont"/>
    <w:rsid w:val="00FB49A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tiff"/><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tiff"/><Relationship Id="rId5" Type="http://schemas.openxmlformats.org/officeDocument/2006/relationships/image" Target="media/image2.tiff"/><Relationship Id="rId4" Type="http://schemas.openxmlformats.org/officeDocument/2006/relationships/image" Target="media/image1.tiff"/><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5</Pages>
  <Words>551</Words>
  <Characters>3141</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University of Oxford</Company>
  <LinksUpToDate>false</LinksUpToDate>
  <CharactersWithSpaces>3685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Eleanor</dc:creator>
  <cp:lastModifiedBy>Kumar M.</cp:lastModifiedBy>
  <cp:revision>3</cp:revision>
  <dcterms:created xsi:type="dcterms:W3CDTF">2015-09-16T01:34:00Z</dcterms:created>
  <dcterms:modified xsi:type="dcterms:W3CDTF">2016-02-02T13:45:00Z</dcterms:modified>
</cp:coreProperties>
</file>