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63890E" w14:textId="3A27565D" w:rsidR="00E35AA0" w:rsidRDefault="00E35AA0" w:rsidP="00E35AA0">
      <w:pPr>
        <w:pStyle w:val="Heading1"/>
        <w:rPr>
          <w:lang w:val="en-US" w:eastAsia="zh-TW"/>
        </w:rPr>
      </w:pPr>
      <w:r>
        <w:rPr>
          <w:lang w:val="en-US" w:eastAsia="zh-TW"/>
        </w:rPr>
        <w:t xml:space="preserve">Supplementary File </w:t>
      </w:r>
      <w:r w:rsidR="00855F2D">
        <w:rPr>
          <w:lang w:val="en-US" w:eastAsia="zh-TW"/>
        </w:rPr>
        <w:t>F</w:t>
      </w:r>
    </w:p>
    <w:p w14:paraId="7BB56095" w14:textId="77777777" w:rsidR="00E35AA0" w:rsidRDefault="00E35AA0" w:rsidP="00E35AA0">
      <w:pPr>
        <w:rPr>
          <w:lang w:eastAsia="zh-TW"/>
        </w:rPr>
      </w:pPr>
    </w:p>
    <w:p w14:paraId="5BB894C4" w14:textId="0A181181" w:rsidR="00E35AA0" w:rsidRPr="00855F2D" w:rsidRDefault="005425C2" w:rsidP="00E35AA0">
      <w:pPr>
        <w:rPr>
          <w:rFonts w:ascii="Times New Roman" w:hAnsi="Times New Roman" w:cs="Times New Roman"/>
          <w:b/>
          <w:bCs/>
          <w:sz w:val="24"/>
          <w:szCs w:val="24"/>
          <w:lang w:eastAsia="zh-TW"/>
        </w:rPr>
      </w:pPr>
      <w:r>
        <w:rPr>
          <w:rFonts w:ascii="Times New Roman" w:hAnsi="Times New Roman" w:cs="Times New Roman"/>
          <w:b/>
          <w:bCs/>
          <w:sz w:val="24"/>
          <w:szCs w:val="24"/>
          <w:lang w:eastAsia="zh-TW"/>
        </w:rPr>
        <w:t>F</w:t>
      </w:r>
      <w:r w:rsidR="00E35AA0" w:rsidRPr="00855F2D">
        <w:rPr>
          <w:rFonts w:ascii="Times New Roman" w:hAnsi="Times New Roman" w:cs="Times New Roman"/>
          <w:b/>
          <w:bCs/>
          <w:sz w:val="24"/>
          <w:szCs w:val="24"/>
          <w:lang w:eastAsia="zh-TW"/>
        </w:rPr>
        <w:t>.1. Correlation between Final SIPs Rank and Stakeholder Rank</w:t>
      </w:r>
    </w:p>
    <w:p w14:paraId="3BE47007" w14:textId="1FBCF183" w:rsidR="00E35AA0" w:rsidRPr="007F2556" w:rsidRDefault="00E35AA0" w:rsidP="00E35AA0">
      <w:pPr>
        <w:jc w:val="both"/>
        <w:rPr>
          <w:rFonts w:ascii="Times New Roman" w:eastAsia="PMingLiU" w:hAnsi="Times New Roman" w:cs="Times New Roman"/>
          <w:kern w:val="0"/>
          <w:lang w:val="en-GB"/>
          <w14:ligatures w14:val="none"/>
        </w:rPr>
      </w:pPr>
      <w:r w:rsidRPr="007F2556">
        <w:rPr>
          <w:rFonts w:ascii="Times New Roman" w:eastAsia="PMingLiU" w:hAnsi="Times New Roman" w:cs="Times New Roman"/>
          <w:kern w:val="0"/>
          <w:lang w:val="en-GB"/>
          <w14:ligatures w14:val="none"/>
        </w:rPr>
        <w:t xml:space="preserve">Comparing the derived SIPs (Final SIPs Rank) and policies perceived important by stakeholders (Stakeholder Rank) in the two cities, moderate alignment can be observed. This shows SIPs are generally intuitive, at least among experts from various fields. Overall, the stakeholder ranking correlates better with SIPs in Beijing than in Hong Kong. Two of the top SIPs in Beijing (import RE, tighten building EE standards) have the exact same rank among the stakeholders. It is worth noting that most of the important measures from stakeholders’ perspectives are aligned with SIPs at the national or global level instead of the city level. For example, high deployment of EVs at the global level has potential of driving cost down from learning and experiment, which leads to increased RE generation, encouraging more EVs to be used. However, the scale of EV deployment in individual cities like Beijing and Hong Kong may not result in economies of scale to trigger a direct price reduction of EVs. Despite so, city electrification remains an effective means to leverage modelled global cost declines from RE and green hydrogen storage on the grid </w:t>
      </w:r>
      <w:r w:rsidRPr="007F2556">
        <w:rPr>
          <w:rFonts w:ascii="Times New Roman" w:eastAsia="PMingLiU" w:hAnsi="Times New Roman" w:cs="Times New Roman"/>
          <w:kern w:val="0"/>
          <w:lang w:val="en-GB"/>
          <w14:ligatures w14:val="none"/>
        </w:rPr>
        <w:fldChar w:fldCharType="begin" w:fldLock="1"/>
      </w:r>
      <w:r w:rsidRPr="007F2556">
        <w:rPr>
          <w:rFonts w:ascii="Times New Roman" w:eastAsia="PMingLiU" w:hAnsi="Times New Roman" w:cs="Times New Roman"/>
          <w:kern w:val="0"/>
          <w:lang w:val="en-GB"/>
          <w14:ligatures w14:val="none"/>
        </w:rPr>
        <w:instrText>ADDIN CSL_CITATION {"citationItems":[{"id":"ITEM-1","itemData":{"abstract":"An analysis of historical cost trends of energy technologies shows that the decades- long increase in the deployment of renewable energy technologies has consistently coincided with steep declines in their costs. For example, the cost of solar photovoltaics has declined by three orders of magnitude over the last 50 years. Similar trends are to be found with wind, energy storage, and electrolysers (hydrogen-based energy). Such declines are set to continue and will take several of these renewable technologies well below the cost base for current fossil fuel power generation. Most major climate mitigation models produced for the IPCC and the International Energy Agency have continually underestimated such trends despite these trends being quite consistent and predictable. By incorporating such trends into a simple, transparent energy system model we produce new climate mitigation scenarios that provide a contrasting perspective to those of the standard models. These new scenarios provide an opportunity to reassess the common narrative that a Paris-compliant emissions pathway will be expensive, will require reduced energy reliability or economic growth, and will need to rely on technologies that are currently expensive or unproven as scale. This research provides encouraging evidence for governments that are looking for greater ambition on decarbonising their economies while providing economic growth opportunities and affordable energy.","author":[{"dropping-particle":"","family":"Ives","given":"Matthew","non-dropping-particle":"","parse-names":false,"suffix":""},{"dropping-particle":"","family":"Righetti","given":"Luca","non-dropping-particle":"","parse-names":false,"suffix":""},{"dropping-particle":"","family":"Schiele","given":"Johanna","non-dropping-particle":"","parse-names":false,"suffix":""},{"dropping-particle":"De","family":"Meyer","given":"Kris","non-dropping-particle":"","parse-names":false,"suffix":""},{"dropping-particle":"","family":"Hubble-Rose","given":"Lucy","non-dropping-particle":"","parse-names":false,"suffix":""},{"dropping-particle":"","family":"Teng","given":"Fei","non-dropping-particle":"","parse-names":false,"suffix":""},{"dropping-particle":"","family":"Kruitwagen","given":"Lucas","non-dropping-particle":"","parse-names":false,"suffix":""},{"dropping-particle":"","family":"Tillmann-Morris","given":"Leah","non-dropping-particle":"","parse-names":false,"suffix":""},{"dropping-particle":"","family":"Wang","given":"Tianpeng","non-dropping-particle":"","parse-names":false,"suffix":""},{"dropping-particle":"","family":"Way","given":"Rupert","non-dropping-particle":"","parse-names":false,"suffix":""},{"dropping-particle":"","family":"Hepburn","given":"Cameron","non-dropping-particle":"","parse-names":false,"suffix":""}],"id":"ITEM-1","issued":{"date-parts":[["2021"]]},"number-of-pages":"126","publisher-place":"Oxford","title":"A new perspective on decarbonising the global energy system","type":"report"},"uris":["http://www.mendeley.com/documents/?uuid=309a57cb-db7b-44f3-a901-4f7edd27e164"]}],"mendeley":{"formattedCitation":"(Ives et al., 2021)","plainTextFormattedCitation":"(Ives et al., 2021)","previouslyFormattedCitation":"(Ives et al., 2021)"},"properties":{"noteIndex":0},"schema":"https://github.com/citation-style-language/schema/raw/master/csl-citation.json"}</w:instrText>
      </w:r>
      <w:r w:rsidRPr="007F2556">
        <w:rPr>
          <w:rFonts w:ascii="Times New Roman" w:eastAsia="PMingLiU" w:hAnsi="Times New Roman" w:cs="Times New Roman"/>
          <w:kern w:val="0"/>
          <w:lang w:val="en-GB"/>
          <w14:ligatures w14:val="none"/>
        </w:rPr>
        <w:fldChar w:fldCharType="separate"/>
      </w:r>
      <w:r w:rsidRPr="007F2556">
        <w:rPr>
          <w:rFonts w:ascii="Times New Roman" w:eastAsia="PMingLiU" w:hAnsi="Times New Roman" w:cs="Times New Roman"/>
          <w:noProof/>
          <w:kern w:val="0"/>
          <w:lang w:val="en-GB"/>
          <w14:ligatures w14:val="none"/>
        </w:rPr>
        <w:t>(Ives et al., 2021)</w:t>
      </w:r>
      <w:r w:rsidRPr="007F2556">
        <w:rPr>
          <w:rFonts w:ascii="Times New Roman" w:eastAsia="PMingLiU" w:hAnsi="Times New Roman" w:cs="Times New Roman"/>
          <w:kern w:val="0"/>
          <w:lang w:val="en-GB"/>
          <w14:ligatures w14:val="none"/>
        </w:rPr>
        <w:fldChar w:fldCharType="end"/>
      </w:r>
      <w:r w:rsidRPr="007F2556">
        <w:rPr>
          <w:rFonts w:ascii="Times New Roman" w:eastAsia="PMingLiU" w:hAnsi="Times New Roman" w:cs="Times New Roman"/>
          <w:kern w:val="0"/>
          <w:lang w:val="en-GB"/>
          <w14:ligatures w14:val="none"/>
        </w:rPr>
        <w:t xml:space="preserve">. This points to interventions such as electrification of public transportation and warming electrification for Beijing. </w:t>
      </w:r>
    </w:p>
    <w:p w14:paraId="45AA88E5" w14:textId="77777777" w:rsidR="00E35AA0" w:rsidRPr="007F2556" w:rsidRDefault="00E35AA0" w:rsidP="00E35AA0">
      <w:pPr>
        <w:spacing w:after="0" w:line="240" w:lineRule="auto"/>
        <w:jc w:val="both"/>
        <w:rPr>
          <w:rFonts w:ascii="Times New Roman" w:eastAsia="PMingLiU" w:hAnsi="Times New Roman" w:cs="Times New Roman"/>
          <w:kern w:val="0"/>
          <w:lang w:val="en-GB"/>
          <w14:ligatures w14:val="none"/>
        </w:rPr>
      </w:pPr>
    </w:p>
    <w:p w14:paraId="3A52968D" w14:textId="77777777" w:rsidR="00E35AA0" w:rsidRPr="007F2556" w:rsidRDefault="00E35AA0" w:rsidP="00E35AA0">
      <w:pPr>
        <w:spacing w:after="0" w:line="240" w:lineRule="auto"/>
        <w:jc w:val="both"/>
        <w:rPr>
          <w:rFonts w:ascii="Times New Roman" w:eastAsia="PMingLiU" w:hAnsi="Times New Roman" w:cs="Times New Roman"/>
          <w:kern w:val="0"/>
          <w:lang w:val="en-GB"/>
          <w14:ligatures w14:val="none"/>
        </w:rPr>
      </w:pPr>
      <w:r w:rsidRPr="007F2556">
        <w:rPr>
          <w:rFonts w:ascii="Times New Roman" w:eastAsia="PMingLiU" w:hAnsi="Times New Roman" w:cs="Times New Roman"/>
          <w:kern w:val="0"/>
          <w:lang w:val="en-GB"/>
          <w14:ligatures w14:val="none"/>
        </w:rPr>
        <w:t>Some significant misalignments indicate experts may not always deduce the most effective climate policies based on their knowledge and experience. For Beijing, prohibiting energy-intensive industries is the 2</w:t>
      </w:r>
      <w:r w:rsidRPr="007F2556">
        <w:rPr>
          <w:rFonts w:ascii="Times New Roman" w:eastAsia="PMingLiU" w:hAnsi="Times New Roman" w:cs="Times New Roman"/>
          <w:kern w:val="0"/>
          <w:vertAlign w:val="superscript"/>
          <w:lang w:val="en-GB"/>
          <w14:ligatures w14:val="none"/>
        </w:rPr>
        <w:t>nd</w:t>
      </w:r>
      <w:r w:rsidRPr="007F2556">
        <w:rPr>
          <w:rFonts w:ascii="Times New Roman" w:eastAsia="PMingLiU" w:hAnsi="Times New Roman" w:cs="Times New Roman"/>
          <w:kern w:val="0"/>
          <w:lang w:val="en-GB"/>
          <w14:ligatures w14:val="none"/>
        </w:rPr>
        <w:t xml:space="preserve"> ranked SIP but almost the least important policy from stakeholders’ perspectives. This may be explained by the social welfare and emissions leakage risks involved. In Hong Kong, promoting EVs was not perceived as important by stakeholders. Respondents argued that transport electrification does not contribute much to decarbonisation until energy sources become cleaner. They may have missed out the dynamic of promoting EV to motivate and stimulate RE development through feedback mechanisms. </w:t>
      </w:r>
    </w:p>
    <w:p w14:paraId="0D668581" w14:textId="77777777" w:rsidR="00E35AA0" w:rsidRPr="007F2556" w:rsidRDefault="00E35AA0" w:rsidP="00E35AA0">
      <w:pPr>
        <w:spacing w:after="0" w:line="240" w:lineRule="auto"/>
        <w:rPr>
          <w:rFonts w:ascii="Times New Roman" w:eastAsia="PMingLiU" w:hAnsi="Times New Roman" w:cs="Times New Roman"/>
          <w:b/>
          <w:bCs/>
          <w:kern w:val="0"/>
          <w:lang w:val="en-GB"/>
          <w14:ligatures w14:val="none"/>
        </w:rPr>
      </w:pPr>
    </w:p>
    <w:p w14:paraId="311C5704" w14:textId="4E5BE251" w:rsidR="00E35AA0" w:rsidRPr="007F2556" w:rsidRDefault="00E35AA0" w:rsidP="00E35AA0">
      <w:pPr>
        <w:spacing w:after="200" w:line="240" w:lineRule="auto"/>
        <w:rPr>
          <w:rFonts w:ascii="Times New Roman" w:eastAsia="PMingLiU" w:hAnsi="Times New Roman" w:cs="Helvetica"/>
          <w:kern w:val="0"/>
          <w:lang w:val="en-GB"/>
          <w14:ligatures w14:val="none"/>
        </w:rPr>
      </w:pPr>
      <w:bookmarkStart w:id="0" w:name="_Toc82624612"/>
      <w:r w:rsidRPr="007F2556">
        <w:rPr>
          <w:rFonts w:ascii="Times New Roman" w:eastAsia="PMingLiU" w:hAnsi="Times New Roman" w:cs="Helvetica"/>
          <w:kern w:val="0"/>
          <w:lang w:val="en-GB"/>
          <w14:ligatures w14:val="none"/>
        </w:rPr>
        <w:t>Table</w:t>
      </w:r>
      <w:r w:rsidR="00855F2D" w:rsidRPr="007F2556">
        <w:rPr>
          <w:rFonts w:ascii="Times New Roman" w:eastAsia="PMingLiU" w:hAnsi="Times New Roman" w:cs="Helvetica"/>
          <w:kern w:val="0"/>
          <w:lang w:val="en-GB"/>
          <w14:ligatures w14:val="none"/>
        </w:rPr>
        <w:t xml:space="preserve"> S</w:t>
      </w:r>
      <w:r w:rsidR="000B748E">
        <w:rPr>
          <w:rFonts w:ascii="Times New Roman" w:eastAsia="PMingLiU" w:hAnsi="Times New Roman" w:cs="Helvetica"/>
          <w:kern w:val="0"/>
          <w:lang w:val="en-GB"/>
          <w14:ligatures w14:val="none"/>
        </w:rPr>
        <w:t>4</w:t>
      </w:r>
      <w:r w:rsidRPr="007F2556">
        <w:rPr>
          <w:rFonts w:ascii="Times New Roman" w:eastAsia="PMingLiU" w:hAnsi="Times New Roman" w:cs="Helvetica"/>
          <w:kern w:val="0"/>
          <w:lang w:val="en-GB"/>
          <w14:ligatures w14:val="none"/>
        </w:rPr>
        <w:t>. Correlation between Final SIPs Rank and Stakeholder Rank for the top 5 SIPs</w:t>
      </w:r>
      <w:bookmarkEnd w:id="0"/>
    </w:p>
    <w:tbl>
      <w:tblPr>
        <w:tblStyle w:val="TableGrid"/>
        <w:tblW w:w="0" w:type="auto"/>
        <w:tblLayout w:type="fixed"/>
        <w:tblLook w:val="04A0" w:firstRow="1" w:lastRow="0" w:firstColumn="1" w:lastColumn="0" w:noHBand="0" w:noVBand="1"/>
      </w:tblPr>
      <w:tblGrid>
        <w:gridCol w:w="846"/>
        <w:gridCol w:w="992"/>
        <w:gridCol w:w="2654"/>
        <w:gridCol w:w="826"/>
        <w:gridCol w:w="914"/>
        <w:gridCol w:w="2778"/>
      </w:tblGrid>
      <w:tr w:rsidR="00E35AA0" w:rsidRPr="007F2556" w14:paraId="41FE3C04" w14:textId="77777777" w:rsidTr="00B8229B">
        <w:tc>
          <w:tcPr>
            <w:tcW w:w="4492" w:type="dxa"/>
            <w:gridSpan w:val="3"/>
          </w:tcPr>
          <w:p w14:paraId="2743144A" w14:textId="77777777" w:rsidR="00E35AA0" w:rsidRPr="007F2556" w:rsidRDefault="00E35AA0" w:rsidP="00E35AA0">
            <w:pPr>
              <w:jc w:val="center"/>
              <w:rPr>
                <w:rFonts w:cs="Times New Roman"/>
                <w:b/>
                <w:bCs/>
                <w:sz w:val="22"/>
                <w:szCs w:val="22"/>
                <w:lang w:val="en-GB"/>
              </w:rPr>
            </w:pPr>
            <w:r w:rsidRPr="007F2556">
              <w:rPr>
                <w:rFonts w:cs="Times New Roman"/>
                <w:b/>
                <w:bCs/>
                <w:sz w:val="22"/>
                <w:szCs w:val="22"/>
                <w:lang w:val="en-GB"/>
              </w:rPr>
              <w:t>Beijing</w:t>
            </w:r>
          </w:p>
        </w:tc>
        <w:tc>
          <w:tcPr>
            <w:tcW w:w="4518" w:type="dxa"/>
            <w:gridSpan w:val="3"/>
          </w:tcPr>
          <w:p w14:paraId="536E1A92" w14:textId="77777777" w:rsidR="00E35AA0" w:rsidRPr="007F2556" w:rsidRDefault="00E35AA0" w:rsidP="00E35AA0">
            <w:pPr>
              <w:jc w:val="center"/>
              <w:rPr>
                <w:rFonts w:cs="Times New Roman"/>
                <w:b/>
                <w:bCs/>
                <w:sz w:val="22"/>
                <w:szCs w:val="22"/>
                <w:lang w:val="en-GB"/>
              </w:rPr>
            </w:pPr>
            <w:r w:rsidRPr="007F2556">
              <w:rPr>
                <w:rFonts w:cs="Times New Roman"/>
                <w:b/>
                <w:bCs/>
                <w:sz w:val="22"/>
                <w:szCs w:val="22"/>
                <w:lang w:val="en-GB"/>
              </w:rPr>
              <w:t>Hong Kong</w:t>
            </w:r>
          </w:p>
        </w:tc>
      </w:tr>
      <w:tr w:rsidR="00E35AA0" w:rsidRPr="007F2556" w14:paraId="6781BD54" w14:textId="77777777" w:rsidTr="00B8229B">
        <w:tc>
          <w:tcPr>
            <w:tcW w:w="846" w:type="dxa"/>
          </w:tcPr>
          <w:p w14:paraId="51512B49" w14:textId="77777777" w:rsidR="00E35AA0" w:rsidRPr="007F2556" w:rsidRDefault="00E35AA0" w:rsidP="00E35AA0">
            <w:pPr>
              <w:jc w:val="center"/>
              <w:rPr>
                <w:rFonts w:cs="Times New Roman"/>
                <w:b/>
                <w:bCs/>
                <w:sz w:val="22"/>
                <w:szCs w:val="22"/>
                <w:lang w:val="en-GB"/>
              </w:rPr>
            </w:pPr>
            <w:r w:rsidRPr="007F2556">
              <w:rPr>
                <w:rFonts w:cs="Times New Roman"/>
                <w:b/>
                <w:bCs/>
                <w:sz w:val="22"/>
                <w:szCs w:val="22"/>
                <w:lang w:val="en-GB"/>
              </w:rPr>
              <w:t>Final SIPs Rank</w:t>
            </w:r>
          </w:p>
        </w:tc>
        <w:tc>
          <w:tcPr>
            <w:tcW w:w="992" w:type="dxa"/>
          </w:tcPr>
          <w:p w14:paraId="31F67473" w14:textId="77777777" w:rsidR="00E35AA0" w:rsidRPr="007F2556" w:rsidRDefault="00E35AA0" w:rsidP="00E35AA0">
            <w:pPr>
              <w:jc w:val="center"/>
              <w:rPr>
                <w:rFonts w:cs="Times New Roman"/>
                <w:b/>
                <w:bCs/>
                <w:sz w:val="22"/>
                <w:szCs w:val="22"/>
                <w:lang w:val="en-GB"/>
              </w:rPr>
            </w:pPr>
            <w:r w:rsidRPr="007F2556">
              <w:rPr>
                <w:rFonts w:cs="Times New Roman"/>
                <w:b/>
                <w:bCs/>
                <w:sz w:val="22"/>
                <w:szCs w:val="22"/>
                <w:lang w:val="en-GB"/>
              </w:rPr>
              <w:t>Stake-holder Rank</w:t>
            </w:r>
          </w:p>
        </w:tc>
        <w:tc>
          <w:tcPr>
            <w:tcW w:w="2654" w:type="dxa"/>
          </w:tcPr>
          <w:p w14:paraId="56DE2CF4" w14:textId="77777777" w:rsidR="00E35AA0" w:rsidRPr="007F2556" w:rsidRDefault="00E35AA0" w:rsidP="00E35AA0">
            <w:pPr>
              <w:jc w:val="center"/>
              <w:rPr>
                <w:rFonts w:cs="Times New Roman"/>
                <w:b/>
                <w:bCs/>
                <w:sz w:val="22"/>
                <w:szCs w:val="22"/>
                <w:lang w:val="en-GB"/>
              </w:rPr>
            </w:pPr>
            <w:r w:rsidRPr="007F2556">
              <w:rPr>
                <w:rFonts w:cs="Times New Roman"/>
                <w:b/>
                <w:bCs/>
                <w:sz w:val="22"/>
                <w:szCs w:val="22"/>
                <w:lang w:val="en-GB"/>
              </w:rPr>
              <w:t>SIP</w:t>
            </w:r>
          </w:p>
        </w:tc>
        <w:tc>
          <w:tcPr>
            <w:tcW w:w="826" w:type="dxa"/>
          </w:tcPr>
          <w:p w14:paraId="246F69EE" w14:textId="77777777" w:rsidR="00E35AA0" w:rsidRPr="007F2556" w:rsidRDefault="00E35AA0" w:rsidP="00E35AA0">
            <w:pPr>
              <w:jc w:val="center"/>
              <w:rPr>
                <w:rFonts w:cs="Times New Roman"/>
                <w:b/>
                <w:bCs/>
                <w:sz w:val="22"/>
                <w:szCs w:val="22"/>
                <w:lang w:val="en-GB"/>
              </w:rPr>
            </w:pPr>
            <w:r w:rsidRPr="007F2556">
              <w:rPr>
                <w:rFonts w:cs="Times New Roman"/>
                <w:b/>
                <w:bCs/>
                <w:sz w:val="22"/>
                <w:szCs w:val="22"/>
                <w:lang w:val="en-GB"/>
              </w:rPr>
              <w:t>Final SIPs Rank</w:t>
            </w:r>
          </w:p>
        </w:tc>
        <w:tc>
          <w:tcPr>
            <w:tcW w:w="914" w:type="dxa"/>
          </w:tcPr>
          <w:p w14:paraId="613F8868" w14:textId="77777777" w:rsidR="00E35AA0" w:rsidRPr="007F2556" w:rsidRDefault="00E35AA0" w:rsidP="00E35AA0">
            <w:pPr>
              <w:jc w:val="center"/>
              <w:rPr>
                <w:rFonts w:cs="Times New Roman"/>
                <w:b/>
                <w:bCs/>
                <w:sz w:val="22"/>
                <w:szCs w:val="22"/>
                <w:lang w:val="en-GB"/>
              </w:rPr>
            </w:pPr>
            <w:r w:rsidRPr="007F2556">
              <w:rPr>
                <w:rFonts w:cs="Times New Roman"/>
                <w:b/>
                <w:bCs/>
                <w:sz w:val="22"/>
                <w:szCs w:val="22"/>
                <w:lang w:val="en-GB"/>
              </w:rPr>
              <w:t>Stake-holder Rank</w:t>
            </w:r>
          </w:p>
        </w:tc>
        <w:tc>
          <w:tcPr>
            <w:tcW w:w="2778" w:type="dxa"/>
          </w:tcPr>
          <w:p w14:paraId="5D60D96B" w14:textId="77777777" w:rsidR="00E35AA0" w:rsidRPr="007F2556" w:rsidRDefault="00E35AA0" w:rsidP="00E35AA0">
            <w:pPr>
              <w:jc w:val="center"/>
              <w:rPr>
                <w:rFonts w:cs="Times New Roman"/>
                <w:b/>
                <w:bCs/>
                <w:sz w:val="22"/>
                <w:szCs w:val="22"/>
                <w:lang w:val="en-GB"/>
              </w:rPr>
            </w:pPr>
            <w:r w:rsidRPr="007F2556">
              <w:rPr>
                <w:rFonts w:cs="Times New Roman"/>
                <w:b/>
                <w:bCs/>
                <w:sz w:val="22"/>
                <w:szCs w:val="22"/>
                <w:lang w:val="en-GB"/>
              </w:rPr>
              <w:t>SIP</w:t>
            </w:r>
          </w:p>
        </w:tc>
      </w:tr>
      <w:tr w:rsidR="00E35AA0" w:rsidRPr="007F2556" w14:paraId="051E30BA" w14:textId="77777777" w:rsidTr="00E35AA0">
        <w:tc>
          <w:tcPr>
            <w:tcW w:w="846" w:type="dxa"/>
            <w:shd w:val="clear" w:color="auto" w:fill="1F4E79"/>
          </w:tcPr>
          <w:p w14:paraId="77492916" w14:textId="77777777" w:rsidR="00E35AA0" w:rsidRPr="007F2556" w:rsidRDefault="00E35AA0" w:rsidP="00E35AA0">
            <w:pPr>
              <w:jc w:val="center"/>
              <w:rPr>
                <w:rFonts w:cs="Times New Roman"/>
                <w:sz w:val="22"/>
                <w:szCs w:val="22"/>
                <w:lang w:val="en-GB"/>
              </w:rPr>
            </w:pPr>
            <w:r w:rsidRPr="007F2556">
              <w:rPr>
                <w:rFonts w:cs="Times New Roman"/>
                <w:sz w:val="22"/>
                <w:szCs w:val="22"/>
                <w:lang w:val="en-GB"/>
              </w:rPr>
              <w:t>1</w:t>
            </w:r>
          </w:p>
        </w:tc>
        <w:tc>
          <w:tcPr>
            <w:tcW w:w="992" w:type="dxa"/>
            <w:shd w:val="clear" w:color="auto" w:fill="1F4E79"/>
          </w:tcPr>
          <w:p w14:paraId="4CBA2E92" w14:textId="77777777" w:rsidR="00E35AA0" w:rsidRPr="007F2556" w:rsidRDefault="00E35AA0" w:rsidP="00E35AA0">
            <w:pPr>
              <w:jc w:val="center"/>
              <w:rPr>
                <w:rFonts w:cs="Times New Roman"/>
                <w:sz w:val="22"/>
                <w:szCs w:val="22"/>
                <w:lang w:val="en-GB"/>
              </w:rPr>
            </w:pPr>
            <w:r w:rsidRPr="007F2556">
              <w:rPr>
                <w:rFonts w:cs="Times New Roman"/>
                <w:sz w:val="22"/>
                <w:szCs w:val="22"/>
                <w:lang w:val="en-GB"/>
              </w:rPr>
              <w:t>1</w:t>
            </w:r>
          </w:p>
        </w:tc>
        <w:tc>
          <w:tcPr>
            <w:tcW w:w="2654" w:type="dxa"/>
          </w:tcPr>
          <w:p w14:paraId="1D99815D" w14:textId="77777777" w:rsidR="00E35AA0" w:rsidRPr="007F2556" w:rsidRDefault="00E35AA0" w:rsidP="00E35AA0">
            <w:pPr>
              <w:numPr>
                <w:ilvl w:val="0"/>
                <w:numId w:val="1"/>
              </w:numPr>
              <w:contextualSpacing/>
              <w:rPr>
                <w:rFonts w:cs="Times New Roman"/>
                <w:sz w:val="22"/>
                <w:szCs w:val="22"/>
                <w:lang w:val="en-GB"/>
              </w:rPr>
            </w:pPr>
            <w:r w:rsidRPr="007F2556">
              <w:rPr>
                <w:rFonts w:cs="Times New Roman"/>
                <w:sz w:val="22"/>
                <w:szCs w:val="22"/>
                <w:lang w:val="en-GB"/>
              </w:rPr>
              <w:t xml:space="preserve">Import renewable energy (electricity generation) </w:t>
            </w:r>
          </w:p>
          <w:p w14:paraId="25049CF6" w14:textId="77777777" w:rsidR="00E35AA0" w:rsidRPr="007F2556" w:rsidRDefault="00E35AA0" w:rsidP="00E35AA0">
            <w:pPr>
              <w:rPr>
                <w:rFonts w:cs="Times New Roman"/>
                <w:sz w:val="22"/>
                <w:szCs w:val="22"/>
                <w:lang w:val="en-GB"/>
              </w:rPr>
            </w:pPr>
          </w:p>
        </w:tc>
        <w:tc>
          <w:tcPr>
            <w:tcW w:w="826" w:type="dxa"/>
            <w:shd w:val="clear" w:color="auto" w:fill="1F4E79"/>
          </w:tcPr>
          <w:p w14:paraId="3D064A7B" w14:textId="77777777" w:rsidR="00E35AA0" w:rsidRPr="007F2556" w:rsidRDefault="00E35AA0" w:rsidP="00E35AA0">
            <w:pPr>
              <w:jc w:val="center"/>
              <w:rPr>
                <w:rFonts w:cs="Times New Roman"/>
                <w:sz w:val="22"/>
                <w:szCs w:val="22"/>
                <w:lang w:val="en-GB"/>
              </w:rPr>
            </w:pPr>
            <w:r w:rsidRPr="007F2556">
              <w:rPr>
                <w:rFonts w:cs="Times New Roman"/>
                <w:sz w:val="22"/>
                <w:szCs w:val="22"/>
                <w:lang w:val="en-GB"/>
              </w:rPr>
              <w:t>1</w:t>
            </w:r>
          </w:p>
        </w:tc>
        <w:tc>
          <w:tcPr>
            <w:tcW w:w="914" w:type="dxa"/>
            <w:shd w:val="clear" w:color="auto" w:fill="1970B8"/>
          </w:tcPr>
          <w:p w14:paraId="3564249B" w14:textId="77777777" w:rsidR="00E35AA0" w:rsidRPr="007F2556" w:rsidRDefault="00E35AA0" w:rsidP="00E35AA0">
            <w:pPr>
              <w:jc w:val="center"/>
              <w:rPr>
                <w:rFonts w:cs="Times New Roman"/>
                <w:sz w:val="22"/>
                <w:szCs w:val="22"/>
                <w:lang w:val="en-GB"/>
              </w:rPr>
            </w:pPr>
            <w:r w:rsidRPr="007F2556">
              <w:rPr>
                <w:rFonts w:cs="Times New Roman"/>
                <w:sz w:val="22"/>
                <w:szCs w:val="22"/>
                <w:lang w:val="en-GB"/>
              </w:rPr>
              <w:t>2</w:t>
            </w:r>
          </w:p>
        </w:tc>
        <w:tc>
          <w:tcPr>
            <w:tcW w:w="2778" w:type="dxa"/>
          </w:tcPr>
          <w:p w14:paraId="5DDD1291" w14:textId="77777777" w:rsidR="00E35AA0" w:rsidRPr="007F2556" w:rsidRDefault="00E35AA0" w:rsidP="00E35AA0">
            <w:pPr>
              <w:numPr>
                <w:ilvl w:val="0"/>
                <w:numId w:val="1"/>
              </w:numPr>
              <w:contextualSpacing/>
              <w:rPr>
                <w:rFonts w:cs="Times New Roman"/>
                <w:sz w:val="22"/>
                <w:szCs w:val="22"/>
                <w:lang w:val="en-GB"/>
              </w:rPr>
            </w:pPr>
            <w:r w:rsidRPr="007F2556">
              <w:rPr>
                <w:rFonts w:cs="Times New Roman"/>
                <w:sz w:val="22"/>
                <w:szCs w:val="22"/>
                <w:lang w:val="en-GB"/>
              </w:rPr>
              <w:t>Import low-carbon energy (electricity generation)</w:t>
            </w:r>
          </w:p>
        </w:tc>
      </w:tr>
      <w:tr w:rsidR="00E35AA0" w:rsidRPr="007F2556" w14:paraId="4E6616B8" w14:textId="77777777" w:rsidTr="00E35AA0">
        <w:tc>
          <w:tcPr>
            <w:tcW w:w="846" w:type="dxa"/>
            <w:shd w:val="clear" w:color="auto" w:fill="2E74B5"/>
          </w:tcPr>
          <w:p w14:paraId="72400032" w14:textId="77777777" w:rsidR="00E35AA0" w:rsidRPr="007F2556" w:rsidRDefault="00E35AA0" w:rsidP="00E35AA0">
            <w:pPr>
              <w:jc w:val="center"/>
              <w:rPr>
                <w:rFonts w:cs="Times New Roman"/>
                <w:sz w:val="22"/>
                <w:szCs w:val="22"/>
                <w:lang w:val="en-GB"/>
              </w:rPr>
            </w:pPr>
            <w:r w:rsidRPr="007F2556">
              <w:rPr>
                <w:rFonts w:cs="Times New Roman"/>
                <w:sz w:val="22"/>
                <w:szCs w:val="22"/>
                <w:lang w:val="en-GB"/>
              </w:rPr>
              <w:t>2</w:t>
            </w:r>
          </w:p>
        </w:tc>
        <w:tc>
          <w:tcPr>
            <w:tcW w:w="992" w:type="dxa"/>
            <w:shd w:val="clear" w:color="auto" w:fill="EBF6F5"/>
          </w:tcPr>
          <w:p w14:paraId="1C5479F3" w14:textId="77777777" w:rsidR="00E35AA0" w:rsidRPr="007F2556" w:rsidRDefault="00E35AA0" w:rsidP="00E35AA0">
            <w:pPr>
              <w:jc w:val="center"/>
              <w:rPr>
                <w:rFonts w:cs="Times New Roman"/>
                <w:sz w:val="22"/>
                <w:szCs w:val="22"/>
                <w:lang w:val="en-GB"/>
              </w:rPr>
            </w:pPr>
            <w:r w:rsidRPr="007F2556">
              <w:rPr>
                <w:rFonts w:cs="Times New Roman"/>
                <w:sz w:val="22"/>
                <w:szCs w:val="22"/>
                <w:lang w:val="en-GB"/>
              </w:rPr>
              <w:t>9</w:t>
            </w:r>
          </w:p>
        </w:tc>
        <w:tc>
          <w:tcPr>
            <w:tcW w:w="2654" w:type="dxa"/>
          </w:tcPr>
          <w:p w14:paraId="6FD71573" w14:textId="77777777" w:rsidR="00E35AA0" w:rsidRPr="007F2556" w:rsidRDefault="00E35AA0" w:rsidP="00E35AA0">
            <w:pPr>
              <w:numPr>
                <w:ilvl w:val="0"/>
                <w:numId w:val="1"/>
              </w:numPr>
              <w:contextualSpacing/>
              <w:rPr>
                <w:rFonts w:cs="Times New Roman"/>
                <w:sz w:val="22"/>
                <w:szCs w:val="22"/>
                <w:lang w:val="en-GB"/>
              </w:rPr>
            </w:pPr>
            <w:r w:rsidRPr="007F2556">
              <w:rPr>
                <w:rFonts w:cs="Times New Roman"/>
                <w:sz w:val="22"/>
                <w:szCs w:val="22"/>
                <w:lang w:val="en-GB"/>
              </w:rPr>
              <w:t>Prohibit energy intensive industries (industry)</w:t>
            </w:r>
          </w:p>
          <w:p w14:paraId="295EC322" w14:textId="77777777" w:rsidR="00E35AA0" w:rsidRPr="007F2556" w:rsidRDefault="00E35AA0" w:rsidP="00E35AA0">
            <w:pPr>
              <w:rPr>
                <w:rFonts w:cs="Times New Roman"/>
                <w:sz w:val="22"/>
                <w:szCs w:val="22"/>
                <w:lang w:val="en-GB"/>
              </w:rPr>
            </w:pPr>
          </w:p>
        </w:tc>
        <w:tc>
          <w:tcPr>
            <w:tcW w:w="826" w:type="dxa"/>
            <w:shd w:val="clear" w:color="auto" w:fill="2E74B5"/>
          </w:tcPr>
          <w:p w14:paraId="3370A7A0" w14:textId="77777777" w:rsidR="00E35AA0" w:rsidRPr="007F2556" w:rsidRDefault="00E35AA0" w:rsidP="00E35AA0">
            <w:pPr>
              <w:jc w:val="center"/>
              <w:rPr>
                <w:rFonts w:cs="Times New Roman"/>
                <w:sz w:val="22"/>
                <w:szCs w:val="22"/>
                <w:lang w:val="en-GB"/>
              </w:rPr>
            </w:pPr>
            <w:r w:rsidRPr="007F2556">
              <w:rPr>
                <w:rFonts w:cs="Times New Roman"/>
                <w:sz w:val="22"/>
                <w:szCs w:val="22"/>
                <w:lang w:val="en-GB"/>
              </w:rPr>
              <w:t>2</w:t>
            </w:r>
          </w:p>
        </w:tc>
        <w:tc>
          <w:tcPr>
            <w:tcW w:w="914" w:type="dxa"/>
            <w:shd w:val="clear" w:color="auto" w:fill="E8F7F5"/>
          </w:tcPr>
          <w:p w14:paraId="03DB686A" w14:textId="77777777" w:rsidR="00E35AA0" w:rsidRPr="007F2556" w:rsidRDefault="00E35AA0" w:rsidP="00E35AA0">
            <w:pPr>
              <w:jc w:val="center"/>
              <w:rPr>
                <w:rFonts w:cs="Times New Roman"/>
                <w:sz w:val="22"/>
                <w:szCs w:val="22"/>
                <w:lang w:val="en-GB"/>
              </w:rPr>
            </w:pPr>
            <w:r w:rsidRPr="007F2556">
              <w:rPr>
                <w:rFonts w:cs="Times New Roman"/>
                <w:sz w:val="22"/>
                <w:szCs w:val="22"/>
                <w:lang w:val="en-GB"/>
              </w:rPr>
              <w:t>7</w:t>
            </w:r>
          </w:p>
        </w:tc>
        <w:tc>
          <w:tcPr>
            <w:tcW w:w="2778" w:type="dxa"/>
          </w:tcPr>
          <w:p w14:paraId="13416255" w14:textId="77777777" w:rsidR="00E35AA0" w:rsidRPr="007F2556" w:rsidRDefault="00E35AA0" w:rsidP="00E35AA0">
            <w:pPr>
              <w:numPr>
                <w:ilvl w:val="0"/>
                <w:numId w:val="1"/>
              </w:numPr>
              <w:contextualSpacing/>
              <w:rPr>
                <w:rFonts w:cs="Times New Roman"/>
                <w:sz w:val="22"/>
                <w:szCs w:val="22"/>
                <w:lang w:val="en-GB"/>
              </w:rPr>
            </w:pPr>
            <w:r w:rsidRPr="007F2556">
              <w:rPr>
                <w:rFonts w:cs="Times New Roman"/>
                <w:sz w:val="22"/>
                <w:szCs w:val="22"/>
                <w:lang w:val="en-GB"/>
              </w:rPr>
              <w:t>Promote electric vehicles (transport)</w:t>
            </w:r>
          </w:p>
        </w:tc>
      </w:tr>
      <w:tr w:rsidR="00E35AA0" w:rsidRPr="007F2556" w14:paraId="671E700D" w14:textId="77777777" w:rsidTr="00E35AA0">
        <w:tc>
          <w:tcPr>
            <w:tcW w:w="846" w:type="dxa"/>
            <w:shd w:val="clear" w:color="auto" w:fill="5B9BD5"/>
          </w:tcPr>
          <w:p w14:paraId="3D826164" w14:textId="77777777" w:rsidR="00E35AA0" w:rsidRPr="007F2556" w:rsidRDefault="00E35AA0" w:rsidP="00E35AA0">
            <w:pPr>
              <w:jc w:val="center"/>
              <w:rPr>
                <w:rFonts w:cs="Times New Roman"/>
                <w:sz w:val="22"/>
                <w:szCs w:val="22"/>
                <w:lang w:val="en-GB"/>
              </w:rPr>
            </w:pPr>
            <w:r w:rsidRPr="007F2556">
              <w:rPr>
                <w:rFonts w:cs="Times New Roman"/>
                <w:sz w:val="22"/>
                <w:szCs w:val="22"/>
                <w:lang w:val="en-GB"/>
              </w:rPr>
              <w:t>3</w:t>
            </w:r>
          </w:p>
        </w:tc>
        <w:tc>
          <w:tcPr>
            <w:tcW w:w="992" w:type="dxa"/>
            <w:shd w:val="clear" w:color="auto" w:fill="5B9BD5"/>
          </w:tcPr>
          <w:p w14:paraId="4DDF1D48" w14:textId="77777777" w:rsidR="00E35AA0" w:rsidRPr="007F2556" w:rsidRDefault="00E35AA0" w:rsidP="00E35AA0">
            <w:pPr>
              <w:jc w:val="center"/>
              <w:rPr>
                <w:rFonts w:cs="Times New Roman"/>
                <w:sz w:val="22"/>
                <w:szCs w:val="22"/>
                <w:lang w:val="en-GB"/>
              </w:rPr>
            </w:pPr>
            <w:r w:rsidRPr="007F2556">
              <w:rPr>
                <w:rFonts w:cs="Times New Roman"/>
                <w:sz w:val="22"/>
                <w:szCs w:val="22"/>
                <w:lang w:val="en-GB"/>
              </w:rPr>
              <w:t>3</w:t>
            </w:r>
          </w:p>
        </w:tc>
        <w:tc>
          <w:tcPr>
            <w:tcW w:w="2654" w:type="dxa"/>
          </w:tcPr>
          <w:p w14:paraId="037338D7" w14:textId="77777777" w:rsidR="00E35AA0" w:rsidRPr="007F2556" w:rsidRDefault="00E35AA0" w:rsidP="00E35AA0">
            <w:pPr>
              <w:numPr>
                <w:ilvl w:val="0"/>
                <w:numId w:val="1"/>
              </w:numPr>
              <w:contextualSpacing/>
              <w:rPr>
                <w:rFonts w:cs="Times New Roman"/>
                <w:sz w:val="22"/>
                <w:szCs w:val="22"/>
                <w:lang w:val="en-GB"/>
              </w:rPr>
            </w:pPr>
            <w:r w:rsidRPr="007F2556">
              <w:rPr>
                <w:rFonts w:cs="Times New Roman"/>
                <w:sz w:val="22"/>
                <w:szCs w:val="22"/>
                <w:lang w:val="en-GB"/>
              </w:rPr>
              <w:t>Tighten building energy efficiency standards (building)</w:t>
            </w:r>
          </w:p>
        </w:tc>
        <w:tc>
          <w:tcPr>
            <w:tcW w:w="826" w:type="dxa"/>
            <w:shd w:val="clear" w:color="auto" w:fill="5B9BD5"/>
          </w:tcPr>
          <w:p w14:paraId="76582FDF" w14:textId="77777777" w:rsidR="00E35AA0" w:rsidRPr="007F2556" w:rsidRDefault="00E35AA0" w:rsidP="00E35AA0">
            <w:pPr>
              <w:jc w:val="center"/>
              <w:rPr>
                <w:rFonts w:cs="Times New Roman"/>
                <w:sz w:val="22"/>
                <w:szCs w:val="22"/>
                <w:lang w:val="en-GB"/>
              </w:rPr>
            </w:pPr>
            <w:r w:rsidRPr="007F2556">
              <w:rPr>
                <w:rFonts w:cs="Times New Roman"/>
                <w:sz w:val="22"/>
                <w:szCs w:val="22"/>
                <w:lang w:val="en-GB"/>
              </w:rPr>
              <w:t>3</w:t>
            </w:r>
          </w:p>
        </w:tc>
        <w:tc>
          <w:tcPr>
            <w:tcW w:w="914" w:type="dxa"/>
            <w:shd w:val="clear" w:color="auto" w:fill="1F4E79"/>
          </w:tcPr>
          <w:p w14:paraId="30317ED1" w14:textId="77777777" w:rsidR="00E35AA0" w:rsidRPr="007F2556" w:rsidRDefault="00E35AA0" w:rsidP="00E35AA0">
            <w:pPr>
              <w:jc w:val="center"/>
              <w:rPr>
                <w:rFonts w:cs="Times New Roman"/>
                <w:sz w:val="22"/>
                <w:szCs w:val="22"/>
                <w:lang w:val="en-GB"/>
              </w:rPr>
            </w:pPr>
            <w:r w:rsidRPr="007F2556">
              <w:rPr>
                <w:rFonts w:cs="Times New Roman"/>
                <w:sz w:val="22"/>
                <w:szCs w:val="22"/>
                <w:lang w:val="en-GB"/>
              </w:rPr>
              <w:t>1</w:t>
            </w:r>
          </w:p>
        </w:tc>
        <w:tc>
          <w:tcPr>
            <w:tcW w:w="2778" w:type="dxa"/>
          </w:tcPr>
          <w:p w14:paraId="75DAD4B1" w14:textId="77777777" w:rsidR="00E35AA0" w:rsidRPr="007F2556" w:rsidRDefault="00E35AA0" w:rsidP="00E35AA0">
            <w:pPr>
              <w:numPr>
                <w:ilvl w:val="0"/>
                <w:numId w:val="1"/>
              </w:numPr>
              <w:contextualSpacing/>
              <w:rPr>
                <w:rFonts w:cs="Times New Roman"/>
                <w:sz w:val="22"/>
                <w:szCs w:val="22"/>
                <w:lang w:val="en-GB"/>
              </w:rPr>
            </w:pPr>
            <w:r w:rsidRPr="007F2556">
              <w:rPr>
                <w:rFonts w:cs="Times New Roman"/>
                <w:sz w:val="22"/>
                <w:szCs w:val="22"/>
                <w:lang w:val="en-GB"/>
              </w:rPr>
              <w:t>Local renewable energy generation (electricity generation)</w:t>
            </w:r>
          </w:p>
        </w:tc>
      </w:tr>
      <w:tr w:rsidR="00E35AA0" w:rsidRPr="007F2556" w14:paraId="1B3B6772" w14:textId="77777777" w:rsidTr="00E35AA0">
        <w:tc>
          <w:tcPr>
            <w:tcW w:w="846" w:type="dxa"/>
            <w:shd w:val="clear" w:color="auto" w:fill="9CC2E5"/>
          </w:tcPr>
          <w:p w14:paraId="15BD9657" w14:textId="77777777" w:rsidR="00E35AA0" w:rsidRPr="007F2556" w:rsidRDefault="00E35AA0" w:rsidP="00E35AA0">
            <w:pPr>
              <w:jc w:val="center"/>
              <w:rPr>
                <w:rFonts w:cs="Times New Roman"/>
                <w:sz w:val="22"/>
                <w:szCs w:val="22"/>
                <w:lang w:val="en-GB"/>
              </w:rPr>
            </w:pPr>
            <w:r w:rsidRPr="007F2556">
              <w:rPr>
                <w:rFonts w:cs="Times New Roman"/>
                <w:sz w:val="22"/>
                <w:szCs w:val="22"/>
                <w:lang w:val="en-GB"/>
              </w:rPr>
              <w:t>4</w:t>
            </w:r>
          </w:p>
        </w:tc>
        <w:tc>
          <w:tcPr>
            <w:tcW w:w="992" w:type="dxa"/>
            <w:shd w:val="clear" w:color="auto" w:fill="2E74B5"/>
          </w:tcPr>
          <w:p w14:paraId="253D4580" w14:textId="77777777" w:rsidR="00E35AA0" w:rsidRPr="007F2556" w:rsidRDefault="00E35AA0" w:rsidP="00E35AA0">
            <w:pPr>
              <w:jc w:val="center"/>
              <w:rPr>
                <w:rFonts w:cs="Times New Roman"/>
                <w:sz w:val="22"/>
                <w:szCs w:val="22"/>
                <w:lang w:val="en-GB"/>
              </w:rPr>
            </w:pPr>
            <w:r w:rsidRPr="007F2556">
              <w:rPr>
                <w:rFonts w:cs="Times New Roman"/>
                <w:sz w:val="22"/>
                <w:szCs w:val="22"/>
                <w:lang w:val="en-GB"/>
              </w:rPr>
              <w:t>2</w:t>
            </w:r>
          </w:p>
        </w:tc>
        <w:tc>
          <w:tcPr>
            <w:tcW w:w="2654" w:type="dxa"/>
          </w:tcPr>
          <w:p w14:paraId="3A9FF453" w14:textId="77777777" w:rsidR="00E35AA0" w:rsidRPr="007F2556" w:rsidRDefault="00E35AA0" w:rsidP="00E35AA0">
            <w:pPr>
              <w:numPr>
                <w:ilvl w:val="0"/>
                <w:numId w:val="1"/>
              </w:numPr>
              <w:contextualSpacing/>
              <w:rPr>
                <w:rFonts w:cs="Times New Roman"/>
                <w:sz w:val="22"/>
                <w:szCs w:val="22"/>
                <w:lang w:val="en-GB"/>
              </w:rPr>
            </w:pPr>
            <w:r w:rsidRPr="007F2556">
              <w:rPr>
                <w:rFonts w:cs="Times New Roman"/>
                <w:sz w:val="22"/>
                <w:szCs w:val="22"/>
                <w:lang w:val="en-GB"/>
              </w:rPr>
              <w:t>Electrification of public transport (transport)</w:t>
            </w:r>
          </w:p>
        </w:tc>
        <w:tc>
          <w:tcPr>
            <w:tcW w:w="826" w:type="dxa"/>
            <w:shd w:val="clear" w:color="auto" w:fill="9CC2E5"/>
          </w:tcPr>
          <w:p w14:paraId="256CF02B" w14:textId="77777777" w:rsidR="00E35AA0" w:rsidRPr="007F2556" w:rsidRDefault="00E35AA0" w:rsidP="00E35AA0">
            <w:pPr>
              <w:jc w:val="center"/>
              <w:rPr>
                <w:rFonts w:cs="Times New Roman"/>
                <w:sz w:val="22"/>
                <w:szCs w:val="22"/>
                <w:lang w:val="en-GB"/>
              </w:rPr>
            </w:pPr>
            <w:r w:rsidRPr="007F2556">
              <w:rPr>
                <w:rFonts w:cs="Times New Roman"/>
                <w:sz w:val="22"/>
                <w:szCs w:val="22"/>
                <w:lang w:val="en-GB"/>
              </w:rPr>
              <w:t>4</w:t>
            </w:r>
          </w:p>
        </w:tc>
        <w:tc>
          <w:tcPr>
            <w:tcW w:w="914" w:type="dxa"/>
            <w:shd w:val="clear" w:color="auto" w:fill="5B9BD5"/>
          </w:tcPr>
          <w:p w14:paraId="5F465731" w14:textId="77777777" w:rsidR="00E35AA0" w:rsidRPr="007F2556" w:rsidRDefault="00E35AA0" w:rsidP="00E35AA0">
            <w:pPr>
              <w:jc w:val="center"/>
              <w:rPr>
                <w:rFonts w:cs="Times New Roman"/>
                <w:sz w:val="22"/>
                <w:szCs w:val="22"/>
                <w:lang w:val="en-GB"/>
              </w:rPr>
            </w:pPr>
            <w:r w:rsidRPr="007F2556">
              <w:rPr>
                <w:rFonts w:cs="Times New Roman"/>
                <w:sz w:val="22"/>
                <w:szCs w:val="22"/>
                <w:lang w:val="en-GB"/>
              </w:rPr>
              <w:t>3</w:t>
            </w:r>
          </w:p>
        </w:tc>
        <w:tc>
          <w:tcPr>
            <w:tcW w:w="2778" w:type="dxa"/>
          </w:tcPr>
          <w:p w14:paraId="288BEE22" w14:textId="77777777" w:rsidR="00E35AA0" w:rsidRPr="007F2556" w:rsidRDefault="00E35AA0" w:rsidP="00E35AA0">
            <w:pPr>
              <w:numPr>
                <w:ilvl w:val="0"/>
                <w:numId w:val="1"/>
              </w:numPr>
              <w:contextualSpacing/>
              <w:rPr>
                <w:rFonts w:cs="Times New Roman"/>
                <w:sz w:val="22"/>
                <w:szCs w:val="22"/>
                <w:lang w:val="en-GB"/>
              </w:rPr>
            </w:pPr>
            <w:r w:rsidRPr="007F2556">
              <w:rPr>
                <w:rFonts w:cs="Times New Roman"/>
                <w:sz w:val="22"/>
                <w:szCs w:val="22"/>
                <w:lang w:val="en-GB"/>
              </w:rPr>
              <w:t>Tighten building energy efficiency standards (building)</w:t>
            </w:r>
          </w:p>
        </w:tc>
      </w:tr>
      <w:tr w:rsidR="00E35AA0" w:rsidRPr="007F2556" w14:paraId="7472B799" w14:textId="77777777" w:rsidTr="00E35AA0">
        <w:tc>
          <w:tcPr>
            <w:tcW w:w="846" w:type="dxa"/>
            <w:shd w:val="clear" w:color="auto" w:fill="BDD6EE"/>
          </w:tcPr>
          <w:p w14:paraId="50FC32C4" w14:textId="77777777" w:rsidR="00E35AA0" w:rsidRPr="007F2556" w:rsidRDefault="00E35AA0" w:rsidP="00E35AA0">
            <w:pPr>
              <w:jc w:val="center"/>
              <w:rPr>
                <w:rFonts w:cs="Times New Roman"/>
                <w:sz w:val="22"/>
                <w:szCs w:val="22"/>
                <w:lang w:val="en-GB"/>
              </w:rPr>
            </w:pPr>
            <w:r w:rsidRPr="007F2556">
              <w:rPr>
                <w:rFonts w:cs="Times New Roman"/>
                <w:sz w:val="22"/>
                <w:szCs w:val="22"/>
                <w:lang w:val="en-GB"/>
              </w:rPr>
              <w:lastRenderedPageBreak/>
              <w:t>5</w:t>
            </w:r>
          </w:p>
        </w:tc>
        <w:tc>
          <w:tcPr>
            <w:tcW w:w="992" w:type="dxa"/>
            <w:shd w:val="clear" w:color="auto" w:fill="DEEAF6"/>
          </w:tcPr>
          <w:p w14:paraId="76346570" w14:textId="77777777" w:rsidR="00E35AA0" w:rsidRPr="007F2556" w:rsidRDefault="00E35AA0" w:rsidP="00E35AA0">
            <w:pPr>
              <w:jc w:val="center"/>
              <w:rPr>
                <w:rFonts w:cs="Times New Roman"/>
                <w:sz w:val="22"/>
                <w:szCs w:val="22"/>
                <w:lang w:val="en-GB"/>
              </w:rPr>
            </w:pPr>
            <w:r w:rsidRPr="007F2556">
              <w:rPr>
                <w:rFonts w:cs="Times New Roman"/>
                <w:sz w:val="22"/>
                <w:szCs w:val="22"/>
                <w:lang w:val="en-GB"/>
              </w:rPr>
              <w:t>6</w:t>
            </w:r>
          </w:p>
        </w:tc>
        <w:tc>
          <w:tcPr>
            <w:tcW w:w="2654" w:type="dxa"/>
          </w:tcPr>
          <w:p w14:paraId="53246A87" w14:textId="77777777" w:rsidR="00E35AA0" w:rsidRPr="007F2556" w:rsidRDefault="00E35AA0" w:rsidP="00E35AA0">
            <w:pPr>
              <w:numPr>
                <w:ilvl w:val="0"/>
                <w:numId w:val="1"/>
              </w:numPr>
              <w:contextualSpacing/>
              <w:rPr>
                <w:rFonts w:cs="Times New Roman"/>
                <w:sz w:val="22"/>
                <w:szCs w:val="22"/>
                <w:lang w:val="en-GB"/>
              </w:rPr>
            </w:pPr>
            <w:r w:rsidRPr="007F2556">
              <w:rPr>
                <w:rFonts w:cs="Times New Roman"/>
                <w:sz w:val="22"/>
                <w:szCs w:val="22"/>
                <w:lang w:val="en-GB"/>
              </w:rPr>
              <w:t>Promote electric vehicles (transport)</w:t>
            </w:r>
          </w:p>
        </w:tc>
        <w:tc>
          <w:tcPr>
            <w:tcW w:w="826" w:type="dxa"/>
            <w:shd w:val="clear" w:color="auto" w:fill="9CC2E5"/>
          </w:tcPr>
          <w:p w14:paraId="3717AC2A" w14:textId="77777777" w:rsidR="00E35AA0" w:rsidRPr="007F2556" w:rsidRDefault="00E35AA0" w:rsidP="00E35AA0">
            <w:pPr>
              <w:jc w:val="center"/>
              <w:rPr>
                <w:rFonts w:cs="Times New Roman"/>
                <w:sz w:val="22"/>
                <w:szCs w:val="22"/>
                <w:lang w:val="en-GB"/>
              </w:rPr>
            </w:pPr>
            <w:r w:rsidRPr="007F2556">
              <w:rPr>
                <w:rFonts w:cs="Times New Roman"/>
                <w:sz w:val="22"/>
                <w:szCs w:val="22"/>
                <w:lang w:val="en-GB"/>
              </w:rPr>
              <w:t>4</w:t>
            </w:r>
          </w:p>
        </w:tc>
        <w:tc>
          <w:tcPr>
            <w:tcW w:w="914" w:type="dxa"/>
            <w:shd w:val="clear" w:color="auto" w:fill="EBF6F5"/>
          </w:tcPr>
          <w:p w14:paraId="2234890C" w14:textId="77777777" w:rsidR="00E35AA0" w:rsidRPr="007F2556" w:rsidRDefault="00E35AA0" w:rsidP="00E35AA0">
            <w:pPr>
              <w:jc w:val="center"/>
              <w:rPr>
                <w:rFonts w:cs="Times New Roman"/>
                <w:sz w:val="22"/>
                <w:szCs w:val="22"/>
                <w:lang w:val="en-GB"/>
              </w:rPr>
            </w:pPr>
            <w:r w:rsidRPr="007F2556">
              <w:rPr>
                <w:rFonts w:cs="Times New Roman"/>
                <w:sz w:val="22"/>
                <w:szCs w:val="22"/>
                <w:lang w:val="en-GB"/>
              </w:rPr>
              <w:t>7</w:t>
            </w:r>
          </w:p>
        </w:tc>
        <w:tc>
          <w:tcPr>
            <w:tcW w:w="2778" w:type="dxa"/>
          </w:tcPr>
          <w:p w14:paraId="547A5744" w14:textId="77777777" w:rsidR="00E35AA0" w:rsidRPr="007F2556" w:rsidRDefault="00E35AA0" w:rsidP="00E35AA0">
            <w:pPr>
              <w:numPr>
                <w:ilvl w:val="0"/>
                <w:numId w:val="1"/>
              </w:numPr>
              <w:contextualSpacing/>
              <w:rPr>
                <w:rFonts w:cs="Times New Roman"/>
                <w:sz w:val="22"/>
                <w:szCs w:val="22"/>
                <w:lang w:val="en-GB"/>
              </w:rPr>
            </w:pPr>
            <w:r w:rsidRPr="007F2556">
              <w:rPr>
                <w:rFonts w:cs="Times New Roman"/>
                <w:sz w:val="22"/>
                <w:szCs w:val="22"/>
                <w:lang w:val="en-GB"/>
              </w:rPr>
              <w:t>Modify Scheme of Control Agreement to encourage renewable energy provision (electricity generation)</w:t>
            </w:r>
          </w:p>
        </w:tc>
      </w:tr>
    </w:tbl>
    <w:p w14:paraId="1773A86F" w14:textId="6FFA57FF" w:rsidR="001808DE" w:rsidRPr="007F2556" w:rsidRDefault="001808DE"/>
    <w:p w14:paraId="4F9ECE5B" w14:textId="77777777" w:rsidR="00E35AA0" w:rsidRDefault="00E35AA0"/>
    <w:p w14:paraId="59BC2808" w14:textId="157F11E1" w:rsidR="00E35AA0" w:rsidRPr="00855F2D" w:rsidRDefault="005425C2">
      <w:pPr>
        <w:rPr>
          <w:rFonts w:ascii="Times New Roman" w:hAnsi="Times New Roman" w:cs="Times New Roman"/>
          <w:b/>
          <w:bCs/>
          <w:sz w:val="24"/>
          <w:szCs w:val="24"/>
          <w:lang w:eastAsia="zh-TW"/>
        </w:rPr>
      </w:pPr>
      <w:r>
        <w:rPr>
          <w:rFonts w:ascii="Times New Roman" w:hAnsi="Times New Roman" w:cs="Times New Roman"/>
          <w:b/>
          <w:bCs/>
          <w:sz w:val="24"/>
          <w:szCs w:val="24"/>
          <w:lang w:eastAsia="zh-TW"/>
        </w:rPr>
        <w:t>F</w:t>
      </w:r>
      <w:r w:rsidR="00E35AA0" w:rsidRPr="00855F2D">
        <w:rPr>
          <w:rFonts w:ascii="Times New Roman" w:hAnsi="Times New Roman" w:cs="Times New Roman"/>
          <w:b/>
          <w:bCs/>
          <w:sz w:val="24"/>
          <w:szCs w:val="24"/>
          <w:lang w:eastAsia="zh-TW"/>
        </w:rPr>
        <w:t>.2. Overcoming the Challenges to Attain Carbon Neutrality</w:t>
      </w:r>
    </w:p>
    <w:p w14:paraId="396A5EB5" w14:textId="6644AB0E" w:rsidR="00E35AA0" w:rsidRPr="00AF59F7" w:rsidRDefault="00EC3E99">
      <w:pPr>
        <w:rPr>
          <w:rFonts w:ascii="Times New Roman" w:hAnsi="Times New Roman" w:cs="Times New Roman"/>
          <w:b/>
          <w:bCs/>
        </w:rPr>
      </w:pPr>
      <w:r w:rsidRPr="00AF59F7">
        <w:rPr>
          <w:rFonts w:ascii="Times New Roman" w:hAnsi="Times New Roman" w:cs="Times New Roman"/>
          <w:b/>
          <w:bCs/>
        </w:rPr>
        <w:t>F</w:t>
      </w:r>
      <w:r w:rsidR="00E35AA0" w:rsidRPr="00AF59F7">
        <w:rPr>
          <w:rFonts w:ascii="Times New Roman" w:hAnsi="Times New Roman" w:cs="Times New Roman"/>
          <w:b/>
          <w:bCs/>
        </w:rPr>
        <w:t xml:space="preserve">.2.1. Balance with Supply Reliability   </w:t>
      </w:r>
    </w:p>
    <w:p w14:paraId="5B6247E0" w14:textId="77777777" w:rsidR="00E35AA0" w:rsidRPr="00AF59F7" w:rsidRDefault="00E35AA0" w:rsidP="00E35AA0">
      <w:pPr>
        <w:spacing w:after="0" w:line="240" w:lineRule="auto"/>
        <w:jc w:val="both"/>
        <w:rPr>
          <w:rFonts w:ascii="Times New Roman" w:eastAsia="PMingLiU" w:hAnsi="Times New Roman" w:cs="Times New Roman"/>
          <w:kern w:val="0"/>
          <w:lang w:val="en-GB" w:eastAsia="zh-TW"/>
          <w14:ligatures w14:val="none"/>
        </w:rPr>
      </w:pPr>
      <w:r w:rsidRPr="00AF59F7">
        <w:rPr>
          <w:rFonts w:ascii="Times New Roman" w:eastAsia="PMingLiU" w:hAnsi="Times New Roman" w:cs="Times New Roman"/>
          <w:kern w:val="0"/>
          <w:lang w:val="en-GB" w:eastAsia="zh-TW"/>
          <w14:ligatures w14:val="none"/>
        </w:rPr>
        <w:t>One main challenge to achieve carbon neutrality is the high priority for supply reliability in Beijing and Hong Kong as economically advanced cities. Most stakeholders agreed that Beijing and Hong Kong governments may not prioritise decarbonisation over supply reliability and economic growth. As the capital of China, Beijing serves the important role as the political and cultural centre which is highly dependent on stable electricity supply. Electricity reliability is equally important to maintain the economic activities of Hong Kong. In the 80% carbon reduction by 2050 scenario created by a power company, fossil fuel facilities will be kept to “provide electricity when the demand is very high in order to meet the reliability requirements” (H</w:t>
      </w:r>
      <w:r w:rsidRPr="00AF59F7">
        <w:rPr>
          <w:rFonts w:ascii="Times New Roman" w:eastAsia="PMingLiU" w:hAnsi="Times New Roman" w:cs="Times New Roman"/>
          <w:kern w:val="0"/>
          <w:lang w:val="en-GB"/>
          <w14:ligatures w14:val="none"/>
        </w:rPr>
        <w:t>·I</w:t>
      </w:r>
      <w:r w:rsidRPr="00AF59F7">
        <w:rPr>
          <w:rFonts w:ascii="Times New Roman" w:eastAsia="PMingLiU" w:hAnsi="Times New Roman" w:cs="Times New Roman"/>
          <w:kern w:val="0"/>
          <w:lang w:val="en-GB" w:eastAsia="zh-TW"/>
          <w14:ligatures w14:val="none"/>
        </w:rPr>
        <w:t xml:space="preserve">2). Maintaining reliability can be a barrier to achieve carbon neutrality if carbon offsets or removals are not planned ahead. </w:t>
      </w:r>
    </w:p>
    <w:p w14:paraId="646C3071" w14:textId="77777777" w:rsidR="00E35AA0" w:rsidRPr="00AF59F7" w:rsidRDefault="00E35AA0" w:rsidP="00E35AA0">
      <w:pPr>
        <w:spacing w:after="0" w:line="240" w:lineRule="auto"/>
        <w:jc w:val="both"/>
        <w:rPr>
          <w:rFonts w:ascii="Times New Roman" w:eastAsia="PMingLiU" w:hAnsi="Times New Roman" w:cs="Times New Roman"/>
          <w:kern w:val="0"/>
          <w:lang w:val="en-GB" w:eastAsia="zh-TW"/>
          <w14:ligatures w14:val="none"/>
        </w:rPr>
      </w:pPr>
    </w:p>
    <w:p w14:paraId="258B579D" w14:textId="4D5797C6" w:rsidR="00E35AA0" w:rsidRPr="00AF59F7" w:rsidRDefault="00E35AA0" w:rsidP="00E35AA0">
      <w:pPr>
        <w:spacing w:after="0" w:line="240" w:lineRule="auto"/>
        <w:jc w:val="both"/>
        <w:rPr>
          <w:rFonts w:ascii="Times New Roman" w:eastAsia="PMingLiU" w:hAnsi="Times New Roman" w:cs="Times New Roman"/>
          <w:kern w:val="0"/>
          <w:lang w:val="en-GB" w:eastAsia="zh-TW"/>
          <w14:ligatures w14:val="none"/>
        </w:rPr>
      </w:pPr>
      <w:r w:rsidRPr="00AF59F7">
        <w:rPr>
          <w:rFonts w:ascii="Times New Roman" w:eastAsia="PMingLiU" w:hAnsi="Times New Roman" w:cs="Times New Roman"/>
          <w:kern w:val="0"/>
          <w:lang w:val="en-GB" w:eastAsia="zh-TW"/>
          <w14:ligatures w14:val="none"/>
        </w:rPr>
        <w:t>Noting that RE is intermittent, academics, officials and industry practitioners in both cities called for more active research and development (R&amp;D) on energy storage technology (B</w:t>
      </w:r>
      <w:r w:rsidRPr="00AF59F7">
        <w:rPr>
          <w:rFonts w:ascii="Times New Roman" w:eastAsia="PMingLiU" w:hAnsi="Times New Roman" w:cs="Times New Roman"/>
          <w:kern w:val="0"/>
          <w:lang w:val="en-GB"/>
          <w14:ligatures w14:val="none"/>
        </w:rPr>
        <w:t>·A</w:t>
      </w:r>
      <w:r w:rsidRPr="00AF59F7">
        <w:rPr>
          <w:rFonts w:ascii="Times New Roman" w:eastAsia="PMingLiU" w:hAnsi="Times New Roman" w:cs="Times New Roman"/>
          <w:kern w:val="0"/>
          <w:lang w:val="en-GB" w:eastAsia="zh-TW"/>
          <w14:ligatures w14:val="none"/>
        </w:rPr>
        <w:t>3, B</w:t>
      </w:r>
      <w:r w:rsidRPr="00AF59F7">
        <w:rPr>
          <w:rFonts w:ascii="Times New Roman" w:eastAsia="PMingLiU" w:hAnsi="Times New Roman" w:cs="Times New Roman"/>
          <w:kern w:val="0"/>
          <w:lang w:val="en-GB"/>
          <w14:ligatures w14:val="none"/>
        </w:rPr>
        <w:t>·R</w:t>
      </w:r>
      <w:r w:rsidRPr="00AF59F7">
        <w:rPr>
          <w:rFonts w:ascii="Times New Roman" w:eastAsia="PMingLiU" w:hAnsi="Times New Roman" w:cs="Times New Roman"/>
          <w:kern w:val="0"/>
          <w:lang w:val="en-GB" w:eastAsia="zh-TW"/>
          <w14:ligatures w14:val="none"/>
        </w:rPr>
        <w:t>2, H</w:t>
      </w:r>
      <w:r w:rsidRPr="00AF59F7">
        <w:rPr>
          <w:rFonts w:ascii="Times New Roman" w:eastAsia="PMingLiU" w:hAnsi="Times New Roman" w:cs="Times New Roman"/>
          <w:kern w:val="0"/>
          <w:lang w:val="en-GB"/>
          <w14:ligatures w14:val="none"/>
        </w:rPr>
        <w:t>·</w:t>
      </w:r>
      <w:r w:rsidRPr="00AF59F7">
        <w:rPr>
          <w:rFonts w:ascii="Times New Roman" w:eastAsia="PMingLiU" w:hAnsi="Times New Roman" w:cs="Times New Roman"/>
          <w:kern w:val="0"/>
          <w:lang w:val="en-GB" w:eastAsia="zh-TW"/>
          <w14:ligatures w14:val="none"/>
        </w:rPr>
        <w:t>A1, H</w:t>
      </w:r>
      <w:r w:rsidRPr="00AF59F7">
        <w:rPr>
          <w:rFonts w:ascii="Times New Roman" w:eastAsia="PMingLiU" w:hAnsi="Times New Roman" w:cs="Times New Roman"/>
          <w:kern w:val="0"/>
          <w:lang w:val="en-GB"/>
          <w14:ligatures w14:val="none"/>
        </w:rPr>
        <w:t>·I</w:t>
      </w:r>
      <w:r w:rsidRPr="00AF59F7">
        <w:rPr>
          <w:rFonts w:ascii="Times New Roman" w:eastAsia="PMingLiU" w:hAnsi="Times New Roman" w:cs="Times New Roman"/>
          <w:kern w:val="0"/>
          <w:lang w:val="en-GB" w:eastAsia="zh-TW"/>
          <w14:ligatures w14:val="none"/>
        </w:rPr>
        <w:t>3, H</w:t>
      </w:r>
      <w:r w:rsidRPr="00AF59F7">
        <w:rPr>
          <w:rFonts w:ascii="Times New Roman" w:eastAsia="PMingLiU" w:hAnsi="Times New Roman" w:cs="Times New Roman"/>
          <w:kern w:val="0"/>
          <w:lang w:val="en-GB"/>
          <w14:ligatures w14:val="none"/>
        </w:rPr>
        <w:t>·I</w:t>
      </w:r>
      <w:r w:rsidRPr="00AF59F7">
        <w:rPr>
          <w:rFonts w:ascii="Times New Roman" w:eastAsia="PMingLiU" w:hAnsi="Times New Roman" w:cs="Times New Roman"/>
          <w:kern w:val="0"/>
          <w:lang w:val="en-GB" w:eastAsia="zh-TW"/>
          <w14:ligatures w14:val="none"/>
        </w:rPr>
        <w:t>4, H</w:t>
      </w:r>
      <w:r w:rsidRPr="00AF59F7">
        <w:rPr>
          <w:rFonts w:ascii="Times New Roman" w:eastAsia="PMingLiU" w:hAnsi="Times New Roman" w:cs="Times New Roman"/>
          <w:kern w:val="0"/>
          <w:lang w:val="en-GB"/>
          <w14:ligatures w14:val="none"/>
        </w:rPr>
        <w:t>·R</w:t>
      </w:r>
      <w:r w:rsidRPr="00AF59F7">
        <w:rPr>
          <w:rFonts w:ascii="Times New Roman" w:eastAsia="PMingLiU" w:hAnsi="Times New Roman" w:cs="Times New Roman"/>
          <w:kern w:val="0"/>
          <w:lang w:val="en-GB" w:eastAsia="zh-TW"/>
          <w14:ligatures w14:val="none"/>
        </w:rPr>
        <w:t>1).</w:t>
      </w:r>
      <w:r w:rsidRPr="00AF59F7">
        <w:rPr>
          <w:rFonts w:ascii="Times New Roman" w:eastAsia="PMingLiU" w:hAnsi="Times New Roman" w:cs="Helvetica"/>
          <w:kern w:val="0"/>
          <w:vertAlign w:val="superscript"/>
          <w:lang w:val="en-GB"/>
          <w14:ligatures w14:val="none"/>
        </w:rPr>
        <w:footnoteReference w:id="1"/>
      </w:r>
      <w:r w:rsidRPr="00AF59F7">
        <w:rPr>
          <w:rFonts w:ascii="Times New Roman" w:eastAsia="PMingLiU" w:hAnsi="Times New Roman" w:cs="Times New Roman"/>
          <w:kern w:val="0"/>
          <w:lang w:val="en-GB" w:eastAsia="zh-TW"/>
          <w14:ligatures w14:val="none"/>
        </w:rPr>
        <w:t xml:space="preserve"> A government advisor from Beijing suggested that energy storage and demand management are particularly important when Beijing reaches potentially 40-60% of RE in the future fuel mix (B·R2). Measures to improve grid flexibility are faced with not only technical difficulties, but also “institutional and political barriers” to alter the design of grids (B·R2). Demand management practices often require public acceptance to implement, such as assigning different times for residents to cook to manage the peak load (B·R1). This argument is in line with sociotechnical transition literature, which shows accelerated low-carbon transitions depend on social acceptance and business support in addition to financial and technological requirements </w:t>
      </w:r>
      <w:r w:rsidRPr="00AF59F7">
        <w:rPr>
          <w:rFonts w:ascii="Times New Roman" w:eastAsia="PMingLiU" w:hAnsi="Times New Roman" w:cs="Times New Roman"/>
          <w:kern w:val="0"/>
          <w:lang w:val="en-GB" w:eastAsia="zh-TW"/>
          <w14:ligatures w14:val="none"/>
        </w:rPr>
        <w:fldChar w:fldCharType="begin" w:fldLock="1"/>
      </w:r>
      <w:r w:rsidRPr="00AF59F7">
        <w:rPr>
          <w:rFonts w:ascii="Times New Roman" w:eastAsia="PMingLiU" w:hAnsi="Times New Roman" w:cs="Times New Roman"/>
          <w:kern w:val="0"/>
          <w:lang w:val="en-GB" w:eastAsia="zh-TW"/>
          <w14:ligatures w14:val="none"/>
        </w:rPr>
        <w:instrText>ADDIN CSL_CITATION {"citationItems":[{"id":"ITEM-1","itemData":{"DOI":"10.1126/science.aao3760","ISSN":"10959203","PMID":"28935795","author":[{"dropping-particle":"","family":"Geels","given":"Frank W.","non-dropping-particle":"","parse-names":false,"suffix":""},{"dropping-particle":"","family":"Sovacool","given":"Benjamin K.","non-dropping-particle":"","parse-names":false,"suffix":""},{"dropping-particle":"","family":"Schwanen","given":"Tim","non-dropping-particle":"","parse-names":false,"suffix":""},{"dropping-particle":"","family":"Sorrell","given":"Steve","non-dropping-particle":"","parse-names":false,"suffix":""}],"container-title":"Science","id":"ITEM-1","issued":{"date-parts":[["2017"]]},"title":"Sociotechnical transitions for deep decarbonization","type":"article"},"uris":["http://www.mendeley.com/documents/?uuid=c3e6516f-36b3-4bf9-af5f-03fee42060e0"]}],"mendeley":{"formattedCitation":"(Geels et al., 2017a)","plainTextFormattedCitation":"(Geels et al., 2017a)","previouslyFormattedCitation":"(Geels et al., 2017a)"},"properties":{"noteIndex":0},"schema":"https://github.com/citation-style-language/schema/raw/master/csl-citation.json"}</w:instrText>
      </w:r>
      <w:r w:rsidRPr="00AF59F7">
        <w:rPr>
          <w:rFonts w:ascii="Times New Roman" w:eastAsia="PMingLiU" w:hAnsi="Times New Roman" w:cs="Times New Roman"/>
          <w:kern w:val="0"/>
          <w:lang w:val="en-GB" w:eastAsia="zh-TW"/>
          <w14:ligatures w14:val="none"/>
        </w:rPr>
        <w:fldChar w:fldCharType="separate"/>
      </w:r>
      <w:r w:rsidRPr="00AF59F7">
        <w:rPr>
          <w:rFonts w:ascii="Times New Roman" w:eastAsia="PMingLiU" w:hAnsi="Times New Roman" w:cs="Times New Roman"/>
          <w:noProof/>
          <w:kern w:val="0"/>
          <w:lang w:val="en-GB" w:eastAsia="zh-TW"/>
          <w14:ligatures w14:val="none"/>
        </w:rPr>
        <w:t>(Geels et al., 2017)</w:t>
      </w:r>
      <w:r w:rsidRPr="00AF59F7">
        <w:rPr>
          <w:rFonts w:ascii="Times New Roman" w:eastAsia="PMingLiU" w:hAnsi="Times New Roman" w:cs="Times New Roman"/>
          <w:kern w:val="0"/>
          <w:lang w:val="en-GB" w:eastAsia="zh-TW"/>
          <w14:ligatures w14:val="none"/>
        </w:rPr>
        <w:fldChar w:fldCharType="end"/>
      </w:r>
      <w:r w:rsidRPr="00AF59F7">
        <w:rPr>
          <w:rFonts w:ascii="Times New Roman" w:eastAsia="PMingLiU" w:hAnsi="Times New Roman" w:cs="Times New Roman"/>
          <w:kern w:val="0"/>
          <w:lang w:val="en-GB" w:eastAsia="zh-TW"/>
          <w14:ligatures w14:val="none"/>
        </w:rPr>
        <w:t xml:space="preserve">. </w:t>
      </w:r>
    </w:p>
    <w:p w14:paraId="4784B1A1" w14:textId="2A9BCAA3" w:rsidR="00E35AA0" w:rsidRPr="00AF59F7" w:rsidRDefault="00E35AA0"/>
    <w:p w14:paraId="41CD0ACC" w14:textId="3FCF67ED" w:rsidR="00E35AA0" w:rsidRPr="00AF59F7" w:rsidRDefault="00EC3E99" w:rsidP="00E35AA0">
      <w:pPr>
        <w:rPr>
          <w:rFonts w:ascii="Times New Roman" w:hAnsi="Times New Roman" w:cs="Times New Roman"/>
          <w:b/>
          <w:bCs/>
        </w:rPr>
      </w:pPr>
      <w:r w:rsidRPr="00AF59F7">
        <w:rPr>
          <w:rFonts w:ascii="Times New Roman" w:hAnsi="Times New Roman" w:cs="Times New Roman"/>
          <w:b/>
          <w:bCs/>
        </w:rPr>
        <w:t>F</w:t>
      </w:r>
      <w:r w:rsidR="00E35AA0" w:rsidRPr="00AF59F7">
        <w:rPr>
          <w:rFonts w:ascii="Times New Roman" w:hAnsi="Times New Roman" w:cs="Times New Roman"/>
          <w:b/>
          <w:bCs/>
        </w:rPr>
        <w:t>.2.2. Market Reform for Increased Green Energy Imports</w:t>
      </w:r>
    </w:p>
    <w:p w14:paraId="7D2709A4" w14:textId="255E93FF" w:rsidR="00E35AA0" w:rsidRPr="00AF59F7" w:rsidRDefault="00E35AA0" w:rsidP="00E35AA0">
      <w:pPr>
        <w:jc w:val="both"/>
        <w:rPr>
          <w:rFonts w:ascii="Times New Roman" w:eastAsia="PMingLiU" w:hAnsi="Times New Roman" w:cs="Times New Roman"/>
          <w:kern w:val="0"/>
          <w:lang w:val="en-GB" w:eastAsia="zh-TW"/>
          <w14:ligatures w14:val="none"/>
        </w:rPr>
      </w:pPr>
      <w:r w:rsidRPr="00AF59F7">
        <w:rPr>
          <w:rFonts w:ascii="Times New Roman" w:eastAsia="PMingLiU" w:hAnsi="Times New Roman" w:cs="Times New Roman"/>
          <w:kern w:val="0"/>
          <w:lang w:val="en-GB" w:eastAsia="zh-TW"/>
          <w14:ligatures w14:val="none"/>
        </w:rPr>
        <w:t xml:space="preserve">Importing green energy is a top-ranked SIP for both cities, considering the positive feedback of renewable deployment demonstrated by global experience </w:t>
      </w:r>
      <w:r w:rsidRPr="00AF59F7">
        <w:rPr>
          <w:rFonts w:ascii="Times New Roman" w:eastAsia="PMingLiU" w:hAnsi="Times New Roman" w:cs="Times New Roman"/>
          <w:kern w:val="0"/>
          <w:lang w:val="en-GB" w:eastAsia="zh-TW"/>
          <w14:ligatures w14:val="none"/>
        </w:rPr>
        <w:fldChar w:fldCharType="begin" w:fldLock="1"/>
      </w:r>
      <w:r w:rsidRPr="00AF59F7">
        <w:rPr>
          <w:rFonts w:ascii="Times New Roman" w:eastAsia="PMingLiU" w:hAnsi="Times New Roman" w:cs="Times New Roman"/>
          <w:kern w:val="0"/>
          <w:lang w:val="en-GB" w:eastAsia="zh-TW"/>
          <w14:ligatures w14:val="none"/>
        </w:rPr>
        <w:instrText>ADDIN CSL_CITATION {"citationItems":[{"id":"ITEM-1","itemData":{"abstract":"An analysis of historical cost trends of energy technologies shows that the decades- long increase in the deployment of renewable energy technologies has consistently coincided with steep declines in their costs. For example, the cost of solar photovoltaics has declined by three orders of magnitude over the last 50 years. Similar trends are to be found with wind, energy storage, and electrolysers (hydrogen-based energy). Such declines are set to continue and will take several of these renewable technologies well below the cost base for current fossil fuel power generation. Most major climate mitigation models produced for the IPCC and the International Energy Agency have continually underestimated such trends despite these trends being quite consistent and predictable. By incorporating such trends into a simple, transparent energy system model we produce new climate mitigation scenarios that provide a contrasting perspective to those of the standard models. These new scenarios provide an opportunity to reassess the common narrative that a Paris-compliant emissions pathway will be expensive, will require reduced energy reliability or economic growth, and will need to rely on technologies that are currently expensive or unproven as scale. This research provides encouraging evidence for governments that are looking for greater ambition on decarbonising their economies while providing economic growth opportunities and affordable energy.","author":[{"dropping-particle":"","family":"Ives","given":"Matthew","non-dropping-particle":"","parse-names":false,"suffix":""},{"dropping-particle":"","family":"Righetti","given":"Luca","non-dropping-particle":"","parse-names":false,"suffix":""},{"dropping-particle":"","family":"Schiele","given":"Johanna","non-dropping-particle":"","parse-names":false,"suffix":""},{"dropping-particle":"De","family":"Meyer","given":"Kris","non-dropping-particle":"","parse-names":false,"suffix":""},{"dropping-particle":"","family":"Hubble-Rose","given":"Lucy","non-dropping-particle":"","parse-names":false,"suffix":""},{"dropping-particle":"","family":"Teng","given":"Fei","non-dropping-particle":"","parse-names":false,"suffix":""},{"dropping-particle":"","family":"Kruitwagen","given":"Lucas","non-dropping-particle":"","parse-names":false,"suffix":""},{"dropping-particle":"","family":"Tillmann-Morris","given":"Leah","non-dropping-particle":"","parse-names":false,"suffix":""},{"dropping-particle":"","family":"Wang","given":"Tianpeng","non-dropping-particle":"","parse-names":false,"suffix":""},{"dropping-particle":"","family":"Way","given":"Rupert","non-dropping-particle":"","parse-names":false,"suffix":""},{"dropping-particle":"","family":"Hepburn","given":"Cameron","non-dropping-particle":"","parse-names":false,"suffix":""}],"id":"ITEM-1","issued":{"date-parts":[["2021"]]},"number-of-pages":"126","publisher-place":"Oxford","title":"A new perspective on decarbonising the global energy system","type":"report"},"uris":["http://www.mendeley.com/documents/?uuid=309a57cb-db7b-44f3-a901-4f7edd27e164"]}],"mendeley":{"formattedCitation":"(Ives et al., 2021)","plainTextFormattedCitation":"(Ives et al., 2021)","previouslyFormattedCitation":"(Ives et al., 2021)"},"properties":{"noteIndex":0},"schema":"https://github.com/citation-style-language/schema/raw/master/csl-citation.json"}</w:instrText>
      </w:r>
      <w:r w:rsidRPr="00AF59F7">
        <w:rPr>
          <w:rFonts w:ascii="Times New Roman" w:eastAsia="PMingLiU" w:hAnsi="Times New Roman" w:cs="Times New Roman"/>
          <w:kern w:val="0"/>
          <w:lang w:val="en-GB" w:eastAsia="zh-TW"/>
          <w14:ligatures w14:val="none"/>
        </w:rPr>
        <w:fldChar w:fldCharType="separate"/>
      </w:r>
      <w:r w:rsidRPr="00AF59F7">
        <w:rPr>
          <w:rFonts w:ascii="Times New Roman" w:eastAsia="PMingLiU" w:hAnsi="Times New Roman" w:cs="Times New Roman"/>
          <w:noProof/>
          <w:kern w:val="0"/>
          <w:lang w:val="en-GB" w:eastAsia="zh-TW"/>
          <w14:ligatures w14:val="none"/>
        </w:rPr>
        <w:t>(Ives et al., 2021)</w:t>
      </w:r>
      <w:r w:rsidRPr="00AF59F7">
        <w:rPr>
          <w:rFonts w:ascii="Times New Roman" w:eastAsia="PMingLiU" w:hAnsi="Times New Roman" w:cs="Times New Roman"/>
          <w:kern w:val="0"/>
          <w:lang w:val="en-GB" w:eastAsia="zh-TW"/>
          <w14:ligatures w14:val="none"/>
        </w:rPr>
        <w:fldChar w:fldCharType="end"/>
      </w:r>
      <w:r w:rsidRPr="00AF59F7">
        <w:rPr>
          <w:rFonts w:ascii="Times New Roman" w:eastAsia="PMingLiU" w:hAnsi="Times New Roman" w:cs="Times New Roman"/>
          <w:kern w:val="0"/>
          <w:lang w:val="en-GB" w:eastAsia="zh-TW"/>
          <w14:ligatures w14:val="none"/>
        </w:rPr>
        <w:t xml:space="preserve">. When it comes to implementation, challenges are identified by stakeholders. In mainland China, internal electricity transfers on the grid historically follow a rigid mechanism with low flexibility. Despite recent smart grid investments, “flexible electricity trading remains underdeveloped” (B·R2). Electricity market reform and addressing fossil fuel subsidies are important SIPs to unlock greater adoption of renewables in Beijing. For Hong Kong, apart from the </w:t>
      </w:r>
      <w:proofErr w:type="spellStart"/>
      <w:r w:rsidRPr="00AF59F7">
        <w:rPr>
          <w:rFonts w:ascii="Times New Roman" w:eastAsia="PMingLiU" w:hAnsi="Times New Roman" w:cs="Times New Roman"/>
          <w:kern w:val="0"/>
          <w:lang w:val="en-GB" w:eastAsia="zh-TW"/>
          <w14:ligatures w14:val="none"/>
        </w:rPr>
        <w:t>Daya</w:t>
      </w:r>
      <w:proofErr w:type="spellEnd"/>
      <w:r w:rsidRPr="00AF59F7">
        <w:rPr>
          <w:rFonts w:ascii="Times New Roman" w:eastAsia="PMingLiU" w:hAnsi="Times New Roman" w:cs="Times New Roman"/>
          <w:kern w:val="0"/>
          <w:lang w:val="en-GB" w:eastAsia="zh-TW"/>
          <w14:ligatures w14:val="none"/>
        </w:rPr>
        <w:t xml:space="preserve"> Bay Nuclear Plant arrangement, no mechanisms exist to import RE from mainland China. Some stakeholders emphasised the urgency to “establish a formalised electricity transfer mechanism governed by regulatory regimes of Hong Kong and mainland China” to source RE directly from specific producers (H·I1, H·I2). A regulator from Beijing suggested Hong Kong to leverage the GBA, relying on “cooperation with the Southern Grid” to accelerate mass electrification (B·R3). Institutional set-ups of the </w:t>
      </w:r>
      <w:r w:rsidRPr="00AF59F7">
        <w:rPr>
          <w:rFonts w:ascii="Times New Roman" w:eastAsia="PMingLiU" w:hAnsi="Times New Roman" w:cs="Times New Roman"/>
          <w:kern w:val="0"/>
          <w:lang w:val="en-GB" w:eastAsia="zh-TW"/>
          <w14:ligatures w14:val="none"/>
        </w:rPr>
        <w:lastRenderedPageBreak/>
        <w:t xml:space="preserve">electricity markets in Beijing and Hong Kong require updating in different ways, with the mutual goal of facilitating green energy transfer. </w:t>
      </w:r>
    </w:p>
    <w:p w14:paraId="493CEFEC" w14:textId="5DA9D87B" w:rsidR="00E35AA0" w:rsidRPr="00AF59F7" w:rsidRDefault="00E35AA0">
      <w:pPr>
        <w:rPr>
          <w:rFonts w:ascii="Times New Roman" w:hAnsi="Times New Roman" w:cs="Times New Roman"/>
        </w:rPr>
      </w:pPr>
    </w:p>
    <w:p w14:paraId="5595A302" w14:textId="77777777" w:rsidR="009F3590" w:rsidRPr="00AF59F7" w:rsidRDefault="009F3590">
      <w:pPr>
        <w:rPr>
          <w:rFonts w:ascii="Times New Roman" w:hAnsi="Times New Roman" w:cs="Times New Roman"/>
        </w:rPr>
      </w:pPr>
    </w:p>
    <w:p w14:paraId="2A0584FF" w14:textId="481CC98A" w:rsidR="009F3590" w:rsidRPr="00AF59F7" w:rsidRDefault="009F3590">
      <w:pPr>
        <w:rPr>
          <w:rFonts w:ascii="Times New Roman" w:hAnsi="Times New Roman" w:cs="Times New Roman"/>
          <w:b/>
          <w:bCs/>
        </w:rPr>
      </w:pPr>
      <w:r w:rsidRPr="00AF59F7">
        <w:rPr>
          <w:rFonts w:ascii="Times New Roman" w:hAnsi="Times New Roman" w:cs="Times New Roman"/>
          <w:b/>
          <w:bCs/>
        </w:rPr>
        <w:t>References</w:t>
      </w:r>
    </w:p>
    <w:p w14:paraId="374E4987" w14:textId="1B686E4D" w:rsidR="009F3590" w:rsidRPr="00AF59F7" w:rsidRDefault="009F3590" w:rsidP="009F3590">
      <w:pPr>
        <w:widowControl w:val="0"/>
        <w:autoSpaceDE w:val="0"/>
        <w:autoSpaceDN w:val="0"/>
        <w:adjustRightInd w:val="0"/>
        <w:spacing w:after="0" w:line="240" w:lineRule="auto"/>
        <w:ind w:left="480" w:hanging="480"/>
        <w:rPr>
          <w:rFonts w:ascii="Times New Roman" w:eastAsia="PMingLiU" w:hAnsi="Times New Roman" w:cs="Times New Roman"/>
          <w:noProof/>
          <w:kern w:val="0"/>
          <w:lang w:val="en-GB"/>
          <w14:ligatures w14:val="none"/>
        </w:rPr>
      </w:pPr>
      <w:r w:rsidRPr="00AF59F7">
        <w:rPr>
          <w:rFonts w:ascii="Times New Roman" w:eastAsia="PMingLiU" w:hAnsi="Times New Roman" w:cs="Times New Roman"/>
          <w:noProof/>
          <w:kern w:val="0"/>
          <w:lang w:val="en-GB"/>
          <w14:ligatures w14:val="none"/>
        </w:rPr>
        <w:t xml:space="preserve">Geels, F. W., Sovacool, B. K., Schwanen, T., &amp; Sorrell, S. (2017). Sociotechnical transitions for deep decarbonization. </w:t>
      </w:r>
      <w:r w:rsidRPr="00AF59F7">
        <w:rPr>
          <w:rFonts w:ascii="Times New Roman" w:eastAsia="PMingLiU" w:hAnsi="Times New Roman" w:cs="Times New Roman"/>
          <w:i/>
          <w:iCs/>
          <w:noProof/>
          <w:kern w:val="0"/>
          <w:lang w:val="en-GB"/>
          <w14:ligatures w14:val="none"/>
        </w:rPr>
        <w:t>Science</w:t>
      </w:r>
      <w:r w:rsidRPr="00AF59F7">
        <w:rPr>
          <w:rFonts w:ascii="Times New Roman" w:eastAsia="PMingLiU" w:hAnsi="Times New Roman" w:cs="Times New Roman"/>
          <w:noProof/>
          <w:kern w:val="0"/>
          <w:lang w:val="en-GB"/>
          <w14:ligatures w14:val="none"/>
        </w:rPr>
        <w:t xml:space="preserve">. </w:t>
      </w:r>
      <w:hyperlink r:id="rId7" w:history="1">
        <w:r w:rsidRPr="00AF59F7">
          <w:rPr>
            <w:rStyle w:val="Hyperlink"/>
            <w:rFonts w:ascii="Times New Roman" w:eastAsia="PMingLiU" w:hAnsi="Times New Roman" w:cs="Times New Roman"/>
            <w:noProof/>
            <w:kern w:val="0"/>
            <w:lang w:val="en-GB"/>
            <w14:ligatures w14:val="none"/>
          </w:rPr>
          <w:t>https://doi.org/10.1126/science.aao3760</w:t>
        </w:r>
      </w:hyperlink>
    </w:p>
    <w:p w14:paraId="0C3E31A4" w14:textId="77777777" w:rsidR="009F3590" w:rsidRPr="00AF59F7" w:rsidRDefault="009F3590" w:rsidP="009F3590">
      <w:pPr>
        <w:widowControl w:val="0"/>
        <w:autoSpaceDE w:val="0"/>
        <w:autoSpaceDN w:val="0"/>
        <w:adjustRightInd w:val="0"/>
        <w:spacing w:after="0" w:line="240" w:lineRule="auto"/>
        <w:ind w:left="480" w:hanging="480"/>
        <w:rPr>
          <w:rFonts w:ascii="Times New Roman" w:eastAsia="PMingLiU" w:hAnsi="Times New Roman" w:cs="Times New Roman"/>
          <w:noProof/>
          <w:kern w:val="0"/>
          <w:lang w:val="en-GB"/>
          <w14:ligatures w14:val="none"/>
        </w:rPr>
      </w:pPr>
    </w:p>
    <w:p w14:paraId="66E29FD6" w14:textId="697FBF17" w:rsidR="009F3590" w:rsidRPr="00AF59F7" w:rsidRDefault="009F3590" w:rsidP="009F3590">
      <w:pPr>
        <w:widowControl w:val="0"/>
        <w:autoSpaceDE w:val="0"/>
        <w:autoSpaceDN w:val="0"/>
        <w:adjustRightInd w:val="0"/>
        <w:spacing w:after="0" w:line="240" w:lineRule="auto"/>
        <w:ind w:left="480" w:hanging="480"/>
        <w:rPr>
          <w:rFonts w:ascii="Times New Roman" w:eastAsia="PMingLiU" w:hAnsi="Times New Roman" w:cs="Times New Roman"/>
          <w:noProof/>
          <w:kern w:val="0"/>
          <w:lang w:val="en-GB"/>
          <w14:ligatures w14:val="none"/>
        </w:rPr>
      </w:pPr>
      <w:r w:rsidRPr="00AF59F7">
        <w:rPr>
          <w:rFonts w:ascii="Times New Roman" w:eastAsia="PMingLiU" w:hAnsi="Times New Roman" w:cs="Times New Roman"/>
          <w:noProof/>
          <w:kern w:val="0"/>
          <w:lang w:val="en-GB"/>
          <w14:ligatures w14:val="none"/>
        </w:rPr>
        <w:t xml:space="preserve">Ives, M., Righetti, L., Schiele, J., Meyer, K. De, Hubble-Rose, L., Teng, F., … Hepburn, C. (2021). A new perspective on decarbonising the global energy system. </w:t>
      </w:r>
      <w:r w:rsidRPr="00AF59F7">
        <w:rPr>
          <w:rFonts w:ascii="Times New Roman" w:eastAsia="PMingLiU" w:hAnsi="Times New Roman" w:cs="Times New Roman"/>
          <w:i/>
          <w:iCs/>
          <w:noProof/>
          <w:kern w:val="0"/>
          <w:lang w:val="en-GB"/>
          <w14:ligatures w14:val="none"/>
        </w:rPr>
        <w:t>Oxford</w:t>
      </w:r>
      <w:r w:rsidRPr="00AF59F7">
        <w:rPr>
          <w:rFonts w:ascii="Times New Roman" w:eastAsia="PMingLiU" w:hAnsi="Times New Roman" w:cs="Times New Roman"/>
          <w:noProof/>
          <w:kern w:val="0"/>
          <w:lang w:val="en-GB"/>
          <w14:ligatures w14:val="none"/>
        </w:rPr>
        <w:t>.</w:t>
      </w:r>
    </w:p>
    <w:p w14:paraId="73C74D62" w14:textId="5540F044" w:rsidR="009F3590" w:rsidRPr="00AF59F7" w:rsidRDefault="009F3590" w:rsidP="009F3590">
      <w:pPr>
        <w:rPr>
          <w:rFonts w:ascii="Times New Roman" w:hAnsi="Times New Roman" w:cs="Times New Roman"/>
        </w:rPr>
      </w:pPr>
    </w:p>
    <w:p w14:paraId="74B50356" w14:textId="77777777" w:rsidR="003F6870" w:rsidRPr="00AF59F7" w:rsidRDefault="003F6870">
      <w:pPr>
        <w:rPr>
          <w:rFonts w:ascii="Times New Roman" w:hAnsi="Times New Roman" w:cs="Times New Roman"/>
        </w:rPr>
      </w:pPr>
    </w:p>
    <w:sectPr w:rsidR="003F6870" w:rsidRPr="00AF59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9CED60" w14:textId="77777777" w:rsidR="009E1600" w:rsidRDefault="009E1600" w:rsidP="00E35AA0">
      <w:pPr>
        <w:spacing w:after="0" w:line="240" w:lineRule="auto"/>
      </w:pPr>
      <w:r>
        <w:separator/>
      </w:r>
    </w:p>
  </w:endnote>
  <w:endnote w:type="continuationSeparator" w:id="0">
    <w:p w14:paraId="30F8278B" w14:textId="77777777" w:rsidR="009E1600" w:rsidRDefault="009E1600" w:rsidP="00E35A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D99823" w14:textId="77777777" w:rsidR="009E1600" w:rsidRDefault="009E1600" w:rsidP="00E35AA0">
      <w:pPr>
        <w:spacing w:after="0" w:line="240" w:lineRule="auto"/>
      </w:pPr>
      <w:r>
        <w:separator/>
      </w:r>
    </w:p>
  </w:footnote>
  <w:footnote w:type="continuationSeparator" w:id="0">
    <w:p w14:paraId="3E29DFB0" w14:textId="77777777" w:rsidR="009E1600" w:rsidRDefault="009E1600" w:rsidP="00E35AA0">
      <w:pPr>
        <w:spacing w:after="0" w:line="240" w:lineRule="auto"/>
      </w:pPr>
      <w:r>
        <w:continuationSeparator/>
      </w:r>
    </w:p>
  </w:footnote>
  <w:footnote w:id="1">
    <w:p w14:paraId="6DACDF79" w14:textId="12D2CD49" w:rsidR="00E35AA0" w:rsidRPr="00022C4E" w:rsidRDefault="00E35AA0" w:rsidP="00E35AA0">
      <w:pPr>
        <w:pStyle w:val="FootnoteText"/>
      </w:pPr>
      <w:r w:rsidRPr="00A55199">
        <w:rPr>
          <w:rStyle w:val="FootnoteReference"/>
        </w:rPr>
        <w:footnoteRef/>
      </w:r>
      <w:r>
        <w:t xml:space="preserve">Energy storage with green hydrogen was a SIP for Hong Kong, as most respondents made references to green hydrogen when describing energy storage.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D157563"/>
    <w:multiLevelType w:val="hybridMultilevel"/>
    <w:tmpl w:val="2E0840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AA0"/>
    <w:rsid w:val="000B748E"/>
    <w:rsid w:val="001808DE"/>
    <w:rsid w:val="003517FF"/>
    <w:rsid w:val="003F6870"/>
    <w:rsid w:val="004073D5"/>
    <w:rsid w:val="00464A9B"/>
    <w:rsid w:val="00494306"/>
    <w:rsid w:val="005425C2"/>
    <w:rsid w:val="005B4D11"/>
    <w:rsid w:val="006963E3"/>
    <w:rsid w:val="007F2556"/>
    <w:rsid w:val="00855F2D"/>
    <w:rsid w:val="009B29E4"/>
    <w:rsid w:val="009E1600"/>
    <w:rsid w:val="009F3590"/>
    <w:rsid w:val="00AF59F7"/>
    <w:rsid w:val="00B7794A"/>
    <w:rsid w:val="00D43C79"/>
    <w:rsid w:val="00E35AA0"/>
    <w:rsid w:val="00EC3E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562B8"/>
  <w15:chartTrackingRefBased/>
  <w15:docId w15:val="{0BBA21E9-D9D5-4CD1-AA9F-E341C9965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35AA0"/>
    <w:pPr>
      <w:keepNext/>
      <w:keepLines/>
      <w:spacing w:before="240" w:after="0" w:line="240" w:lineRule="auto"/>
      <w:outlineLvl w:val="0"/>
    </w:pPr>
    <w:rPr>
      <w:rFonts w:ascii="Times New Roman" w:eastAsiaTheme="majorEastAsia" w:hAnsi="Times New Roman" w:cstheme="majorBidi"/>
      <w:color w:val="000000" w:themeColor="text1"/>
      <w:kern w:val="0"/>
      <w:sz w:val="32"/>
      <w:szCs w:val="32"/>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5AA0"/>
    <w:rPr>
      <w:rFonts w:ascii="Times New Roman" w:eastAsiaTheme="majorEastAsia" w:hAnsi="Times New Roman" w:cstheme="majorBidi"/>
      <w:color w:val="000000" w:themeColor="text1"/>
      <w:kern w:val="0"/>
      <w:sz w:val="32"/>
      <w:szCs w:val="32"/>
      <w:lang w:val="en-GB"/>
      <w14:ligatures w14:val="none"/>
    </w:rPr>
  </w:style>
  <w:style w:type="table" w:styleId="TableGrid">
    <w:name w:val="Table Grid"/>
    <w:basedOn w:val="TableNormal"/>
    <w:rsid w:val="00E35AA0"/>
    <w:pPr>
      <w:spacing w:after="0" w:line="240" w:lineRule="auto"/>
    </w:pPr>
    <w:rPr>
      <w:rFonts w:ascii="Times New Roman" w:eastAsia="PMingLiU" w:hAnsi="Times New Roman" w:cs="Helvetica"/>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E35AA0"/>
    <w:pPr>
      <w:spacing w:after="0" w:line="240" w:lineRule="auto"/>
    </w:pPr>
    <w:rPr>
      <w:rFonts w:ascii="Times New Roman" w:eastAsia="PMingLiU" w:hAnsi="Times New Roman" w:cs="Helvetica"/>
      <w:kern w:val="0"/>
      <w:sz w:val="20"/>
      <w:szCs w:val="20"/>
      <w:lang w:val="en-GB"/>
      <w14:ligatures w14:val="none"/>
    </w:rPr>
  </w:style>
  <w:style w:type="character" w:customStyle="1" w:styleId="FootnoteTextChar">
    <w:name w:val="Footnote Text Char"/>
    <w:basedOn w:val="DefaultParagraphFont"/>
    <w:link w:val="FootnoteText"/>
    <w:uiPriority w:val="99"/>
    <w:rsid w:val="00E35AA0"/>
    <w:rPr>
      <w:rFonts w:ascii="Times New Roman" w:eastAsia="PMingLiU" w:hAnsi="Times New Roman" w:cs="Helvetica"/>
      <w:kern w:val="0"/>
      <w:sz w:val="20"/>
      <w:szCs w:val="20"/>
      <w:lang w:val="en-GB"/>
      <w14:ligatures w14:val="none"/>
    </w:rPr>
  </w:style>
  <w:style w:type="character" w:styleId="FootnoteReference">
    <w:name w:val="footnote reference"/>
    <w:basedOn w:val="DefaultParagraphFont"/>
    <w:uiPriority w:val="99"/>
    <w:semiHidden/>
    <w:unhideWhenUsed/>
    <w:rsid w:val="00E35AA0"/>
    <w:rPr>
      <w:vertAlign w:val="superscript"/>
    </w:rPr>
  </w:style>
  <w:style w:type="character" w:styleId="Hyperlink">
    <w:name w:val="Hyperlink"/>
    <w:basedOn w:val="DefaultParagraphFont"/>
    <w:uiPriority w:val="99"/>
    <w:unhideWhenUsed/>
    <w:rsid w:val="009F3590"/>
    <w:rPr>
      <w:color w:val="0563C1" w:themeColor="hyperlink"/>
      <w:u w:val="single"/>
    </w:rPr>
  </w:style>
  <w:style w:type="character" w:styleId="UnresolvedMention">
    <w:name w:val="Unresolved Mention"/>
    <w:basedOn w:val="DefaultParagraphFont"/>
    <w:uiPriority w:val="99"/>
    <w:semiHidden/>
    <w:unhideWhenUsed/>
    <w:rsid w:val="009F3590"/>
    <w:rPr>
      <w:color w:val="605E5C"/>
      <w:shd w:val="clear" w:color="auto" w:fill="E1DFDD"/>
    </w:rPr>
  </w:style>
  <w:style w:type="paragraph" w:styleId="BalloonText">
    <w:name w:val="Balloon Text"/>
    <w:basedOn w:val="Normal"/>
    <w:link w:val="BalloonTextChar"/>
    <w:uiPriority w:val="99"/>
    <w:semiHidden/>
    <w:unhideWhenUsed/>
    <w:rsid w:val="003F6870"/>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F6870"/>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1126/science.aao376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2143</Words>
  <Characters>12413</Characters>
  <Application>Microsoft Office Word</Application>
  <DocSecurity>0</DocSecurity>
  <Lines>653</Lines>
  <Paragraphs>363</Paragraphs>
  <ScaleCrop>false</ScaleCrop>
  <Company/>
  <LinksUpToDate>false</LinksUpToDate>
  <CharactersWithSpaces>14193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Jay Rovisham Doorga</dc:creator>
  <cp:keywords/>
  <dc:description/>
  <cp:lastModifiedBy>CHUNG, Sum Yue</cp:lastModifiedBy>
  <cp:revision>10</cp:revision>
  <dcterms:created xsi:type="dcterms:W3CDTF">2023-07-08T15:32:00Z</dcterms:created>
  <dcterms:modified xsi:type="dcterms:W3CDTF">2023-09-20T16:45:00Z</dcterms:modified>
</cp:coreProperties>
</file>