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435" w:rsidRDefault="00987435" w:rsidP="00A672BC">
      <w:pPr>
        <w:spacing w:line="480" w:lineRule="auto"/>
        <w:rPr>
          <w:b/>
          <w:sz w:val="28"/>
          <w:szCs w:val="28"/>
          <w:u w:val="single"/>
        </w:rPr>
      </w:pPr>
    </w:p>
    <w:p w:rsidR="00987435" w:rsidRPr="003264DC" w:rsidRDefault="00185DA7" w:rsidP="00A672BC">
      <w:pPr>
        <w:spacing w:line="480" w:lineRule="auto"/>
        <w:rPr>
          <w:sz w:val="28"/>
          <w:szCs w:val="28"/>
        </w:rPr>
      </w:pPr>
      <w:r>
        <w:rPr>
          <w:b/>
          <w:sz w:val="28"/>
          <w:szCs w:val="28"/>
        </w:rPr>
        <w:t>D</w:t>
      </w:r>
      <w:r w:rsidR="00987435" w:rsidRPr="003264DC">
        <w:rPr>
          <w:b/>
          <w:sz w:val="28"/>
          <w:szCs w:val="28"/>
        </w:rPr>
        <w:t>epth-dependen</w:t>
      </w:r>
      <w:r>
        <w:rPr>
          <w:b/>
          <w:sz w:val="28"/>
          <w:szCs w:val="28"/>
        </w:rPr>
        <w:t>t</w:t>
      </w:r>
      <w:r w:rsidR="00987435" w:rsidRPr="003264DC">
        <w:rPr>
          <w:b/>
          <w:sz w:val="28"/>
          <w:szCs w:val="28"/>
        </w:rPr>
        <w:t xml:space="preserve"> oxygen redox activity in lithium-rich layered oxide cathodes</w:t>
      </w:r>
      <w:bookmarkStart w:id="0" w:name="_GoBack"/>
      <w:bookmarkEnd w:id="0"/>
    </w:p>
    <w:p w:rsidR="00987435" w:rsidRPr="00474947" w:rsidRDefault="00987435" w:rsidP="00A672BC">
      <w:pPr>
        <w:spacing w:line="480" w:lineRule="auto"/>
      </w:pPr>
      <w:r w:rsidRPr="00474947">
        <w:t>Andrew J. Naylor</w:t>
      </w:r>
      <w:r w:rsidRPr="00BD7252">
        <w:rPr>
          <w:vertAlign w:val="superscript"/>
        </w:rPr>
        <w:t>[a</w:t>
      </w:r>
      <w:r>
        <w:rPr>
          <w:vertAlign w:val="superscript"/>
        </w:rPr>
        <w:t>]</w:t>
      </w:r>
      <w:r w:rsidR="006456A6">
        <w:rPr>
          <w:rFonts w:cstheme="minorHAnsi"/>
          <w:vertAlign w:val="superscript"/>
        </w:rPr>
        <w:t>†</w:t>
      </w:r>
      <w:r w:rsidRPr="00474947">
        <w:t>, Eszter Makkos</w:t>
      </w:r>
      <w:r>
        <w:rPr>
          <w:vertAlign w:val="superscript"/>
        </w:rPr>
        <w:t>[b]</w:t>
      </w:r>
      <w:r>
        <w:t xml:space="preserve">, </w:t>
      </w:r>
      <w:r w:rsidRPr="00474947">
        <w:t>Julia Maibach</w:t>
      </w:r>
      <w:r w:rsidRPr="00BD7252">
        <w:rPr>
          <w:vertAlign w:val="superscript"/>
        </w:rPr>
        <w:t>[</w:t>
      </w:r>
      <w:r>
        <w:rPr>
          <w:vertAlign w:val="superscript"/>
        </w:rPr>
        <w:t>c]</w:t>
      </w:r>
      <w:r w:rsidRPr="00474947">
        <w:t xml:space="preserve">, </w:t>
      </w:r>
      <w:proofErr w:type="spellStart"/>
      <w:r w:rsidRPr="00474947">
        <w:t>Niccol</w:t>
      </w:r>
      <w:r>
        <w:rPr>
          <w:rFonts w:cstheme="minorHAnsi"/>
        </w:rPr>
        <w:t>ó</w:t>
      </w:r>
      <w:proofErr w:type="spellEnd"/>
      <w:r w:rsidRPr="00474947">
        <w:t xml:space="preserve"> Guerrini</w:t>
      </w:r>
      <w:r w:rsidRPr="00BD7252">
        <w:rPr>
          <w:vertAlign w:val="superscript"/>
        </w:rPr>
        <w:t>[a</w:t>
      </w:r>
      <w:r>
        <w:rPr>
          <w:vertAlign w:val="superscript"/>
        </w:rPr>
        <w:t>]</w:t>
      </w:r>
      <w:r w:rsidRPr="00474947">
        <w:t xml:space="preserve">, Adam </w:t>
      </w:r>
      <w:proofErr w:type="spellStart"/>
      <w:r w:rsidRPr="00474947">
        <w:t>Sobkowiak</w:t>
      </w:r>
      <w:proofErr w:type="spellEnd"/>
      <w:r w:rsidRPr="00BD7252">
        <w:rPr>
          <w:vertAlign w:val="superscript"/>
        </w:rPr>
        <w:t>[a</w:t>
      </w:r>
      <w:r>
        <w:rPr>
          <w:vertAlign w:val="superscript"/>
        </w:rPr>
        <w:t>]</w:t>
      </w:r>
      <w:r w:rsidRPr="00474947">
        <w:t xml:space="preserve">, </w:t>
      </w:r>
      <w:r>
        <w:t>Erik Bjö</w:t>
      </w:r>
      <w:r w:rsidRPr="00474947">
        <w:t>rklund</w:t>
      </w:r>
      <w:r w:rsidRPr="00BD7252">
        <w:rPr>
          <w:vertAlign w:val="superscript"/>
        </w:rPr>
        <w:t>[</w:t>
      </w:r>
      <w:r>
        <w:rPr>
          <w:vertAlign w:val="superscript"/>
        </w:rPr>
        <w:t>c]</w:t>
      </w:r>
      <w:r w:rsidRPr="00474947">
        <w:t xml:space="preserve">, </w:t>
      </w:r>
      <w:r w:rsidRPr="009D293D">
        <w:t xml:space="preserve">Juan </w:t>
      </w:r>
      <w:r>
        <w:t xml:space="preserve">G. </w:t>
      </w:r>
      <w:r w:rsidRPr="009D293D">
        <w:t>Lozano</w:t>
      </w:r>
      <w:r w:rsidRPr="009D293D">
        <w:rPr>
          <w:vertAlign w:val="superscript"/>
        </w:rPr>
        <w:t>[a</w:t>
      </w:r>
      <w:r w:rsidRPr="00082F04">
        <w:rPr>
          <w:vertAlign w:val="superscript"/>
        </w:rPr>
        <w:t>]</w:t>
      </w:r>
      <w:r w:rsidRPr="00082F04">
        <w:t xml:space="preserve">, </w:t>
      </w:r>
      <w:r w:rsidR="00A03C5D" w:rsidRPr="00082F04">
        <w:t>Ashok S. Menon</w:t>
      </w:r>
      <w:r w:rsidR="00A03C5D" w:rsidRPr="00082F04">
        <w:rPr>
          <w:vertAlign w:val="superscript"/>
        </w:rPr>
        <w:t>[c]</w:t>
      </w:r>
      <w:r w:rsidR="00A03C5D" w:rsidRPr="00082F04">
        <w:t xml:space="preserve">, </w:t>
      </w:r>
      <w:r w:rsidRPr="00082F04">
        <w:t xml:space="preserve">Reza </w:t>
      </w:r>
      <w:r w:rsidRPr="00474947">
        <w:t>Younesi</w:t>
      </w:r>
      <w:r w:rsidRPr="00BD7252">
        <w:rPr>
          <w:vertAlign w:val="superscript"/>
        </w:rPr>
        <w:t>[</w:t>
      </w:r>
      <w:r>
        <w:rPr>
          <w:vertAlign w:val="superscript"/>
        </w:rPr>
        <w:t>c]</w:t>
      </w:r>
      <w:r w:rsidRPr="00474947">
        <w:t xml:space="preserve">, Matthew </w:t>
      </w:r>
      <w:r>
        <w:t xml:space="preserve">R. </w:t>
      </w:r>
      <w:r w:rsidRPr="00474947">
        <w:t>Roberts</w:t>
      </w:r>
      <w:r w:rsidRPr="00BD7252">
        <w:rPr>
          <w:vertAlign w:val="superscript"/>
        </w:rPr>
        <w:t>[a</w:t>
      </w:r>
      <w:r>
        <w:rPr>
          <w:vertAlign w:val="superscript"/>
        </w:rPr>
        <w:t>]</w:t>
      </w:r>
      <w:r w:rsidRPr="00474947">
        <w:t>,</w:t>
      </w:r>
      <w:r>
        <w:t xml:space="preserve"> </w:t>
      </w:r>
      <w:r w:rsidRPr="00474947">
        <w:t>Kristina Edström</w:t>
      </w:r>
      <w:r w:rsidRPr="00BD7252">
        <w:rPr>
          <w:vertAlign w:val="superscript"/>
        </w:rPr>
        <w:t>[</w:t>
      </w:r>
      <w:r>
        <w:rPr>
          <w:vertAlign w:val="superscript"/>
        </w:rPr>
        <w:t>c]</w:t>
      </w:r>
      <w:r w:rsidRPr="00474947">
        <w:t xml:space="preserve">, </w:t>
      </w:r>
      <w:r>
        <w:t>M.</w:t>
      </w:r>
      <w:r w:rsidRPr="00474947">
        <w:t xml:space="preserve"> Saiful Islam</w:t>
      </w:r>
      <w:r w:rsidRPr="00BD7252">
        <w:rPr>
          <w:vertAlign w:val="superscript"/>
        </w:rPr>
        <w:t>[</w:t>
      </w:r>
      <w:r>
        <w:rPr>
          <w:vertAlign w:val="superscript"/>
        </w:rPr>
        <w:t>b]</w:t>
      </w:r>
      <w:r w:rsidRPr="00474947">
        <w:t>, Peter G. Bruce</w:t>
      </w:r>
      <w:r w:rsidRPr="00BD7252">
        <w:rPr>
          <w:vertAlign w:val="superscript"/>
        </w:rPr>
        <w:t>[</w:t>
      </w:r>
      <w:proofErr w:type="spellStart"/>
      <w:r w:rsidRPr="00BD7252">
        <w:rPr>
          <w:vertAlign w:val="superscript"/>
        </w:rPr>
        <w:t>a</w:t>
      </w:r>
      <w:r w:rsidR="006456A6">
        <w:rPr>
          <w:vertAlign w:val="superscript"/>
        </w:rPr>
        <w:t>,d,e</w:t>
      </w:r>
      <w:proofErr w:type="spellEnd"/>
      <w:r>
        <w:rPr>
          <w:vertAlign w:val="superscript"/>
        </w:rPr>
        <w:t>]</w:t>
      </w:r>
    </w:p>
    <w:p w:rsidR="00987435" w:rsidRPr="00474947" w:rsidRDefault="00987435" w:rsidP="00A672BC">
      <w:pPr>
        <w:spacing w:line="480" w:lineRule="auto"/>
      </w:pPr>
    </w:p>
    <w:p w:rsidR="00987435" w:rsidRPr="00474947" w:rsidRDefault="00987435" w:rsidP="00A672BC">
      <w:pPr>
        <w:spacing w:line="480" w:lineRule="auto"/>
      </w:pPr>
      <w:r w:rsidRPr="00BD7252">
        <w:rPr>
          <w:vertAlign w:val="superscript"/>
        </w:rPr>
        <w:t>[</w:t>
      </w:r>
      <w:proofErr w:type="gramStart"/>
      <w:r w:rsidRPr="00BD7252">
        <w:rPr>
          <w:vertAlign w:val="superscript"/>
        </w:rPr>
        <w:t>a</w:t>
      </w:r>
      <w:proofErr w:type="gramEnd"/>
      <w:r>
        <w:rPr>
          <w:vertAlign w:val="superscript"/>
        </w:rPr>
        <w:t>]</w:t>
      </w:r>
      <w:r>
        <w:t xml:space="preserve"> Department of Materials, </w:t>
      </w:r>
      <w:r w:rsidRPr="00474947">
        <w:t>University of Oxford</w:t>
      </w:r>
      <w:r w:rsidR="002F0799">
        <w:t>, Parks Road, Oxford OX1 3PH, United Kingdom</w:t>
      </w:r>
    </w:p>
    <w:p w:rsidR="00987435" w:rsidRDefault="00987435" w:rsidP="001401D9">
      <w:pPr>
        <w:spacing w:line="480" w:lineRule="auto"/>
      </w:pPr>
      <w:r w:rsidRPr="00BD7252">
        <w:rPr>
          <w:vertAlign w:val="superscript"/>
        </w:rPr>
        <w:t>[</w:t>
      </w:r>
      <w:r>
        <w:rPr>
          <w:vertAlign w:val="superscript"/>
        </w:rPr>
        <w:t xml:space="preserve">b] </w:t>
      </w:r>
      <w:r>
        <w:t xml:space="preserve">Department of Chemistry, </w:t>
      </w:r>
      <w:r w:rsidRPr="00474947">
        <w:t>University of Bath</w:t>
      </w:r>
      <w:r w:rsidR="002F0799">
        <w:t>, Bath, BA2 7AY, United Kingdom</w:t>
      </w:r>
    </w:p>
    <w:p w:rsidR="00987435" w:rsidRDefault="00987435" w:rsidP="00A672BC">
      <w:pPr>
        <w:spacing w:line="480" w:lineRule="auto"/>
      </w:pPr>
      <w:r w:rsidRPr="00BD7252">
        <w:rPr>
          <w:vertAlign w:val="superscript"/>
        </w:rPr>
        <w:t>[</w:t>
      </w:r>
      <w:r>
        <w:rPr>
          <w:vertAlign w:val="superscript"/>
        </w:rPr>
        <w:t xml:space="preserve">c] </w:t>
      </w:r>
      <w:r>
        <w:t xml:space="preserve">Department of Chemistry – Ångström Laboratory, </w:t>
      </w:r>
      <w:r w:rsidRPr="00474947">
        <w:t>Uppsala University</w:t>
      </w:r>
      <w:r>
        <w:t>, Box 538, SE-75121 Uppsala, Sweden</w:t>
      </w:r>
    </w:p>
    <w:p w:rsidR="006456A6" w:rsidRDefault="006456A6" w:rsidP="006456A6">
      <w:pPr>
        <w:spacing w:line="480" w:lineRule="auto"/>
      </w:pPr>
      <w:r>
        <w:rPr>
          <w:vertAlign w:val="superscript"/>
        </w:rPr>
        <w:t>[d]</w:t>
      </w:r>
      <w:r>
        <w:t xml:space="preserve"> The Henry Royce Institute, Parks Road, Oxford, OX1 3PH, United Kingdom</w:t>
      </w:r>
    </w:p>
    <w:p w:rsidR="006456A6" w:rsidRDefault="006456A6" w:rsidP="006456A6">
      <w:pPr>
        <w:spacing w:line="480" w:lineRule="auto"/>
      </w:pPr>
      <w:r>
        <w:rPr>
          <w:vertAlign w:val="superscript"/>
        </w:rPr>
        <w:t>[e]</w:t>
      </w:r>
      <w:r>
        <w:t xml:space="preserve"> The Faraday Institution, Quad One, Becquerel Avenue, Harwell Campus, Didcot, OX11 0RA, United Kingdom</w:t>
      </w:r>
    </w:p>
    <w:p w:rsidR="006456A6" w:rsidRPr="00474947" w:rsidRDefault="006456A6" w:rsidP="00A672BC">
      <w:pPr>
        <w:spacing w:line="480" w:lineRule="auto"/>
      </w:pPr>
      <w:r>
        <w:rPr>
          <w:rFonts w:cstheme="minorHAnsi"/>
          <w:vertAlign w:val="superscript"/>
        </w:rPr>
        <w:t>†</w:t>
      </w:r>
      <w:r>
        <w:rPr>
          <w:rFonts w:cstheme="minorHAnsi"/>
        </w:rPr>
        <w:t xml:space="preserve"> Current address: </w:t>
      </w:r>
      <w:r>
        <w:t>Department of Chemistry – Ångström Laboratory, Uppsala University, Box 538, SE-75121 Uppsala, Sweden</w:t>
      </w:r>
    </w:p>
    <w:p w:rsidR="00987435" w:rsidRDefault="00987435" w:rsidP="00987435">
      <w:pPr>
        <w:spacing w:line="480" w:lineRule="auto"/>
        <w:jc w:val="center"/>
        <w:rPr>
          <w:b/>
          <w:sz w:val="28"/>
          <w:szCs w:val="28"/>
          <w:u w:val="single"/>
        </w:rPr>
      </w:pPr>
    </w:p>
    <w:p w:rsidR="00987435" w:rsidRPr="00D61712" w:rsidRDefault="00987435" w:rsidP="001401D9">
      <w:pPr>
        <w:spacing w:line="480" w:lineRule="auto"/>
        <w:jc w:val="center"/>
        <w:rPr>
          <w:sz w:val="28"/>
        </w:rPr>
      </w:pPr>
      <w:r w:rsidRPr="00D61712">
        <w:rPr>
          <w:b/>
          <w:sz w:val="36"/>
          <w:szCs w:val="28"/>
          <w:u w:val="single"/>
        </w:rPr>
        <w:t>Supplementary Information</w:t>
      </w:r>
    </w:p>
    <w:p w:rsidR="00987435" w:rsidRDefault="00987435" w:rsidP="00987435">
      <w:pPr>
        <w:rPr>
          <w:b/>
          <w:u w:val="single"/>
        </w:rPr>
      </w:pPr>
      <w:r>
        <w:rPr>
          <w:b/>
          <w:u w:val="single"/>
        </w:rPr>
        <w:br w:type="page"/>
      </w:r>
    </w:p>
    <w:p w:rsidR="00987435" w:rsidRPr="00B05382" w:rsidRDefault="00987435" w:rsidP="001401D9">
      <w:pPr>
        <w:spacing w:line="480" w:lineRule="auto"/>
        <w:rPr>
          <w:b/>
          <w:u w:val="single"/>
        </w:rPr>
      </w:pPr>
      <w:r w:rsidRPr="00B05382">
        <w:rPr>
          <w:b/>
          <w:u w:val="single"/>
        </w:rPr>
        <w:lastRenderedPageBreak/>
        <w:t xml:space="preserve">Note </w:t>
      </w:r>
      <w:r w:rsidR="001401D9">
        <w:rPr>
          <w:b/>
          <w:u w:val="single"/>
        </w:rPr>
        <w:t>1</w:t>
      </w:r>
      <w:r>
        <w:rPr>
          <w:b/>
          <w:u w:val="single"/>
        </w:rPr>
        <w:t>. Depth of analysis calculations.</w:t>
      </w:r>
    </w:p>
    <w:p w:rsidR="00987435" w:rsidRDefault="00987435" w:rsidP="00A672BC">
      <w:pPr>
        <w:spacing w:line="480" w:lineRule="auto"/>
        <w:rPr>
          <w:rFonts w:eastAsiaTheme="minorEastAsia"/>
        </w:rPr>
      </w:pPr>
      <w:r>
        <w:t>For energy-tuned photoelectron spectroscopy measurements,</w:t>
      </w:r>
      <w:r w:rsidRPr="003264DC">
        <w:t xml:space="preserve"> three different photon energies </w:t>
      </w:r>
      <w:r>
        <w:t xml:space="preserve">(1.09, 2.35, 7.05 </w:t>
      </w:r>
      <w:proofErr w:type="spellStart"/>
      <w:r>
        <w:t>keV</w:t>
      </w:r>
      <w:proofErr w:type="spellEnd"/>
      <w:r>
        <w:t>) were</w:t>
      </w:r>
      <w:r w:rsidRPr="003264DC">
        <w:t xml:space="preserve"> used to probe</w:t>
      </w:r>
      <w:r>
        <w:t xml:space="preserve"> different depths of the sample. The inelastic mean free path (IMFP) of an electron is highly dependent on its kinetic energy. Those photoelectrons emitted as a result of excitation by a higher photon energy (e.g. 7.05 </w:t>
      </w:r>
      <w:proofErr w:type="spellStart"/>
      <w:r>
        <w:t>keV</w:t>
      </w:r>
      <w:proofErr w:type="spellEnd"/>
      <w:r>
        <w:t xml:space="preserve">) will have higher kinetic energies and will therefore have a greater probability of travelling a longer distance before being </w:t>
      </w:r>
      <w:proofErr w:type="spellStart"/>
      <w:r>
        <w:t>inelastically</w:t>
      </w:r>
      <w:proofErr w:type="spellEnd"/>
      <w:r>
        <w:t xml:space="preserve"> scattered. In contrast, electrons with lower kinetic energies are more likely to have been emitted from close to the surface. T</w:t>
      </w:r>
      <w:r>
        <w:rPr>
          <w:rFonts w:eastAsiaTheme="minorEastAsia"/>
        </w:rPr>
        <w:t>he majority (</w:t>
      </w:r>
      <w:r>
        <w:rPr>
          <w:rFonts w:cstheme="minorHAnsi"/>
        </w:rPr>
        <w:t>~</w:t>
      </w:r>
      <w:r w:rsidRPr="00901ACC">
        <w:rPr>
          <w:rFonts w:eastAsiaTheme="minorEastAsia"/>
        </w:rPr>
        <w:t>95 %</w:t>
      </w:r>
      <w:r>
        <w:rPr>
          <w:rFonts w:eastAsiaTheme="minorEastAsia"/>
        </w:rPr>
        <w:t>) of electrons are emitted from a depth corresponding to 3x IMFP.</w:t>
      </w:r>
      <w:r>
        <w:rPr>
          <w:rFonts w:eastAsiaTheme="minorEastAsia"/>
        </w:rPr>
        <w:fldChar w:fldCharType="begin" w:fldLock="1"/>
      </w:r>
      <w:r w:rsidR="008E020B">
        <w:rPr>
          <w:rFonts w:eastAsiaTheme="minorEastAsia"/>
        </w:rPr>
        <w:instrText>ADDIN CSL_CITATION {"citationItems":[{"id":"ITEM-1","itemData":{"ISBN":"0521305640","abstract":"1st pbk. ed. Methods of surface analysis / J.M. Walls -- Ion erosion in surface analysis / R. Smith and J.M. Walls -- Electron and ion energy analysis / M.P. Seah -- Auger electron spectroscopy / H.E. Bishop -- X-ray photoelectron spectroscopy / A.B. Christie -- Static secondary ion mass spectroscopy / J.C. Vickerman -- Dynamic secondary ion mass spectrometry / D.E. Sykes -- Ion scattering spectroscopy / D.G. Armour -- Rutherford back-scattering spectrometry / W.A. Grant.","author":[{"dropping-particle":"","family":"A.B. Christie","given":"","non-dropping-particle":"","parse-names":false,"suffix":""}],"container-title":"Methods of Surface Analysis: Techniques and Applications","editor":[{"dropping-particle":"","family":"Walls","given":"J.M.","non-dropping-particle":"","parse-names":false,"suffix":""}],"id":"ITEM-1","issued":{"date-parts":[["1989"]]},"page":"342","publisher":"Cambridge University Press","title":"X-ray photoelectron spectroscopy","type":"chapter"},"uris":["http://www.mendeley.com/documents/?uuid=701c8351-dc57-3633-9de1-a85fe147acd8"]}],"mendeley":{"formattedCitation":"&lt;sup&gt;1&lt;/sup&gt;","plainTextFormattedCitation":"1","previouslyFormattedCitation":"&lt;sup&gt;1&lt;/sup&gt;"},"properties":{"noteIndex":0},"schema":"https://github.com/citation-style-language/schema/raw/master/csl-citation.json"}</w:instrText>
      </w:r>
      <w:r>
        <w:rPr>
          <w:rFonts w:eastAsiaTheme="minorEastAsia"/>
        </w:rPr>
        <w:fldChar w:fldCharType="separate"/>
      </w:r>
      <w:r w:rsidRPr="00987435">
        <w:rPr>
          <w:rFonts w:eastAsiaTheme="minorEastAsia"/>
          <w:noProof/>
          <w:vertAlign w:val="superscript"/>
        </w:rPr>
        <w:t>1</w:t>
      </w:r>
      <w:r>
        <w:rPr>
          <w:rFonts w:eastAsiaTheme="minorEastAsia"/>
        </w:rPr>
        <w:fldChar w:fldCharType="end"/>
      </w:r>
      <w:r>
        <w:rPr>
          <w:rFonts w:eastAsiaTheme="minorEastAsia"/>
        </w:rPr>
        <w:t xml:space="preserve"> While we employ a grazing incident angle to capture an average signal of many particles on the sample and minimise radiation damage, the analyser is oriented 90 </w:t>
      </w:r>
      <w:r>
        <w:rPr>
          <w:rFonts w:eastAsiaTheme="minorEastAsia" w:cstheme="minorHAnsi"/>
        </w:rPr>
        <w:t>°</w:t>
      </w:r>
      <w:r>
        <w:rPr>
          <w:rFonts w:eastAsiaTheme="minorEastAsia"/>
        </w:rPr>
        <w:t xml:space="preserve"> to the sample to ensure the highest possible probing depth. </w:t>
      </w:r>
    </w:p>
    <w:p w:rsidR="00987435" w:rsidRDefault="00987435" w:rsidP="00A672BC">
      <w:pPr>
        <w:spacing w:line="480" w:lineRule="auto"/>
        <w:rPr>
          <w:rFonts w:eastAsiaTheme="minorEastAsia"/>
        </w:rPr>
      </w:pPr>
      <w:r>
        <w:rPr>
          <w:rFonts w:eastAsiaTheme="minorEastAsia"/>
        </w:rPr>
        <w:t xml:space="preserve">Whilst the IMFP varies greatly with electron kinetic energy, it is also somewhat dependent on the nature of the solid from which the electrons are emitted, taking into account factors such as density, </w:t>
      </w:r>
      <w:r w:rsidRPr="00D87043">
        <w:rPr>
          <w:rFonts w:eastAsiaTheme="minorEastAsia"/>
        </w:rPr>
        <w:t>band gap</w:t>
      </w:r>
      <w:r>
        <w:rPr>
          <w:rFonts w:eastAsiaTheme="minorEastAsia"/>
        </w:rPr>
        <w:t>, molecular weight, and number of valence electrons. For the layered transition metal oxide cathode material that we investigate in this study, we used the following parameters in the calculation of analysis depth:</w:t>
      </w:r>
    </w:p>
    <w:p w:rsidR="00987435" w:rsidRDefault="00987435" w:rsidP="00A672BC">
      <w:pPr>
        <w:spacing w:line="480" w:lineRule="auto"/>
        <w:rPr>
          <w:rFonts w:eastAsiaTheme="minorEastAsia"/>
        </w:rPr>
      </w:pPr>
      <w:r>
        <w:rPr>
          <w:rFonts w:eastAsiaTheme="minorEastAsia"/>
        </w:rPr>
        <w:t>Electron kinetic energy, E</w:t>
      </w:r>
      <w:r w:rsidRPr="004C5F40">
        <w:rPr>
          <w:rFonts w:eastAsiaTheme="minorEastAsia"/>
          <w:vertAlign w:val="subscript"/>
        </w:rPr>
        <w:t>K</w:t>
      </w:r>
      <w:r>
        <w:rPr>
          <w:rFonts w:eastAsiaTheme="minorEastAsia"/>
        </w:rPr>
        <w:t xml:space="preserve"> (O 1s):</w:t>
      </w:r>
      <w:r>
        <w:rPr>
          <w:rFonts w:eastAsiaTheme="minorEastAsia"/>
        </w:rPr>
        <w:tab/>
        <w:t>[</w:t>
      </w:r>
      <w:proofErr w:type="spellStart"/>
      <w:r>
        <w:rPr>
          <w:rFonts w:eastAsiaTheme="minorEastAsia"/>
        </w:rPr>
        <w:t>h</w:t>
      </w:r>
      <w:r>
        <w:rPr>
          <w:rFonts w:eastAsiaTheme="minorEastAsia" w:cstheme="minorHAnsi"/>
        </w:rPr>
        <w:t>ν</w:t>
      </w:r>
      <w:proofErr w:type="spellEnd"/>
      <w:r>
        <w:rPr>
          <w:rFonts w:eastAsiaTheme="minorEastAsia"/>
        </w:rPr>
        <w:t xml:space="preserve"> = 1.09 </w:t>
      </w:r>
      <w:proofErr w:type="spellStart"/>
      <w:r>
        <w:rPr>
          <w:rFonts w:eastAsiaTheme="minorEastAsia"/>
        </w:rPr>
        <w:t>keV</w:t>
      </w:r>
      <w:proofErr w:type="spellEnd"/>
      <w:r>
        <w:rPr>
          <w:rFonts w:eastAsiaTheme="minorEastAsia"/>
        </w:rPr>
        <w:t>]</w:t>
      </w:r>
      <w:r>
        <w:rPr>
          <w:rFonts w:eastAsiaTheme="minorEastAsia"/>
        </w:rPr>
        <w:tab/>
        <w:t>560 eV</w:t>
      </w:r>
    </w:p>
    <w:p w:rsidR="00987435" w:rsidRPr="00B71E7E" w:rsidRDefault="00987435" w:rsidP="00A672BC">
      <w:pPr>
        <w:spacing w:line="480" w:lineRule="auto"/>
        <w:rPr>
          <w:rFonts w:eastAsiaTheme="minorEastAsia"/>
          <w:lang w:val="sv-SE"/>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B71E7E">
        <w:rPr>
          <w:rFonts w:eastAsiaTheme="minorEastAsia"/>
          <w:lang w:val="sv-SE"/>
        </w:rPr>
        <w:t>[h</w:t>
      </w:r>
      <w:r>
        <w:rPr>
          <w:rFonts w:eastAsiaTheme="minorEastAsia" w:cstheme="minorHAnsi"/>
        </w:rPr>
        <w:t>ν</w:t>
      </w:r>
      <w:r w:rsidRPr="00B71E7E">
        <w:rPr>
          <w:rFonts w:eastAsiaTheme="minorEastAsia"/>
          <w:lang w:val="sv-SE"/>
        </w:rPr>
        <w:t xml:space="preserve"> = 2.35 </w:t>
      </w:r>
      <w:proofErr w:type="spellStart"/>
      <w:r w:rsidRPr="00B71E7E">
        <w:rPr>
          <w:rFonts w:eastAsiaTheme="minorEastAsia"/>
          <w:lang w:val="sv-SE"/>
        </w:rPr>
        <w:t>keV</w:t>
      </w:r>
      <w:proofErr w:type="spellEnd"/>
      <w:r w:rsidRPr="00B71E7E">
        <w:rPr>
          <w:rFonts w:eastAsiaTheme="minorEastAsia"/>
          <w:lang w:val="sv-SE"/>
        </w:rPr>
        <w:t>]</w:t>
      </w:r>
      <w:r w:rsidRPr="00B71E7E">
        <w:rPr>
          <w:rFonts w:eastAsiaTheme="minorEastAsia"/>
          <w:lang w:val="sv-SE"/>
        </w:rPr>
        <w:tab/>
        <w:t>1820 eV</w:t>
      </w:r>
    </w:p>
    <w:p w:rsidR="00987435" w:rsidRPr="00B71E7E" w:rsidRDefault="00987435" w:rsidP="00A672BC">
      <w:pPr>
        <w:spacing w:line="480" w:lineRule="auto"/>
        <w:rPr>
          <w:rFonts w:eastAsiaTheme="minorEastAsia"/>
          <w:lang w:val="sv-SE"/>
        </w:rPr>
      </w:pPr>
      <w:r w:rsidRPr="000F341B">
        <w:rPr>
          <w:rFonts w:eastAsiaTheme="minorEastAsia"/>
          <w:lang w:val="sv-SE"/>
        </w:rPr>
        <w:tab/>
      </w:r>
      <w:r w:rsidRPr="000F341B">
        <w:rPr>
          <w:rFonts w:eastAsiaTheme="minorEastAsia"/>
          <w:lang w:val="sv-SE"/>
        </w:rPr>
        <w:tab/>
      </w:r>
      <w:r w:rsidRPr="000F341B">
        <w:rPr>
          <w:rFonts w:eastAsiaTheme="minorEastAsia"/>
          <w:lang w:val="sv-SE"/>
        </w:rPr>
        <w:tab/>
      </w:r>
      <w:r w:rsidRPr="000F341B">
        <w:rPr>
          <w:rFonts w:eastAsiaTheme="minorEastAsia"/>
          <w:lang w:val="sv-SE"/>
        </w:rPr>
        <w:tab/>
      </w:r>
      <w:r w:rsidRPr="000F341B">
        <w:rPr>
          <w:rFonts w:eastAsiaTheme="minorEastAsia"/>
          <w:lang w:val="sv-SE"/>
        </w:rPr>
        <w:tab/>
        <w:t>[h</w:t>
      </w:r>
      <w:r>
        <w:rPr>
          <w:rFonts w:eastAsiaTheme="minorEastAsia" w:cstheme="minorHAnsi"/>
        </w:rPr>
        <w:t>ν</w:t>
      </w:r>
      <w:r w:rsidRPr="00B71E7E">
        <w:rPr>
          <w:rFonts w:eastAsiaTheme="minorEastAsia"/>
          <w:lang w:val="sv-SE"/>
        </w:rPr>
        <w:t xml:space="preserve"> = 7.05 </w:t>
      </w:r>
      <w:proofErr w:type="spellStart"/>
      <w:r w:rsidRPr="00B71E7E">
        <w:rPr>
          <w:rFonts w:eastAsiaTheme="minorEastAsia"/>
          <w:lang w:val="sv-SE"/>
        </w:rPr>
        <w:t>keV</w:t>
      </w:r>
      <w:proofErr w:type="spellEnd"/>
      <w:r w:rsidRPr="00B71E7E">
        <w:rPr>
          <w:rFonts w:eastAsiaTheme="minorEastAsia"/>
          <w:lang w:val="sv-SE"/>
        </w:rPr>
        <w:t>]</w:t>
      </w:r>
      <w:r w:rsidRPr="00B71E7E">
        <w:rPr>
          <w:rFonts w:eastAsiaTheme="minorEastAsia"/>
          <w:lang w:val="sv-SE"/>
        </w:rPr>
        <w:tab/>
        <w:t>6520 eV</w:t>
      </w:r>
    </w:p>
    <w:p w:rsidR="00987435" w:rsidRDefault="00987435" w:rsidP="00A672BC">
      <w:pPr>
        <w:spacing w:line="480" w:lineRule="auto"/>
        <w:rPr>
          <w:rFonts w:eastAsiaTheme="minorEastAsia"/>
        </w:rPr>
      </w:pPr>
      <w:r>
        <w:rPr>
          <w:rFonts w:eastAsiaTheme="minorEastAsia"/>
        </w:rPr>
        <w:t>Number of valence electrons in pristine material, N</w:t>
      </w:r>
      <w:r>
        <w:rPr>
          <w:rFonts w:eastAsiaTheme="minorEastAsia"/>
          <w:vertAlign w:val="subscript"/>
        </w:rPr>
        <w:t>V</w:t>
      </w:r>
      <w:r>
        <w:rPr>
          <w:rFonts w:eastAsiaTheme="minorEastAsia"/>
        </w:rPr>
        <w:t>: 16.6</w:t>
      </w:r>
    </w:p>
    <w:p w:rsidR="00987435" w:rsidRDefault="00987435" w:rsidP="00A672BC">
      <w:pPr>
        <w:spacing w:line="480" w:lineRule="auto"/>
        <w:rPr>
          <w:rFonts w:eastAsiaTheme="minorEastAsia"/>
        </w:rPr>
      </w:pPr>
      <w:r>
        <w:rPr>
          <w:rFonts w:eastAsiaTheme="minorEastAsia"/>
        </w:rPr>
        <w:t xml:space="preserve">Density, </w:t>
      </w:r>
      <w:r>
        <w:rPr>
          <w:rFonts w:eastAsiaTheme="minorEastAsia" w:cstheme="minorHAnsi"/>
        </w:rPr>
        <w:t>ρ</w:t>
      </w:r>
      <w:r>
        <w:rPr>
          <w:rFonts w:eastAsiaTheme="minorEastAsia"/>
        </w:rPr>
        <w:t>: 4.19 g cm</w:t>
      </w:r>
      <w:r>
        <w:rPr>
          <w:rFonts w:eastAsiaTheme="minorEastAsia"/>
          <w:vertAlign w:val="superscript"/>
        </w:rPr>
        <w:t>-3</w:t>
      </w:r>
    </w:p>
    <w:p w:rsidR="00987435" w:rsidRDefault="00987435" w:rsidP="00A672BC">
      <w:pPr>
        <w:spacing w:line="480" w:lineRule="auto"/>
        <w:rPr>
          <w:rFonts w:eastAsiaTheme="minorEastAsia"/>
        </w:rPr>
      </w:pPr>
      <w:r>
        <w:rPr>
          <w:rFonts w:eastAsiaTheme="minorEastAsia"/>
        </w:rPr>
        <w:t>Molecular weight, M</w:t>
      </w:r>
      <w:r>
        <w:rPr>
          <w:rFonts w:eastAsiaTheme="minorEastAsia"/>
          <w:vertAlign w:val="subscript"/>
        </w:rPr>
        <w:t>W</w:t>
      </w:r>
      <w:r>
        <w:rPr>
          <w:rFonts w:eastAsiaTheme="minorEastAsia"/>
        </w:rPr>
        <w:t>: 85.0306 g mol</w:t>
      </w:r>
      <w:r>
        <w:rPr>
          <w:rFonts w:eastAsiaTheme="minorEastAsia"/>
          <w:vertAlign w:val="superscript"/>
        </w:rPr>
        <w:t>-1</w:t>
      </w:r>
    </w:p>
    <w:p w:rsidR="00987435" w:rsidRPr="00E53EB5" w:rsidRDefault="00987435" w:rsidP="00A672BC">
      <w:pPr>
        <w:spacing w:line="480" w:lineRule="auto"/>
        <w:rPr>
          <w:rFonts w:eastAsiaTheme="minorEastAsia"/>
        </w:rPr>
      </w:pPr>
      <w:r>
        <w:rPr>
          <w:rFonts w:eastAsiaTheme="minorEastAsia"/>
        </w:rPr>
        <w:lastRenderedPageBreak/>
        <w:t xml:space="preserve">Band gap energy </w:t>
      </w:r>
      <w:proofErr w:type="spellStart"/>
      <w:r>
        <w:rPr>
          <w:rFonts w:eastAsiaTheme="minorEastAsia"/>
        </w:rPr>
        <w:t>E</w:t>
      </w:r>
      <w:r>
        <w:rPr>
          <w:rFonts w:eastAsiaTheme="minorEastAsia"/>
          <w:vertAlign w:val="subscript"/>
        </w:rPr>
        <w:t>g</w:t>
      </w:r>
      <w:proofErr w:type="spellEnd"/>
      <w:r>
        <w:rPr>
          <w:rFonts w:eastAsiaTheme="minorEastAsia"/>
        </w:rPr>
        <w:t xml:space="preserve">: 2.5 eV – as calculated from density of states (DOS) for the </w:t>
      </w:r>
      <w:r w:rsidRPr="00053307">
        <w:t>Li</w:t>
      </w:r>
      <w:r w:rsidRPr="00053307">
        <w:rPr>
          <w:vertAlign w:val="subscript"/>
        </w:rPr>
        <w:t>1.17-x</w:t>
      </w:r>
      <w:r w:rsidRPr="00053307">
        <w:t>Ni</w:t>
      </w:r>
      <w:r w:rsidRPr="00053307">
        <w:rPr>
          <w:vertAlign w:val="subscript"/>
        </w:rPr>
        <w:t>0.25</w:t>
      </w:r>
      <w:r w:rsidRPr="00053307">
        <w:t>Mn</w:t>
      </w:r>
      <w:r w:rsidRPr="00053307">
        <w:rPr>
          <w:vertAlign w:val="subscript"/>
        </w:rPr>
        <w:t>0.58</w:t>
      </w:r>
      <w:r w:rsidRPr="00053307">
        <w:t>O</w:t>
      </w:r>
      <w:r w:rsidRPr="00053307">
        <w:rPr>
          <w:vertAlign w:val="subscript"/>
        </w:rPr>
        <w:t>2</w:t>
      </w:r>
      <w:r>
        <w:t xml:space="preserve"> structure.</w:t>
      </w:r>
    </w:p>
    <w:p w:rsidR="00987435" w:rsidRDefault="00987435" w:rsidP="00A672BC">
      <w:pPr>
        <w:spacing w:line="480" w:lineRule="auto"/>
        <w:rPr>
          <w:rFonts w:eastAsiaTheme="minorEastAsia"/>
        </w:rPr>
      </w:pPr>
    </w:p>
    <w:p w:rsidR="00987435" w:rsidRDefault="00987435" w:rsidP="00A672BC">
      <w:pPr>
        <w:spacing w:line="480" w:lineRule="auto"/>
        <w:rPr>
          <w:rFonts w:eastAsiaTheme="minorEastAsia"/>
        </w:rPr>
      </w:pPr>
      <w:r>
        <w:rPr>
          <w:rFonts w:eastAsiaTheme="minorEastAsia"/>
        </w:rPr>
        <w:t xml:space="preserve">Approximating the IMFP using these parameters and the equations of </w:t>
      </w:r>
      <w:proofErr w:type="spellStart"/>
      <w:r w:rsidRPr="00E53EB5">
        <w:rPr>
          <w:rFonts w:eastAsiaTheme="minorEastAsia"/>
        </w:rPr>
        <w:t>Tanuma</w:t>
      </w:r>
      <w:proofErr w:type="spellEnd"/>
      <w:r w:rsidRPr="00E53EB5">
        <w:rPr>
          <w:rFonts w:eastAsiaTheme="minorEastAsia"/>
        </w:rPr>
        <w:t>, Powell, and Penn</w:t>
      </w:r>
      <w:r>
        <w:rPr>
          <w:rFonts w:eastAsiaTheme="minorEastAsia"/>
        </w:rPr>
        <w:t xml:space="preserve"> (TPP-2M)</w:t>
      </w:r>
      <w:r>
        <w:rPr>
          <w:rFonts w:eastAsiaTheme="minorEastAsia"/>
        </w:rPr>
        <w:fldChar w:fldCharType="begin" w:fldLock="1"/>
      </w:r>
      <w:r w:rsidR="00E6771F">
        <w:rPr>
          <w:rFonts w:eastAsiaTheme="minorEastAsia"/>
        </w:rPr>
        <w:instrText>ADDIN CSL_CITATION {"citationItems":[{"id":"ITEM-1","itemData":{"DOI":"10.1002/sia.740210302","ISSN":"0142-2421","author":[{"dropping-particle":"","family":"Tanuma","given":"S.","non-dropping-particle":"","parse-names":false,"suffix":""},{"dropping-particle":"","family":"Powell","given":"C. J.","non-dropping-particle":"","parse-names":false,"suffix":""},{"dropping-particle":"","family":"Penn","given":"D. R.","non-dropping-particle":"","parse-names":false,"suffix":""}],"container-title":"Surface and Interface Analysis","id":"ITEM-1","issue":"3","issued":{"date-parts":[["1994","3","1"]]},"page":"165-176","publisher":"John Wiley &amp; Sons, Ltd","title":"Calculations of electron inelastic mean free paths. V. Data for 14 organic compounds over the 50-2000 eV range","type":"article-journal","volume":"21"},"uris":["http://www.mendeley.com/documents/?uuid=2785adbc-d4da-3432-a371-cbbbd24b8255"]}],"mendeley":{"formattedCitation":"&lt;sup&gt;2&lt;/sup&gt;","plainTextFormattedCitation":"2","previouslyFormattedCitation":"&lt;sup&gt;2&lt;/sup&gt;"},"properties":{"noteIndex":0},"schema":"https://github.com/citation-style-language/schema/raw/master/csl-citation.json"}</w:instrText>
      </w:r>
      <w:r>
        <w:rPr>
          <w:rFonts w:eastAsiaTheme="minorEastAsia"/>
        </w:rPr>
        <w:fldChar w:fldCharType="separate"/>
      </w:r>
      <w:r w:rsidRPr="00987435">
        <w:rPr>
          <w:rFonts w:eastAsiaTheme="minorEastAsia"/>
          <w:noProof/>
          <w:vertAlign w:val="superscript"/>
        </w:rPr>
        <w:t>2</w:t>
      </w:r>
      <w:r>
        <w:rPr>
          <w:rFonts w:eastAsiaTheme="minorEastAsia"/>
        </w:rPr>
        <w:fldChar w:fldCharType="end"/>
      </w:r>
      <w:r>
        <w:rPr>
          <w:rFonts w:eastAsiaTheme="minorEastAsia"/>
        </w:rPr>
        <w:t xml:space="preserve">, we estimate that 3x IMFP corresponds to a depth of 4.12 nm for a photon energy of 1.09 </w:t>
      </w:r>
      <w:proofErr w:type="spellStart"/>
      <w:r>
        <w:rPr>
          <w:rFonts w:eastAsiaTheme="minorEastAsia"/>
        </w:rPr>
        <w:t>keV</w:t>
      </w:r>
      <w:proofErr w:type="spellEnd"/>
      <w:r>
        <w:rPr>
          <w:rFonts w:eastAsiaTheme="minorEastAsia"/>
        </w:rPr>
        <w:t xml:space="preserve">, 10.06 nm for 2.35 </w:t>
      </w:r>
      <w:proofErr w:type="spellStart"/>
      <w:r>
        <w:rPr>
          <w:rFonts w:eastAsiaTheme="minorEastAsia"/>
        </w:rPr>
        <w:t>keV</w:t>
      </w:r>
      <w:proofErr w:type="spellEnd"/>
      <w:r>
        <w:rPr>
          <w:rFonts w:eastAsiaTheme="minorEastAsia"/>
        </w:rPr>
        <w:t xml:space="preserve">, and 28.69 nm for 7.05 </w:t>
      </w:r>
      <w:proofErr w:type="spellStart"/>
      <w:r>
        <w:rPr>
          <w:rFonts w:eastAsiaTheme="minorEastAsia"/>
        </w:rPr>
        <w:t>keV</w:t>
      </w:r>
      <w:proofErr w:type="spellEnd"/>
      <w:r>
        <w:rPr>
          <w:rFonts w:eastAsiaTheme="minorEastAsia"/>
        </w:rPr>
        <w:t>. We note that, as with any formula, the TPP-2M experiences limitations and assumptions, so these values should only be taken as approximations. This is represented in the schematic diagram in Figure 1 of the main text where monochromatic light of three different energies is signified to be ejecting photoelectrons from different depths of a particle. In practice, not just one particle is being probed, but an average signal is acquired from a large number of particles. This serves as an approximation for the depth of analysis for each photon energy used and when probing the O 1s core level. For partially, or fully charged states the properties (e.g. band gap) of the material will change. However, as previously mentioned it is the kinetic energy that most affects the IMFP.</w:t>
      </w:r>
    </w:p>
    <w:p w:rsidR="00987435" w:rsidRDefault="00987435" w:rsidP="00A672BC">
      <w:pPr>
        <w:spacing w:line="480" w:lineRule="auto"/>
      </w:pPr>
    </w:p>
    <w:p w:rsidR="008F5F33" w:rsidRPr="00082F04" w:rsidRDefault="008F5F33" w:rsidP="00A672BC">
      <w:pPr>
        <w:spacing w:line="480" w:lineRule="auto"/>
      </w:pPr>
      <w:r w:rsidRPr="00082F04">
        <w:t xml:space="preserve">While the majority (95 %) of electrons are ejected from a depth corresponding to </w:t>
      </w:r>
      <w:proofErr w:type="gramStart"/>
      <w:r w:rsidRPr="00082F04">
        <w:t>3x</w:t>
      </w:r>
      <w:proofErr w:type="gramEnd"/>
      <w:r w:rsidRPr="00082F04">
        <w:t xml:space="preserve"> IMFP, the probability of escape decreases exponentially, as shown in </w:t>
      </w:r>
      <w:r w:rsidRPr="00082F04">
        <w:fldChar w:fldCharType="begin"/>
      </w:r>
      <w:r w:rsidRPr="00082F04">
        <w:instrText xml:space="preserve"> REF _Ref7008883 \h  \* MERGEFORMAT </w:instrText>
      </w:r>
      <w:r w:rsidRPr="00082F04">
        <w:fldChar w:fldCharType="separate"/>
      </w:r>
      <w:r w:rsidR="00AE3693" w:rsidRPr="00AE3693">
        <w:t>Figure S1</w:t>
      </w:r>
      <w:r w:rsidRPr="00082F04">
        <w:fldChar w:fldCharType="end"/>
      </w:r>
      <w:r w:rsidRPr="00082F04">
        <w:t>. This is inherent of photoelectron spectroscopy measurements, resulting in that they are surface-sensitive. However, by using large enough probing depths a part of the signal will originate</w:t>
      </w:r>
      <w:r w:rsidR="008D38EB">
        <w:t xml:space="preserve"> additionally</w:t>
      </w:r>
      <w:r w:rsidRPr="00082F04">
        <w:t xml:space="preserve"> from the bulk of the </w:t>
      </w:r>
      <w:r w:rsidR="008D38EB">
        <w:t>material</w:t>
      </w:r>
      <w:r w:rsidRPr="00082F04">
        <w:t>.</w:t>
      </w:r>
      <w:r w:rsidR="00EE0471" w:rsidRPr="00082F04">
        <w:t xml:space="preserve"> </w:t>
      </w:r>
    </w:p>
    <w:p w:rsidR="008F5F33" w:rsidRDefault="008F5F33" w:rsidP="008F5F33">
      <w:pPr>
        <w:keepNext/>
        <w:spacing w:line="480" w:lineRule="auto"/>
        <w:jc w:val="center"/>
      </w:pPr>
      <w:r>
        <w:rPr>
          <w:noProof/>
          <w:lang w:eastAsia="en-GB"/>
        </w:rPr>
        <w:lastRenderedPageBreak/>
        <w:drawing>
          <wp:inline distT="0" distB="0" distL="0" distR="0">
            <wp:extent cx="3162300" cy="27290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decay-plot-v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4509" cy="2730923"/>
                    </a:xfrm>
                    <a:prstGeom prst="rect">
                      <a:avLst/>
                    </a:prstGeom>
                  </pic:spPr>
                </pic:pic>
              </a:graphicData>
            </a:graphic>
          </wp:inline>
        </w:drawing>
      </w:r>
    </w:p>
    <w:p w:rsidR="008F5F33" w:rsidRPr="00082F04" w:rsidRDefault="008F5F33" w:rsidP="00FB32EF">
      <w:pPr>
        <w:pStyle w:val="Caption"/>
        <w:spacing w:line="360" w:lineRule="auto"/>
        <w:rPr>
          <w:i w:val="0"/>
          <w:color w:val="auto"/>
          <w:sz w:val="22"/>
          <w:szCs w:val="22"/>
        </w:rPr>
      </w:pPr>
      <w:bookmarkStart w:id="1" w:name="_Ref7008883"/>
      <w:r w:rsidRPr="00082F04">
        <w:rPr>
          <w:i w:val="0"/>
          <w:color w:val="auto"/>
          <w:sz w:val="22"/>
          <w:szCs w:val="22"/>
        </w:rPr>
        <w:t>Figure S</w:t>
      </w:r>
      <w:r w:rsidRPr="00082F04">
        <w:rPr>
          <w:i w:val="0"/>
          <w:color w:val="auto"/>
          <w:sz w:val="22"/>
          <w:szCs w:val="22"/>
        </w:rPr>
        <w:fldChar w:fldCharType="begin"/>
      </w:r>
      <w:r w:rsidRPr="00082F04">
        <w:rPr>
          <w:i w:val="0"/>
          <w:color w:val="auto"/>
          <w:sz w:val="22"/>
          <w:szCs w:val="22"/>
        </w:rPr>
        <w:instrText xml:space="preserve"> SEQ Figure_S \* ARABIC </w:instrText>
      </w:r>
      <w:r w:rsidRPr="00082F04">
        <w:rPr>
          <w:i w:val="0"/>
          <w:color w:val="auto"/>
          <w:sz w:val="22"/>
          <w:szCs w:val="22"/>
        </w:rPr>
        <w:fldChar w:fldCharType="separate"/>
      </w:r>
      <w:r w:rsidR="00AE3693">
        <w:rPr>
          <w:i w:val="0"/>
          <w:noProof/>
          <w:color w:val="auto"/>
          <w:sz w:val="22"/>
          <w:szCs w:val="22"/>
        </w:rPr>
        <w:t>1</w:t>
      </w:r>
      <w:r w:rsidRPr="00082F04">
        <w:rPr>
          <w:i w:val="0"/>
          <w:color w:val="auto"/>
          <w:sz w:val="22"/>
          <w:szCs w:val="22"/>
        </w:rPr>
        <w:fldChar w:fldCharType="end"/>
      </w:r>
      <w:bookmarkEnd w:id="1"/>
      <w:r w:rsidRPr="00082F04">
        <w:rPr>
          <w:i w:val="0"/>
          <w:color w:val="auto"/>
          <w:sz w:val="22"/>
          <w:szCs w:val="22"/>
        </w:rPr>
        <w:t xml:space="preserve">. The probability of escape of an electron from a given depth, </w:t>
      </w:r>
      <w:r w:rsidRPr="00082F04">
        <w:rPr>
          <w:color w:val="auto"/>
          <w:sz w:val="22"/>
          <w:szCs w:val="22"/>
        </w:rPr>
        <w:t>d</w:t>
      </w:r>
      <w:r w:rsidRPr="00082F04">
        <w:rPr>
          <w:i w:val="0"/>
          <w:color w:val="auto"/>
          <w:sz w:val="22"/>
          <w:szCs w:val="22"/>
        </w:rPr>
        <w:t xml:space="preserve">, where </w:t>
      </w:r>
      <w:r w:rsidRPr="00082F04">
        <w:rPr>
          <w:rFonts w:cstheme="minorHAnsi"/>
          <w:i w:val="0"/>
          <w:color w:val="auto"/>
          <w:sz w:val="22"/>
          <w:szCs w:val="22"/>
        </w:rPr>
        <w:t>λ</w:t>
      </w:r>
      <w:r w:rsidRPr="00082F04">
        <w:rPr>
          <w:i w:val="0"/>
          <w:color w:val="auto"/>
          <w:sz w:val="22"/>
          <w:szCs w:val="22"/>
        </w:rPr>
        <w:t xml:space="preserve"> is the inelastic mean free path for electrons of energy E.</w:t>
      </w:r>
      <w:r w:rsidR="00160EBA" w:rsidRPr="00082F04">
        <w:rPr>
          <w:i w:val="0"/>
          <w:color w:val="auto"/>
          <w:sz w:val="22"/>
          <w:szCs w:val="22"/>
        </w:rPr>
        <w:fldChar w:fldCharType="begin" w:fldLock="1"/>
      </w:r>
      <w:r w:rsidR="00E6771F">
        <w:rPr>
          <w:i w:val="0"/>
          <w:color w:val="auto"/>
          <w:sz w:val="22"/>
          <w:szCs w:val="22"/>
        </w:rPr>
        <w:instrText>ADDIN CSL_CITATION {"citationItems":[{"id":"ITEM-1","itemData":{"DOI":"10.1002/sia.740010103","ISSN":"0142-2421","author":[{"dropping-particle":"","family":"Seah","given":"M. P.","non-dropping-particle":"","parse-names":false,"suffix":""},{"dropping-particle":"","family":"Dench","given":"W. A.","non-dropping-particle":"","parse-names":false,"suffix":""}],"container-title":"Surface and Interface Analysis","id":"ITEM-1","issue":"1","issued":{"date-parts":[["1979","2","1"]]},"page":"2-11","publisher":"John Wiley &amp; Sons, Ltd","title":"Quantitative electron spectroscopy of surfaces: A standard data base for electron inelastic mean free paths in solids","type":"article-journal","volume":"1"},"uris":["http://www.mendeley.com/documents/?uuid=adca64dd-e08a-3cfa-a288-3f394a341951"]}],"mendeley":{"formattedCitation":"&lt;sup&gt;3&lt;/sup&gt;","plainTextFormattedCitation":"3","previouslyFormattedCitation":"&lt;sup&gt;3&lt;/sup&gt;"},"properties":{"noteIndex":0},"schema":"https://github.com/citation-style-language/schema/raw/master/csl-citation.json"}</w:instrText>
      </w:r>
      <w:r w:rsidR="00160EBA" w:rsidRPr="00082F04">
        <w:rPr>
          <w:i w:val="0"/>
          <w:color w:val="auto"/>
          <w:sz w:val="22"/>
          <w:szCs w:val="22"/>
        </w:rPr>
        <w:fldChar w:fldCharType="separate"/>
      </w:r>
      <w:r w:rsidR="00160EBA" w:rsidRPr="00082F04">
        <w:rPr>
          <w:i w:val="0"/>
          <w:noProof/>
          <w:color w:val="auto"/>
          <w:sz w:val="22"/>
          <w:szCs w:val="22"/>
          <w:vertAlign w:val="superscript"/>
        </w:rPr>
        <w:t>3</w:t>
      </w:r>
      <w:r w:rsidR="00160EBA" w:rsidRPr="00082F04">
        <w:rPr>
          <w:i w:val="0"/>
          <w:color w:val="auto"/>
          <w:sz w:val="22"/>
          <w:szCs w:val="22"/>
        </w:rPr>
        <w:fldChar w:fldCharType="end"/>
      </w:r>
    </w:p>
    <w:p w:rsidR="00FB32EF" w:rsidRPr="00082F04" w:rsidRDefault="00FB32EF" w:rsidP="00FB32EF">
      <w:pPr>
        <w:spacing w:after="0" w:line="360" w:lineRule="auto"/>
      </w:pPr>
      <w:r w:rsidRPr="00082F04">
        <w:t>A simple calculation involves assuming that, rather than a concentration gradient being formed by a newly detected species</w:t>
      </w:r>
      <w:r w:rsidR="008D38EB">
        <w:t xml:space="preserve"> through an existing structure</w:t>
      </w:r>
      <w:r w:rsidRPr="00082F04">
        <w:t>, a well-defined surface layer forms on top of the material. If a 1 nm sur</w:t>
      </w:r>
      <w:r w:rsidR="008D38EB">
        <w:t>face layer forms on top of the particle</w:t>
      </w:r>
      <w:r w:rsidRPr="00082F04">
        <w:t xml:space="preserve">, then the % of electrons originating from that layer for each excitation energy used in this study is as follows: </w:t>
      </w:r>
    </w:p>
    <w:tbl>
      <w:tblPr>
        <w:tblStyle w:val="PlainTable2"/>
        <w:tblpPr w:leftFromText="180" w:rightFromText="180" w:vertAnchor="text" w:horzAnchor="margin" w:tblpXSpec="center" w:tblpY="259"/>
        <w:tblW w:w="9072" w:type="dxa"/>
        <w:tblLook w:val="04A0" w:firstRow="1" w:lastRow="0" w:firstColumn="1" w:lastColumn="0" w:noHBand="0" w:noVBand="1"/>
      </w:tblPr>
      <w:tblGrid>
        <w:gridCol w:w="2410"/>
        <w:gridCol w:w="2220"/>
        <w:gridCol w:w="2221"/>
        <w:gridCol w:w="2221"/>
      </w:tblGrid>
      <w:tr w:rsidR="00082F04" w:rsidRPr="00082F04" w:rsidTr="00FB32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B32EF" w:rsidRPr="00082F04" w:rsidRDefault="00FB32EF" w:rsidP="00FB32EF">
            <w:pPr>
              <w:jc w:val="center"/>
              <w:rPr>
                <w:rFonts w:ascii="Calibri" w:hAnsi="Calibri" w:cs="Calibri"/>
              </w:rPr>
            </w:pPr>
          </w:p>
        </w:tc>
        <w:tc>
          <w:tcPr>
            <w:tcW w:w="2220" w:type="dxa"/>
          </w:tcPr>
          <w:p w:rsidR="00FB32EF" w:rsidRPr="00082F04" w:rsidRDefault="00FB32EF" w:rsidP="00FB32E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82F04">
              <w:rPr>
                <w:rFonts w:ascii="Calibri" w:hAnsi="Calibri" w:cs="Calibri"/>
              </w:rPr>
              <w:t xml:space="preserve">1.09 </w:t>
            </w:r>
            <w:proofErr w:type="spellStart"/>
            <w:r w:rsidRPr="00082F04">
              <w:rPr>
                <w:rFonts w:ascii="Calibri" w:hAnsi="Calibri" w:cs="Calibri"/>
              </w:rPr>
              <w:t>keV</w:t>
            </w:r>
            <w:proofErr w:type="spellEnd"/>
          </w:p>
        </w:tc>
        <w:tc>
          <w:tcPr>
            <w:tcW w:w="2221" w:type="dxa"/>
          </w:tcPr>
          <w:p w:rsidR="00FB32EF" w:rsidRPr="00082F04" w:rsidRDefault="00FB32EF" w:rsidP="00FB32E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82F04">
              <w:rPr>
                <w:rFonts w:ascii="Calibri" w:hAnsi="Calibri" w:cs="Calibri"/>
              </w:rPr>
              <w:t xml:space="preserve">2.35 </w:t>
            </w:r>
            <w:proofErr w:type="spellStart"/>
            <w:r w:rsidRPr="00082F04">
              <w:rPr>
                <w:rFonts w:ascii="Calibri" w:hAnsi="Calibri" w:cs="Calibri"/>
              </w:rPr>
              <w:t>keV</w:t>
            </w:r>
            <w:proofErr w:type="spellEnd"/>
          </w:p>
        </w:tc>
        <w:tc>
          <w:tcPr>
            <w:tcW w:w="2221" w:type="dxa"/>
          </w:tcPr>
          <w:p w:rsidR="00FB32EF" w:rsidRPr="00082F04" w:rsidRDefault="00FB32EF" w:rsidP="00FB32E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82F04">
              <w:rPr>
                <w:rFonts w:ascii="Calibri" w:hAnsi="Calibri" w:cs="Calibri"/>
              </w:rPr>
              <w:t xml:space="preserve">7.05 </w:t>
            </w:r>
            <w:proofErr w:type="spellStart"/>
            <w:r w:rsidRPr="00082F04">
              <w:rPr>
                <w:rFonts w:ascii="Calibri" w:hAnsi="Calibri" w:cs="Calibri"/>
              </w:rPr>
              <w:t>keV</w:t>
            </w:r>
            <w:proofErr w:type="spellEnd"/>
          </w:p>
        </w:tc>
      </w:tr>
      <w:tr w:rsidR="00082F04" w:rsidRPr="00082F04" w:rsidTr="00FB3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FB32EF" w:rsidRPr="00082F04" w:rsidRDefault="00FB32EF" w:rsidP="00FB32EF">
            <w:pPr>
              <w:jc w:val="center"/>
              <w:rPr>
                <w:rFonts w:ascii="Calibri" w:hAnsi="Calibri" w:cs="Calibri"/>
              </w:rPr>
            </w:pPr>
            <w:r w:rsidRPr="00082F04">
              <w:rPr>
                <w:rFonts w:ascii="Calibri" w:hAnsi="Calibri" w:cs="Calibri"/>
              </w:rPr>
              <w:t>1x IMFP (λ)</w:t>
            </w:r>
          </w:p>
        </w:tc>
        <w:tc>
          <w:tcPr>
            <w:tcW w:w="2220" w:type="dxa"/>
          </w:tcPr>
          <w:p w:rsidR="00FB32EF" w:rsidRPr="00082F04" w:rsidRDefault="00FB32EF" w:rsidP="00FB3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82F04">
              <w:rPr>
                <w:rFonts w:ascii="Calibri" w:hAnsi="Calibri" w:cs="Calibri"/>
              </w:rPr>
              <w:t>1.37 nm</w:t>
            </w:r>
          </w:p>
        </w:tc>
        <w:tc>
          <w:tcPr>
            <w:tcW w:w="2221" w:type="dxa"/>
          </w:tcPr>
          <w:p w:rsidR="00FB32EF" w:rsidRPr="00082F04" w:rsidRDefault="00FB32EF" w:rsidP="00FB3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82F04">
              <w:rPr>
                <w:rFonts w:ascii="Calibri" w:hAnsi="Calibri" w:cs="Calibri"/>
              </w:rPr>
              <w:t>3.35 nm</w:t>
            </w:r>
          </w:p>
        </w:tc>
        <w:tc>
          <w:tcPr>
            <w:tcW w:w="2221" w:type="dxa"/>
          </w:tcPr>
          <w:p w:rsidR="00FB32EF" w:rsidRPr="00082F04" w:rsidRDefault="00FB32EF" w:rsidP="00FB3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82F04">
              <w:rPr>
                <w:rFonts w:ascii="Calibri" w:hAnsi="Calibri" w:cs="Calibri"/>
              </w:rPr>
              <w:t>9.56 nm</w:t>
            </w:r>
          </w:p>
        </w:tc>
      </w:tr>
      <w:tr w:rsidR="00082F04" w:rsidRPr="00082F04" w:rsidTr="00FB32EF">
        <w:tc>
          <w:tcPr>
            <w:cnfStyle w:val="001000000000" w:firstRow="0" w:lastRow="0" w:firstColumn="1" w:lastColumn="0" w:oddVBand="0" w:evenVBand="0" w:oddHBand="0" w:evenHBand="0" w:firstRowFirstColumn="0" w:firstRowLastColumn="0" w:lastRowFirstColumn="0" w:lastRowLastColumn="0"/>
            <w:tcW w:w="2410" w:type="dxa"/>
            <w:tcBorders>
              <w:bottom w:val="single" w:sz="8" w:space="0" w:color="auto"/>
            </w:tcBorders>
          </w:tcPr>
          <w:p w:rsidR="00FB32EF" w:rsidRPr="00082F04" w:rsidRDefault="00FB32EF" w:rsidP="00FB32EF">
            <w:pPr>
              <w:jc w:val="center"/>
              <w:rPr>
                <w:rFonts w:ascii="Calibri" w:hAnsi="Calibri" w:cs="Calibri"/>
              </w:rPr>
            </w:pPr>
            <w:r w:rsidRPr="00082F04">
              <w:rPr>
                <w:rFonts w:ascii="Calibri" w:hAnsi="Calibri" w:cs="Calibri"/>
              </w:rPr>
              <w:t>d/λ</w:t>
            </w:r>
          </w:p>
        </w:tc>
        <w:tc>
          <w:tcPr>
            <w:tcW w:w="2220" w:type="dxa"/>
            <w:tcBorders>
              <w:bottom w:val="single" w:sz="8" w:space="0" w:color="auto"/>
            </w:tcBorders>
          </w:tcPr>
          <w:p w:rsidR="00FB32EF" w:rsidRPr="00082F04" w:rsidRDefault="00FB32EF" w:rsidP="00FB32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82F04">
              <w:rPr>
                <w:rFonts w:ascii="Calibri" w:hAnsi="Calibri" w:cs="Calibri"/>
              </w:rPr>
              <w:t>0.73</w:t>
            </w:r>
          </w:p>
        </w:tc>
        <w:tc>
          <w:tcPr>
            <w:tcW w:w="2221" w:type="dxa"/>
            <w:tcBorders>
              <w:bottom w:val="single" w:sz="8" w:space="0" w:color="auto"/>
            </w:tcBorders>
          </w:tcPr>
          <w:p w:rsidR="00FB32EF" w:rsidRPr="00082F04" w:rsidRDefault="00FB32EF" w:rsidP="00FB32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82F04">
              <w:rPr>
                <w:rFonts w:ascii="Calibri" w:hAnsi="Calibri" w:cs="Calibri"/>
              </w:rPr>
              <w:t>0.22</w:t>
            </w:r>
          </w:p>
        </w:tc>
        <w:tc>
          <w:tcPr>
            <w:tcW w:w="2221" w:type="dxa"/>
            <w:tcBorders>
              <w:bottom w:val="single" w:sz="8" w:space="0" w:color="auto"/>
            </w:tcBorders>
          </w:tcPr>
          <w:p w:rsidR="00FB32EF" w:rsidRPr="00082F04" w:rsidRDefault="00FB32EF" w:rsidP="00FB32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82F04">
              <w:rPr>
                <w:rFonts w:ascii="Calibri" w:hAnsi="Calibri" w:cs="Calibri"/>
              </w:rPr>
              <w:t>0.02</w:t>
            </w:r>
          </w:p>
        </w:tc>
      </w:tr>
      <w:tr w:rsidR="00082F04" w:rsidRPr="00082F04" w:rsidTr="00FB3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auto"/>
              <w:bottom w:val="single" w:sz="8" w:space="0" w:color="auto"/>
            </w:tcBorders>
          </w:tcPr>
          <w:p w:rsidR="00FB32EF" w:rsidRPr="00082F04" w:rsidRDefault="00FB32EF" w:rsidP="00FB32EF">
            <w:pPr>
              <w:jc w:val="center"/>
              <w:rPr>
                <w:rFonts w:ascii="Calibri" w:hAnsi="Calibri" w:cs="Calibri"/>
              </w:rPr>
            </w:pPr>
            <w:r w:rsidRPr="00082F04">
              <w:rPr>
                <w:rFonts w:ascii="Calibri" w:hAnsi="Calibri" w:cs="Calibri"/>
              </w:rPr>
              <w:t>% e</w:t>
            </w:r>
            <w:r w:rsidRPr="00082F04">
              <w:rPr>
                <w:rFonts w:ascii="Calibri" w:hAnsi="Calibri" w:cs="Calibri"/>
                <w:vertAlign w:val="superscript"/>
              </w:rPr>
              <w:t>-</w:t>
            </w:r>
            <w:r w:rsidRPr="00082F04">
              <w:rPr>
                <w:rFonts w:ascii="Calibri" w:hAnsi="Calibri" w:cs="Calibri"/>
              </w:rPr>
              <w:t xml:space="preserve"> from surf. layer</w:t>
            </w:r>
          </w:p>
        </w:tc>
        <w:tc>
          <w:tcPr>
            <w:tcW w:w="2220" w:type="dxa"/>
            <w:tcBorders>
              <w:top w:val="single" w:sz="8" w:space="0" w:color="auto"/>
              <w:bottom w:val="single" w:sz="8" w:space="0" w:color="auto"/>
            </w:tcBorders>
          </w:tcPr>
          <w:p w:rsidR="00FB32EF" w:rsidRPr="00082F04" w:rsidRDefault="00FB32EF" w:rsidP="00FB3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82F04">
              <w:rPr>
                <w:rFonts w:ascii="Calibri" w:hAnsi="Calibri" w:cs="Calibri"/>
              </w:rPr>
              <w:t>51.8 %</w:t>
            </w:r>
          </w:p>
        </w:tc>
        <w:tc>
          <w:tcPr>
            <w:tcW w:w="2221" w:type="dxa"/>
            <w:tcBorders>
              <w:top w:val="single" w:sz="8" w:space="0" w:color="auto"/>
              <w:bottom w:val="single" w:sz="8" w:space="0" w:color="auto"/>
            </w:tcBorders>
          </w:tcPr>
          <w:p w:rsidR="00FB32EF" w:rsidRPr="00082F04" w:rsidRDefault="008D38EB" w:rsidP="00FB3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25.8</w:t>
            </w:r>
            <w:r w:rsidR="00FB32EF" w:rsidRPr="00082F04">
              <w:rPr>
                <w:rFonts w:ascii="Calibri" w:hAnsi="Calibri" w:cs="Calibri"/>
              </w:rPr>
              <w:t xml:space="preserve"> %</w:t>
            </w:r>
          </w:p>
        </w:tc>
        <w:tc>
          <w:tcPr>
            <w:tcW w:w="2221" w:type="dxa"/>
            <w:tcBorders>
              <w:top w:val="single" w:sz="8" w:space="0" w:color="auto"/>
              <w:bottom w:val="single" w:sz="8" w:space="0" w:color="auto"/>
            </w:tcBorders>
          </w:tcPr>
          <w:p w:rsidR="00FB32EF" w:rsidRPr="00082F04" w:rsidRDefault="008D38EB" w:rsidP="00FB3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9.9 </w:t>
            </w:r>
            <w:r w:rsidR="00FB32EF" w:rsidRPr="00082F04">
              <w:rPr>
                <w:rFonts w:ascii="Calibri" w:hAnsi="Calibri" w:cs="Calibri"/>
              </w:rPr>
              <w:t>%</w:t>
            </w:r>
          </w:p>
        </w:tc>
      </w:tr>
    </w:tbl>
    <w:p w:rsidR="00FB32EF" w:rsidRPr="00082F04" w:rsidRDefault="00FB32EF" w:rsidP="00FB32EF">
      <w:pPr>
        <w:spacing w:after="0" w:line="360" w:lineRule="auto"/>
        <w:jc w:val="right"/>
        <w:rPr>
          <w:i/>
        </w:rPr>
      </w:pPr>
      <w:proofErr w:type="gramStart"/>
      <w:r w:rsidRPr="00082F04">
        <w:rPr>
          <w:i/>
        </w:rPr>
        <w:t>i.e</w:t>
      </w:r>
      <w:proofErr w:type="gramEnd"/>
      <w:r w:rsidRPr="00082F04">
        <w:rPr>
          <w:i/>
        </w:rPr>
        <w:t xml:space="preserve">. for 1.09 </w:t>
      </w:r>
      <w:proofErr w:type="spellStart"/>
      <w:r w:rsidRPr="00082F04">
        <w:rPr>
          <w:i/>
        </w:rPr>
        <w:t>keV</w:t>
      </w:r>
      <w:proofErr w:type="spellEnd"/>
      <w:r w:rsidRPr="00082F04">
        <w:rPr>
          <w:i/>
        </w:rPr>
        <w:t>, we integrate between 0 and (1 nm/1.37 nm): [</w:t>
      </w:r>
      <w:proofErr w:type="spellStart"/>
      <w:r w:rsidRPr="00082F04">
        <w:rPr>
          <w:i/>
        </w:rPr>
        <w:t>exp</w:t>
      </w:r>
      <w:proofErr w:type="spellEnd"/>
      <w:r w:rsidRPr="00082F04">
        <w:rPr>
          <w:i/>
        </w:rPr>
        <w:t>(0)-</w:t>
      </w:r>
      <w:proofErr w:type="spellStart"/>
      <w:r w:rsidRPr="00082F04">
        <w:rPr>
          <w:i/>
        </w:rPr>
        <w:t>exp</w:t>
      </w:r>
      <w:proofErr w:type="spellEnd"/>
      <w:r w:rsidRPr="00082F04">
        <w:rPr>
          <w:i/>
        </w:rPr>
        <w:t>(-0.73)]</w:t>
      </w:r>
    </w:p>
    <w:p w:rsidR="008F5F33" w:rsidRPr="00082F04" w:rsidRDefault="008F5F33" w:rsidP="00FB32EF">
      <w:pPr>
        <w:spacing w:line="360" w:lineRule="auto"/>
      </w:pPr>
    </w:p>
    <w:p w:rsidR="00FB32EF" w:rsidRPr="00082F04" w:rsidRDefault="00CE1048" w:rsidP="00FB32EF">
      <w:pPr>
        <w:spacing w:line="360" w:lineRule="auto"/>
      </w:pPr>
      <w:r w:rsidRPr="00082F04">
        <w:t>The remainder of the signal from each measurement comes from the bulk ‘layer’, deeper than the 1 nm surface layer. By calculating a</w:t>
      </w:r>
      <w:r w:rsidR="008D38EB">
        <w:t>nd</w:t>
      </w:r>
      <w:r w:rsidRPr="00082F04">
        <w:t xml:space="preserve"> plotting theoretical relative intensities (</w:t>
      </w:r>
      <w:r w:rsidR="001A7F1E" w:rsidRPr="00082F04">
        <w:fldChar w:fldCharType="begin"/>
      </w:r>
      <w:r w:rsidR="001A7F1E" w:rsidRPr="00082F04">
        <w:instrText xml:space="preserve"> REF _Ref7010210 \h  \* MERGEFORMAT </w:instrText>
      </w:r>
      <w:r w:rsidR="001A7F1E" w:rsidRPr="00082F04">
        <w:fldChar w:fldCharType="separate"/>
      </w:r>
      <w:r w:rsidR="00AE3693" w:rsidRPr="00AE3693">
        <w:t>Figure S2</w:t>
      </w:r>
      <w:r w:rsidR="001A7F1E" w:rsidRPr="00082F04">
        <w:fldChar w:fldCharType="end"/>
      </w:r>
      <w:r w:rsidRPr="00082F04">
        <w:t>) for such a layered system</w:t>
      </w:r>
      <w:r w:rsidR="001A7F1E" w:rsidRPr="00082F04">
        <w:t>, it is possible to see how the relative intensity for the surface layer rapidly decreases when using large excitation energies corresponding to high probing depths.</w:t>
      </w:r>
    </w:p>
    <w:p w:rsidR="008F5F33" w:rsidRPr="008F5F33" w:rsidRDefault="008F5F33" w:rsidP="00FB32EF">
      <w:pPr>
        <w:spacing w:line="360" w:lineRule="auto"/>
      </w:pPr>
    </w:p>
    <w:p w:rsidR="00CE1048" w:rsidRDefault="00CE1048" w:rsidP="00CE1048">
      <w:pPr>
        <w:keepNext/>
        <w:spacing w:line="480" w:lineRule="auto"/>
        <w:jc w:val="center"/>
      </w:pPr>
      <w:r>
        <w:rPr>
          <w:noProof/>
          <w:color w:val="0070C0"/>
          <w:lang w:eastAsia="en-GB"/>
        </w:rPr>
        <w:lastRenderedPageBreak/>
        <w:drawing>
          <wp:inline distT="0" distB="0" distL="0" distR="0" wp14:anchorId="4EECD72C" wp14:editId="6F079237">
            <wp:extent cx="3273264" cy="259211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nm-rel.int-plot-v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3264" cy="2592116"/>
                    </a:xfrm>
                    <a:prstGeom prst="rect">
                      <a:avLst/>
                    </a:prstGeom>
                  </pic:spPr>
                </pic:pic>
              </a:graphicData>
            </a:graphic>
          </wp:inline>
        </w:drawing>
      </w:r>
    </w:p>
    <w:p w:rsidR="008F5F33" w:rsidRPr="00082F04" w:rsidRDefault="00CE1048" w:rsidP="00CE1048">
      <w:pPr>
        <w:pStyle w:val="Caption"/>
        <w:spacing w:line="360" w:lineRule="auto"/>
        <w:rPr>
          <w:i w:val="0"/>
          <w:color w:val="auto"/>
          <w:sz w:val="22"/>
          <w:szCs w:val="22"/>
        </w:rPr>
      </w:pPr>
      <w:bookmarkStart w:id="2" w:name="_Ref7010210"/>
      <w:r w:rsidRPr="00082F04">
        <w:rPr>
          <w:i w:val="0"/>
          <w:color w:val="auto"/>
          <w:sz w:val="22"/>
          <w:szCs w:val="22"/>
        </w:rPr>
        <w:t>Figure S</w:t>
      </w:r>
      <w:r w:rsidRPr="00082F04">
        <w:rPr>
          <w:i w:val="0"/>
          <w:color w:val="auto"/>
          <w:sz w:val="22"/>
          <w:szCs w:val="22"/>
        </w:rPr>
        <w:fldChar w:fldCharType="begin"/>
      </w:r>
      <w:r w:rsidRPr="00082F04">
        <w:rPr>
          <w:i w:val="0"/>
          <w:color w:val="auto"/>
          <w:sz w:val="22"/>
          <w:szCs w:val="22"/>
        </w:rPr>
        <w:instrText xml:space="preserve"> SEQ Figure_S \* ARABIC </w:instrText>
      </w:r>
      <w:r w:rsidRPr="00082F04">
        <w:rPr>
          <w:i w:val="0"/>
          <w:color w:val="auto"/>
          <w:sz w:val="22"/>
          <w:szCs w:val="22"/>
        </w:rPr>
        <w:fldChar w:fldCharType="separate"/>
      </w:r>
      <w:r w:rsidR="00AE3693">
        <w:rPr>
          <w:i w:val="0"/>
          <w:noProof/>
          <w:color w:val="auto"/>
          <w:sz w:val="22"/>
          <w:szCs w:val="22"/>
        </w:rPr>
        <w:t>2</w:t>
      </w:r>
      <w:r w:rsidRPr="00082F04">
        <w:rPr>
          <w:i w:val="0"/>
          <w:color w:val="auto"/>
          <w:sz w:val="22"/>
          <w:szCs w:val="22"/>
        </w:rPr>
        <w:fldChar w:fldCharType="end"/>
      </w:r>
      <w:bookmarkEnd w:id="2"/>
      <w:r w:rsidRPr="00082F04">
        <w:rPr>
          <w:i w:val="0"/>
          <w:color w:val="auto"/>
          <w:sz w:val="22"/>
          <w:szCs w:val="22"/>
        </w:rPr>
        <w:t>. Theoretical relative intensities for a 1 nm surface layer on a bulk material for three different excitation energies (corresponding to three different probing depths). Intensities are normalised to the bulk</w:t>
      </w:r>
      <w:r w:rsidR="009E3176">
        <w:rPr>
          <w:i w:val="0"/>
          <w:color w:val="auto"/>
          <w:sz w:val="22"/>
          <w:szCs w:val="22"/>
        </w:rPr>
        <w:t xml:space="preserve"> layer</w:t>
      </w:r>
      <w:r w:rsidRPr="00082F04">
        <w:rPr>
          <w:i w:val="0"/>
          <w:color w:val="auto"/>
          <w:sz w:val="22"/>
          <w:szCs w:val="22"/>
        </w:rPr>
        <w:t xml:space="preserve"> signal.</w:t>
      </w:r>
    </w:p>
    <w:p w:rsidR="00BF66F6" w:rsidRPr="00082F04" w:rsidRDefault="00BF66F6" w:rsidP="00BF66F6">
      <w:pPr>
        <w:spacing w:line="360" w:lineRule="auto"/>
        <w:rPr>
          <w:u w:val="single"/>
        </w:rPr>
      </w:pPr>
    </w:p>
    <w:p w:rsidR="00BF66F6" w:rsidRPr="00082F04" w:rsidRDefault="00BF66F6" w:rsidP="00BF66F6">
      <w:pPr>
        <w:spacing w:line="360" w:lineRule="auto"/>
        <w:rPr>
          <w:u w:val="single"/>
        </w:rPr>
      </w:pPr>
      <w:r w:rsidRPr="00082F04">
        <w:t xml:space="preserve">This effect is even more pronounced for a thicker surface layer </w:t>
      </w:r>
      <w:r w:rsidR="009E3176">
        <w:t xml:space="preserve">(5 nm) </w:t>
      </w:r>
      <w:r w:rsidRPr="00082F04">
        <w:t xml:space="preserve">with 97.4 % of the signal coming from the surface layer at 1.09 </w:t>
      </w:r>
      <w:proofErr w:type="spellStart"/>
      <w:r w:rsidRPr="00082F04">
        <w:t>keV</w:t>
      </w:r>
      <w:proofErr w:type="spellEnd"/>
      <w:r w:rsidRPr="00082F04">
        <w:t xml:space="preserve"> excitation energy and </w:t>
      </w:r>
      <w:r w:rsidR="009E3176">
        <w:t>40.7</w:t>
      </w:r>
      <w:r w:rsidRPr="00082F04">
        <w:t xml:space="preserve"> % from the surface layer at 7.05 </w:t>
      </w:r>
      <w:proofErr w:type="spellStart"/>
      <w:r w:rsidRPr="00082F04">
        <w:t>keV</w:t>
      </w:r>
      <w:proofErr w:type="spellEnd"/>
      <w:r w:rsidRPr="00082F04">
        <w:t>. This situation demonstrates how spectra would appear if a well-defined surface layer existed rather than an intermixing of species from the surface to the bulk, forming a concentration gradient. In the other extreme case where a sample has a completely uniform distribution of two species from surface to bulk, the spectra would appear independent of excitation energy.</w:t>
      </w:r>
    </w:p>
    <w:p w:rsidR="00BF66F6" w:rsidRDefault="00BF66F6" w:rsidP="00BF66F6">
      <w:pPr>
        <w:spacing w:line="360" w:lineRule="auto"/>
        <w:rPr>
          <w:u w:val="single"/>
        </w:rPr>
      </w:pPr>
    </w:p>
    <w:p w:rsidR="00BF66F6" w:rsidRDefault="00BF66F6" w:rsidP="00BF66F6">
      <w:pPr>
        <w:spacing w:line="360" w:lineRule="auto"/>
        <w:rPr>
          <w:u w:val="single"/>
        </w:rPr>
      </w:pPr>
    </w:p>
    <w:p w:rsidR="00987435" w:rsidRDefault="00987435" w:rsidP="00987435">
      <w:pPr>
        <w:rPr>
          <w:u w:val="single"/>
        </w:rPr>
      </w:pPr>
      <w:r>
        <w:rPr>
          <w:u w:val="single"/>
        </w:rPr>
        <w:br w:type="page"/>
      </w:r>
    </w:p>
    <w:p w:rsidR="00987435" w:rsidRPr="00B05382" w:rsidRDefault="00987435" w:rsidP="001401D9">
      <w:pPr>
        <w:spacing w:line="480" w:lineRule="auto"/>
        <w:rPr>
          <w:b/>
          <w:u w:val="single"/>
        </w:rPr>
      </w:pPr>
      <w:r w:rsidRPr="00B05382">
        <w:rPr>
          <w:b/>
          <w:u w:val="single"/>
        </w:rPr>
        <w:lastRenderedPageBreak/>
        <w:t xml:space="preserve">Note </w:t>
      </w:r>
      <w:r w:rsidR="001401D9">
        <w:rPr>
          <w:b/>
          <w:u w:val="single"/>
        </w:rPr>
        <w:t>2</w:t>
      </w:r>
      <w:r>
        <w:rPr>
          <w:b/>
          <w:u w:val="single"/>
        </w:rPr>
        <w:t>. Fitting of the O 1s spectra.</w:t>
      </w:r>
    </w:p>
    <w:p w:rsidR="00987435" w:rsidRDefault="00987435" w:rsidP="00A672BC">
      <w:pPr>
        <w:spacing w:line="480" w:lineRule="auto"/>
      </w:pPr>
      <w:r>
        <w:t>A concise method for fitting of the O 1s spectra was employed, while using the minimum number of peaks necessary in the fitting model and justifying, in chemical terms, certain features of the model.</w:t>
      </w:r>
    </w:p>
    <w:p w:rsidR="00987435" w:rsidRDefault="00987435" w:rsidP="00A672BC">
      <w:pPr>
        <w:pStyle w:val="ListParagraph"/>
        <w:numPr>
          <w:ilvl w:val="0"/>
          <w:numId w:val="13"/>
        </w:numPr>
        <w:spacing w:line="480" w:lineRule="auto"/>
      </w:pPr>
      <w:r>
        <w:t xml:space="preserve">From the surface </w:t>
      </w:r>
      <w:r w:rsidRPr="00D8100A">
        <w:t>analysis of the Li</w:t>
      </w:r>
      <w:r w:rsidRPr="00D8100A">
        <w:rPr>
          <w:vertAlign w:val="subscript"/>
        </w:rPr>
        <w:t>1.2</w:t>
      </w:r>
      <w:r w:rsidRPr="00D8100A">
        <w:t>Ni</w:t>
      </w:r>
      <w:r w:rsidRPr="00D8100A">
        <w:rPr>
          <w:vertAlign w:val="subscript"/>
        </w:rPr>
        <w:t>0.2</w:t>
      </w:r>
      <w:r w:rsidRPr="00D8100A">
        <w:t>Mn</w:t>
      </w:r>
      <w:r w:rsidRPr="00D8100A">
        <w:rPr>
          <w:vertAlign w:val="subscript"/>
        </w:rPr>
        <w:t>0.6</w:t>
      </w:r>
      <w:r w:rsidRPr="00D8100A">
        <w:t>O</w:t>
      </w:r>
      <w:r w:rsidRPr="00D8100A">
        <w:rPr>
          <w:vertAlign w:val="subscript"/>
        </w:rPr>
        <w:t>2</w:t>
      </w:r>
      <w:r w:rsidRPr="00D8100A">
        <w:t xml:space="preserve"> pristine</w:t>
      </w:r>
      <w:r>
        <w:t xml:space="preserve"> sample, using a photon energy of 1.09 </w:t>
      </w:r>
      <w:proofErr w:type="spellStart"/>
      <w:r>
        <w:t>keV</w:t>
      </w:r>
      <w:proofErr w:type="spellEnd"/>
      <w:r>
        <w:t xml:space="preserve">, the binding energy (BE) positions for surface-bound species were determined and propagated across the spectra for all samples at all photon energies. Only a shift of </w:t>
      </w:r>
      <w:r>
        <w:rPr>
          <w:rFonts w:cstheme="minorHAnsi"/>
        </w:rPr>
        <w:t>±</w:t>
      </w:r>
      <w:r>
        <w:t>0.15 eV (to allow for instrumental limitations) was permitted for each peak, since there is not expected to be any surface layer deposition during charge. This is verified in the C 1s spectra (</w:t>
      </w:r>
      <w:r>
        <w:fldChar w:fldCharType="begin"/>
      </w:r>
      <w:r>
        <w:instrText xml:space="preserve"> REF _Ref516140028 \h </w:instrText>
      </w:r>
      <w:r w:rsidR="00A672BC">
        <w:instrText xml:space="preserve"> \* MERGEFORMAT </w:instrText>
      </w:r>
      <w:r>
        <w:fldChar w:fldCharType="separate"/>
      </w:r>
      <w:r w:rsidR="00AE3693" w:rsidRPr="00053307">
        <w:t>Figure S</w:t>
      </w:r>
      <w:r w:rsidR="00AE3693">
        <w:t>4</w:t>
      </w:r>
      <w:r>
        <w:fldChar w:fldCharType="end"/>
      </w:r>
      <w:r>
        <w:t>) where very little intensity for surface species, such as carbonyls or carbonates, is observed on any of the charged electrodes</w:t>
      </w:r>
      <w:r w:rsidRPr="00082F04">
        <w:t xml:space="preserve">. </w:t>
      </w:r>
      <w:r w:rsidR="000051B6" w:rsidRPr="00082F04">
        <w:t xml:space="preserve">We additionally verify that there is no reaction between the pristine electrode and the electrolyte (see below for details). </w:t>
      </w:r>
      <w:r w:rsidRPr="00082F04">
        <w:t xml:space="preserve">While </w:t>
      </w:r>
      <w:r>
        <w:t>some surface deposition is suspected in the discharged sample, likely due to decomposition of the electrolyte, the peaks are fitted with the same constraints as there is no noticeable change in their positions. Additionally, the O 1s spectra for th</w:t>
      </w:r>
      <w:r w:rsidR="00A672BC">
        <w:t xml:space="preserve">e spinel-phase LMNO electrodes </w:t>
      </w:r>
      <w:r>
        <w:t>show no change in binding energy for the surface-bound species during charge. In the spinel material, no other species are expected other than the O</w:t>
      </w:r>
      <w:r w:rsidRPr="00D12605">
        <w:rPr>
          <w:vertAlign w:val="superscript"/>
        </w:rPr>
        <w:t>2-</w:t>
      </w:r>
      <w:r>
        <w:t xml:space="preserve"> and surface-bound species since it does not exhibit oxygen redox activity.</w:t>
      </w:r>
    </w:p>
    <w:p w:rsidR="00987435" w:rsidRDefault="00987435" w:rsidP="00A672BC">
      <w:pPr>
        <w:pStyle w:val="ListParagraph"/>
        <w:numPr>
          <w:ilvl w:val="0"/>
          <w:numId w:val="13"/>
        </w:numPr>
        <w:spacing w:line="480" w:lineRule="auto"/>
      </w:pPr>
      <w:r>
        <w:t>With the constraints in place for the surface-bound species, the intense peak for O</w:t>
      </w:r>
      <w:r w:rsidRPr="00D12605">
        <w:rPr>
          <w:vertAlign w:val="superscript"/>
        </w:rPr>
        <w:t>2-</w:t>
      </w:r>
      <w:r>
        <w:t xml:space="preserve"> is allowed to fit without constraints at ~529 eV. In the pristine sample, this results in a very acceptable fit</w:t>
      </w:r>
      <w:r w:rsidR="00EA5144">
        <w:t>,</w:t>
      </w:r>
      <w:r>
        <w:t xml:space="preserve"> as </w:t>
      </w:r>
      <w:r w:rsidRPr="003912F7">
        <w:t>expected</w:t>
      </w:r>
      <w:r w:rsidR="00EA5144" w:rsidRPr="003912F7">
        <w:t>, where the fitted model overlays closely with the raw data set</w:t>
      </w:r>
      <w:r w:rsidRPr="003912F7">
        <w:t>. However, for the charged samples another peak corresponding to oxidised oxygen (O</w:t>
      </w:r>
      <w:r w:rsidRPr="003912F7">
        <w:rPr>
          <w:vertAlign w:val="superscript"/>
        </w:rPr>
        <w:t>n-</w:t>
      </w:r>
      <w:r w:rsidRPr="003912F7">
        <w:t xml:space="preserve">) must be included in the model in order </w:t>
      </w:r>
      <w:r w:rsidR="0066636C" w:rsidRPr="003912F7">
        <w:t>for the fit to align almost exactly with the raw data</w:t>
      </w:r>
      <w:r w:rsidR="003912F7">
        <w:t>.</w:t>
      </w:r>
      <w:r>
        <w:t xml:space="preserve"> From the sample charged to 4.8 V, a splitting of 1.2 eV </w:t>
      </w:r>
      <w:r>
        <w:rPr>
          <w:rFonts w:cstheme="minorHAnsi"/>
        </w:rPr>
        <w:t>±</w:t>
      </w:r>
      <w:r>
        <w:t xml:space="preserve"> 0.15 eV was determined to result in the best quality fit. This rule was propagated across all spectra, the position for the </w:t>
      </w:r>
      <w:proofErr w:type="gramStart"/>
      <w:r>
        <w:t>O</w:t>
      </w:r>
      <w:r>
        <w:rPr>
          <w:vertAlign w:val="superscript"/>
        </w:rPr>
        <w:t>n</w:t>
      </w:r>
      <w:proofErr w:type="gramEnd"/>
      <w:r>
        <w:rPr>
          <w:vertAlign w:val="superscript"/>
        </w:rPr>
        <w:t>-</w:t>
      </w:r>
      <w:r>
        <w:t xml:space="preserve"> peak determined by subtracting 1.2 eV from the O</w:t>
      </w:r>
      <w:r>
        <w:rPr>
          <w:vertAlign w:val="superscript"/>
        </w:rPr>
        <w:t>2-</w:t>
      </w:r>
      <w:r>
        <w:t xml:space="preserve"> peak, allowing to fit, and repeating iteratively. The positions for these peaks are therefore not fixed across samples (described in the main text) and move relative to the surface-bound species (these can be treated as separate layers with distinct chemistries and </w:t>
      </w:r>
      <w:proofErr w:type="spellStart"/>
      <w:r>
        <w:t>reactivities</w:t>
      </w:r>
      <w:proofErr w:type="spellEnd"/>
      <w:r>
        <w:t xml:space="preserve">); however, the constant splitting represents that the two transition metal oxide peaks are within similar crystal structure environments and differ mainly in their oxidation states. </w:t>
      </w:r>
    </w:p>
    <w:p w:rsidR="00987435" w:rsidRPr="003912F7" w:rsidRDefault="00987435" w:rsidP="00A672BC">
      <w:pPr>
        <w:pStyle w:val="ListParagraph"/>
        <w:numPr>
          <w:ilvl w:val="0"/>
          <w:numId w:val="13"/>
        </w:numPr>
        <w:spacing w:line="480" w:lineRule="auto"/>
      </w:pPr>
      <w:r>
        <w:t>The full width at half maximum (FWHM) of the O</w:t>
      </w:r>
      <w:r>
        <w:rPr>
          <w:vertAlign w:val="superscript"/>
        </w:rPr>
        <w:t>2-</w:t>
      </w:r>
      <w:r>
        <w:t xml:space="preserve"> peak has a maximum of 1.2 eV, while that of the </w:t>
      </w:r>
      <w:proofErr w:type="gramStart"/>
      <w:r>
        <w:t>O</w:t>
      </w:r>
      <w:r w:rsidRPr="005F4909">
        <w:rPr>
          <w:vertAlign w:val="superscript"/>
        </w:rPr>
        <w:t>n</w:t>
      </w:r>
      <w:proofErr w:type="gramEnd"/>
      <w:r w:rsidRPr="005F4909">
        <w:rPr>
          <w:vertAlign w:val="superscript"/>
        </w:rPr>
        <w:t>-</w:t>
      </w:r>
      <w:r>
        <w:t xml:space="preserve"> peak exhibits a slightly higher value of 1.6 eV, due to potentially greater disorder in the oxidised state. The surface-bound species have FWHM maxima of 2.1 eV for the lower BE peak and 2.5 eV for the higher BE peak. The broadness of these peaks can be attributed to these peaks likely representing multiple surface components of slightly different binding energies.</w:t>
      </w:r>
      <w:r w:rsidR="003526EB">
        <w:t xml:space="preserve"> </w:t>
      </w:r>
      <w:r w:rsidR="003526EB" w:rsidRPr="003912F7">
        <w:t>Such ranges are defined to allow for expected variation between samples or from surface to bulk within a sample. The FWHM can vary with crystallinity, disorder, oxidation state, chemical bonding, and instrumental effects among others and these factors are particularly influential when comparing the surface and bulk of a material.</w:t>
      </w:r>
    </w:p>
    <w:p w:rsidR="00987435" w:rsidRDefault="00987435" w:rsidP="00A672BC">
      <w:pPr>
        <w:pStyle w:val="ListParagraph"/>
        <w:numPr>
          <w:ilvl w:val="0"/>
          <w:numId w:val="13"/>
        </w:numPr>
        <w:spacing w:line="480" w:lineRule="auto"/>
      </w:pPr>
      <w:r>
        <w:t>Some satellite peaks are visible for a few charged samples at higher binding energy (535 – 536 eV) to the peaks of interest. It is not known from where these originate, but does not appear to be a result of charging since we would otherwise likely observe such behaviour in other core level spectra and to a greater extent in other samples.</w:t>
      </w:r>
    </w:p>
    <w:p w:rsidR="00987435" w:rsidRPr="00754FD7" w:rsidRDefault="00987435" w:rsidP="00A672BC">
      <w:pPr>
        <w:pStyle w:val="ListParagraph"/>
        <w:numPr>
          <w:ilvl w:val="0"/>
          <w:numId w:val="13"/>
        </w:numPr>
        <w:spacing w:line="480" w:lineRule="auto"/>
      </w:pPr>
      <w:r>
        <w:t xml:space="preserve">O 1s spectra for the spinel-phase LMNO and the multiple cycles </w:t>
      </w:r>
      <w:r w:rsidRPr="00D8100A">
        <w:t>Li</w:t>
      </w:r>
      <w:r w:rsidRPr="00D8100A">
        <w:rPr>
          <w:vertAlign w:val="subscript"/>
        </w:rPr>
        <w:t>1.2</w:t>
      </w:r>
      <w:r w:rsidRPr="00D8100A">
        <w:t>Ni</w:t>
      </w:r>
      <w:r w:rsidRPr="00D8100A">
        <w:rPr>
          <w:vertAlign w:val="subscript"/>
        </w:rPr>
        <w:t>0.2</w:t>
      </w:r>
      <w:r w:rsidRPr="00D8100A">
        <w:t>Mn</w:t>
      </w:r>
      <w:r w:rsidRPr="00D8100A">
        <w:rPr>
          <w:vertAlign w:val="subscript"/>
        </w:rPr>
        <w:t>0.6</w:t>
      </w:r>
      <w:r w:rsidRPr="00D8100A">
        <w:t>O</w:t>
      </w:r>
      <w:r w:rsidRPr="00D8100A">
        <w:rPr>
          <w:vertAlign w:val="subscript"/>
        </w:rPr>
        <w:t>2</w:t>
      </w:r>
      <w:r>
        <w:t xml:space="preserve"> were fitted by a similar method.</w:t>
      </w:r>
    </w:p>
    <w:p w:rsidR="00987435" w:rsidRPr="00754FD7" w:rsidRDefault="007424B3" w:rsidP="00987435">
      <w:pPr>
        <w:spacing w:line="480" w:lineRule="auto"/>
      </w:pPr>
      <w:r w:rsidRPr="00754FD7">
        <w:t>Peak fitting parameters have been determined by referring to previous studies.</w:t>
      </w:r>
      <w:r w:rsidR="00B018F5" w:rsidRPr="00754FD7">
        <w:fldChar w:fldCharType="begin" w:fldLock="1"/>
      </w:r>
      <w:r w:rsidR="00E6771F">
        <w:instrText xml:space="preserve">ADDIN CSL_CITATION {"citationItems":[{"id":"ITEM-1","itemData":{"DOI":"10.1039/C6TA01152G","ISSN":"2050-7488","abstract":"The oxidation/reduction behaviours of lattice oxygen and transition metals in Li[Li 0.25 Ni 0.20 Mn 0.55 ]O 1.93 are investigated by using HAX-PES.","author":[{"dropping-particle":"","family":"Shimoda","given":"Keiji","non-dropping-particle":"","parse-names":false,"suffix":""},{"dropping-particle":"","family":"Minato","given":"Taketoshi","non-dropping-particle":"","parse-names":false,"suffix":""},{"dropping-particle":"","family":"Nakanishi","given":"Koji","non-dropping-particle":"","parse-names":false,"suffix":""},{"dropping-particle":"","family":"Komatsu","given":"Hideyuki","non-dropping-particle":"","parse-names":false,"suffix":""},{"dropping-particle":"","family":"Matsunaga","given":"Toshiyuki","non-dropping-particle":"","parse-names":false,"suffix":""},{"dropping-particle":"","family":"Tanida","given":"Hajime","non-dropping-particle":"","parse-names":false,"suffix":""},{"dropping-particle":"","family":"Arai","given":"Hajime","non-dropping-particle":"","parse-names":false,"suffix":""},{"dropping-particle":"","family":"Ukyo","given":"Yoshio","non-dropping-particle":"","parse-names":false,"suffix":""},{"dropping-particle":"","family":"Uchimoto","given":"Yoshiharu","non-dropping-particle":"","parse-names":false,"suffix":""},{"dropping-particle":"","family":"Ogumi","given":"Zempachi","non-dropping-particle":"","parse-names":false,"suffix":""}],"container-title":"Journal of Materials Chemistry A","id":"ITEM-1","issue":"16","issued":{"date-parts":[["2016","4","21"]]},"page":"5909-5916","publisher":"The Royal Society of Chemistry","title":"Oxidation behaviour of lattice oxygen in Li-rich manganese-based layered oxide studied by hard X-ray photoelectron spectroscopy","type":"article-journal","volume":"4"},"uris":["http://www.mendeley.com/documents/?uuid=55ebd7f2-5ba8-432e-889a-04ee2d92ce1d"]},{"id":"ITEM-2","itemData":{"DOI":"10.1021/acs.jpcc.5b10475","ISSN":"1932-7447","abstract":"Electrode materials based on Li-rich layered oxides are of growing interest for high-energy Li-ion battery applications because of their staggering capacities associated with the emergence of a novel, reversible anionic process. However, the fundamental science at work behind this new process needs to be well understood for further optimization. Here we report on the redox mechanisms in high-capacity Li-rich materials Li 2 Ru 1−x M x O 3 and Li 2 Ir 1−x M x O 3 , by combining X-ray photoemission spectroscopy (XPS) core peaks and valence intensity analyses. We fully confirm that these materials electrochemically react with Li via cumulative reversible cationic/anionic redox processes, but more importantly we reveal that, depending on the nature of the metal (Ru or Ir), there is a delicate balance between metal and oxygen contributions. For instance, we show a greater implication of oxide ions for Ir-based electrodes, consistent with the higher covalent character of Ir−O bonds compared to Ru−O bonds. We equally provide evidence that the oxygen redox process is responsible for the high capacity displayed by the Li-rich NMC Li 1.2 Ni 0.13 Co 0.13 Mn 0.54 O 2 electrodes that are serious contenders for the next generation of Li-ion batteries. These combined results highlight the benefit of collecting both XPS core and valence spectra for a better understanding of anionic redox mechanisms in Li-rich layered oxides. </w:instrText>
      </w:r>
      <w:r w:rsidR="00E6771F">
        <w:rPr>
          <w:rFonts w:ascii="Arial" w:hAnsi="Arial" w:cs="Arial"/>
        </w:rPr>
        <w:instrText>■</w:instrText>
      </w:r>
      <w:r w:rsidR="00E6771F">
        <w:instrText xml:space="preserve"> INTRODUCTION Layered lithium transition metal oxides LiMO 2 (where M is composed of transition metals) with low molecular weight, high capacity, and reversibility are one of the best suitable electrode materials for Li-ion batteries. The first commercial Li-ion battery was assembled using LiCoO 2 (</w:instrText>
      </w:r>
      <w:r w:rsidR="00E6771F">
        <w:rPr>
          <w:rFonts w:ascii="Cambria Math" w:hAnsi="Cambria Math" w:cs="Cambria Math"/>
        </w:rPr>
        <w:instrText>∼</w:instrText>
      </w:r>
      <w:r w:rsidR="00E6771F">
        <w:instrText>140 mAh/g) as positive electrode material and graphite as negative. Since then, major advances in enhancing the capacity of layered transition metal oxides have been achieved via chemical substitution. First, the partial replacement of Co 3+ with Ni 2+ and Mn 4+ has led to the Li(Ni 1/3 Mn 1/3 Co 1/3)O 2 layered oxides, coined as NMC, which display capacities as high as 200 mAh/g. More recently, further explorations of cationic substitutions in the layered oxide systems have led to materials made of Ni, Co, and Mn with some Li in the transition metal layers, in addition to the Li present in the van der Waals gap, termed as \" Li-rich NMC \" and showing capacities exceeding 250 mAh/g or greater. 1,2 Such Li-rich NMC electrodes are regarded as serious conte…","author":[{"dropping-particle":"","family":"Foix","given":"Dominique","non-dropping-particle":"","parse-names":false,"suffix":""},{"dropping-particle":"","family":"Sathiya","given":"Mariyappan","non-dropping-particle":"","parse-names":false,"suffix":""},{"dropping-particle":"","family":"McCalla","given":"Eric","non-dropping-particle":"","parse-names":false,"suffix":""},{"dropping-particle":"","family":"Tarascon","given":"Jean-Marie","non-dropping-particle":"","parse-names":false,"suffix":""},{"dropping-particle":"","family":"Gonbeau","given":"Danielle","non-dropping-particle":"","parse-names":false,"suffix":""}],"container-title":"The Journal of Physical Chemistry C","id":"ITEM-2","issue":"2","issued":{"date-parts":[["2016","1","21"]]},"page":"862-874","title":"X-ray photoemission spectroscopy study of cationic and anionic redox processes in high-capacity Li-ion battery layered-oxide electrodes","type":"article-journal","volume":"120"},"uris":["http://www.mendeley.com/documents/?uuid=c3d386bb-add8-310e-bd7e-16afd0d181df"]},{"id":"ITEM-3","itemData":{"DOI":"10.1038/nmat3699","ISBN":"1476-1122 (Print)\\r1476-1122 (Linking)","ISSN":"1476-1122","PMID":"23852398","abstract":"Li-ion batteries have contributed to the commercial success of portable electronics and may soon dominate the electric transportation market provided that major scientific advances including new materials and concepts are developed. Classical positive electrodes for Li-ion technology operate mainly through an insertion-deinsertion redox process involving cationic species. However, this mechanism is insufficient to account for the high capacities exhibited by the new generation of Li-rich (Li(1+x)Ni(y)Co(z)Mn(1-x-y-z)O₂) layered oxides that present unusual Li reactivity. In an attempt to overcome both the inherent composition and the structural complexity of this class of oxides, we have designed structurally related Li₂Ru(1-y)Sn(y)O₃ materials that have a single redox cation and exhibit sustainable reversible capacities as high as 230 mA h g(-1). Moreover, they present good cycling behaviour with no signs of voltage decay and a small irreversible capacity. We also unambiguously show, on the basis of an arsenal of characterization techniques, that the reactivity of these high-capacity materials towards Li entails cumulative cationic (M(n+)→M((n+1)+)) and anionic (O(2-)→O₂(2-)) reversible redox processes, owing to the d-sp hybridization associated with a reductive coupling mechanism. Because Li₂MO₃ is a large family of compounds, this study opens the door to the exploration of a vast number of high-capacity materials.","author":[{"dropping-particle":"","family":"Sathiya","given":"M","non-dropping-particle":"","parse-names":false,"suffix":""},{"dropping-particle":"","family":"Rousse","given":"G","non-dropping-particle":"","parse-names":false,"suffix":""},{"dropping-particle":"","family":"Ramesha","given":"K","non-dropping-particle":"","parse-names":false,"suffix":""},{"dropping-particle":"","family":"Laisa","given":"C P","non-dropping-particle":"","parse-names":false,"suffix":""},{"dropping-particle":"","family":"Vezin","given":"H","non-dropping-particle":"","parse-names":false,"suffix":""},{"dropping-particle":"","family":"Sougrati","given":"M T","non-dropping-particle":"","parse-names":false,"suffix":""},{"dropping-particle":"","family":"Doublet","given":"M-L","non-dropping-particle":"","parse-names":false,"suffix":""},{"dropping-particle":"","family":"Foix","given":"D","non-dropping-particle":"","parse-names":false,"suffix":""},{"dropping-particle":"","family":"Gonbeau","given":"D","non-dropping-particle":"","parse-names":false,"suffix":""},{"dropping-particle":"","family":"Walker","given":"W","non-dropping-particle":"","parse-names":false,"suffix":""},{"dropping-particle":"","family":"Prakash","given":"a S","non-dropping-particle":"","parse-names":false,"suffix":""},{"dropping-particle":"","family":"Hassine","given":"M","non-dropping-particle":"Ben","parse-names":false,"suffix":""},{"dropping-particle":"","family":"Dupont","given":"L","non-dropping-particle":"","parse-names":false,"suffix":""},{"dropping-particle":"","family":"Tarascon","given":"J-M","non-dropping-particle":"","parse-names":false,"suffix":""}],"container-title":"Nature Materials","id":"ITEM-3","issue":"9","issued":{"date-parts":[["2013","9","14"]]},"page":"827-835","publisher":"Nature Research","title":"Reversible anionic redox chemistry in high-capacity layered-oxide electrodes","type":"article-journal","volume":"12"},"uris":["http://www.mendeley.com/documents/?uuid=3ad1b5de-f592-375a-8466-2cb6933ae9c9"]},{"id":"ITEM-4","itemData":{"DOI":"10.1038/s41467-017-02291-9","ISSN":"2041-1723","abstract":"Reversible anionic redox has rejuvenated the search for high-capacity lithium-ion battery cathodes. Real-world success necessitates the holistic mastering of this electrochemistry’s kinetics, thermodynamics, and stability. Here we prove oxygen redox reactivity in the archetypical lithium- and manganese-rich layered cathodes through bulk-sensitive synchrotron-based spectroscopies, and elucidate their complete anionic/cationic charge-compensation mechanism. Furthermore, via various electroanalytical methods, we answer how the anionic/cationic interplay governs application-wise important issues—namely sluggish kinetics, large hysteresis, and voltage fade—that afflict these promising cathodes despite widespread industrial and academic efforts. We find that cationic redox is kinetically fast and without hysteresis unlike sluggish anions, which furthermore show different oxidation vs. reduction potentials. Additionally, more time spent with fully oxidized oxygen promotes voltage fade. These fundamental insights about anionic redox are indispensable for improving lithium-rich cathodes. Moreover, our methodology provides guidelines for assessing the merits of existing and future anionic redox-based high-energy cathodes, which are being discovered rapidly.","author":[{"dropping-particle":"","family":"Assat","given":"Gaurav","non-dropping-particle":"","parse-names":false,"suffix":""},{"dropping-particle":"","family":"Foix","given":"Dominique","non-dropping-particle":"","parse-names":false,"suffix":""},{"dropping-particle":"","family":"Delacourt","given":"Charles","non-dropping-particle":"","parse-names":false,"suffix":""},{"dropping-particle":"","family":"Iadecola","given":"Antonella","non-dropping-particle":"","parse-names":false,"suffix":""},{"dropping-particle":"","family":"Dedryvère","given":"Rémi","non-dropping-particle":"","parse-names":false,"suffix":""},{"dropping-particle":"","family":"Tarascon","given":"Jean-Marie","non-dropping-particle":"","parse-names":false,"suffix":""}],"container-title":"Nature Communications","id":"ITEM-4","issue":"1","issued":{"date-parts":[["2017","12","20"]]},"page":"2219","publisher":"Nature Publishing Group","title":"Fundamental interplay between anionic/cationic redox governing the kinetics and thermodynamics of lithium-rich cathodes","type":"article-journal","volume":"8"},"uris":["http://www.mendeley.com/documents/?uuid=8f9f743d-0f9a-3646-8870-2564f26098ff"]},{"id":"ITEM-5","itemData":{"DOI":"10.1149/2.0051602jes","ISSN":"0013-4651","author":[{"dropping-particle":"","family":"Philippe","given":"B.","non-dropping-particle":"","parse-names":false,"suffix":""},{"dropping-particle":"","family":"Hahlin","given":"M.","non-dropping-particle":"","parse-names":false,"suffix":""},{"dropping-particle":"","family":"Edstro m","given":"K.","non-dropping-particle":"","parse-names":false,"suffix":""},{"dropping-particle":"","family":"Gustafsson","given":"T.","non-dropping-particle":"","parse-names":false,"suffix":""},{"dropping-particle":"","family":"Siegbahn","given":"H.","non-dropping-particle":"","parse-names":false,"suffix":""},{"dropping-particle":"","family":"Rensmo","given":"H.","non-dropping-particle":"","parse-names":false,"suffix":""}],"container-title":"Journal of the Electrochemical Society","id":"ITEM-5","issue":"2","issued":{"date-parts":[["2015","11","14"]]},"page":"A178-A191","publisher":"The Electrochemical Society","title":"Photoelectron Spectroscopy for Lithium Battery Interface Studies","type":"article-journal","volume":"163"},"uris":["http://www.mendeley.com/documents/?uuid=12bf6f16-dace-3133-8b91-3b1bad7393bb"]},{"id":"ITEM-6","itemData":{"DOI":"10.1002/sia.6330","ISSN":"01422421","author":[{"dropping-particle":"","family":"Azmi","given":"R.","non-dropping-particle":"","parse-names":false,"suffix":""},{"dropping-particle":"","family":"Trouillet","given":"V.","non-dropping-particle":"","parse-names":false,"suffix":""},{"dropping-particle":"","family":"Strafela","given":"M.","non-dropping-particle":"","parse-names":false,"suffix":""},{"dropping-particle":"","family":"Ulrich","given":"S.","non-dropping-particle":"","parse-names":false,"suffix":""},{"dropping-particle":"","family":"Ehrenberg","given":"H.","non-dropping-particle":"","parse-names":false,"suffix":""},{"dropping-particle":"","family":"Bruns","given":"M.","non-dropping-particle":"","parse-names":false,"suffix":""}],"container-title":"Surface and Interface Analysis","id":"ITEM-6","issue":"1","issued":{"date-parts":[["2018","1","1"]]},"page":"43-51","title":"Surface analytical approaches to reliably characterize lithium ion battery electrodes","type":"article-journal","volume":"50"},"uris":["http://www.mendeley.com/documents/?uuid=8729be75-a048-350f-a6e8-945cf3729bd2"]}],"mendeley":{"formattedCitation":"&lt;sup&gt;4–9&lt;/sup&gt;","plainTextFormattedCitation":"4–9","previouslyFormattedCitation":"&lt;sup&gt;4–9&lt;/sup&gt;"},"properties":{"noteIndex":0},"schema":"https://github.com/citation-style-language/schema/raw/master/csl-citation.json"}</w:instrText>
      </w:r>
      <w:r w:rsidR="00B018F5" w:rsidRPr="00754FD7">
        <w:fldChar w:fldCharType="separate"/>
      </w:r>
      <w:r w:rsidR="00160EBA" w:rsidRPr="00160EBA">
        <w:rPr>
          <w:noProof/>
          <w:vertAlign w:val="superscript"/>
        </w:rPr>
        <w:t>4–9</w:t>
      </w:r>
      <w:r w:rsidR="00B018F5" w:rsidRPr="00754FD7">
        <w:fldChar w:fldCharType="end"/>
      </w:r>
    </w:p>
    <w:p w:rsidR="00987435" w:rsidRPr="00754FD7" w:rsidRDefault="00B131FD" w:rsidP="00987435">
      <w:pPr>
        <w:spacing w:line="480" w:lineRule="auto"/>
      </w:pPr>
      <w:r w:rsidRPr="00754FD7">
        <w:t>The fitting specification is shown in the table below.</w:t>
      </w:r>
    </w:p>
    <w:p w:rsidR="00B131FD" w:rsidRPr="00754FD7" w:rsidRDefault="000B1CCC" w:rsidP="00D12F99">
      <w:pPr>
        <w:pStyle w:val="Caption"/>
        <w:spacing w:line="480" w:lineRule="auto"/>
        <w:rPr>
          <w:rFonts w:ascii="Calibri" w:eastAsia="Times New Roman" w:hAnsi="Calibri" w:cs="Calibri"/>
          <w:i w:val="0"/>
          <w:color w:val="auto"/>
          <w:sz w:val="22"/>
          <w:szCs w:val="22"/>
          <w:lang w:eastAsia="sv-SE"/>
        </w:rPr>
      </w:pPr>
      <w:r w:rsidRPr="00754FD7">
        <w:rPr>
          <w:i w:val="0"/>
          <w:color w:val="auto"/>
          <w:sz w:val="22"/>
          <w:szCs w:val="22"/>
        </w:rPr>
        <w:t>Table S</w:t>
      </w:r>
      <w:r w:rsidRPr="00754FD7">
        <w:rPr>
          <w:i w:val="0"/>
          <w:color w:val="auto"/>
          <w:sz w:val="22"/>
          <w:szCs w:val="22"/>
        </w:rPr>
        <w:fldChar w:fldCharType="begin"/>
      </w:r>
      <w:r w:rsidRPr="00754FD7">
        <w:rPr>
          <w:i w:val="0"/>
          <w:color w:val="auto"/>
          <w:sz w:val="22"/>
          <w:szCs w:val="22"/>
        </w:rPr>
        <w:instrText xml:space="preserve"> SEQ Table_S \* ARABIC </w:instrText>
      </w:r>
      <w:r w:rsidRPr="00754FD7">
        <w:rPr>
          <w:i w:val="0"/>
          <w:color w:val="auto"/>
          <w:sz w:val="22"/>
          <w:szCs w:val="22"/>
        </w:rPr>
        <w:fldChar w:fldCharType="separate"/>
      </w:r>
      <w:r w:rsidR="00AE3693">
        <w:rPr>
          <w:i w:val="0"/>
          <w:noProof/>
          <w:color w:val="auto"/>
          <w:sz w:val="22"/>
          <w:szCs w:val="22"/>
        </w:rPr>
        <w:t>1</w:t>
      </w:r>
      <w:r w:rsidRPr="00754FD7">
        <w:rPr>
          <w:i w:val="0"/>
          <w:color w:val="auto"/>
          <w:sz w:val="22"/>
          <w:szCs w:val="22"/>
        </w:rPr>
        <w:fldChar w:fldCharType="end"/>
      </w:r>
      <w:r w:rsidR="00D12F99" w:rsidRPr="00754FD7">
        <w:rPr>
          <w:i w:val="0"/>
          <w:color w:val="auto"/>
          <w:sz w:val="22"/>
          <w:szCs w:val="22"/>
        </w:rPr>
        <w:t>.</w:t>
      </w:r>
      <w:r w:rsidR="00B131FD" w:rsidRPr="00754FD7">
        <w:rPr>
          <w:i w:val="0"/>
          <w:color w:val="auto"/>
          <w:sz w:val="22"/>
          <w:szCs w:val="22"/>
        </w:rPr>
        <w:t xml:space="preserve"> Fitting specification of O 1s spectra for </w:t>
      </w:r>
      <w:r w:rsidR="00B131FD" w:rsidRPr="00754FD7">
        <w:rPr>
          <w:rFonts w:ascii="Calibri" w:eastAsia="Times New Roman" w:hAnsi="Calibri" w:cs="Calibri"/>
          <w:i w:val="0"/>
          <w:color w:val="auto"/>
          <w:sz w:val="22"/>
          <w:szCs w:val="22"/>
          <w:lang w:eastAsia="sv-SE"/>
        </w:rPr>
        <w:t>Li</w:t>
      </w:r>
      <w:r w:rsidR="00B131FD" w:rsidRPr="00754FD7">
        <w:rPr>
          <w:rFonts w:ascii="Calibri" w:eastAsia="Times New Roman" w:hAnsi="Calibri" w:cs="Calibri"/>
          <w:i w:val="0"/>
          <w:color w:val="auto"/>
          <w:sz w:val="22"/>
          <w:szCs w:val="22"/>
          <w:vertAlign w:val="subscript"/>
          <w:lang w:eastAsia="sv-SE"/>
        </w:rPr>
        <w:t>1.2</w:t>
      </w:r>
      <w:r w:rsidR="00B131FD" w:rsidRPr="00754FD7">
        <w:rPr>
          <w:rFonts w:ascii="Calibri" w:eastAsia="Times New Roman" w:hAnsi="Calibri" w:cs="Calibri"/>
          <w:i w:val="0"/>
          <w:color w:val="auto"/>
          <w:sz w:val="22"/>
          <w:szCs w:val="22"/>
          <w:lang w:eastAsia="sv-SE"/>
        </w:rPr>
        <w:t>Ni</w:t>
      </w:r>
      <w:r w:rsidR="00B131FD" w:rsidRPr="00754FD7">
        <w:rPr>
          <w:rFonts w:ascii="Calibri" w:eastAsia="Times New Roman" w:hAnsi="Calibri" w:cs="Calibri"/>
          <w:i w:val="0"/>
          <w:color w:val="auto"/>
          <w:sz w:val="22"/>
          <w:szCs w:val="22"/>
          <w:vertAlign w:val="subscript"/>
          <w:lang w:eastAsia="sv-SE"/>
        </w:rPr>
        <w:t>0.2</w:t>
      </w:r>
      <w:r w:rsidR="00B131FD" w:rsidRPr="00754FD7">
        <w:rPr>
          <w:rFonts w:ascii="Calibri" w:eastAsia="Times New Roman" w:hAnsi="Calibri" w:cs="Calibri"/>
          <w:i w:val="0"/>
          <w:color w:val="auto"/>
          <w:sz w:val="22"/>
          <w:szCs w:val="22"/>
          <w:lang w:eastAsia="sv-SE"/>
        </w:rPr>
        <w:t>Mn</w:t>
      </w:r>
      <w:r w:rsidR="00B131FD" w:rsidRPr="00754FD7">
        <w:rPr>
          <w:rFonts w:ascii="Calibri" w:eastAsia="Times New Roman" w:hAnsi="Calibri" w:cs="Calibri"/>
          <w:i w:val="0"/>
          <w:color w:val="auto"/>
          <w:sz w:val="22"/>
          <w:szCs w:val="22"/>
          <w:vertAlign w:val="subscript"/>
          <w:lang w:eastAsia="sv-SE"/>
        </w:rPr>
        <w:t>0.6</w:t>
      </w:r>
      <w:r w:rsidR="00B131FD" w:rsidRPr="00754FD7">
        <w:rPr>
          <w:rFonts w:ascii="Calibri" w:eastAsia="Times New Roman" w:hAnsi="Calibri" w:cs="Calibri"/>
          <w:i w:val="0"/>
          <w:color w:val="auto"/>
          <w:sz w:val="22"/>
          <w:szCs w:val="22"/>
          <w:lang w:eastAsia="sv-SE"/>
        </w:rPr>
        <w:t>O</w:t>
      </w:r>
      <w:r w:rsidR="00B131FD" w:rsidRPr="00754FD7">
        <w:rPr>
          <w:rFonts w:ascii="Calibri" w:eastAsia="Times New Roman" w:hAnsi="Calibri" w:cs="Calibri"/>
          <w:i w:val="0"/>
          <w:color w:val="auto"/>
          <w:sz w:val="22"/>
          <w:szCs w:val="22"/>
          <w:vertAlign w:val="subscript"/>
          <w:lang w:eastAsia="sv-SE"/>
        </w:rPr>
        <w:t>2</w:t>
      </w:r>
      <w:r w:rsidR="00B131FD" w:rsidRPr="00754FD7">
        <w:rPr>
          <w:rFonts w:ascii="Calibri" w:eastAsia="Times New Roman" w:hAnsi="Calibri" w:cs="Calibri"/>
          <w:i w:val="0"/>
          <w:color w:val="auto"/>
          <w:sz w:val="22"/>
          <w:szCs w:val="22"/>
          <w:lang w:eastAsia="sv-SE"/>
        </w:rPr>
        <w:t xml:space="preserve"> and LiNi</w:t>
      </w:r>
      <w:r w:rsidR="00B131FD" w:rsidRPr="00754FD7">
        <w:rPr>
          <w:rFonts w:ascii="Calibri" w:eastAsia="Times New Roman" w:hAnsi="Calibri" w:cs="Calibri"/>
          <w:i w:val="0"/>
          <w:color w:val="auto"/>
          <w:sz w:val="22"/>
          <w:szCs w:val="22"/>
          <w:vertAlign w:val="subscript"/>
          <w:lang w:eastAsia="sv-SE"/>
        </w:rPr>
        <w:t>0.5</w:t>
      </w:r>
      <w:r w:rsidR="00B131FD" w:rsidRPr="00754FD7">
        <w:rPr>
          <w:rFonts w:ascii="Calibri" w:eastAsia="Times New Roman" w:hAnsi="Calibri" w:cs="Calibri"/>
          <w:i w:val="0"/>
          <w:color w:val="auto"/>
          <w:sz w:val="22"/>
          <w:szCs w:val="22"/>
          <w:lang w:eastAsia="sv-SE"/>
        </w:rPr>
        <w:t>Mn</w:t>
      </w:r>
      <w:r w:rsidR="00B131FD" w:rsidRPr="00754FD7">
        <w:rPr>
          <w:rFonts w:ascii="Calibri" w:eastAsia="Times New Roman" w:hAnsi="Calibri" w:cs="Calibri"/>
          <w:i w:val="0"/>
          <w:color w:val="auto"/>
          <w:sz w:val="22"/>
          <w:szCs w:val="22"/>
          <w:vertAlign w:val="subscript"/>
          <w:lang w:eastAsia="sv-SE"/>
        </w:rPr>
        <w:t>1.5</w:t>
      </w:r>
      <w:r w:rsidR="00B131FD" w:rsidRPr="00754FD7">
        <w:rPr>
          <w:rFonts w:ascii="Calibri" w:eastAsia="Times New Roman" w:hAnsi="Calibri" w:cs="Calibri"/>
          <w:i w:val="0"/>
          <w:color w:val="auto"/>
          <w:sz w:val="22"/>
          <w:szCs w:val="22"/>
          <w:lang w:eastAsia="sv-SE"/>
        </w:rPr>
        <w:t>O</w:t>
      </w:r>
      <w:r w:rsidR="00B131FD" w:rsidRPr="00754FD7">
        <w:rPr>
          <w:rFonts w:ascii="Calibri" w:eastAsia="Times New Roman" w:hAnsi="Calibri" w:cs="Calibri"/>
          <w:i w:val="0"/>
          <w:color w:val="auto"/>
          <w:sz w:val="22"/>
          <w:szCs w:val="22"/>
          <w:vertAlign w:val="subscript"/>
          <w:lang w:eastAsia="sv-SE"/>
        </w:rPr>
        <w:t>4</w:t>
      </w:r>
      <w:r w:rsidR="00B131FD" w:rsidRPr="00754FD7">
        <w:rPr>
          <w:rFonts w:ascii="Calibri" w:eastAsia="Times New Roman" w:hAnsi="Calibri" w:cs="Calibri"/>
          <w:i w:val="0"/>
          <w:color w:val="auto"/>
          <w:sz w:val="22"/>
          <w:szCs w:val="22"/>
          <w:lang w:eastAsia="sv-SE"/>
        </w:rPr>
        <w:t>. BE: Binding Energy; FWHM: Full Width Half Maximum; Surf</w:t>
      </w:r>
      <w:r w:rsidR="00B131FD" w:rsidRPr="00754FD7">
        <w:rPr>
          <w:rFonts w:ascii="Calibri" w:eastAsia="Times New Roman" w:hAnsi="Calibri" w:cs="Calibri"/>
          <w:i w:val="0"/>
          <w:color w:val="auto"/>
          <w:sz w:val="22"/>
          <w:szCs w:val="22"/>
          <w:vertAlign w:val="subscript"/>
          <w:lang w:eastAsia="sv-SE"/>
        </w:rPr>
        <w:t>1</w:t>
      </w:r>
      <w:r w:rsidR="00B131FD" w:rsidRPr="00754FD7">
        <w:rPr>
          <w:rFonts w:ascii="Calibri" w:eastAsia="Times New Roman" w:hAnsi="Calibri" w:cs="Calibri"/>
          <w:i w:val="0"/>
          <w:color w:val="auto"/>
          <w:sz w:val="22"/>
          <w:szCs w:val="22"/>
          <w:lang w:eastAsia="sv-SE"/>
        </w:rPr>
        <w:t xml:space="preserve"> + Surf</w:t>
      </w:r>
      <w:r w:rsidR="00B131FD" w:rsidRPr="00754FD7">
        <w:rPr>
          <w:rFonts w:ascii="Calibri" w:eastAsia="Times New Roman" w:hAnsi="Calibri" w:cs="Calibri"/>
          <w:i w:val="0"/>
          <w:color w:val="auto"/>
          <w:sz w:val="22"/>
          <w:szCs w:val="22"/>
          <w:vertAlign w:val="subscript"/>
          <w:lang w:eastAsia="sv-SE"/>
        </w:rPr>
        <w:t>2</w:t>
      </w:r>
      <w:r w:rsidR="00B131FD" w:rsidRPr="00754FD7">
        <w:rPr>
          <w:rFonts w:ascii="Calibri" w:eastAsia="Times New Roman" w:hAnsi="Calibri" w:cs="Calibri"/>
          <w:i w:val="0"/>
          <w:color w:val="auto"/>
          <w:sz w:val="22"/>
          <w:szCs w:val="22"/>
          <w:lang w:eastAsia="sv-SE"/>
        </w:rPr>
        <w:t>: Surface-bound species; Sat.: Satellite peak.</w:t>
      </w:r>
    </w:p>
    <w:p w:rsidR="0031196F" w:rsidRDefault="0031196F" w:rsidP="00221117">
      <w:pPr>
        <w:rPr>
          <w:lang w:eastAsia="sv-SE"/>
        </w:rPr>
      </w:pPr>
    </w:p>
    <w:tbl>
      <w:tblPr>
        <w:tblW w:w="87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34"/>
        <w:gridCol w:w="1408"/>
        <w:gridCol w:w="951"/>
        <w:gridCol w:w="1276"/>
        <w:gridCol w:w="851"/>
        <w:gridCol w:w="992"/>
        <w:gridCol w:w="1276"/>
        <w:gridCol w:w="850"/>
      </w:tblGrid>
      <w:tr w:rsidR="002C5189" w:rsidRPr="002C5189" w:rsidTr="00B933FB">
        <w:trPr>
          <w:trHeight w:val="288"/>
        </w:trPr>
        <w:tc>
          <w:tcPr>
            <w:tcW w:w="2542" w:type="dxa"/>
            <w:gridSpan w:val="2"/>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Li</w:t>
            </w:r>
            <w:r w:rsidRPr="00B933FB">
              <w:rPr>
                <w:rFonts w:ascii="Calibri" w:eastAsia="Times New Roman" w:hAnsi="Calibri" w:cs="Calibri"/>
                <w:b/>
                <w:color w:val="000000"/>
                <w:vertAlign w:val="subscript"/>
                <w:lang w:eastAsia="en-GB"/>
              </w:rPr>
              <w:t>1.2</w:t>
            </w:r>
            <w:r w:rsidRPr="00B933FB">
              <w:rPr>
                <w:rFonts w:ascii="Calibri" w:eastAsia="Times New Roman" w:hAnsi="Calibri" w:cs="Calibri"/>
                <w:b/>
                <w:color w:val="000000"/>
                <w:lang w:eastAsia="en-GB"/>
              </w:rPr>
              <w:t>Ni</w:t>
            </w:r>
            <w:r w:rsidRPr="00B933FB">
              <w:rPr>
                <w:rFonts w:ascii="Calibri" w:eastAsia="Times New Roman" w:hAnsi="Calibri" w:cs="Calibri"/>
                <w:b/>
                <w:color w:val="000000"/>
                <w:vertAlign w:val="subscript"/>
                <w:lang w:eastAsia="en-GB"/>
              </w:rPr>
              <w:t>0.2</w:t>
            </w:r>
            <w:r w:rsidRPr="00B933FB">
              <w:rPr>
                <w:rFonts w:ascii="Calibri" w:eastAsia="Times New Roman" w:hAnsi="Calibri" w:cs="Calibri"/>
                <w:b/>
                <w:color w:val="000000"/>
                <w:lang w:eastAsia="en-GB"/>
              </w:rPr>
              <w:t>Mn</w:t>
            </w:r>
            <w:r w:rsidRPr="00B933FB">
              <w:rPr>
                <w:rFonts w:ascii="Calibri" w:eastAsia="Times New Roman" w:hAnsi="Calibri" w:cs="Calibri"/>
                <w:b/>
                <w:color w:val="000000"/>
                <w:vertAlign w:val="subscript"/>
                <w:lang w:eastAsia="en-GB"/>
              </w:rPr>
              <w:t>0.6</w:t>
            </w:r>
            <w:r w:rsidRPr="00B933FB">
              <w:rPr>
                <w:rFonts w:ascii="Calibri" w:eastAsia="Times New Roman" w:hAnsi="Calibri" w:cs="Calibri"/>
                <w:b/>
                <w:color w:val="000000"/>
                <w:lang w:eastAsia="en-GB"/>
              </w:rPr>
              <w:t>O</w:t>
            </w:r>
            <w:r w:rsidRPr="00B933FB">
              <w:rPr>
                <w:rFonts w:ascii="Calibri" w:eastAsia="Times New Roman" w:hAnsi="Calibri" w:cs="Calibri"/>
                <w:b/>
                <w:color w:val="000000"/>
                <w:vertAlign w:val="subscript"/>
                <w:lang w:eastAsia="en-GB"/>
              </w:rPr>
              <w:t>2</w:t>
            </w:r>
          </w:p>
        </w:tc>
        <w:tc>
          <w:tcPr>
            <w:tcW w:w="3078" w:type="dxa"/>
            <w:gridSpan w:val="3"/>
            <w:shd w:val="clear" w:color="auto" w:fill="auto"/>
            <w:noWrap/>
            <w:tcMar>
              <w:left w:w="57" w:type="dxa"/>
              <w:right w:w="57" w:type="dxa"/>
            </w:tcMar>
            <w:vAlign w:val="bottom"/>
            <w:hideMark/>
          </w:tcPr>
          <w:p w:rsidR="002C5189" w:rsidRPr="00B933FB" w:rsidRDefault="002C5189" w:rsidP="002C5189">
            <w:pPr>
              <w:spacing w:after="0" w:line="240" w:lineRule="auto"/>
              <w:jc w:val="center"/>
              <w:rPr>
                <w:rFonts w:ascii="Calibri" w:eastAsia="Times New Roman" w:hAnsi="Calibri" w:cs="Calibri"/>
                <w:b/>
                <w:color w:val="000000"/>
                <w:lang w:eastAsia="en-GB"/>
              </w:rPr>
            </w:pPr>
            <w:r w:rsidRPr="00B933FB">
              <w:rPr>
                <w:rFonts w:ascii="Calibri" w:eastAsia="Times New Roman" w:hAnsi="Calibri" w:cs="Calibri"/>
                <w:b/>
                <w:color w:val="000000"/>
                <w:lang w:eastAsia="en-GB"/>
              </w:rPr>
              <w:t>O</w:t>
            </w:r>
            <w:r w:rsidRPr="00B933FB">
              <w:rPr>
                <w:rFonts w:ascii="Calibri" w:eastAsia="Times New Roman" w:hAnsi="Calibri" w:cs="Calibri"/>
                <w:b/>
                <w:color w:val="000000"/>
                <w:vertAlign w:val="superscript"/>
                <w:lang w:eastAsia="en-GB"/>
              </w:rPr>
              <w:t>2-</w:t>
            </w:r>
          </w:p>
        </w:tc>
        <w:tc>
          <w:tcPr>
            <w:tcW w:w="3118" w:type="dxa"/>
            <w:gridSpan w:val="3"/>
            <w:shd w:val="clear" w:color="auto" w:fill="auto"/>
            <w:noWrap/>
            <w:tcMar>
              <w:left w:w="57" w:type="dxa"/>
              <w:right w:w="57" w:type="dxa"/>
            </w:tcMar>
            <w:vAlign w:val="bottom"/>
            <w:hideMark/>
          </w:tcPr>
          <w:p w:rsidR="002C5189" w:rsidRPr="00B933FB" w:rsidRDefault="002C5189" w:rsidP="002C5189">
            <w:pPr>
              <w:spacing w:after="0" w:line="240" w:lineRule="auto"/>
              <w:jc w:val="center"/>
              <w:rPr>
                <w:rFonts w:ascii="Calibri" w:eastAsia="Times New Roman" w:hAnsi="Calibri" w:cs="Calibri"/>
                <w:b/>
                <w:color w:val="000000"/>
                <w:lang w:eastAsia="en-GB"/>
              </w:rPr>
            </w:pPr>
            <w:r w:rsidRPr="00B933FB">
              <w:rPr>
                <w:rFonts w:ascii="Calibri" w:eastAsia="Times New Roman" w:hAnsi="Calibri" w:cs="Calibri"/>
                <w:b/>
                <w:color w:val="000000"/>
                <w:lang w:eastAsia="en-GB"/>
              </w:rPr>
              <w:t>O</w:t>
            </w:r>
            <w:r w:rsidRPr="00B933FB">
              <w:rPr>
                <w:rFonts w:ascii="Calibri" w:eastAsia="Times New Roman" w:hAnsi="Calibri" w:cs="Calibri"/>
                <w:b/>
                <w:color w:val="000000"/>
                <w:vertAlign w:val="superscript"/>
                <w:lang w:eastAsia="en-GB"/>
              </w:rPr>
              <w:t>n-</w:t>
            </w:r>
          </w:p>
        </w:tc>
      </w:tr>
      <w:tr w:rsidR="002C5189" w:rsidRPr="002C5189" w:rsidTr="00B933FB">
        <w:trPr>
          <w:trHeight w:val="288"/>
        </w:trPr>
        <w:tc>
          <w:tcPr>
            <w:tcW w:w="1134"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 </w:t>
            </w:r>
          </w:p>
        </w:tc>
        <w:tc>
          <w:tcPr>
            <w:tcW w:w="1408" w:type="dxa"/>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 xml:space="preserve">Excitation Energy / </w:t>
            </w:r>
            <w:proofErr w:type="spellStart"/>
            <w:r w:rsidRPr="00B933FB">
              <w:rPr>
                <w:rFonts w:ascii="Calibri" w:eastAsia="Times New Roman" w:hAnsi="Calibri" w:cs="Calibri"/>
                <w:b/>
                <w:color w:val="000000"/>
                <w:lang w:eastAsia="en-GB"/>
              </w:rPr>
              <w:t>keV</w:t>
            </w:r>
            <w:proofErr w:type="spellEnd"/>
          </w:p>
        </w:tc>
        <w:tc>
          <w:tcPr>
            <w:tcW w:w="951" w:type="dxa"/>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BE / eV</w:t>
            </w:r>
          </w:p>
        </w:tc>
        <w:tc>
          <w:tcPr>
            <w:tcW w:w="1276" w:type="dxa"/>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FWHM / eV</w:t>
            </w:r>
          </w:p>
        </w:tc>
        <w:tc>
          <w:tcPr>
            <w:tcW w:w="851" w:type="dxa"/>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 area</w:t>
            </w:r>
          </w:p>
        </w:tc>
        <w:tc>
          <w:tcPr>
            <w:tcW w:w="992" w:type="dxa"/>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BE / eV</w:t>
            </w:r>
          </w:p>
        </w:tc>
        <w:tc>
          <w:tcPr>
            <w:tcW w:w="1276" w:type="dxa"/>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FWHM / eV</w:t>
            </w:r>
          </w:p>
        </w:tc>
        <w:tc>
          <w:tcPr>
            <w:tcW w:w="850" w:type="dxa"/>
            <w:shd w:val="clear" w:color="auto" w:fill="auto"/>
            <w:noWrap/>
            <w:tcMar>
              <w:left w:w="57" w:type="dxa"/>
              <w:right w:w="57" w:type="dxa"/>
            </w:tcMar>
            <w:vAlign w:val="bottom"/>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 area</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Pristine</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529.2552</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1.1289</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60.73</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529.0574</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1.0530</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68.18</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528.9276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1.0336</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83.71</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082F04" w:rsidRDefault="002C5189" w:rsidP="002C5189">
            <w:pPr>
              <w:spacing w:after="0" w:line="240" w:lineRule="auto"/>
              <w:rPr>
                <w:rFonts w:ascii="Calibri" w:eastAsia="Times New Roman" w:hAnsi="Calibri" w:cs="Calibri"/>
                <w:b/>
                <w:lang w:eastAsia="en-GB"/>
              </w:rPr>
            </w:pPr>
            <w:r w:rsidRPr="00082F04">
              <w:rPr>
                <w:rFonts w:ascii="Calibri" w:eastAsia="Times New Roman" w:hAnsi="Calibri" w:cs="Calibri"/>
                <w:b/>
                <w:lang w:eastAsia="en-GB"/>
              </w:rPr>
              <w:t>4.1 V</w:t>
            </w:r>
          </w:p>
        </w:tc>
        <w:tc>
          <w:tcPr>
            <w:tcW w:w="1408"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1.09</w:t>
            </w:r>
          </w:p>
        </w:tc>
        <w:tc>
          <w:tcPr>
            <w:tcW w:w="951"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528.9210</w:t>
            </w:r>
          </w:p>
        </w:tc>
        <w:tc>
          <w:tcPr>
            <w:tcW w:w="1276"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1.1371</w:t>
            </w:r>
          </w:p>
        </w:tc>
        <w:tc>
          <w:tcPr>
            <w:tcW w:w="851"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45.33</w:t>
            </w:r>
          </w:p>
        </w:tc>
        <w:tc>
          <w:tcPr>
            <w:tcW w:w="992"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530.2699</w:t>
            </w:r>
          </w:p>
        </w:tc>
        <w:tc>
          <w:tcPr>
            <w:tcW w:w="1276"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1.6</w:t>
            </w:r>
          </w:p>
        </w:tc>
        <w:tc>
          <w:tcPr>
            <w:tcW w:w="850"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17.59</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082F04" w:rsidRDefault="002C5189" w:rsidP="002C5189">
            <w:pPr>
              <w:spacing w:after="0" w:line="240" w:lineRule="auto"/>
              <w:rPr>
                <w:rFonts w:ascii="Calibri" w:eastAsia="Times New Roman" w:hAnsi="Calibri" w:cs="Calibri"/>
                <w:b/>
                <w:lang w:eastAsia="en-GB"/>
              </w:rPr>
            </w:pPr>
          </w:p>
        </w:tc>
        <w:tc>
          <w:tcPr>
            <w:tcW w:w="1408"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2.35</w:t>
            </w:r>
          </w:p>
        </w:tc>
        <w:tc>
          <w:tcPr>
            <w:tcW w:w="951"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528.8467</w:t>
            </w:r>
          </w:p>
        </w:tc>
        <w:tc>
          <w:tcPr>
            <w:tcW w:w="1276"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1.0062</w:t>
            </w:r>
          </w:p>
        </w:tc>
        <w:tc>
          <w:tcPr>
            <w:tcW w:w="851"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64.29</w:t>
            </w:r>
          </w:p>
        </w:tc>
        <w:tc>
          <w:tcPr>
            <w:tcW w:w="992"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530.1896</w:t>
            </w:r>
          </w:p>
        </w:tc>
        <w:tc>
          <w:tcPr>
            <w:tcW w:w="1276"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1.5893</w:t>
            </w:r>
          </w:p>
        </w:tc>
        <w:tc>
          <w:tcPr>
            <w:tcW w:w="850"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17.38</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082F04" w:rsidRDefault="002C5189" w:rsidP="002C5189">
            <w:pPr>
              <w:spacing w:after="0" w:line="240" w:lineRule="auto"/>
              <w:rPr>
                <w:rFonts w:ascii="Calibri" w:eastAsia="Times New Roman" w:hAnsi="Calibri" w:cs="Calibri"/>
                <w:b/>
                <w:lang w:eastAsia="en-GB"/>
              </w:rPr>
            </w:pPr>
          </w:p>
        </w:tc>
        <w:tc>
          <w:tcPr>
            <w:tcW w:w="1408"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7.05</w:t>
            </w:r>
          </w:p>
        </w:tc>
        <w:tc>
          <w:tcPr>
            <w:tcW w:w="951"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528.8060</w:t>
            </w:r>
          </w:p>
        </w:tc>
        <w:tc>
          <w:tcPr>
            <w:tcW w:w="1276"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0.9686</w:t>
            </w:r>
          </w:p>
        </w:tc>
        <w:tc>
          <w:tcPr>
            <w:tcW w:w="851"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83.87</w:t>
            </w:r>
          </w:p>
        </w:tc>
        <w:tc>
          <w:tcPr>
            <w:tcW w:w="992"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530.1599</w:t>
            </w:r>
          </w:p>
        </w:tc>
        <w:tc>
          <w:tcPr>
            <w:tcW w:w="1276"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1.5927</w:t>
            </w:r>
          </w:p>
        </w:tc>
        <w:tc>
          <w:tcPr>
            <w:tcW w:w="850" w:type="dxa"/>
            <w:shd w:val="clear" w:color="auto" w:fill="auto"/>
            <w:noWrap/>
            <w:tcMar>
              <w:left w:w="57" w:type="dxa"/>
              <w:right w:w="57" w:type="dxa"/>
            </w:tcMar>
            <w:vAlign w:val="bottom"/>
            <w:hideMark/>
          </w:tcPr>
          <w:p w:rsidR="002C5189" w:rsidRPr="00082F04" w:rsidRDefault="002C5189" w:rsidP="002C5189">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9.27</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4.55 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528.8821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1.1305</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36.04</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530.2373</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1.5994</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34.68</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528.6921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1.0541</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48.06</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529.9521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1.5998</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34.61</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528.5916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1.0374</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61.15</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529.8520</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1.5157</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25.69</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4.65 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528.8309</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1.1466</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40.50</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530.1197</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1.5997</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37.26</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528.7067</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1.0933</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50.69</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529.9066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1.5995</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38.76</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528.5611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1.1449</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58.83</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529.6791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1.5790</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29.09</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4.8 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528.8655</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1.2000</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34.62</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530.1576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1.6000</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26.29</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528.7539</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1.1011</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50.34</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529.9746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1.6000</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34.01</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528.6938</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1.1925</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64.73</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529.8669</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1.5713</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24.07</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Discharge (2 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529.4639</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1.0712</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33.27</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530.8172</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0.6096</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0.67</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529.3144</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1.0816</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54.74</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530.6114</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1.3800</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3.16</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529.2384</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1.1534</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77.34</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530.5881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0.9121</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4.10</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10 Cycles (2 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529.6208</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1.0283</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44.77</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530.6734</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0.9408</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1.29</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529.4572</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1.0536</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61.98</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530.5572</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1.2740</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4.74</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529.3487</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1.1295</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76.99</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530.6428</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1.1834</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9.42</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10.5 Cycles (4.8 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529.0805</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1.1707</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42.23</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530.4407</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1.2169</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12.46</w:t>
            </w:r>
          </w:p>
        </w:tc>
      </w:tr>
      <w:tr w:rsidR="002C5189" w:rsidRPr="002C5189" w:rsidTr="00B933FB">
        <w:trPr>
          <w:trHeight w:val="288"/>
        </w:trPr>
        <w:tc>
          <w:tcPr>
            <w:tcW w:w="1134" w:type="dxa"/>
            <w:vMerge/>
            <w:shd w:val="clear" w:color="auto" w:fill="auto"/>
            <w:noWrap/>
            <w:tcMar>
              <w:left w:w="57" w:type="dxa"/>
              <w:right w:w="57" w:type="dxa"/>
            </w:tcMar>
            <w:vAlign w:val="bottom"/>
            <w:hideMark/>
          </w:tcPr>
          <w:p w:rsidR="002C5189" w:rsidRPr="00B933FB" w:rsidRDefault="002C5189" w:rsidP="002C5189">
            <w:pPr>
              <w:spacing w:after="0" w:line="240" w:lineRule="auto"/>
              <w:jc w:val="right"/>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528.8322</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1.1899</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59.67</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530.0401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1.5982</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15.97</w:t>
            </w:r>
          </w:p>
        </w:tc>
      </w:tr>
      <w:tr w:rsidR="002C5189" w:rsidRPr="002C5189" w:rsidTr="00B933FB">
        <w:trPr>
          <w:trHeight w:val="288"/>
        </w:trPr>
        <w:tc>
          <w:tcPr>
            <w:tcW w:w="1134" w:type="dxa"/>
            <w:vMerge/>
            <w:shd w:val="clear" w:color="auto" w:fill="auto"/>
            <w:noWrap/>
            <w:tcMar>
              <w:left w:w="57" w:type="dxa"/>
              <w:right w:w="57" w:type="dxa"/>
            </w:tcMar>
            <w:vAlign w:val="bottom"/>
            <w:hideMark/>
          </w:tcPr>
          <w:p w:rsidR="002C5189" w:rsidRPr="00B933FB" w:rsidRDefault="002C5189" w:rsidP="002C5189">
            <w:pPr>
              <w:spacing w:after="0" w:line="240" w:lineRule="auto"/>
              <w:jc w:val="right"/>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528.6010</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1.2000</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61.52</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529.6521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1.5999</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22.56</w:t>
            </w:r>
          </w:p>
        </w:tc>
      </w:tr>
      <w:tr w:rsidR="00D728BF" w:rsidRPr="002C5189" w:rsidTr="008D38EB">
        <w:trPr>
          <w:trHeight w:val="288"/>
        </w:trPr>
        <w:tc>
          <w:tcPr>
            <w:tcW w:w="8738" w:type="dxa"/>
            <w:gridSpan w:val="8"/>
            <w:shd w:val="clear" w:color="auto" w:fill="auto"/>
            <w:noWrap/>
            <w:tcMar>
              <w:left w:w="57" w:type="dxa"/>
              <w:right w:w="57" w:type="dxa"/>
            </w:tcMar>
            <w:vAlign w:val="bottom"/>
            <w:hideMark/>
          </w:tcPr>
          <w:p w:rsidR="00D728BF" w:rsidRPr="00D728BF" w:rsidRDefault="00D728BF" w:rsidP="002C5189">
            <w:pPr>
              <w:spacing w:after="0" w:line="240" w:lineRule="auto"/>
              <w:rPr>
                <w:rFonts w:ascii="Calibri" w:eastAsia="Times New Roman" w:hAnsi="Calibri" w:cs="Calibri"/>
                <w:color w:val="000000"/>
                <w:lang w:eastAsia="en-GB"/>
              </w:rPr>
            </w:pPr>
          </w:p>
        </w:tc>
      </w:tr>
      <w:tr w:rsidR="00B933FB" w:rsidRPr="002C5189" w:rsidTr="00B933FB">
        <w:trPr>
          <w:trHeight w:val="288"/>
        </w:trPr>
        <w:tc>
          <w:tcPr>
            <w:tcW w:w="8738" w:type="dxa"/>
            <w:gridSpan w:val="8"/>
            <w:shd w:val="clear" w:color="auto" w:fill="auto"/>
            <w:noWrap/>
            <w:tcMar>
              <w:left w:w="57" w:type="dxa"/>
              <w:right w:w="57" w:type="dxa"/>
            </w:tcMar>
            <w:vAlign w:val="bottom"/>
            <w:hideMark/>
          </w:tcPr>
          <w:p w:rsidR="00B933FB" w:rsidRPr="00B933FB" w:rsidRDefault="00B933FB"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LiNi</w:t>
            </w:r>
            <w:r w:rsidRPr="00B933FB">
              <w:rPr>
                <w:rFonts w:ascii="Calibri" w:eastAsia="Times New Roman" w:hAnsi="Calibri" w:cs="Calibri"/>
                <w:b/>
                <w:color w:val="000000"/>
                <w:vertAlign w:val="subscript"/>
                <w:lang w:eastAsia="en-GB"/>
              </w:rPr>
              <w:t>0.5</w:t>
            </w:r>
            <w:r w:rsidRPr="00B933FB">
              <w:rPr>
                <w:rFonts w:ascii="Calibri" w:eastAsia="Times New Roman" w:hAnsi="Calibri" w:cs="Calibri"/>
                <w:b/>
                <w:color w:val="000000"/>
                <w:lang w:eastAsia="en-GB"/>
              </w:rPr>
              <w:t>Mn</w:t>
            </w:r>
            <w:r w:rsidRPr="00B933FB">
              <w:rPr>
                <w:rFonts w:ascii="Calibri" w:eastAsia="Times New Roman" w:hAnsi="Calibri" w:cs="Calibri"/>
                <w:b/>
                <w:color w:val="000000"/>
                <w:vertAlign w:val="subscript"/>
                <w:lang w:eastAsia="en-GB"/>
              </w:rPr>
              <w:t>1.5</w:t>
            </w:r>
            <w:r w:rsidRPr="00B933FB">
              <w:rPr>
                <w:rFonts w:ascii="Calibri" w:eastAsia="Times New Roman" w:hAnsi="Calibri" w:cs="Calibri"/>
                <w:b/>
                <w:color w:val="000000"/>
                <w:lang w:eastAsia="en-GB"/>
              </w:rPr>
              <w:t>O</w:t>
            </w:r>
            <w:r w:rsidRPr="00B933FB">
              <w:rPr>
                <w:rFonts w:ascii="Calibri" w:eastAsia="Times New Roman" w:hAnsi="Calibri" w:cs="Calibri"/>
                <w:b/>
                <w:color w:val="000000"/>
                <w:vertAlign w:val="subscript"/>
                <w:lang w:eastAsia="en-GB"/>
              </w:rPr>
              <w:t>4</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Pristine</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529.4113</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0.9554</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60.03</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529.2876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0.9367</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75.41</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529.2431</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0.9812</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82.68</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4.75 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528.9906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1.0887</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37.15</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528.7859</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0.9746</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57.49</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528.6999</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1.0149</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75.06</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val="restart"/>
            <w:shd w:val="clear" w:color="auto" w:fill="auto"/>
            <w:noWrap/>
            <w:tcMar>
              <w:left w:w="57" w:type="dxa"/>
              <w:right w:w="57" w:type="dxa"/>
            </w:tcMar>
            <w:hideMark/>
          </w:tcPr>
          <w:p w:rsidR="002C5189" w:rsidRPr="00B933FB" w:rsidRDefault="002C5189" w:rsidP="002C5189">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5V</w:t>
            </w: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529.0019</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1.092</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33.3</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2.35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528.7874</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0.9813</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51.01</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r w:rsidR="002C5189" w:rsidRPr="002C5189" w:rsidTr="00B933FB">
        <w:trPr>
          <w:trHeight w:val="288"/>
        </w:trPr>
        <w:tc>
          <w:tcPr>
            <w:tcW w:w="1134" w:type="dxa"/>
            <w:vMerge/>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p>
        </w:tc>
        <w:tc>
          <w:tcPr>
            <w:tcW w:w="1408"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7.05</w:t>
            </w:r>
          </w:p>
        </w:tc>
        <w:tc>
          <w:tcPr>
            <w:tcW w:w="9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528.6986</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1.0098</w:t>
            </w:r>
          </w:p>
        </w:tc>
        <w:tc>
          <w:tcPr>
            <w:tcW w:w="851" w:type="dxa"/>
            <w:shd w:val="clear" w:color="auto" w:fill="auto"/>
            <w:noWrap/>
            <w:tcMar>
              <w:left w:w="57" w:type="dxa"/>
              <w:right w:w="57" w:type="dxa"/>
            </w:tcMar>
            <w:vAlign w:val="bottom"/>
            <w:hideMark/>
          </w:tcPr>
          <w:p w:rsidR="002C5189" w:rsidRPr="002C5189" w:rsidRDefault="002C5189" w:rsidP="002C5189">
            <w:pPr>
              <w:spacing w:after="0" w:line="240" w:lineRule="auto"/>
              <w:jc w:val="right"/>
              <w:rPr>
                <w:rFonts w:ascii="Calibri" w:eastAsia="Times New Roman" w:hAnsi="Calibri" w:cs="Calibri"/>
                <w:color w:val="000000"/>
                <w:lang w:eastAsia="en-GB"/>
              </w:rPr>
            </w:pPr>
            <w:r w:rsidRPr="002C5189">
              <w:rPr>
                <w:rFonts w:ascii="Calibri" w:eastAsia="Times New Roman" w:hAnsi="Calibri" w:cs="Calibri"/>
                <w:color w:val="000000"/>
                <w:lang w:eastAsia="en-GB"/>
              </w:rPr>
              <w:t>67.33</w:t>
            </w:r>
          </w:p>
        </w:tc>
        <w:tc>
          <w:tcPr>
            <w:tcW w:w="992"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1276"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c>
          <w:tcPr>
            <w:tcW w:w="850" w:type="dxa"/>
            <w:shd w:val="clear" w:color="auto" w:fill="auto"/>
            <w:noWrap/>
            <w:tcMar>
              <w:left w:w="57" w:type="dxa"/>
              <w:right w:w="57" w:type="dxa"/>
            </w:tcMar>
            <w:vAlign w:val="bottom"/>
            <w:hideMark/>
          </w:tcPr>
          <w:p w:rsidR="002C5189" w:rsidRPr="002C5189" w:rsidRDefault="002C5189" w:rsidP="002C5189">
            <w:pPr>
              <w:spacing w:after="0" w:line="240" w:lineRule="auto"/>
              <w:rPr>
                <w:rFonts w:ascii="Calibri" w:eastAsia="Times New Roman" w:hAnsi="Calibri" w:cs="Calibri"/>
                <w:color w:val="000000"/>
                <w:lang w:eastAsia="en-GB"/>
              </w:rPr>
            </w:pPr>
            <w:r w:rsidRPr="002C5189">
              <w:rPr>
                <w:rFonts w:ascii="Calibri" w:eastAsia="Times New Roman" w:hAnsi="Calibri" w:cs="Calibri"/>
                <w:color w:val="000000"/>
                <w:lang w:eastAsia="en-GB"/>
              </w:rPr>
              <w:t>-</w:t>
            </w:r>
          </w:p>
        </w:tc>
      </w:tr>
    </w:tbl>
    <w:p w:rsidR="00B933FB" w:rsidRDefault="00B933FB" w:rsidP="00221117">
      <w:pPr>
        <w:rPr>
          <w:lang w:eastAsia="sv-SE"/>
        </w:rPr>
      </w:pPr>
    </w:p>
    <w:p w:rsidR="00097C6C" w:rsidRDefault="00097C6C">
      <w:pPr>
        <w:rPr>
          <w:lang w:eastAsia="sv-SE"/>
        </w:rPr>
      </w:pPr>
    </w:p>
    <w:p w:rsidR="00B933FB" w:rsidRDefault="00B933FB">
      <w:pPr>
        <w:rPr>
          <w:lang w:eastAsia="sv-SE"/>
        </w:rPr>
      </w:pPr>
      <w:r>
        <w:rPr>
          <w:lang w:eastAsia="sv-SE"/>
        </w:rPr>
        <w:br w:type="page"/>
      </w:r>
    </w:p>
    <w:tbl>
      <w:tblPr>
        <w:tblW w:w="87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3"/>
        <w:gridCol w:w="746"/>
        <w:gridCol w:w="813"/>
        <w:gridCol w:w="951"/>
        <w:gridCol w:w="750"/>
        <w:gridCol w:w="850"/>
        <w:gridCol w:w="993"/>
        <w:gridCol w:w="746"/>
        <w:gridCol w:w="813"/>
        <w:gridCol w:w="1134"/>
      </w:tblGrid>
      <w:tr w:rsidR="00D15004" w:rsidRPr="00B933FB" w:rsidTr="00D15004">
        <w:trPr>
          <w:trHeight w:val="288"/>
        </w:trPr>
        <w:tc>
          <w:tcPr>
            <w:tcW w:w="2542" w:type="dxa"/>
            <w:gridSpan w:val="3"/>
            <w:shd w:val="clear" w:color="auto" w:fill="auto"/>
            <w:noWrap/>
            <w:tcMar>
              <w:left w:w="57" w:type="dxa"/>
              <w:right w:w="57" w:type="dxa"/>
            </w:tcMar>
            <w:vAlign w:val="bottom"/>
            <w:hideMark/>
          </w:tcPr>
          <w:p w:rsidR="00D15004" w:rsidRPr="00B933FB" w:rsidRDefault="00D15004" w:rsidP="00B933FB">
            <w:pPr>
              <w:spacing w:after="0" w:line="240" w:lineRule="auto"/>
              <w:jc w:val="center"/>
              <w:rPr>
                <w:rFonts w:ascii="Calibri" w:eastAsia="Times New Roman" w:hAnsi="Calibri" w:cs="Calibri"/>
                <w:b/>
                <w:color w:val="000000"/>
                <w:lang w:eastAsia="en-GB"/>
              </w:rPr>
            </w:pPr>
            <w:r w:rsidRPr="00B933FB">
              <w:rPr>
                <w:rFonts w:ascii="Calibri" w:eastAsia="Times New Roman" w:hAnsi="Calibri" w:cs="Calibri"/>
                <w:b/>
                <w:color w:val="000000"/>
                <w:lang w:eastAsia="en-GB"/>
              </w:rPr>
              <w:t>Surf</w:t>
            </w:r>
            <w:r w:rsidRPr="00B933FB">
              <w:rPr>
                <w:rFonts w:ascii="Calibri" w:eastAsia="Times New Roman" w:hAnsi="Calibri" w:cs="Calibri"/>
                <w:b/>
                <w:color w:val="000000"/>
                <w:vertAlign w:val="subscript"/>
                <w:lang w:eastAsia="en-GB"/>
              </w:rPr>
              <w:t>1</w:t>
            </w:r>
          </w:p>
        </w:tc>
        <w:tc>
          <w:tcPr>
            <w:tcW w:w="2551" w:type="dxa"/>
            <w:gridSpan w:val="3"/>
            <w:shd w:val="clear" w:color="auto" w:fill="auto"/>
            <w:noWrap/>
            <w:tcMar>
              <w:left w:w="57" w:type="dxa"/>
              <w:right w:w="57" w:type="dxa"/>
            </w:tcMar>
            <w:vAlign w:val="bottom"/>
            <w:hideMark/>
          </w:tcPr>
          <w:p w:rsidR="00D15004" w:rsidRPr="00B933FB" w:rsidRDefault="00D15004" w:rsidP="00B933FB">
            <w:pPr>
              <w:spacing w:after="0" w:line="240" w:lineRule="auto"/>
              <w:jc w:val="center"/>
              <w:rPr>
                <w:rFonts w:ascii="Calibri" w:eastAsia="Times New Roman" w:hAnsi="Calibri" w:cs="Calibri"/>
                <w:b/>
                <w:color w:val="000000"/>
                <w:lang w:eastAsia="en-GB"/>
              </w:rPr>
            </w:pPr>
            <w:r w:rsidRPr="00B933FB">
              <w:rPr>
                <w:rFonts w:ascii="Calibri" w:eastAsia="Times New Roman" w:hAnsi="Calibri" w:cs="Calibri"/>
                <w:b/>
                <w:color w:val="000000"/>
                <w:lang w:eastAsia="en-GB"/>
              </w:rPr>
              <w:t>Surf</w:t>
            </w:r>
            <w:r w:rsidRPr="00B933FB">
              <w:rPr>
                <w:rFonts w:ascii="Calibri" w:eastAsia="Times New Roman" w:hAnsi="Calibri" w:cs="Calibri"/>
                <w:b/>
                <w:color w:val="000000"/>
                <w:vertAlign w:val="subscript"/>
                <w:lang w:eastAsia="en-GB"/>
              </w:rPr>
              <w:t>2</w:t>
            </w:r>
          </w:p>
        </w:tc>
        <w:tc>
          <w:tcPr>
            <w:tcW w:w="2552" w:type="dxa"/>
            <w:gridSpan w:val="3"/>
            <w:shd w:val="clear" w:color="auto" w:fill="auto"/>
            <w:noWrap/>
            <w:tcMar>
              <w:left w:w="57" w:type="dxa"/>
              <w:right w:w="57" w:type="dxa"/>
            </w:tcMar>
            <w:vAlign w:val="bottom"/>
            <w:hideMark/>
          </w:tcPr>
          <w:p w:rsidR="00D15004" w:rsidRPr="00B933FB" w:rsidRDefault="00D15004" w:rsidP="00B933FB">
            <w:pPr>
              <w:spacing w:after="0" w:line="240" w:lineRule="auto"/>
              <w:jc w:val="center"/>
              <w:rPr>
                <w:rFonts w:ascii="Calibri" w:eastAsia="Times New Roman" w:hAnsi="Calibri" w:cs="Calibri"/>
                <w:b/>
                <w:color w:val="000000"/>
                <w:lang w:eastAsia="en-GB"/>
              </w:rPr>
            </w:pPr>
            <w:r w:rsidRPr="00B933FB">
              <w:rPr>
                <w:rFonts w:ascii="Calibri" w:eastAsia="Times New Roman" w:hAnsi="Calibri" w:cs="Calibri"/>
                <w:b/>
                <w:color w:val="000000"/>
                <w:lang w:eastAsia="en-GB"/>
              </w:rPr>
              <w:t>Sat.</w:t>
            </w:r>
          </w:p>
        </w:tc>
        <w:tc>
          <w:tcPr>
            <w:tcW w:w="1134" w:type="dxa"/>
          </w:tcPr>
          <w:p w:rsidR="00D15004" w:rsidRPr="00B933FB" w:rsidRDefault="00D15004" w:rsidP="00B933FB">
            <w:pPr>
              <w:spacing w:after="0" w:line="240" w:lineRule="auto"/>
              <w:jc w:val="center"/>
              <w:rPr>
                <w:rFonts w:ascii="Calibri" w:eastAsia="Times New Roman" w:hAnsi="Calibri" w:cs="Calibri"/>
                <w:b/>
                <w:color w:val="000000"/>
                <w:lang w:eastAsia="en-GB"/>
              </w:rPr>
            </w:pP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BE / eV</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FWHM / eV</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 area</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BE / eV</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FWHM / eV</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 area</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BE / eV</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FWHM / eV</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b/>
                <w:color w:val="000000"/>
                <w:lang w:eastAsia="en-GB"/>
              </w:rPr>
            </w:pPr>
            <w:r w:rsidRPr="00B933FB">
              <w:rPr>
                <w:rFonts w:ascii="Calibri" w:eastAsia="Times New Roman" w:hAnsi="Calibri" w:cs="Calibri"/>
                <w:b/>
                <w:color w:val="000000"/>
                <w:lang w:eastAsia="en-GB"/>
              </w:rPr>
              <w:t>% area</w:t>
            </w:r>
          </w:p>
        </w:tc>
        <w:tc>
          <w:tcPr>
            <w:tcW w:w="1134" w:type="dxa"/>
          </w:tcPr>
          <w:p w:rsidR="00D15004" w:rsidRPr="003912F7" w:rsidRDefault="00D15004" w:rsidP="00B933FB">
            <w:pPr>
              <w:spacing w:after="0" w:line="240" w:lineRule="auto"/>
              <w:rPr>
                <w:rFonts w:ascii="Calibri" w:eastAsia="Times New Roman" w:hAnsi="Calibri" w:cs="Calibri"/>
                <w:b/>
                <w:color w:val="000000"/>
                <w:lang w:eastAsia="en-GB"/>
              </w:rPr>
            </w:pPr>
            <w:r w:rsidRPr="003912F7">
              <w:rPr>
                <w:rFonts w:ascii="Calibri" w:eastAsia="Times New Roman" w:hAnsi="Calibri" w:cs="Calibri"/>
                <w:b/>
                <w:color w:val="000000"/>
                <w:lang w:eastAsia="en-GB"/>
              </w:rPr>
              <w:t>Residual STD</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531.3713</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1.7748</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30.40</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532.5773</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2.2535</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8.87</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8.54</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531.3349</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2.0990</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24.17</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532.6993</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2.5000</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7.65</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10.39</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531.3791</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2.1000</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11.99</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532.5959</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2.2505</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4.30</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2.95</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531.2501</w:t>
            </w:r>
          </w:p>
        </w:tc>
        <w:tc>
          <w:tcPr>
            <w:tcW w:w="746"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1.8296</w:t>
            </w:r>
          </w:p>
        </w:tc>
        <w:tc>
          <w:tcPr>
            <w:tcW w:w="813"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29.71</w:t>
            </w:r>
          </w:p>
        </w:tc>
        <w:tc>
          <w:tcPr>
            <w:tcW w:w="951"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532.7906</w:t>
            </w:r>
          </w:p>
        </w:tc>
        <w:tc>
          <w:tcPr>
            <w:tcW w:w="750"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2.0836</w:t>
            </w:r>
          </w:p>
        </w:tc>
        <w:tc>
          <w:tcPr>
            <w:tcW w:w="850"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7.37</w:t>
            </w:r>
          </w:p>
        </w:tc>
        <w:tc>
          <w:tcPr>
            <w:tcW w:w="993"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746"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813"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lang w:eastAsia="en-GB"/>
              </w:rPr>
            </w:pPr>
            <w:r w:rsidRPr="003912F7">
              <w:rPr>
                <w:rFonts w:ascii="Calibri" w:eastAsia="Times New Roman" w:hAnsi="Calibri" w:cs="Calibri"/>
                <w:lang w:eastAsia="en-GB"/>
              </w:rPr>
              <w:t>11.58</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531.1705</w:t>
            </w:r>
          </w:p>
        </w:tc>
        <w:tc>
          <w:tcPr>
            <w:tcW w:w="746"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1.5337</w:t>
            </w:r>
          </w:p>
        </w:tc>
        <w:tc>
          <w:tcPr>
            <w:tcW w:w="813"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13.89</w:t>
            </w:r>
          </w:p>
        </w:tc>
        <w:tc>
          <w:tcPr>
            <w:tcW w:w="951"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532.8242</w:t>
            </w:r>
          </w:p>
        </w:tc>
        <w:tc>
          <w:tcPr>
            <w:tcW w:w="750"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2.0266</w:t>
            </w:r>
          </w:p>
        </w:tc>
        <w:tc>
          <w:tcPr>
            <w:tcW w:w="850"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4.44</w:t>
            </w:r>
          </w:p>
        </w:tc>
        <w:tc>
          <w:tcPr>
            <w:tcW w:w="993"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746"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813"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lang w:eastAsia="en-GB"/>
              </w:rPr>
            </w:pPr>
            <w:r w:rsidRPr="003912F7">
              <w:rPr>
                <w:rFonts w:ascii="Calibri" w:eastAsia="Times New Roman" w:hAnsi="Calibri" w:cs="Calibri"/>
                <w:lang w:eastAsia="en-GB"/>
              </w:rPr>
              <w:t>16.43</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531.2501</w:t>
            </w:r>
          </w:p>
        </w:tc>
        <w:tc>
          <w:tcPr>
            <w:tcW w:w="746"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1.454</w:t>
            </w:r>
          </w:p>
        </w:tc>
        <w:tc>
          <w:tcPr>
            <w:tcW w:w="813"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5.82</w:t>
            </w:r>
          </w:p>
        </w:tc>
        <w:tc>
          <w:tcPr>
            <w:tcW w:w="951"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532.85</w:t>
            </w:r>
          </w:p>
        </w:tc>
        <w:tc>
          <w:tcPr>
            <w:tcW w:w="750"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1.4301</w:t>
            </w:r>
          </w:p>
        </w:tc>
        <w:tc>
          <w:tcPr>
            <w:tcW w:w="850" w:type="dxa"/>
            <w:shd w:val="clear" w:color="auto" w:fill="auto"/>
            <w:noWrap/>
            <w:tcMar>
              <w:left w:w="57" w:type="dxa"/>
              <w:right w:w="57" w:type="dxa"/>
            </w:tcMar>
            <w:vAlign w:val="bottom"/>
            <w:hideMark/>
          </w:tcPr>
          <w:p w:rsidR="00D15004" w:rsidRPr="00082F04" w:rsidRDefault="00D15004" w:rsidP="00B933FB">
            <w:pPr>
              <w:spacing w:after="0" w:line="240" w:lineRule="auto"/>
              <w:jc w:val="right"/>
              <w:rPr>
                <w:rFonts w:ascii="Calibri" w:eastAsia="Times New Roman" w:hAnsi="Calibri" w:cs="Calibri"/>
                <w:lang w:eastAsia="en-GB"/>
              </w:rPr>
            </w:pPr>
            <w:r w:rsidRPr="00082F04">
              <w:rPr>
                <w:rFonts w:ascii="Calibri" w:eastAsia="Times New Roman" w:hAnsi="Calibri" w:cs="Calibri"/>
                <w:lang w:eastAsia="en-GB"/>
              </w:rPr>
              <w:t>1.04</w:t>
            </w:r>
          </w:p>
        </w:tc>
        <w:tc>
          <w:tcPr>
            <w:tcW w:w="993"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746"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813" w:type="dxa"/>
            <w:shd w:val="clear" w:color="auto" w:fill="auto"/>
            <w:noWrap/>
            <w:tcMar>
              <w:left w:w="57" w:type="dxa"/>
              <w:right w:w="57" w:type="dxa"/>
            </w:tcMar>
            <w:vAlign w:val="bottom"/>
            <w:hideMark/>
          </w:tcPr>
          <w:p w:rsidR="00D15004" w:rsidRPr="00082F04" w:rsidRDefault="00D15004" w:rsidP="00B933FB">
            <w:pPr>
              <w:spacing w:after="0" w:line="240" w:lineRule="auto"/>
              <w:rPr>
                <w:rFonts w:ascii="Calibri" w:eastAsia="Times New Roman" w:hAnsi="Calibri" w:cs="Calibri"/>
                <w:lang w:eastAsia="en-GB"/>
              </w:rPr>
            </w:pPr>
            <w:r w:rsidRPr="00082F04">
              <w:rPr>
                <w:rFonts w:ascii="Calibri" w:eastAsia="Times New Roman" w:hAnsi="Calibri" w:cs="Calibri"/>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lang w:eastAsia="en-GB"/>
              </w:rPr>
            </w:pPr>
            <w:r w:rsidRPr="003912F7">
              <w:rPr>
                <w:rFonts w:ascii="Calibri" w:eastAsia="Times New Roman" w:hAnsi="Calibri" w:cs="Calibri"/>
                <w:lang w:eastAsia="en-GB"/>
              </w:rPr>
              <w:t>3.95</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531.2503</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1.7930</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14.96</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532.7022</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2.3759</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9.59</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536.8181</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2.7502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4.74</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6.05</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531.2502</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1.7802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10.43</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532.7654</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2.0071</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5.65</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535.0034</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2.0438</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1.26</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7.41</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531.3037</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1.9783</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5.00</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532.8331</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2.2421</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5.21</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535.1168</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2.2162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2.96</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3.25</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531.2503</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1.9875</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15.86</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532.8215</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1.9958</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6.38</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6.83</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531.3521</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1.7613</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5.90</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532.8500</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2.4994</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4.66</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7.05</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531.3869</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1.5048</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3.45</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532.8025</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2.1850</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3.52</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534.7836</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1.6713</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5.10</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2.82</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531.2500</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2.0995</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25.48</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532.5864</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2.1216</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13.61</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6.87</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531.3351</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2.0346</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10.28</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532.6995</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2.0366</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4.47</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534.8185</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1.3345</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0.90</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6.96</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531.4713</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1.6469</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5.70</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532.5500</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1.2662</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1.91</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534.6233</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2.3175</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3.59</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2.44</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531.3274</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1.6214</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43.74</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532.5500</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2.4202</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22.32</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6.63</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531.2502</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1.6896</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28.87</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532.7393</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2.4967</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13.23</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10.30</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531.2502</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1.3608</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11.50</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532.6011</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2.2735</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7.06</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4.03</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531.4168</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1.4766</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31.50</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532.8498</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2.3404</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22.44</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5.29</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531.2626</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1.5822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18.80</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532.8471</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2.3810</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14.47</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8.25</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531.4365</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1.3137</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6.53</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532.7277</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2.2185</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7.07</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4.16</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531.2500</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1.7189</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20.07</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532.7580</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2.1344</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25.24</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3.98</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531.2508</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2.0025</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11.18</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532.7017</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2.4991</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13.19</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5.07</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531.3420</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1.4476</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6.15</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532.5856</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1.3989</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3.06</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534.4071</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2.2162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6.70</w:t>
            </w:r>
          </w:p>
        </w:tc>
        <w:tc>
          <w:tcPr>
            <w:tcW w:w="1134" w:type="dxa"/>
          </w:tcPr>
          <w:p w:rsidR="00D15004" w:rsidRPr="003912F7" w:rsidRDefault="000A1193" w:rsidP="000A1193">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2.59</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1134" w:type="dxa"/>
          </w:tcPr>
          <w:p w:rsidR="00D15004" w:rsidRPr="003912F7" w:rsidRDefault="00D15004" w:rsidP="00B933FB">
            <w:pPr>
              <w:spacing w:after="0" w:line="240" w:lineRule="auto"/>
              <w:rPr>
                <w:rFonts w:ascii="Times New Roman" w:eastAsia="Times New Roman" w:hAnsi="Times New Roman" w:cs="Times New Roman"/>
                <w:sz w:val="20"/>
                <w:szCs w:val="20"/>
                <w:lang w:eastAsia="en-GB"/>
              </w:rPr>
            </w:pP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1134" w:type="dxa"/>
          </w:tcPr>
          <w:p w:rsidR="00D15004" w:rsidRPr="003912F7" w:rsidRDefault="00D15004" w:rsidP="00B933FB">
            <w:pPr>
              <w:spacing w:after="0" w:line="240" w:lineRule="auto"/>
              <w:rPr>
                <w:rFonts w:ascii="Times New Roman" w:eastAsia="Times New Roman" w:hAnsi="Times New Roman" w:cs="Times New Roman"/>
                <w:sz w:val="20"/>
                <w:szCs w:val="20"/>
                <w:lang w:eastAsia="en-GB"/>
              </w:rPr>
            </w:pP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 </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Times New Roman" w:eastAsia="Times New Roman" w:hAnsi="Times New Roman" w:cs="Times New Roman"/>
                <w:sz w:val="20"/>
                <w:szCs w:val="20"/>
                <w:lang w:eastAsia="en-GB"/>
              </w:rPr>
            </w:pPr>
          </w:p>
        </w:tc>
        <w:tc>
          <w:tcPr>
            <w:tcW w:w="1134" w:type="dxa"/>
          </w:tcPr>
          <w:p w:rsidR="00D15004" w:rsidRPr="003912F7" w:rsidRDefault="00D15004" w:rsidP="00B933FB">
            <w:pPr>
              <w:spacing w:after="0" w:line="240" w:lineRule="auto"/>
              <w:rPr>
                <w:rFonts w:ascii="Times New Roman" w:eastAsia="Times New Roman" w:hAnsi="Times New Roman" w:cs="Times New Roman"/>
                <w:sz w:val="20"/>
                <w:szCs w:val="20"/>
                <w:lang w:eastAsia="en-GB"/>
              </w:rPr>
            </w:pP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530.8816</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31.76</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533.0147</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2.5168</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8.21</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2.88</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530.6257</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2.1993</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17.39</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532.5006</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2.9619</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7.2</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5.13</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530.4821</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2.1984</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10.83</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532.6908</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2.967</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6.49</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2.55</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530.7887</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1.8227</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38.08</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532.6164</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2.1807</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24.77</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3.02</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530.4892</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2.0822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28.73</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532.5453</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2.1773</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13.78</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5.03</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530.3001</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2.1962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17.56</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532.6816</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2.2624</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7.38</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3.29</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530.8734</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2.0054</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39.63</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532.7892</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2.0718</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27.07</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2.83</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530.5813</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28.98</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532.6341</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2.2358</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20</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4.99</w:t>
            </w:r>
          </w:p>
        </w:tc>
      </w:tr>
      <w:tr w:rsidR="00D15004" w:rsidRPr="00B933FB" w:rsidTr="00D15004">
        <w:trPr>
          <w:trHeight w:val="288"/>
        </w:trPr>
        <w:tc>
          <w:tcPr>
            <w:tcW w:w="98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530.3017</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2.1999</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17.6</w:t>
            </w:r>
          </w:p>
        </w:tc>
        <w:tc>
          <w:tcPr>
            <w:tcW w:w="951"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532.8165</w:t>
            </w:r>
          </w:p>
        </w:tc>
        <w:tc>
          <w:tcPr>
            <w:tcW w:w="7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2.9626</w:t>
            </w:r>
          </w:p>
        </w:tc>
        <w:tc>
          <w:tcPr>
            <w:tcW w:w="850" w:type="dxa"/>
            <w:shd w:val="clear" w:color="auto" w:fill="auto"/>
            <w:noWrap/>
            <w:tcMar>
              <w:left w:w="57" w:type="dxa"/>
              <w:right w:w="57" w:type="dxa"/>
            </w:tcMar>
            <w:vAlign w:val="bottom"/>
            <w:hideMark/>
          </w:tcPr>
          <w:p w:rsidR="00D15004" w:rsidRPr="00B933FB" w:rsidRDefault="00D15004" w:rsidP="00B933FB">
            <w:pPr>
              <w:spacing w:after="0" w:line="240" w:lineRule="auto"/>
              <w:jc w:val="right"/>
              <w:rPr>
                <w:rFonts w:ascii="Calibri" w:eastAsia="Times New Roman" w:hAnsi="Calibri" w:cs="Calibri"/>
                <w:color w:val="000000"/>
                <w:lang w:eastAsia="en-GB"/>
              </w:rPr>
            </w:pPr>
            <w:r w:rsidRPr="00B933FB">
              <w:rPr>
                <w:rFonts w:ascii="Calibri" w:eastAsia="Times New Roman" w:hAnsi="Calibri" w:cs="Calibri"/>
                <w:color w:val="000000"/>
                <w:lang w:eastAsia="en-GB"/>
              </w:rPr>
              <w:t>15.06</w:t>
            </w:r>
          </w:p>
        </w:tc>
        <w:tc>
          <w:tcPr>
            <w:tcW w:w="99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746"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813" w:type="dxa"/>
            <w:shd w:val="clear" w:color="auto" w:fill="auto"/>
            <w:noWrap/>
            <w:tcMar>
              <w:left w:w="57" w:type="dxa"/>
              <w:right w:w="57" w:type="dxa"/>
            </w:tcMar>
            <w:vAlign w:val="bottom"/>
            <w:hideMark/>
          </w:tcPr>
          <w:p w:rsidR="00D15004" w:rsidRPr="00B933FB" w:rsidRDefault="00D15004" w:rsidP="00B933FB">
            <w:pPr>
              <w:spacing w:after="0" w:line="240" w:lineRule="auto"/>
              <w:rPr>
                <w:rFonts w:ascii="Calibri" w:eastAsia="Times New Roman" w:hAnsi="Calibri" w:cs="Calibri"/>
                <w:color w:val="000000"/>
                <w:lang w:eastAsia="en-GB"/>
              </w:rPr>
            </w:pPr>
            <w:r w:rsidRPr="00B933FB">
              <w:rPr>
                <w:rFonts w:ascii="Calibri" w:eastAsia="Times New Roman" w:hAnsi="Calibri" w:cs="Calibri"/>
                <w:color w:val="000000"/>
                <w:lang w:eastAsia="en-GB"/>
              </w:rPr>
              <w:t>-</w:t>
            </w:r>
          </w:p>
        </w:tc>
        <w:tc>
          <w:tcPr>
            <w:tcW w:w="1134" w:type="dxa"/>
          </w:tcPr>
          <w:p w:rsidR="00D15004" w:rsidRPr="003912F7" w:rsidRDefault="00585405" w:rsidP="00585405">
            <w:pPr>
              <w:spacing w:after="0" w:line="240" w:lineRule="auto"/>
              <w:jc w:val="right"/>
              <w:rPr>
                <w:rFonts w:ascii="Calibri" w:eastAsia="Times New Roman" w:hAnsi="Calibri" w:cs="Calibri"/>
                <w:color w:val="000000"/>
                <w:lang w:eastAsia="en-GB"/>
              </w:rPr>
            </w:pPr>
            <w:r w:rsidRPr="003912F7">
              <w:rPr>
                <w:rFonts w:ascii="Calibri" w:eastAsia="Times New Roman" w:hAnsi="Calibri" w:cs="Calibri"/>
                <w:color w:val="000000"/>
                <w:lang w:eastAsia="en-GB"/>
              </w:rPr>
              <w:t>3.18</w:t>
            </w:r>
          </w:p>
        </w:tc>
      </w:tr>
    </w:tbl>
    <w:p w:rsidR="0031196F" w:rsidRDefault="0031196F" w:rsidP="00987435">
      <w:pPr>
        <w:spacing w:line="480" w:lineRule="auto"/>
        <w:rPr>
          <w:color w:val="00B050"/>
        </w:rPr>
      </w:pPr>
    </w:p>
    <w:p w:rsidR="00097C6C" w:rsidRDefault="00097C6C" w:rsidP="00987435">
      <w:pPr>
        <w:spacing w:line="480" w:lineRule="auto"/>
        <w:rPr>
          <w:color w:val="00B050"/>
        </w:rPr>
      </w:pPr>
    </w:p>
    <w:p w:rsidR="000051B6" w:rsidRPr="00082F04" w:rsidRDefault="000051B6" w:rsidP="00987435">
      <w:pPr>
        <w:spacing w:line="480" w:lineRule="auto"/>
      </w:pPr>
      <w:r w:rsidRPr="00082F04">
        <w:t xml:space="preserve">In order to verify that there is no reaction between the pristine electrode and the electrolyte, a soaking experiment was conducted for several hours. A comparison of the O 1s spectra for the pristine electrode, the unwashed electrode and the washed electrode after soaking is shown in </w:t>
      </w:r>
      <w:r w:rsidRPr="00082F04">
        <w:fldChar w:fldCharType="begin"/>
      </w:r>
      <w:r w:rsidRPr="00082F04">
        <w:instrText xml:space="preserve"> REF _Ref7096436 \h  \* MERGEFORMAT </w:instrText>
      </w:r>
      <w:r w:rsidRPr="00082F04">
        <w:fldChar w:fldCharType="separate"/>
      </w:r>
      <w:r w:rsidR="00AE3693" w:rsidRPr="00AE3693">
        <w:t>Figure S3</w:t>
      </w:r>
      <w:r w:rsidRPr="00082F04">
        <w:fldChar w:fldCharType="end"/>
      </w:r>
      <w:r w:rsidRPr="00082F04">
        <w:t>.</w:t>
      </w:r>
    </w:p>
    <w:p w:rsidR="000051B6" w:rsidRDefault="000051B6" w:rsidP="000051B6">
      <w:pPr>
        <w:keepNext/>
        <w:jc w:val="center"/>
      </w:pPr>
      <w:r w:rsidRPr="00A651D7">
        <w:rPr>
          <w:noProof/>
          <w:color w:val="0070C0"/>
          <w:lang w:eastAsia="en-GB"/>
        </w:rPr>
        <w:drawing>
          <wp:inline distT="0" distB="0" distL="0" distR="0" wp14:anchorId="67DABDE4" wp14:editId="4DB3C352">
            <wp:extent cx="2168729" cy="350613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ak-test-graph-v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9956" cy="3508122"/>
                    </a:xfrm>
                    <a:prstGeom prst="rect">
                      <a:avLst/>
                    </a:prstGeom>
                  </pic:spPr>
                </pic:pic>
              </a:graphicData>
            </a:graphic>
          </wp:inline>
        </w:drawing>
      </w:r>
    </w:p>
    <w:p w:rsidR="000051B6" w:rsidRPr="00082F04" w:rsidRDefault="000051B6" w:rsidP="000051B6">
      <w:pPr>
        <w:pStyle w:val="Caption"/>
        <w:spacing w:line="360" w:lineRule="auto"/>
        <w:rPr>
          <w:i w:val="0"/>
          <w:color w:val="auto"/>
          <w:sz w:val="22"/>
          <w:szCs w:val="22"/>
        </w:rPr>
      </w:pPr>
      <w:bookmarkStart w:id="3" w:name="_Ref7096436"/>
      <w:r w:rsidRPr="00082F04">
        <w:rPr>
          <w:i w:val="0"/>
          <w:color w:val="auto"/>
          <w:sz w:val="22"/>
          <w:szCs w:val="22"/>
        </w:rPr>
        <w:t>Figure S</w:t>
      </w:r>
      <w:r w:rsidRPr="00082F04">
        <w:rPr>
          <w:i w:val="0"/>
          <w:color w:val="auto"/>
          <w:sz w:val="22"/>
          <w:szCs w:val="22"/>
        </w:rPr>
        <w:fldChar w:fldCharType="begin"/>
      </w:r>
      <w:r w:rsidRPr="00082F04">
        <w:rPr>
          <w:i w:val="0"/>
          <w:color w:val="auto"/>
          <w:sz w:val="22"/>
          <w:szCs w:val="22"/>
        </w:rPr>
        <w:instrText xml:space="preserve"> SEQ Figure_S \* ARABIC </w:instrText>
      </w:r>
      <w:r w:rsidRPr="00082F04">
        <w:rPr>
          <w:i w:val="0"/>
          <w:color w:val="auto"/>
          <w:sz w:val="22"/>
          <w:szCs w:val="22"/>
        </w:rPr>
        <w:fldChar w:fldCharType="separate"/>
      </w:r>
      <w:r w:rsidR="00AE3693">
        <w:rPr>
          <w:i w:val="0"/>
          <w:noProof/>
          <w:color w:val="auto"/>
          <w:sz w:val="22"/>
          <w:szCs w:val="22"/>
        </w:rPr>
        <w:t>3</w:t>
      </w:r>
      <w:r w:rsidRPr="00082F04">
        <w:rPr>
          <w:i w:val="0"/>
          <w:color w:val="auto"/>
          <w:sz w:val="22"/>
          <w:szCs w:val="22"/>
        </w:rPr>
        <w:fldChar w:fldCharType="end"/>
      </w:r>
      <w:bookmarkEnd w:id="3"/>
      <w:r w:rsidRPr="00082F04">
        <w:rPr>
          <w:i w:val="0"/>
          <w:color w:val="auto"/>
          <w:sz w:val="22"/>
          <w:szCs w:val="22"/>
        </w:rPr>
        <w:t>. O 1s spectra of the pristine Li</w:t>
      </w:r>
      <w:r w:rsidRPr="00082F04">
        <w:rPr>
          <w:i w:val="0"/>
          <w:color w:val="auto"/>
          <w:sz w:val="22"/>
          <w:szCs w:val="22"/>
          <w:vertAlign w:val="subscript"/>
        </w:rPr>
        <w:t>1.2</w:t>
      </w:r>
      <w:r w:rsidRPr="00082F04">
        <w:rPr>
          <w:i w:val="0"/>
          <w:color w:val="auto"/>
          <w:sz w:val="22"/>
          <w:szCs w:val="22"/>
        </w:rPr>
        <w:t>Ni</w:t>
      </w:r>
      <w:r w:rsidRPr="00082F04">
        <w:rPr>
          <w:i w:val="0"/>
          <w:color w:val="auto"/>
          <w:sz w:val="22"/>
          <w:szCs w:val="22"/>
          <w:vertAlign w:val="subscript"/>
        </w:rPr>
        <w:t>0.2</w:t>
      </w:r>
      <w:r w:rsidRPr="00082F04">
        <w:rPr>
          <w:i w:val="0"/>
          <w:color w:val="auto"/>
          <w:sz w:val="22"/>
          <w:szCs w:val="22"/>
        </w:rPr>
        <w:t>Mn</w:t>
      </w:r>
      <w:r w:rsidRPr="00082F04">
        <w:rPr>
          <w:i w:val="0"/>
          <w:color w:val="auto"/>
          <w:sz w:val="22"/>
          <w:szCs w:val="22"/>
          <w:vertAlign w:val="subscript"/>
        </w:rPr>
        <w:t>0.6</w:t>
      </w:r>
      <w:r w:rsidRPr="00082F04">
        <w:rPr>
          <w:i w:val="0"/>
          <w:color w:val="auto"/>
          <w:sz w:val="22"/>
          <w:szCs w:val="22"/>
        </w:rPr>
        <w:t>O</w:t>
      </w:r>
      <w:r w:rsidRPr="00082F04">
        <w:rPr>
          <w:i w:val="0"/>
          <w:color w:val="auto"/>
          <w:sz w:val="22"/>
          <w:szCs w:val="22"/>
          <w:vertAlign w:val="subscript"/>
        </w:rPr>
        <w:t>2</w:t>
      </w:r>
      <w:r w:rsidRPr="00082F04">
        <w:rPr>
          <w:i w:val="0"/>
          <w:color w:val="auto"/>
          <w:sz w:val="22"/>
          <w:szCs w:val="22"/>
        </w:rPr>
        <w:t xml:space="preserve"> electrode compared with that soaked in electrolyte for several hours, then either washed in DMC or not washed, and allowed to dry in an argon atmosphere. The measurements were performed on an in-house XPS using an Al K</w:t>
      </w:r>
      <w:r w:rsidRPr="00082F04">
        <w:rPr>
          <w:rFonts w:cstheme="minorHAnsi"/>
          <w:i w:val="0"/>
          <w:color w:val="auto"/>
          <w:sz w:val="22"/>
          <w:szCs w:val="22"/>
        </w:rPr>
        <w:t>α</w:t>
      </w:r>
      <w:r w:rsidRPr="00082F04">
        <w:rPr>
          <w:i w:val="0"/>
          <w:color w:val="auto"/>
          <w:sz w:val="22"/>
          <w:szCs w:val="22"/>
        </w:rPr>
        <w:t xml:space="preserve"> source.</w:t>
      </w:r>
    </w:p>
    <w:p w:rsidR="000051B6" w:rsidRDefault="000051B6">
      <w:pPr>
        <w:rPr>
          <w:color w:val="00B050"/>
        </w:rPr>
      </w:pPr>
    </w:p>
    <w:p w:rsidR="000051B6" w:rsidRDefault="000051B6">
      <w:pPr>
        <w:rPr>
          <w:color w:val="00B050"/>
        </w:rPr>
      </w:pPr>
    </w:p>
    <w:p w:rsidR="00B933FB" w:rsidRDefault="00B933FB">
      <w:pPr>
        <w:rPr>
          <w:color w:val="00B050"/>
        </w:rPr>
      </w:pPr>
      <w:r>
        <w:rPr>
          <w:color w:val="00B050"/>
        </w:rPr>
        <w:br w:type="page"/>
      </w:r>
    </w:p>
    <w:p w:rsidR="00987435" w:rsidRPr="00B05382" w:rsidRDefault="00987435" w:rsidP="001401D9">
      <w:pPr>
        <w:spacing w:line="480" w:lineRule="auto"/>
        <w:jc w:val="both"/>
        <w:rPr>
          <w:b/>
          <w:u w:val="single"/>
        </w:rPr>
      </w:pPr>
      <w:r w:rsidRPr="00B05382">
        <w:rPr>
          <w:b/>
          <w:u w:val="single"/>
        </w:rPr>
        <w:t xml:space="preserve">Note </w:t>
      </w:r>
      <w:r w:rsidR="001401D9">
        <w:rPr>
          <w:b/>
          <w:u w:val="single"/>
        </w:rPr>
        <w:t>3</w:t>
      </w:r>
      <w:r>
        <w:rPr>
          <w:b/>
          <w:u w:val="single"/>
        </w:rPr>
        <w:t xml:space="preserve">. C 1s spectra </w:t>
      </w:r>
      <w:r w:rsidRPr="00477C3D">
        <w:rPr>
          <w:b/>
          <w:u w:val="single"/>
        </w:rPr>
        <w:t>for Li</w:t>
      </w:r>
      <w:r w:rsidRPr="00477C3D">
        <w:rPr>
          <w:b/>
          <w:u w:val="single"/>
          <w:vertAlign w:val="subscript"/>
        </w:rPr>
        <w:t>1.2</w:t>
      </w:r>
      <w:r w:rsidRPr="00477C3D">
        <w:rPr>
          <w:b/>
          <w:u w:val="single"/>
        </w:rPr>
        <w:t>Ni</w:t>
      </w:r>
      <w:r w:rsidRPr="00477C3D">
        <w:rPr>
          <w:b/>
          <w:u w:val="single"/>
          <w:vertAlign w:val="subscript"/>
        </w:rPr>
        <w:t>0.2</w:t>
      </w:r>
      <w:r w:rsidRPr="00477C3D">
        <w:rPr>
          <w:b/>
          <w:u w:val="single"/>
        </w:rPr>
        <w:t>Mn</w:t>
      </w:r>
      <w:r w:rsidRPr="00477C3D">
        <w:rPr>
          <w:b/>
          <w:u w:val="single"/>
          <w:vertAlign w:val="subscript"/>
        </w:rPr>
        <w:t>0.6</w:t>
      </w:r>
      <w:r w:rsidRPr="00477C3D">
        <w:rPr>
          <w:b/>
          <w:u w:val="single"/>
        </w:rPr>
        <w:t>O</w:t>
      </w:r>
      <w:r w:rsidRPr="00477C3D">
        <w:rPr>
          <w:b/>
          <w:u w:val="single"/>
          <w:vertAlign w:val="subscript"/>
        </w:rPr>
        <w:t>2</w:t>
      </w:r>
      <w:r w:rsidRPr="00477C3D">
        <w:rPr>
          <w:b/>
          <w:u w:val="single"/>
        </w:rPr>
        <w:t xml:space="preserve"> samples</w:t>
      </w:r>
      <w:r>
        <w:rPr>
          <w:b/>
          <w:u w:val="single"/>
        </w:rPr>
        <w:t>.</w:t>
      </w:r>
    </w:p>
    <w:p w:rsidR="00987435" w:rsidRPr="004E032B" w:rsidRDefault="00987435" w:rsidP="00A672BC">
      <w:pPr>
        <w:spacing w:line="480" w:lineRule="auto"/>
      </w:pPr>
      <w:r>
        <w:t xml:space="preserve">Photoelectron spectra were energy calibrated to the carbon black peak at 284 eV in the C 1s spectra, as presented in </w:t>
      </w:r>
      <w:r>
        <w:fldChar w:fldCharType="begin"/>
      </w:r>
      <w:r>
        <w:instrText xml:space="preserve"> REF _Ref516140028 \h </w:instrText>
      </w:r>
      <w:r w:rsidR="00A672BC">
        <w:instrText xml:space="preserve"> \* MERGEFORMAT </w:instrText>
      </w:r>
      <w:r>
        <w:fldChar w:fldCharType="separate"/>
      </w:r>
      <w:r w:rsidR="00AE3693" w:rsidRPr="00053307">
        <w:t>Figure S</w:t>
      </w:r>
      <w:r w:rsidR="00AE3693">
        <w:t>4</w:t>
      </w:r>
      <w:r>
        <w:fldChar w:fldCharType="end"/>
      </w:r>
      <w:r>
        <w:t>.</w:t>
      </w:r>
    </w:p>
    <w:p w:rsidR="00987435" w:rsidRPr="00B05382" w:rsidRDefault="00D13D2E" w:rsidP="00987435">
      <w:pPr>
        <w:spacing w:line="480" w:lineRule="auto"/>
        <w:jc w:val="center"/>
        <w:rPr>
          <w:b/>
          <w:u w:val="single"/>
        </w:rPr>
      </w:pPr>
      <w:r w:rsidRPr="00D13D2E">
        <w:rPr>
          <w:b/>
          <w:noProof/>
          <w:lang w:eastAsia="en-GB"/>
        </w:rPr>
        <w:drawing>
          <wp:inline distT="0" distB="0" distL="0" distR="0">
            <wp:extent cx="4562475" cy="63652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rich-LMNO-C1s Int-v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5103" cy="6368875"/>
                    </a:xfrm>
                    <a:prstGeom prst="rect">
                      <a:avLst/>
                    </a:prstGeom>
                  </pic:spPr>
                </pic:pic>
              </a:graphicData>
            </a:graphic>
          </wp:inline>
        </w:drawing>
      </w:r>
    </w:p>
    <w:p w:rsidR="00987435" w:rsidRDefault="00987435" w:rsidP="00874A94">
      <w:pPr>
        <w:spacing w:line="480" w:lineRule="auto"/>
      </w:pPr>
      <w:bookmarkStart w:id="4" w:name="_Ref516140028"/>
      <w:r w:rsidRPr="00053307">
        <w:t>Figure S</w:t>
      </w:r>
      <w:r>
        <w:rPr>
          <w:noProof/>
        </w:rPr>
        <w:fldChar w:fldCharType="begin"/>
      </w:r>
      <w:r>
        <w:rPr>
          <w:noProof/>
        </w:rPr>
        <w:instrText xml:space="preserve"> SEQ Figure_S \* ARABIC </w:instrText>
      </w:r>
      <w:r>
        <w:rPr>
          <w:noProof/>
        </w:rPr>
        <w:fldChar w:fldCharType="separate"/>
      </w:r>
      <w:r w:rsidR="00AE3693">
        <w:rPr>
          <w:noProof/>
        </w:rPr>
        <w:t>4</w:t>
      </w:r>
      <w:r>
        <w:rPr>
          <w:noProof/>
        </w:rPr>
        <w:fldChar w:fldCharType="end"/>
      </w:r>
      <w:bookmarkEnd w:id="4"/>
      <w:r w:rsidR="00D65060">
        <w:t xml:space="preserve">. </w:t>
      </w:r>
      <w:r>
        <w:t xml:space="preserve">C 1s spectra for </w:t>
      </w:r>
      <w:r w:rsidRPr="003445BD">
        <w:t>Li</w:t>
      </w:r>
      <w:r w:rsidRPr="003445BD">
        <w:rPr>
          <w:vertAlign w:val="subscript"/>
        </w:rPr>
        <w:t>1.2</w:t>
      </w:r>
      <w:r w:rsidRPr="003445BD">
        <w:t>Ni</w:t>
      </w:r>
      <w:r w:rsidRPr="003445BD">
        <w:rPr>
          <w:vertAlign w:val="subscript"/>
        </w:rPr>
        <w:t>0.2</w:t>
      </w:r>
      <w:r w:rsidRPr="003445BD">
        <w:t>Mn</w:t>
      </w:r>
      <w:r w:rsidRPr="003445BD">
        <w:rPr>
          <w:vertAlign w:val="subscript"/>
        </w:rPr>
        <w:t>0.6</w:t>
      </w:r>
      <w:r w:rsidRPr="003445BD">
        <w:t>O</w:t>
      </w:r>
      <w:r w:rsidRPr="003445BD">
        <w:rPr>
          <w:vertAlign w:val="subscript"/>
        </w:rPr>
        <w:t>2</w:t>
      </w:r>
      <w:r>
        <w:t xml:space="preserve"> samples, measured at three different photon energies. The vertical lines indicate the position of the carbon black C=C peaks at 284 eV, used to energy calibrate all other spectra.</w:t>
      </w:r>
      <w:r>
        <w:br w:type="page"/>
      </w:r>
    </w:p>
    <w:p w:rsidR="00846DEC" w:rsidRPr="00846DEC" w:rsidRDefault="00987435" w:rsidP="001401D9">
      <w:pPr>
        <w:spacing w:line="480" w:lineRule="auto"/>
        <w:rPr>
          <w:b/>
          <w:u w:val="single"/>
        </w:rPr>
      </w:pPr>
      <w:r w:rsidRPr="00B05382">
        <w:rPr>
          <w:b/>
          <w:u w:val="single"/>
        </w:rPr>
        <w:t xml:space="preserve">Note </w:t>
      </w:r>
      <w:r w:rsidR="001401D9">
        <w:rPr>
          <w:b/>
          <w:u w:val="single"/>
        </w:rPr>
        <w:t>4</w:t>
      </w:r>
      <w:r>
        <w:rPr>
          <w:b/>
          <w:u w:val="single"/>
        </w:rPr>
        <w:t>. Energy scale linearity check with sputter cleaned silver single crystal.</w:t>
      </w:r>
    </w:p>
    <w:p w:rsidR="00846DEC" w:rsidRDefault="00846DEC" w:rsidP="00A672BC">
      <w:pPr>
        <w:spacing w:line="480" w:lineRule="auto"/>
      </w:pPr>
      <w:r>
        <w:rPr>
          <w:noProof/>
          <w:lang w:eastAsia="en-GB"/>
        </w:rPr>
        <w:drawing>
          <wp:inline distT="0" distB="0" distL="0" distR="0">
            <wp:extent cx="5760720" cy="3042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hift-plot-v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rsidR="00846DEC" w:rsidRPr="00754FD7" w:rsidRDefault="00846DEC" w:rsidP="00846DEC">
      <w:pPr>
        <w:spacing w:after="0" w:line="480" w:lineRule="auto"/>
      </w:pPr>
      <w:bookmarkStart w:id="5" w:name="_Ref529281945"/>
      <w:r w:rsidRPr="00754FD7">
        <w:t>Figure S</w:t>
      </w:r>
      <w:r w:rsidRPr="00754FD7">
        <w:fldChar w:fldCharType="begin"/>
      </w:r>
      <w:r w:rsidRPr="00754FD7">
        <w:instrText xml:space="preserve"> SEQ Figure_S \* ARABIC </w:instrText>
      </w:r>
      <w:r w:rsidRPr="00754FD7">
        <w:fldChar w:fldCharType="separate"/>
      </w:r>
      <w:r w:rsidR="00AE3693">
        <w:rPr>
          <w:noProof/>
        </w:rPr>
        <w:t>5</w:t>
      </w:r>
      <w:r w:rsidRPr="00754FD7">
        <w:fldChar w:fldCharType="end"/>
      </w:r>
      <w:bookmarkEnd w:id="5"/>
      <w:r w:rsidRPr="00754FD7">
        <w:t>. O 1s spectra for pristine and charged (4.8 V) materials, indicating the small excitation energy dependent shift.</w:t>
      </w:r>
    </w:p>
    <w:p w:rsidR="00846DEC" w:rsidRDefault="00846DEC" w:rsidP="00846DEC"/>
    <w:p w:rsidR="00987435" w:rsidRDefault="00987435" w:rsidP="00A672BC">
      <w:pPr>
        <w:spacing w:line="480" w:lineRule="auto"/>
      </w:pPr>
      <w:r>
        <w:t>The small excitation energy dependent shift we observe in the O1s spectra (</w:t>
      </w:r>
      <w:r w:rsidR="00846DEC" w:rsidRPr="00846DEC">
        <w:rPr>
          <w:color w:val="00B050"/>
        </w:rPr>
        <w:fldChar w:fldCharType="begin"/>
      </w:r>
      <w:r w:rsidR="00846DEC" w:rsidRPr="00846DEC">
        <w:rPr>
          <w:color w:val="00B050"/>
        </w:rPr>
        <w:instrText xml:space="preserve"> REF _Ref529281945 \h </w:instrText>
      </w:r>
      <w:r w:rsidR="00846DEC" w:rsidRPr="00846DEC">
        <w:rPr>
          <w:color w:val="00B050"/>
        </w:rPr>
      </w:r>
      <w:r w:rsidR="00846DEC" w:rsidRPr="00846DEC">
        <w:rPr>
          <w:color w:val="00B050"/>
        </w:rPr>
        <w:fldChar w:fldCharType="separate"/>
      </w:r>
      <w:r w:rsidR="00AE3693" w:rsidRPr="00754FD7">
        <w:t>Figure S</w:t>
      </w:r>
      <w:r w:rsidR="00AE3693">
        <w:rPr>
          <w:noProof/>
        </w:rPr>
        <w:t>5</w:t>
      </w:r>
      <w:r w:rsidR="00846DEC" w:rsidRPr="00846DEC">
        <w:rPr>
          <w:color w:val="00B050"/>
        </w:rPr>
        <w:fldChar w:fldCharType="end"/>
      </w:r>
      <w:r>
        <w:t>) has been resolved after energy calibration to the carbon black (C=C, 284 eV) in the C 1s spectra, which has a high intensity in all samples. When understanding the origin of this shift, we can disregard charging of the samples since they have a reasonable quantity of electronically conductive additive within the electrode, and are well connected to the sample plate. In addition, observations consistent with charging would typically be characterised by distortion of other core level spectra (not just the O 1s spectrum), broadening of peaks, and peak shifting of several eV.</w:t>
      </w:r>
    </w:p>
    <w:p w:rsidR="00987435" w:rsidRDefault="00987435" w:rsidP="00A672BC">
      <w:pPr>
        <w:spacing w:line="480" w:lineRule="auto"/>
      </w:pPr>
      <w:r>
        <w:t xml:space="preserve">In order to check the instrument for energy shifting (non-linearity) aside from that caused by chemical effects, the surface of a Ag(111) single crystal was prepared </w:t>
      </w:r>
      <w:r>
        <w:rPr>
          <w:i/>
        </w:rPr>
        <w:t>in situ</w:t>
      </w:r>
      <w:r>
        <w:t xml:space="preserve"> via three cycles of sputtering (</w:t>
      </w:r>
      <w:proofErr w:type="spellStart"/>
      <w:r>
        <w:t>Ar</w:t>
      </w:r>
      <w:proofErr w:type="spellEnd"/>
      <w:r w:rsidRPr="00E659B7">
        <w:rPr>
          <w:vertAlign w:val="superscript"/>
        </w:rPr>
        <w:t>+</w:t>
      </w:r>
      <w:r>
        <w:t xml:space="preserve"> ions, voltage 1 </w:t>
      </w:r>
      <w:proofErr w:type="spellStart"/>
      <w:r>
        <w:t>keV</w:t>
      </w:r>
      <w:proofErr w:type="spellEnd"/>
      <w:r>
        <w:t xml:space="preserve">, emission current 10 mA, duration 20 </w:t>
      </w:r>
      <w:proofErr w:type="spellStart"/>
      <w:r>
        <w:t>mins</w:t>
      </w:r>
      <w:proofErr w:type="spellEnd"/>
      <w:r>
        <w:t xml:space="preserve">) and annealing (temperature ~550 </w:t>
      </w:r>
      <w:r>
        <w:rPr>
          <w:rFonts w:cstheme="minorHAnsi"/>
        </w:rPr>
        <w:t>°</w:t>
      </w:r>
      <w:r>
        <w:t xml:space="preserve">C, duration 20 </w:t>
      </w:r>
      <w:proofErr w:type="spellStart"/>
      <w:r>
        <w:t>mins</w:t>
      </w:r>
      <w:proofErr w:type="spellEnd"/>
      <w:r>
        <w:t>). Silver was chosen because it has two transitions (Ag 3d and Ag 3p) within the binding energy range of interest in the current study, which would highlight any non-linearity due to the moderate energy difference between them. These sputtering-annealing cycles rid the surface of any surface contaminants like carbon or oxygen, as can be observed in the survey spectrum (</w:t>
      </w:r>
      <w:r>
        <w:fldChar w:fldCharType="begin"/>
      </w:r>
      <w:r>
        <w:instrText xml:space="preserve"> REF _Ref516490485 \h </w:instrText>
      </w:r>
      <w:r w:rsidR="00A672BC">
        <w:instrText xml:space="preserve"> \* MERGEFORMAT </w:instrText>
      </w:r>
      <w:r>
        <w:fldChar w:fldCharType="separate"/>
      </w:r>
      <w:r w:rsidR="00AE3693" w:rsidRPr="00053307">
        <w:t>Figure S</w:t>
      </w:r>
      <w:r w:rsidR="00AE3693">
        <w:t>6</w:t>
      </w:r>
      <w:r>
        <w:fldChar w:fldCharType="end"/>
      </w:r>
      <w:r>
        <w:t>) after the preparation. Ag 3d, Ag 3p and the fermi edge spectra were collected for each photon energy used in this study (</w:t>
      </w:r>
      <w:r>
        <w:fldChar w:fldCharType="begin"/>
      </w:r>
      <w:r>
        <w:instrText xml:space="preserve"> REF _Ref516490495 \h </w:instrText>
      </w:r>
      <w:r w:rsidR="00A672BC">
        <w:instrText xml:space="preserve"> \* MERGEFORMAT </w:instrText>
      </w:r>
      <w:r>
        <w:fldChar w:fldCharType="separate"/>
      </w:r>
      <w:r w:rsidR="00AE3693" w:rsidRPr="00053307">
        <w:t>Figure S</w:t>
      </w:r>
      <w:r w:rsidR="00AE3693">
        <w:t>7</w:t>
      </w:r>
      <w:r>
        <w:fldChar w:fldCharType="end"/>
      </w:r>
      <w:r>
        <w:t>). The data was calibrated in each case to the centre point of the fermi edge (determined by differentiation of the fermi edge; blue dashed line in figure). There is no non-linearity observed in the data, indicating that any shifts in the data of this study is as a result of true chemical effects rather than instrumental artefacts.</w:t>
      </w:r>
    </w:p>
    <w:p w:rsidR="00987435" w:rsidRDefault="00987435" w:rsidP="00987435">
      <w:pPr>
        <w:spacing w:line="480" w:lineRule="auto"/>
        <w:jc w:val="center"/>
      </w:pPr>
      <w:r>
        <w:rPr>
          <w:noProof/>
          <w:lang w:eastAsia="en-GB"/>
        </w:rPr>
        <w:drawing>
          <wp:inline distT="0" distB="0" distL="0" distR="0" wp14:anchorId="773AC9B9" wp14:editId="2559C634">
            <wp:extent cx="4848625" cy="3111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rvey-silver-1.0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3729" cy="3114751"/>
                    </a:xfrm>
                    <a:prstGeom prst="rect">
                      <a:avLst/>
                    </a:prstGeom>
                  </pic:spPr>
                </pic:pic>
              </a:graphicData>
            </a:graphic>
          </wp:inline>
        </w:drawing>
      </w:r>
    </w:p>
    <w:p w:rsidR="00987435" w:rsidRDefault="00987435" w:rsidP="00A672BC">
      <w:pPr>
        <w:spacing w:line="480" w:lineRule="auto"/>
      </w:pPr>
      <w:bookmarkStart w:id="6" w:name="_Ref516490485"/>
      <w:r w:rsidRPr="00053307">
        <w:t>Figure S</w:t>
      </w:r>
      <w:r>
        <w:rPr>
          <w:noProof/>
        </w:rPr>
        <w:fldChar w:fldCharType="begin"/>
      </w:r>
      <w:r>
        <w:rPr>
          <w:noProof/>
        </w:rPr>
        <w:instrText xml:space="preserve"> SEQ Figure_S \* ARABIC </w:instrText>
      </w:r>
      <w:r>
        <w:rPr>
          <w:noProof/>
        </w:rPr>
        <w:fldChar w:fldCharType="separate"/>
      </w:r>
      <w:r w:rsidR="00AE3693">
        <w:rPr>
          <w:noProof/>
        </w:rPr>
        <w:t>6</w:t>
      </w:r>
      <w:r>
        <w:rPr>
          <w:noProof/>
        </w:rPr>
        <w:fldChar w:fldCharType="end"/>
      </w:r>
      <w:bookmarkEnd w:id="6"/>
      <w:r w:rsidR="00D65060">
        <w:t>.</w:t>
      </w:r>
      <w:r>
        <w:t xml:space="preserve"> Survey spectrum of a </w:t>
      </w:r>
      <w:proofErr w:type="gramStart"/>
      <w:r>
        <w:t>Ag(</w:t>
      </w:r>
      <w:proofErr w:type="gramEnd"/>
      <w:r>
        <w:t>111) single crystal after sputter-anneal preparation cycles. Dashed lines indicate the usual positions for O 1s and C 1s transitions.</w:t>
      </w:r>
    </w:p>
    <w:p w:rsidR="00987435" w:rsidRDefault="00987435" w:rsidP="00987435">
      <w:pPr>
        <w:spacing w:line="480" w:lineRule="auto"/>
        <w:jc w:val="center"/>
      </w:pPr>
      <w:r>
        <w:rPr>
          <w:noProof/>
          <w:lang w:eastAsia="en-GB"/>
        </w:rPr>
        <w:drawing>
          <wp:inline distT="0" distB="0" distL="0" distR="0" wp14:anchorId="00158672" wp14:editId="54D376D0">
            <wp:extent cx="5457129"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g3d-Fermi-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3416" cy="3439234"/>
                    </a:xfrm>
                    <a:prstGeom prst="rect">
                      <a:avLst/>
                    </a:prstGeom>
                  </pic:spPr>
                </pic:pic>
              </a:graphicData>
            </a:graphic>
          </wp:inline>
        </w:drawing>
      </w:r>
    </w:p>
    <w:p w:rsidR="00987435" w:rsidRDefault="00987435" w:rsidP="00A672BC">
      <w:pPr>
        <w:spacing w:line="480" w:lineRule="auto"/>
      </w:pPr>
      <w:bookmarkStart w:id="7" w:name="_Ref516490495"/>
      <w:r w:rsidRPr="00053307">
        <w:t>Figure S</w:t>
      </w:r>
      <w:r>
        <w:rPr>
          <w:noProof/>
        </w:rPr>
        <w:fldChar w:fldCharType="begin"/>
      </w:r>
      <w:r>
        <w:rPr>
          <w:noProof/>
        </w:rPr>
        <w:instrText xml:space="preserve"> SEQ Figure_S \* ARABIC </w:instrText>
      </w:r>
      <w:r>
        <w:rPr>
          <w:noProof/>
        </w:rPr>
        <w:fldChar w:fldCharType="separate"/>
      </w:r>
      <w:r w:rsidR="00AE3693">
        <w:rPr>
          <w:noProof/>
        </w:rPr>
        <w:t>7</w:t>
      </w:r>
      <w:r>
        <w:rPr>
          <w:noProof/>
        </w:rPr>
        <w:fldChar w:fldCharType="end"/>
      </w:r>
      <w:bookmarkEnd w:id="7"/>
      <w:r w:rsidR="00D65060">
        <w:t>.</w:t>
      </w:r>
      <w:r>
        <w:t xml:space="preserve"> Energy-calibrated Ag 3p, Ag 3d and fermi edge spectra (differentials shown as dashed blue overlaid lines) of a </w:t>
      </w:r>
      <w:proofErr w:type="gramStart"/>
      <w:r>
        <w:t>Ag(</w:t>
      </w:r>
      <w:proofErr w:type="gramEnd"/>
      <w:r>
        <w:t xml:space="preserve">111) single crystal after sputter-anneal preparation cycles. Red dashed lines around the Ag </w:t>
      </w:r>
      <w:proofErr w:type="gramStart"/>
      <w:r>
        <w:t>3d(</w:t>
      </w:r>
      <w:proofErr w:type="gramEnd"/>
      <w:r>
        <w:t xml:space="preserve">5/2) transition indicate </w:t>
      </w:r>
      <w:r>
        <w:rPr>
          <w:rFonts w:cstheme="minorHAnsi"/>
        </w:rPr>
        <w:t>±</w:t>
      </w:r>
      <w:r>
        <w:t>0.3 eV from the peak position.</w:t>
      </w:r>
      <w:r>
        <w:br w:type="page"/>
      </w:r>
    </w:p>
    <w:p w:rsidR="00987435" w:rsidRDefault="00987435" w:rsidP="001401D9">
      <w:pPr>
        <w:spacing w:line="480" w:lineRule="auto"/>
        <w:rPr>
          <w:b/>
          <w:u w:val="single"/>
        </w:rPr>
      </w:pPr>
      <w:r w:rsidRPr="00B05382">
        <w:rPr>
          <w:b/>
          <w:u w:val="single"/>
        </w:rPr>
        <w:t xml:space="preserve">Note </w:t>
      </w:r>
      <w:r w:rsidR="001401D9">
        <w:rPr>
          <w:b/>
          <w:u w:val="single"/>
        </w:rPr>
        <w:t>5</w:t>
      </w:r>
      <w:r>
        <w:rPr>
          <w:b/>
          <w:u w:val="single"/>
        </w:rPr>
        <w:t>. Li 1s/</w:t>
      </w:r>
      <w:proofErr w:type="spellStart"/>
      <w:r>
        <w:rPr>
          <w:b/>
          <w:u w:val="single"/>
        </w:rPr>
        <w:t>Mn</w:t>
      </w:r>
      <w:proofErr w:type="spellEnd"/>
      <w:r>
        <w:rPr>
          <w:b/>
          <w:u w:val="single"/>
        </w:rPr>
        <w:t xml:space="preserve"> 3p spectra of</w:t>
      </w:r>
      <w:r w:rsidRPr="00FA59E2">
        <w:rPr>
          <w:b/>
          <w:u w:val="single"/>
        </w:rPr>
        <w:t xml:space="preserve"> Li</w:t>
      </w:r>
      <w:r w:rsidRPr="00FA59E2">
        <w:rPr>
          <w:b/>
          <w:u w:val="single"/>
          <w:vertAlign w:val="subscript"/>
        </w:rPr>
        <w:t>1.2</w:t>
      </w:r>
      <w:r w:rsidRPr="00FA59E2">
        <w:rPr>
          <w:b/>
          <w:u w:val="single"/>
        </w:rPr>
        <w:t>Ni</w:t>
      </w:r>
      <w:r w:rsidRPr="00FA59E2">
        <w:rPr>
          <w:b/>
          <w:u w:val="single"/>
          <w:vertAlign w:val="subscript"/>
        </w:rPr>
        <w:t>0.2</w:t>
      </w:r>
      <w:r w:rsidRPr="00FA59E2">
        <w:rPr>
          <w:b/>
          <w:u w:val="single"/>
        </w:rPr>
        <w:t>Mn</w:t>
      </w:r>
      <w:r w:rsidRPr="00FA59E2">
        <w:rPr>
          <w:b/>
          <w:u w:val="single"/>
          <w:vertAlign w:val="subscript"/>
        </w:rPr>
        <w:t>0.6</w:t>
      </w:r>
      <w:r w:rsidRPr="00FA59E2">
        <w:rPr>
          <w:b/>
          <w:u w:val="single"/>
        </w:rPr>
        <w:t>O</w:t>
      </w:r>
      <w:r w:rsidRPr="00FA59E2">
        <w:rPr>
          <w:b/>
          <w:u w:val="single"/>
          <w:vertAlign w:val="subscript"/>
        </w:rPr>
        <w:t>2</w:t>
      </w:r>
      <w:r w:rsidRPr="00FA59E2">
        <w:rPr>
          <w:b/>
          <w:u w:val="single"/>
        </w:rPr>
        <w:t xml:space="preserve"> samples</w:t>
      </w:r>
      <w:r>
        <w:rPr>
          <w:b/>
          <w:u w:val="single"/>
        </w:rPr>
        <w:t>.</w:t>
      </w:r>
    </w:p>
    <w:p w:rsidR="00987435" w:rsidRPr="00DC4163" w:rsidRDefault="00987435" w:rsidP="00A672BC">
      <w:pPr>
        <w:spacing w:line="480" w:lineRule="auto"/>
      </w:pPr>
      <w:r w:rsidRPr="00E9517C">
        <w:t>The Li 1s/</w:t>
      </w:r>
      <w:proofErr w:type="spellStart"/>
      <w:r w:rsidRPr="00E9517C">
        <w:t>Mn</w:t>
      </w:r>
      <w:proofErr w:type="spellEnd"/>
      <w:r w:rsidRPr="00E9517C">
        <w:t xml:space="preserve"> 3p spectra measured with </w:t>
      </w:r>
      <w:r w:rsidR="00097C6C">
        <w:t xml:space="preserve">photon </w:t>
      </w:r>
      <w:r w:rsidR="00097C6C" w:rsidRPr="003912F7">
        <w:t>energies</w:t>
      </w:r>
      <w:r w:rsidRPr="003912F7">
        <w:t xml:space="preserve"> of 1.09 </w:t>
      </w:r>
      <w:r w:rsidR="00097C6C" w:rsidRPr="003912F7">
        <w:t xml:space="preserve">and 2.35 </w:t>
      </w:r>
      <w:proofErr w:type="spellStart"/>
      <w:r w:rsidRPr="003912F7">
        <w:t>keV</w:t>
      </w:r>
      <w:proofErr w:type="spellEnd"/>
      <w:r w:rsidRPr="003912F7">
        <w:t xml:space="preserve"> are p</w:t>
      </w:r>
      <w:r w:rsidRPr="00E9517C">
        <w:t xml:space="preserve">resented in </w:t>
      </w:r>
      <w:r w:rsidRPr="00E9517C">
        <w:fldChar w:fldCharType="begin"/>
      </w:r>
      <w:r w:rsidRPr="00E9517C">
        <w:instrText xml:space="preserve"> REF _Ref516140040 \h </w:instrText>
      </w:r>
      <w:r>
        <w:instrText xml:space="preserve"> \* MERGEFORMAT </w:instrText>
      </w:r>
      <w:r w:rsidRPr="00E9517C">
        <w:fldChar w:fldCharType="separate"/>
      </w:r>
      <w:r w:rsidR="00AE3693" w:rsidRPr="00053307">
        <w:t>Figure S</w:t>
      </w:r>
      <w:r w:rsidR="00AE3693">
        <w:t>8</w:t>
      </w:r>
      <w:r w:rsidRPr="00E9517C">
        <w:fldChar w:fldCharType="end"/>
      </w:r>
      <w:r w:rsidRPr="00E9517C">
        <w:t>.</w:t>
      </w:r>
    </w:p>
    <w:p w:rsidR="00987435" w:rsidRPr="00B05382" w:rsidRDefault="00987435" w:rsidP="001401D9">
      <w:pPr>
        <w:spacing w:line="480" w:lineRule="auto"/>
        <w:rPr>
          <w:b/>
          <w:u w:val="single"/>
        </w:rPr>
      </w:pPr>
    </w:p>
    <w:p w:rsidR="00987435" w:rsidRDefault="00987435" w:rsidP="00987435">
      <w:pPr>
        <w:spacing w:line="480" w:lineRule="auto"/>
        <w:jc w:val="center"/>
      </w:pPr>
      <w:r>
        <w:rPr>
          <w:noProof/>
          <w:lang w:eastAsia="en-GB"/>
        </w:rPr>
        <w:drawing>
          <wp:inline distT="0" distB="0" distL="0" distR="0" wp14:anchorId="4F81FAA1" wp14:editId="4878DDA3">
            <wp:extent cx="3402227" cy="5383601"/>
            <wp:effectExtent l="0" t="0" r="825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rich-LMNO-Li1s-pl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902" cy="5392581"/>
                    </a:xfrm>
                    <a:prstGeom prst="rect">
                      <a:avLst/>
                    </a:prstGeom>
                  </pic:spPr>
                </pic:pic>
              </a:graphicData>
            </a:graphic>
          </wp:inline>
        </w:drawing>
      </w:r>
    </w:p>
    <w:p w:rsidR="00987435" w:rsidRDefault="00987435" w:rsidP="00A672BC">
      <w:pPr>
        <w:spacing w:line="480" w:lineRule="auto"/>
      </w:pPr>
      <w:bookmarkStart w:id="8" w:name="_Ref516140040"/>
      <w:r w:rsidRPr="003912F7">
        <w:t>Figure S</w:t>
      </w:r>
      <w:r w:rsidRPr="003912F7">
        <w:rPr>
          <w:noProof/>
        </w:rPr>
        <w:fldChar w:fldCharType="begin"/>
      </w:r>
      <w:r w:rsidRPr="003912F7">
        <w:rPr>
          <w:noProof/>
        </w:rPr>
        <w:instrText xml:space="preserve"> SEQ Figure_S \* ARABIC </w:instrText>
      </w:r>
      <w:r w:rsidRPr="003912F7">
        <w:rPr>
          <w:noProof/>
        </w:rPr>
        <w:fldChar w:fldCharType="separate"/>
      </w:r>
      <w:r w:rsidR="00AE3693" w:rsidRPr="003912F7">
        <w:rPr>
          <w:noProof/>
        </w:rPr>
        <w:t>8</w:t>
      </w:r>
      <w:r w:rsidRPr="003912F7">
        <w:rPr>
          <w:noProof/>
        </w:rPr>
        <w:fldChar w:fldCharType="end"/>
      </w:r>
      <w:bookmarkEnd w:id="8"/>
      <w:r w:rsidR="00D65060" w:rsidRPr="003912F7">
        <w:rPr>
          <w:noProof/>
        </w:rPr>
        <w:t>.</w:t>
      </w:r>
      <w:r w:rsidRPr="003912F7">
        <w:t xml:space="preserve"> Li 1s</w:t>
      </w:r>
      <w:r>
        <w:t xml:space="preserve"> and </w:t>
      </w:r>
      <w:proofErr w:type="spellStart"/>
      <w:r>
        <w:t>Mn</w:t>
      </w:r>
      <w:proofErr w:type="spellEnd"/>
      <w:r>
        <w:t xml:space="preserve"> 3p spectra for </w:t>
      </w:r>
      <w:r w:rsidRPr="003445BD">
        <w:t>Li</w:t>
      </w:r>
      <w:r w:rsidRPr="003445BD">
        <w:rPr>
          <w:vertAlign w:val="subscript"/>
        </w:rPr>
        <w:t>1.2</w:t>
      </w:r>
      <w:r w:rsidRPr="003445BD">
        <w:t>Ni</w:t>
      </w:r>
      <w:r w:rsidRPr="003445BD">
        <w:rPr>
          <w:vertAlign w:val="subscript"/>
        </w:rPr>
        <w:t>0.2</w:t>
      </w:r>
      <w:r w:rsidRPr="003445BD">
        <w:t>Mn</w:t>
      </w:r>
      <w:r w:rsidRPr="003445BD">
        <w:rPr>
          <w:vertAlign w:val="subscript"/>
        </w:rPr>
        <w:t>0.6</w:t>
      </w:r>
      <w:r w:rsidRPr="003445BD">
        <w:t>O</w:t>
      </w:r>
      <w:r w:rsidRPr="003445BD">
        <w:rPr>
          <w:vertAlign w:val="subscript"/>
        </w:rPr>
        <w:t>2</w:t>
      </w:r>
      <w:r>
        <w:t xml:space="preserve"> samples cycled to various points</w:t>
      </w:r>
      <w:r w:rsidRPr="003912F7">
        <w:t xml:space="preserve">, </w:t>
      </w:r>
      <w:r w:rsidR="00097C6C" w:rsidRPr="003912F7">
        <w:t>measured using photon energies</w:t>
      </w:r>
      <w:r w:rsidRPr="003912F7">
        <w:t xml:space="preserve"> </w:t>
      </w:r>
      <w:r w:rsidR="00097C6C" w:rsidRPr="003912F7">
        <w:t xml:space="preserve">of </w:t>
      </w:r>
      <w:r w:rsidRPr="003912F7">
        <w:t xml:space="preserve">1.09 </w:t>
      </w:r>
      <w:r w:rsidR="00097C6C" w:rsidRPr="003912F7">
        <w:t>and 2.35</w:t>
      </w:r>
      <w:r w:rsidR="00097C6C">
        <w:t xml:space="preserve"> </w:t>
      </w:r>
      <w:proofErr w:type="spellStart"/>
      <w:r>
        <w:t>keV</w:t>
      </w:r>
      <w:proofErr w:type="spellEnd"/>
      <w:r>
        <w:t>.</w:t>
      </w:r>
      <w:r>
        <w:br w:type="page"/>
      </w:r>
    </w:p>
    <w:p w:rsidR="00987435" w:rsidRPr="00B05382" w:rsidRDefault="00987435" w:rsidP="001401D9">
      <w:pPr>
        <w:spacing w:line="480" w:lineRule="auto"/>
        <w:rPr>
          <w:u w:val="single"/>
        </w:rPr>
      </w:pPr>
      <w:r w:rsidRPr="00B05382">
        <w:rPr>
          <w:b/>
          <w:u w:val="single"/>
        </w:rPr>
        <w:t xml:space="preserve">Note </w:t>
      </w:r>
      <w:r w:rsidR="001401D9">
        <w:rPr>
          <w:b/>
          <w:u w:val="single"/>
        </w:rPr>
        <w:t>6</w:t>
      </w:r>
      <w:r>
        <w:rPr>
          <w:b/>
          <w:u w:val="single"/>
        </w:rPr>
        <w:t>.</w:t>
      </w:r>
      <w:r w:rsidRPr="00CA2A7F">
        <w:rPr>
          <w:b/>
          <w:u w:val="single"/>
        </w:rPr>
        <w:t xml:space="preserve"> Removal of the oxidised oxygen peak and subsequent fitting attempt</w:t>
      </w:r>
      <w:r>
        <w:rPr>
          <w:b/>
          <w:u w:val="single"/>
        </w:rPr>
        <w:t>.</w:t>
      </w:r>
    </w:p>
    <w:p w:rsidR="00987435" w:rsidRDefault="00987435" w:rsidP="00A672BC">
      <w:pPr>
        <w:spacing w:line="480" w:lineRule="auto"/>
      </w:pPr>
      <w:r>
        <w:fldChar w:fldCharType="begin"/>
      </w:r>
      <w:r>
        <w:instrText xml:space="preserve"> REF _Ref516135684 \h  \* MERGEFORMAT </w:instrText>
      </w:r>
      <w:r>
        <w:fldChar w:fldCharType="separate"/>
      </w:r>
      <w:r w:rsidR="00AE3693" w:rsidRPr="00053307">
        <w:t>Figure S</w:t>
      </w:r>
      <w:r w:rsidR="00AE3693">
        <w:t>9</w:t>
      </w:r>
      <w:r>
        <w:fldChar w:fldCharType="end"/>
      </w:r>
      <w:r>
        <w:t xml:space="preserve"> shows the curved-fitted O 1s spectra for the layered material after removal of the oxidised oxygen (O</w:t>
      </w:r>
      <w:r w:rsidRPr="003B2393">
        <w:rPr>
          <w:vertAlign w:val="superscript"/>
        </w:rPr>
        <w:t>n-</w:t>
      </w:r>
      <w:r>
        <w:t xml:space="preserve">) peak. This demonstrates the requirement to include the peak in the fitting model and how a much larger area is filled by the </w:t>
      </w:r>
      <w:proofErr w:type="gramStart"/>
      <w:r>
        <w:t>O</w:t>
      </w:r>
      <w:r w:rsidRPr="003B2393">
        <w:rPr>
          <w:vertAlign w:val="superscript"/>
        </w:rPr>
        <w:t>n</w:t>
      </w:r>
      <w:proofErr w:type="gramEnd"/>
      <w:r w:rsidRPr="003B2393">
        <w:rPr>
          <w:vertAlign w:val="superscript"/>
        </w:rPr>
        <w:t>-</w:t>
      </w:r>
      <w:r>
        <w:t xml:space="preserve"> peak for the surface spectra than the bulk spectra. </w:t>
      </w:r>
      <w:r>
        <w:fldChar w:fldCharType="begin"/>
      </w:r>
      <w:r>
        <w:instrText xml:space="preserve"> REF _Ref516135691 \h </w:instrText>
      </w:r>
      <w:r w:rsidR="00A672BC">
        <w:instrText xml:space="preserve"> \* MERGEFORMAT </w:instrText>
      </w:r>
      <w:r>
        <w:fldChar w:fldCharType="separate"/>
      </w:r>
      <w:r w:rsidR="00AE3693" w:rsidRPr="00053307">
        <w:t>Figure S</w:t>
      </w:r>
      <w:r w:rsidR="00AE3693">
        <w:t>10</w:t>
      </w:r>
      <w:r>
        <w:fldChar w:fldCharType="end"/>
      </w:r>
      <w:r>
        <w:t xml:space="preserve"> demonstrates an attempt at fitting the model used in this study without the </w:t>
      </w:r>
      <w:proofErr w:type="gramStart"/>
      <w:r>
        <w:t>O</w:t>
      </w:r>
      <w:r w:rsidRPr="003B2393">
        <w:rPr>
          <w:vertAlign w:val="superscript"/>
        </w:rPr>
        <w:t>n</w:t>
      </w:r>
      <w:proofErr w:type="gramEnd"/>
      <w:r w:rsidRPr="003B2393">
        <w:rPr>
          <w:vertAlign w:val="superscript"/>
        </w:rPr>
        <w:t>-</w:t>
      </w:r>
      <w:r>
        <w:t xml:space="preserve"> peak present, resulting in a very poor fit to the experimental data.</w:t>
      </w:r>
    </w:p>
    <w:p w:rsidR="00987435" w:rsidRDefault="00987435" w:rsidP="00987435"/>
    <w:p w:rsidR="00987435" w:rsidRDefault="00987435" w:rsidP="00987435">
      <w:r>
        <w:rPr>
          <w:noProof/>
          <w:lang w:eastAsia="en-GB"/>
        </w:rPr>
        <w:drawing>
          <wp:inline distT="0" distB="0" distL="0" distR="0" wp14:anchorId="5FDB8650" wp14:editId="03BC8B93">
            <wp:extent cx="5731351" cy="3645382"/>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1s-normE-int-180531-w-ou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351" cy="3645382"/>
                    </a:xfrm>
                    <a:prstGeom prst="rect">
                      <a:avLst/>
                    </a:prstGeom>
                  </pic:spPr>
                </pic:pic>
              </a:graphicData>
            </a:graphic>
          </wp:inline>
        </w:drawing>
      </w:r>
    </w:p>
    <w:p w:rsidR="00987435" w:rsidRPr="00F14D59" w:rsidRDefault="00987435" w:rsidP="00A672BC">
      <w:pPr>
        <w:spacing w:line="480" w:lineRule="auto"/>
      </w:pPr>
      <w:bookmarkStart w:id="9" w:name="_Ref516135684"/>
      <w:r w:rsidRPr="00053307">
        <w:t>Figure S</w:t>
      </w:r>
      <w:r>
        <w:rPr>
          <w:noProof/>
        </w:rPr>
        <w:fldChar w:fldCharType="begin"/>
      </w:r>
      <w:r>
        <w:rPr>
          <w:noProof/>
        </w:rPr>
        <w:instrText xml:space="preserve"> SEQ Figure_S \* ARABIC </w:instrText>
      </w:r>
      <w:r>
        <w:rPr>
          <w:noProof/>
        </w:rPr>
        <w:fldChar w:fldCharType="separate"/>
      </w:r>
      <w:r w:rsidR="00AE3693">
        <w:rPr>
          <w:noProof/>
        </w:rPr>
        <w:t>9</w:t>
      </w:r>
      <w:r>
        <w:rPr>
          <w:noProof/>
        </w:rPr>
        <w:fldChar w:fldCharType="end"/>
      </w:r>
      <w:bookmarkEnd w:id="9"/>
      <w:r w:rsidR="00D65060">
        <w:t>.</w:t>
      </w:r>
      <w:r>
        <w:t xml:space="preserve"> O 1s photoelectron spectra measured using three photon energies for </w:t>
      </w:r>
      <w:r w:rsidRPr="00D8100A">
        <w:t>Li</w:t>
      </w:r>
      <w:r w:rsidRPr="00D8100A">
        <w:rPr>
          <w:vertAlign w:val="subscript"/>
        </w:rPr>
        <w:t>1.2</w:t>
      </w:r>
      <w:r w:rsidRPr="00D8100A">
        <w:t>Ni</w:t>
      </w:r>
      <w:r w:rsidRPr="00D8100A">
        <w:rPr>
          <w:vertAlign w:val="subscript"/>
        </w:rPr>
        <w:t>0.2</w:t>
      </w:r>
      <w:r w:rsidRPr="00D8100A">
        <w:t>Mn</w:t>
      </w:r>
      <w:r w:rsidRPr="00D8100A">
        <w:rPr>
          <w:vertAlign w:val="subscript"/>
        </w:rPr>
        <w:t>0.6</w:t>
      </w:r>
      <w:r w:rsidRPr="00D8100A">
        <w:t>O</w:t>
      </w:r>
      <w:r w:rsidRPr="00D8100A">
        <w:rPr>
          <w:vertAlign w:val="subscript"/>
        </w:rPr>
        <w:t>2</w:t>
      </w:r>
      <w:r>
        <w:t xml:space="preserve"> at various states of charge. The </w:t>
      </w:r>
      <w:proofErr w:type="gramStart"/>
      <w:r>
        <w:t>O</w:t>
      </w:r>
      <w:r>
        <w:rPr>
          <w:vertAlign w:val="superscript"/>
        </w:rPr>
        <w:t>n</w:t>
      </w:r>
      <w:proofErr w:type="gramEnd"/>
      <w:r>
        <w:rPr>
          <w:vertAlign w:val="superscript"/>
        </w:rPr>
        <w:t>-</w:t>
      </w:r>
      <w:r>
        <w:t xml:space="preserve"> peak has been removed post-fitting, to demonstrate the requirement for this peak to be included in the fitting model. Residual plots are show as a blue line above each spectrum. The blue hashed areas on each spectrum indicates the area under the data curve that is unfilled after removal of the </w:t>
      </w:r>
      <w:proofErr w:type="gramStart"/>
      <w:r>
        <w:t>O</w:t>
      </w:r>
      <w:r w:rsidRPr="006A0DE1">
        <w:rPr>
          <w:vertAlign w:val="superscript"/>
        </w:rPr>
        <w:t>n</w:t>
      </w:r>
      <w:proofErr w:type="gramEnd"/>
      <w:r w:rsidRPr="006A0DE1">
        <w:rPr>
          <w:vertAlign w:val="superscript"/>
        </w:rPr>
        <w:t>-</w:t>
      </w:r>
      <w:r>
        <w:t xml:space="preserve"> peak.</w:t>
      </w:r>
    </w:p>
    <w:p w:rsidR="00987435" w:rsidRPr="00053307" w:rsidRDefault="00987435" w:rsidP="00987435"/>
    <w:p w:rsidR="00987435" w:rsidRDefault="00987435" w:rsidP="00987435">
      <w:r>
        <w:rPr>
          <w:noProof/>
          <w:lang w:eastAsia="en-GB"/>
        </w:rPr>
        <w:drawing>
          <wp:inline distT="0" distB="0" distL="0" distR="0" wp14:anchorId="73433814" wp14:editId="74CB4183">
            <wp:extent cx="5731351" cy="3645382"/>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1s-normE-int-180531-w-out-O-fitt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351" cy="3645382"/>
                    </a:xfrm>
                    <a:prstGeom prst="rect">
                      <a:avLst/>
                    </a:prstGeom>
                  </pic:spPr>
                </pic:pic>
              </a:graphicData>
            </a:graphic>
          </wp:inline>
        </w:drawing>
      </w:r>
    </w:p>
    <w:p w:rsidR="00987435" w:rsidRPr="008D05B1" w:rsidRDefault="00987435" w:rsidP="00A672BC">
      <w:pPr>
        <w:spacing w:line="480" w:lineRule="auto"/>
      </w:pPr>
      <w:bookmarkStart w:id="10" w:name="_Ref516135691"/>
      <w:r w:rsidRPr="00053307">
        <w:t>Figure S</w:t>
      </w:r>
      <w:r>
        <w:rPr>
          <w:noProof/>
        </w:rPr>
        <w:fldChar w:fldCharType="begin"/>
      </w:r>
      <w:r>
        <w:rPr>
          <w:noProof/>
        </w:rPr>
        <w:instrText xml:space="preserve"> SEQ Figure_S \* ARABIC </w:instrText>
      </w:r>
      <w:r>
        <w:rPr>
          <w:noProof/>
        </w:rPr>
        <w:fldChar w:fldCharType="separate"/>
      </w:r>
      <w:r w:rsidR="00AE3693">
        <w:rPr>
          <w:noProof/>
        </w:rPr>
        <w:t>10</w:t>
      </w:r>
      <w:r>
        <w:rPr>
          <w:noProof/>
        </w:rPr>
        <w:fldChar w:fldCharType="end"/>
      </w:r>
      <w:bookmarkEnd w:id="10"/>
      <w:r w:rsidR="00D65060">
        <w:t>.</w:t>
      </w:r>
      <w:r w:rsidRPr="008D05B1">
        <w:t xml:space="preserve"> </w:t>
      </w:r>
      <w:r>
        <w:t xml:space="preserve">O 1s photoelectron spectra measured using three photon energies for </w:t>
      </w:r>
      <w:r w:rsidRPr="00D8100A">
        <w:t>Li</w:t>
      </w:r>
      <w:r w:rsidRPr="00D8100A">
        <w:rPr>
          <w:vertAlign w:val="subscript"/>
        </w:rPr>
        <w:t>1.2</w:t>
      </w:r>
      <w:r w:rsidRPr="00D8100A">
        <w:t>Ni</w:t>
      </w:r>
      <w:r w:rsidRPr="00D8100A">
        <w:rPr>
          <w:vertAlign w:val="subscript"/>
        </w:rPr>
        <w:t>0.2</w:t>
      </w:r>
      <w:r w:rsidRPr="00D8100A">
        <w:t>Mn</w:t>
      </w:r>
      <w:r w:rsidRPr="00D8100A">
        <w:rPr>
          <w:vertAlign w:val="subscript"/>
        </w:rPr>
        <w:t>0.6</w:t>
      </w:r>
      <w:r w:rsidRPr="00D8100A">
        <w:t>O</w:t>
      </w:r>
      <w:r w:rsidRPr="00D8100A">
        <w:rPr>
          <w:vertAlign w:val="subscript"/>
        </w:rPr>
        <w:t>2</w:t>
      </w:r>
      <w:r>
        <w:t xml:space="preserve"> at various states of charge. A fitting is attempted after removal of the </w:t>
      </w:r>
      <w:proofErr w:type="gramStart"/>
      <w:r>
        <w:t>O</w:t>
      </w:r>
      <w:r>
        <w:rPr>
          <w:vertAlign w:val="superscript"/>
        </w:rPr>
        <w:t>n</w:t>
      </w:r>
      <w:proofErr w:type="gramEnd"/>
      <w:r>
        <w:rPr>
          <w:vertAlign w:val="superscript"/>
        </w:rPr>
        <w:t>-</w:t>
      </w:r>
      <w:r>
        <w:t xml:space="preserve"> peak, demonstrating that three peaks is not sufficient to fit such spectra.</w:t>
      </w:r>
      <w:r w:rsidRPr="006A0DE1">
        <w:t xml:space="preserve"> </w:t>
      </w:r>
      <w:r>
        <w:t>Residual plots are show as a blue line above each spectrum. The blue hashed areas on each spectrum indicates difference between the total curve fit and the spectrum data curve.</w:t>
      </w:r>
    </w:p>
    <w:p w:rsidR="00987435" w:rsidRDefault="00987435" w:rsidP="00987435"/>
    <w:p w:rsidR="00987435" w:rsidRDefault="00987435" w:rsidP="00987435"/>
    <w:p w:rsidR="00987435" w:rsidRDefault="00987435" w:rsidP="00987435">
      <w:r>
        <w:br w:type="page"/>
      </w:r>
    </w:p>
    <w:p w:rsidR="00987435" w:rsidRPr="00B05382" w:rsidRDefault="00987435" w:rsidP="001401D9">
      <w:pPr>
        <w:spacing w:line="480" w:lineRule="auto"/>
        <w:rPr>
          <w:b/>
          <w:u w:val="single"/>
        </w:rPr>
      </w:pPr>
      <w:r w:rsidRPr="00B05382">
        <w:rPr>
          <w:b/>
          <w:u w:val="single"/>
        </w:rPr>
        <w:t xml:space="preserve">Note </w:t>
      </w:r>
      <w:r w:rsidR="001401D9">
        <w:rPr>
          <w:b/>
          <w:u w:val="single"/>
        </w:rPr>
        <w:t>7</w:t>
      </w:r>
      <w:r>
        <w:rPr>
          <w:b/>
          <w:u w:val="single"/>
        </w:rPr>
        <w:t xml:space="preserve">. Shifting of surface-bound species peaks on fixing of </w:t>
      </w:r>
      <w:proofErr w:type="gramStart"/>
      <w:r>
        <w:rPr>
          <w:b/>
          <w:u w:val="single"/>
        </w:rPr>
        <w:t>O</w:t>
      </w:r>
      <w:r w:rsidRPr="00CA2A7F">
        <w:rPr>
          <w:b/>
          <w:u w:val="single"/>
          <w:vertAlign w:val="superscript"/>
        </w:rPr>
        <w:t>n</w:t>
      </w:r>
      <w:proofErr w:type="gramEnd"/>
      <w:r w:rsidRPr="00CA2A7F">
        <w:rPr>
          <w:b/>
          <w:u w:val="single"/>
          <w:vertAlign w:val="superscript"/>
        </w:rPr>
        <w:t>-</w:t>
      </w:r>
      <w:r>
        <w:rPr>
          <w:b/>
          <w:u w:val="single"/>
        </w:rPr>
        <w:t xml:space="preserve"> contribution.</w:t>
      </w:r>
    </w:p>
    <w:p w:rsidR="00987435" w:rsidRPr="00BC2D9E" w:rsidRDefault="00987435" w:rsidP="00A672BC">
      <w:pPr>
        <w:spacing w:line="480" w:lineRule="auto"/>
      </w:pPr>
      <w:r w:rsidRPr="00E9517C">
        <w:t xml:space="preserve">In this study, we observe little evidence of newly formed surface species forming on the electrodes, as a result of electrolyte decomposition or a similar process. For example, the carbon black in the C 1s spectra remains by far the dominant species, without any suggestion for the formation of hydrocarbon, </w:t>
      </w:r>
      <w:proofErr w:type="spellStart"/>
      <w:r w:rsidRPr="00E9517C">
        <w:t>alkoxy</w:t>
      </w:r>
      <w:proofErr w:type="spellEnd"/>
      <w:r w:rsidRPr="00E9517C">
        <w:t xml:space="preserve">, or carbonate containing species at the surface. </w:t>
      </w:r>
      <w:r>
        <w:t>W</w:t>
      </w:r>
      <w:r w:rsidRPr="00E9517C">
        <w:t xml:space="preserve">e therefore fix the peak positions of the existing surface-bound species originating from the pristine material in the O 1s spectra. With these constraints in place, we then observe the depth dependant appearance and evolution of the </w:t>
      </w:r>
      <w:proofErr w:type="gramStart"/>
      <w:r w:rsidRPr="00E9517C">
        <w:t>O</w:t>
      </w:r>
      <w:r w:rsidRPr="00E9517C">
        <w:rPr>
          <w:vertAlign w:val="superscript"/>
        </w:rPr>
        <w:t>n</w:t>
      </w:r>
      <w:proofErr w:type="gramEnd"/>
      <w:r w:rsidRPr="00E9517C">
        <w:rPr>
          <w:vertAlign w:val="superscript"/>
        </w:rPr>
        <w:t>-</w:t>
      </w:r>
      <w:r w:rsidRPr="00E9517C">
        <w:t xml:space="preserve"> peak. </w:t>
      </w:r>
      <w:r>
        <w:fldChar w:fldCharType="begin"/>
      </w:r>
      <w:r>
        <w:instrText xml:space="preserve"> REF _Ref518560148 \h </w:instrText>
      </w:r>
      <w:r w:rsidR="00A672BC">
        <w:instrText xml:space="preserve"> \* MERGEFORMAT </w:instrText>
      </w:r>
      <w:r>
        <w:fldChar w:fldCharType="separate"/>
      </w:r>
      <w:r w:rsidR="00AE3693" w:rsidRPr="00053307">
        <w:t>Figure S</w:t>
      </w:r>
      <w:r w:rsidR="00AE3693">
        <w:t>11</w:t>
      </w:r>
      <w:r>
        <w:fldChar w:fldCharType="end"/>
      </w:r>
      <w:r>
        <w:t xml:space="preserve"> </w:t>
      </w:r>
      <w:r w:rsidRPr="00E9517C">
        <w:t>demonstrates an alternative approach, assuming that the oxidised oxygen concentration is uniform throughout the particle at 4.8 V and comprises 33 % of the total transition metal oxide contribution (O</w:t>
      </w:r>
      <w:r w:rsidRPr="00E9517C">
        <w:rPr>
          <w:vertAlign w:val="superscript"/>
        </w:rPr>
        <w:t>n-</w:t>
      </w:r>
      <w:proofErr w:type="gramStart"/>
      <w:r w:rsidRPr="00E9517C">
        <w:t>/[</w:t>
      </w:r>
      <w:proofErr w:type="gramEnd"/>
      <w:r w:rsidRPr="00E9517C">
        <w:t>O</w:t>
      </w:r>
      <w:r w:rsidRPr="00E9517C">
        <w:rPr>
          <w:vertAlign w:val="superscript"/>
        </w:rPr>
        <w:t>n-</w:t>
      </w:r>
      <w:r w:rsidRPr="00E9517C">
        <w:t xml:space="preserve"> + O</w:t>
      </w:r>
      <w:r w:rsidRPr="00E9517C">
        <w:rPr>
          <w:vertAlign w:val="superscript"/>
        </w:rPr>
        <w:t>2-</w:t>
      </w:r>
      <w:r w:rsidRPr="00E9517C">
        <w:t>] = 33 %). The result is that the oxidised oxygen peak is much less intense for the two lower depths and more intense for the greatest depth, than determined in the present study. In order to create a model that better fits the raw data, the peaks for the surface-bound species must be allowed to shift to lower binding energies by ~0.4 eV for the two lower photon energies, unrepresentative of what has been observed for other samples in this series. Even with this allowed shift, a poorer quality fit is obtained as indicated by the residual standard deviation. We determine that there is no chemical justification for allowing these peaks to shift as such, especially considering that a negative energy shift is representative of reduction processes, while the electrode should be in a highly oxidised state at 4.8 V. A depth dependency of the oxygen redox reaction, rather than a uniform profile throughout the particle, is thought to be the preferred model to properly explain the experimental data.</w:t>
      </w:r>
    </w:p>
    <w:p w:rsidR="00987435" w:rsidRDefault="00987435" w:rsidP="00987435">
      <w:pPr>
        <w:spacing w:line="480" w:lineRule="auto"/>
        <w:jc w:val="both"/>
      </w:pPr>
    </w:p>
    <w:p w:rsidR="00987435" w:rsidRDefault="00987435" w:rsidP="00987435">
      <w:pPr>
        <w:jc w:val="center"/>
      </w:pPr>
      <w:r>
        <w:rPr>
          <w:noProof/>
          <w:lang w:eastAsia="en-GB"/>
        </w:rPr>
        <w:drawing>
          <wp:inline distT="0" distB="0" distL="0" distR="0" wp14:anchorId="349D2E4F" wp14:editId="0D065FF3">
            <wp:extent cx="3895805" cy="5032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1s-normE-int-180531-33p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2025" cy="5040115"/>
                    </a:xfrm>
                    <a:prstGeom prst="rect">
                      <a:avLst/>
                    </a:prstGeom>
                  </pic:spPr>
                </pic:pic>
              </a:graphicData>
            </a:graphic>
          </wp:inline>
        </w:drawing>
      </w:r>
    </w:p>
    <w:p w:rsidR="00987435" w:rsidRDefault="00987435" w:rsidP="00A672BC">
      <w:pPr>
        <w:spacing w:line="480" w:lineRule="auto"/>
      </w:pPr>
      <w:bookmarkStart w:id="11" w:name="_Ref518560148"/>
      <w:r w:rsidRPr="00053307">
        <w:t>Figure S</w:t>
      </w:r>
      <w:r>
        <w:rPr>
          <w:noProof/>
        </w:rPr>
        <w:fldChar w:fldCharType="begin"/>
      </w:r>
      <w:r>
        <w:rPr>
          <w:noProof/>
        </w:rPr>
        <w:instrText xml:space="preserve"> SEQ Figure_S \* ARABIC </w:instrText>
      </w:r>
      <w:r>
        <w:rPr>
          <w:noProof/>
        </w:rPr>
        <w:fldChar w:fldCharType="separate"/>
      </w:r>
      <w:r w:rsidR="00AE3693">
        <w:rPr>
          <w:noProof/>
        </w:rPr>
        <w:t>11</w:t>
      </w:r>
      <w:r>
        <w:rPr>
          <w:noProof/>
        </w:rPr>
        <w:fldChar w:fldCharType="end"/>
      </w:r>
      <w:bookmarkEnd w:id="11"/>
      <w:r w:rsidR="00D65060">
        <w:t>.</w:t>
      </w:r>
      <w:r>
        <w:t xml:space="preserve"> O 1s photoelectron spectra measured using three photon energies for </w:t>
      </w:r>
      <w:r w:rsidRPr="00D8100A">
        <w:t>Li</w:t>
      </w:r>
      <w:r w:rsidRPr="00D8100A">
        <w:rPr>
          <w:vertAlign w:val="subscript"/>
        </w:rPr>
        <w:t>1.2</w:t>
      </w:r>
      <w:r w:rsidRPr="00D8100A">
        <w:t>Ni</w:t>
      </w:r>
      <w:r w:rsidRPr="00D8100A">
        <w:rPr>
          <w:vertAlign w:val="subscript"/>
        </w:rPr>
        <w:t>0.2</w:t>
      </w:r>
      <w:r w:rsidRPr="00D8100A">
        <w:t>Mn</w:t>
      </w:r>
      <w:r w:rsidRPr="00D8100A">
        <w:rPr>
          <w:vertAlign w:val="subscript"/>
        </w:rPr>
        <w:t>0.6</w:t>
      </w:r>
      <w:r w:rsidRPr="00D8100A">
        <w:t>O</w:t>
      </w:r>
      <w:r w:rsidRPr="00D8100A">
        <w:rPr>
          <w:vertAlign w:val="subscript"/>
        </w:rPr>
        <w:t>2</w:t>
      </w:r>
      <w:r>
        <w:t xml:space="preserve"> at 4.8 V charge. The first row shows fitted data from the present study, the second row presents the data when the area of the O</w:t>
      </w:r>
      <w:r>
        <w:rPr>
          <w:vertAlign w:val="superscript"/>
        </w:rPr>
        <w:t>n-</w:t>
      </w:r>
      <w:r>
        <w:t xml:space="preserve"> peak is adjusted to make up 33 % of the total transition metal oxide contribution, while the third row demonstrates how the peaks for surface-bound species must shift unjustifiably to fill/relieve the intensity lost/gained by the adjustment.</w:t>
      </w:r>
    </w:p>
    <w:p w:rsidR="00987435" w:rsidRDefault="00987435" w:rsidP="00987435">
      <w:r>
        <w:br w:type="page"/>
      </w:r>
    </w:p>
    <w:p w:rsidR="00987435" w:rsidRPr="00D01EE1" w:rsidRDefault="00987435" w:rsidP="001401D9">
      <w:pPr>
        <w:spacing w:line="480" w:lineRule="auto"/>
      </w:pPr>
      <w:r w:rsidRPr="00B05382">
        <w:rPr>
          <w:b/>
          <w:u w:val="single"/>
        </w:rPr>
        <w:t xml:space="preserve">Note </w:t>
      </w:r>
      <w:r w:rsidR="001401D9">
        <w:rPr>
          <w:b/>
          <w:u w:val="single"/>
        </w:rPr>
        <w:t>8</w:t>
      </w:r>
      <w:r>
        <w:rPr>
          <w:b/>
          <w:u w:val="single"/>
        </w:rPr>
        <w:t xml:space="preserve">. </w:t>
      </w:r>
      <w:r w:rsidRPr="00E329C3">
        <w:rPr>
          <w:b/>
          <w:u w:val="single"/>
        </w:rPr>
        <w:t>Spinel-phase</w:t>
      </w:r>
      <w:r w:rsidRPr="00D01EE1">
        <w:rPr>
          <w:b/>
          <w:u w:val="single"/>
        </w:rPr>
        <w:t xml:space="preserve"> LiNi</w:t>
      </w:r>
      <w:r w:rsidRPr="00D01EE1">
        <w:rPr>
          <w:b/>
          <w:u w:val="single"/>
          <w:vertAlign w:val="subscript"/>
        </w:rPr>
        <w:t>0.5</w:t>
      </w:r>
      <w:r w:rsidRPr="00D01EE1">
        <w:rPr>
          <w:b/>
          <w:u w:val="single"/>
        </w:rPr>
        <w:t>Mn</w:t>
      </w:r>
      <w:r w:rsidRPr="00D01EE1">
        <w:rPr>
          <w:b/>
          <w:u w:val="single"/>
          <w:vertAlign w:val="subscript"/>
        </w:rPr>
        <w:t>1.5</w:t>
      </w:r>
      <w:r w:rsidRPr="00D01EE1">
        <w:rPr>
          <w:b/>
          <w:u w:val="single"/>
        </w:rPr>
        <w:t>O</w:t>
      </w:r>
      <w:r w:rsidRPr="00D01EE1">
        <w:rPr>
          <w:b/>
          <w:u w:val="single"/>
          <w:vertAlign w:val="subscript"/>
        </w:rPr>
        <w:t>4</w:t>
      </w:r>
      <w:r w:rsidRPr="00FA59E2">
        <w:rPr>
          <w:b/>
          <w:u w:val="single"/>
        </w:rPr>
        <w:t xml:space="preserve"> spectra.</w:t>
      </w:r>
    </w:p>
    <w:p w:rsidR="00987435" w:rsidRPr="00D24E1A" w:rsidRDefault="00987435" w:rsidP="00A672BC">
      <w:pPr>
        <w:spacing w:line="480" w:lineRule="auto"/>
      </w:pPr>
      <w:r w:rsidRPr="00D24E1A">
        <w:t>As a material that does not exhibit oxygen redox activity,</w:t>
      </w:r>
      <w:r w:rsidRPr="00D24E1A">
        <w:fldChar w:fldCharType="begin" w:fldLock="1"/>
      </w:r>
      <w:r w:rsidR="00E6771F">
        <w:instrText>ADDIN CSL_CITATION {"citationItems":[{"id":"ITEM-1","itemData":{"DOI":"10.1016/J.JPOWSOUR.2017.03.051","ISSN":"0378-7753","abstract":"Compensation of irreversible capacity losses is a mandatory task if high capacity alloy and conversion materials want to be used in tomorrow Li-ion batteries, thus enabling further increase of the cell energy. To that aim we here propose a new approach that is based on the use of blend cathodes containing morphologically optimized LiNi0.5Mn1.5O4 (LMNO-O) and lithium-rich Li1+xNi0.5Mn1.5O4 (LMNO-R) to compensate the irreversible losses of lithium-ion cells that employ Si-based anodes. The ratio between LMNO-O and LMNO-R determines the amount of extra lithium available in the electrodes and thus the use of blend electrodes allows fine tuning of the extra-charge within the cathode. Furthermore, the lithium rich phase converts to the standard electrochemically active spinel phase when all the extra lithium leaves the structure, thus not accounting for any inert weight in the cell. We demonstrate that the aforementioned approach leads not only to the full compensation of irreversible capacity losses, but it also improves the cells' cycling stability. Finally, our optimized cells show 25% more specific energy with respect to a reference Graphite|LiNi0.5Mn1.5O4 cell.","author":[{"dropping-particle":"","family":"Gabrielli","given":"Giulio","non-dropping-particle":"","parse-names":false,"suffix":""},{"dropping-particle":"","family":"Marinaro","given":"Mario","non-dropping-particle":"","parse-names":false,"suffix":""},{"dropping-particle":"","family":"Mancini","given":"Marilena","non-dropping-particle":"","parse-names":false,"suffix":""},{"dropping-particle":"","family":"Axmann","given":"Peter","non-dropping-particle":"","parse-names":false,"suffix":""},{"dropping-particle":"","family":"Wohlfahrt-Mehrens","given":"Margret","non-dropping-particle":"","parse-names":false,"suffix":""}],"container-title":"Journal of Power Sources","id":"ITEM-1","issued":{"date-parts":[["2017","5","31"]]},"page":"35-44","publisher":"Elsevier","title":"A new approach for compensating the irreversible capacity loss of high-energy Si/C|LiNi0.5Mn1.5O4 lithium-ion batteries","type":"article-journal","volume":"351"},"uris":["http://www.mendeley.com/documents/?uuid=6772c72a-7613-3bfe-8c34-43c06c83569a"]},{"id":"ITEM-2","itemData":{"DOI":"10.1149/2.1471713jes","ISSN":"0013-4651","abstract":"© The Author(s) 2017. Published by ECS. All rights reserved. Oxygen-deficient pristine (LMNO) and microwave-treated LiMn 1.5 Ni 0.5 O 4- δ (LMNOmic) cathode materials have been synthesized with modified thermo-polymerization synthesis technique. The XRD, XPS, CV and charge/discharge voltage profile analysis confirm that the microwave treatment enhance the electrochemical property by adjusting the lattice parameter, nickel content, and Mn 3 + content. The galvanostatic charge/discharge testing results show that LMNOmic exhibits high capacity of 133 mAh g −1 at a 0.1 C and a high retention of 95%, the LMNOmic delivered high capacity for various current rates 0.1, 0.5, 1, 2 C compared to non-microwave LMNO sample. Electrochemical impedance spectroscopy shows a gradual increase in impedance during continuous cycling, indicating a gradual formation of the cathode-electrolyte interphase (CEI) film at the active LMNO surface. The rise in impedance at the end of the 100 th cycle is about three times higher for the LMNOmic than the pristine LMNO. This work proves the urgent need for further work, specifically focusing on material design and coating and/or doping strategies that will complement microwave irradiation and ultimately permit the stabilization of the cathode-electrolyte interface upon long-term cycling. The success of such work will allow the full realization of the advantageous properties of the microwave-treatment of the LMNO and related cathode materials.","author":[{"dropping-particle":"","family":"Kebede","given":"Mesfin A.","non-dropping-particle":"","parse-names":false,"suffix":""},{"dropping-particle":"","family":"Yannopoulos","given":"Spyros N.","non-dropping-particle":"","parse-names":false,"suffix":""},{"dropping-particle":"","family":"Sygellou","given":"Labrini","non-dropping-particle":"","parse-names":false,"suffix":""},{"dropping-particle":"","family":"Ozoemena","given":"Kenneth I.","non-dropping-particle":"","parse-names":false,"suffix":""}],"container-title":"Journal of The Electrochemical Society","id":"ITEM-2","issue":"13","issued":{"date-parts":[["2017","10","28"]]},"page":"A3259-A3265","publisher":"The Electrochemical Society","title":"High-voltage LiNi0.5Mn1.5O4-δ spinel material synthesized by microwave-assisted thermo-polymerization: Some insights into the microwave-enhancing physico-chemistry","type":"article-journal","volume":"164"},"uris":["http://www.mendeley.com/documents/?uuid=20953e2c-5c53-3be9-96d8-6de93bb1e9dc"]}],"mendeley":{"formattedCitation":"&lt;sup&gt;10,11&lt;/sup&gt;","plainTextFormattedCitation":"10,11","previouslyFormattedCitation":"&lt;sup&gt;10,11&lt;/sup&gt;"},"properties":{"noteIndex":0},"schema":"https://github.com/citation-style-language/schema/raw/master/csl-citation.json"}</w:instrText>
      </w:r>
      <w:r w:rsidRPr="00D24E1A">
        <w:fldChar w:fldCharType="separate"/>
      </w:r>
      <w:r w:rsidR="00160EBA" w:rsidRPr="00160EBA">
        <w:rPr>
          <w:noProof/>
          <w:vertAlign w:val="superscript"/>
        </w:rPr>
        <w:t>10,11</w:t>
      </w:r>
      <w:r w:rsidRPr="00D24E1A">
        <w:fldChar w:fldCharType="end"/>
      </w:r>
      <w:r w:rsidRPr="00D24E1A">
        <w:t xml:space="preserve"> the high-voltage spinel phase LiNi</w:t>
      </w:r>
      <w:r w:rsidRPr="00D24E1A">
        <w:rPr>
          <w:vertAlign w:val="subscript"/>
        </w:rPr>
        <w:t>0.5</w:t>
      </w:r>
      <w:r w:rsidRPr="00D24E1A">
        <w:t>Mn</w:t>
      </w:r>
      <w:r w:rsidRPr="00D24E1A">
        <w:rPr>
          <w:vertAlign w:val="subscript"/>
        </w:rPr>
        <w:t>1.5</w:t>
      </w:r>
      <w:r w:rsidRPr="00D24E1A">
        <w:t>O</w:t>
      </w:r>
      <w:r w:rsidRPr="00D24E1A">
        <w:rPr>
          <w:vertAlign w:val="subscript"/>
        </w:rPr>
        <w:t>4</w:t>
      </w:r>
      <w:r w:rsidRPr="00D24E1A">
        <w:t xml:space="preserve"> makes for a good comparison to the Li-rich layered material. Cells with the spinel phase cathode were</w:t>
      </w:r>
      <w:r>
        <w:t xml:space="preserve"> charged to 4.75 V and </w:t>
      </w:r>
      <w:proofErr w:type="gramStart"/>
      <w:r>
        <w:t>5</w:t>
      </w:r>
      <w:proofErr w:type="gramEnd"/>
      <w:r>
        <w:t xml:space="preserve"> V (</w:t>
      </w:r>
      <w:r>
        <w:fldChar w:fldCharType="begin"/>
      </w:r>
      <w:r>
        <w:instrText xml:space="preserve"> REF _Ref524039755 \h </w:instrText>
      </w:r>
      <w:r w:rsidR="00A672BC">
        <w:instrText xml:space="preserve"> \* MERGEFORMAT </w:instrText>
      </w:r>
      <w:r>
        <w:fldChar w:fldCharType="separate"/>
      </w:r>
      <w:r w:rsidR="00AE3693" w:rsidRPr="00053307">
        <w:t>Figure S</w:t>
      </w:r>
      <w:r w:rsidR="00AE3693">
        <w:t>12</w:t>
      </w:r>
      <w:r>
        <w:fldChar w:fldCharType="end"/>
      </w:r>
      <w:r w:rsidRPr="00D24E1A">
        <w:t>). We investigated the oxygen electronic states in the spinel material by measuring O 1s spectra</w:t>
      </w:r>
      <w:r>
        <w:t xml:space="preserve"> (main text, Figure 3)</w:t>
      </w:r>
      <w:r w:rsidRPr="00D24E1A">
        <w:t xml:space="preserve"> for the pristine material and charged electrodes, at the three</w:t>
      </w:r>
      <w:r>
        <w:t xml:space="preserve"> excitation</w:t>
      </w:r>
      <w:r w:rsidRPr="00D24E1A">
        <w:t xml:space="preserve"> energies</w:t>
      </w:r>
      <w:r>
        <w:t xml:space="preserve"> 1.09, 2.35, and 7.05 </w:t>
      </w:r>
      <w:proofErr w:type="spellStart"/>
      <w:r>
        <w:t>keV</w:t>
      </w:r>
      <w:proofErr w:type="spellEnd"/>
      <w:r w:rsidRPr="00D24E1A">
        <w:t xml:space="preserve">. The fitting of a peak </w:t>
      </w:r>
      <w:r>
        <w:t>for O</w:t>
      </w:r>
      <w:r w:rsidRPr="008B43FC">
        <w:rPr>
          <w:vertAlign w:val="superscript"/>
        </w:rPr>
        <w:t>2-</w:t>
      </w:r>
      <w:r>
        <w:t xml:space="preserve"> </w:t>
      </w:r>
      <w:r w:rsidRPr="00D24E1A">
        <w:t xml:space="preserve">and peaks for the surface species to the pristine spectra shows that there is a greater signal from the surface species relative to the oxide at all photon energies in this material, suggesting a thicker layer </w:t>
      </w:r>
      <w:r>
        <w:t xml:space="preserve">of surface-bound species </w:t>
      </w:r>
      <w:r w:rsidRPr="00D24E1A">
        <w:t>than for the layered oxide.</w:t>
      </w:r>
    </w:p>
    <w:p w:rsidR="00987435" w:rsidRDefault="00987435" w:rsidP="00A672BC">
      <w:pPr>
        <w:spacing w:line="480" w:lineRule="auto"/>
      </w:pPr>
      <w:r w:rsidRPr="00D24E1A">
        <w:t>For the fitting of the spectra, binding energies of the surface</w:t>
      </w:r>
      <w:r>
        <w:t>-bound</w:t>
      </w:r>
      <w:r w:rsidRPr="00D24E1A">
        <w:t xml:space="preserve"> species peaks remain constant, while the oxide peak is allowed to shift to lower BE on </w:t>
      </w:r>
      <w:r w:rsidRPr="00D24E1A">
        <w:rPr>
          <w:noProof/>
        </w:rPr>
        <w:t>charge</w:t>
      </w:r>
      <w:r w:rsidRPr="00D24E1A">
        <w:t xml:space="preserve">, as in the layered material during </w:t>
      </w:r>
      <w:r w:rsidRPr="00D24E1A">
        <w:rPr>
          <w:noProof/>
        </w:rPr>
        <w:t>delithiation</w:t>
      </w:r>
      <w:r w:rsidRPr="00D24E1A">
        <w:t xml:space="preserve"> or oxidation of the transition metal. It is clear that no peak associated with an oxidised form of the </w:t>
      </w:r>
      <w:r>
        <w:t>oxide (</w:t>
      </w:r>
      <w:r w:rsidRPr="00D24E1A">
        <w:t>O</w:t>
      </w:r>
      <w:r w:rsidRPr="00D24E1A">
        <w:rPr>
          <w:vertAlign w:val="superscript"/>
        </w:rPr>
        <w:t>n-</w:t>
      </w:r>
      <w:r w:rsidRPr="00D24E1A">
        <w:t>) could be fitted in any of the spectra, for the surface or bulk measurements. Considering that such an intense signal is observed for a new oxidised oxygen species in the charged layered material, the absence of a similar indicator here is strong evidence that the high-voltage spinel-phase does not undergo an oxygen redox reaction and that the oxide structure is stable up to 5 V.</w:t>
      </w:r>
    </w:p>
    <w:p w:rsidR="006D6768" w:rsidRDefault="006D6768" w:rsidP="00987435">
      <w:pPr>
        <w:spacing w:line="480" w:lineRule="auto"/>
        <w:jc w:val="both"/>
      </w:pPr>
    </w:p>
    <w:p w:rsidR="006D6768" w:rsidRDefault="006D6768" w:rsidP="00987435">
      <w:pPr>
        <w:spacing w:line="480" w:lineRule="auto"/>
        <w:jc w:val="both"/>
      </w:pPr>
    </w:p>
    <w:p w:rsidR="00987435" w:rsidRDefault="00987435" w:rsidP="00987435">
      <w:pPr>
        <w:spacing w:line="480" w:lineRule="auto"/>
        <w:jc w:val="center"/>
      </w:pPr>
      <w:r w:rsidRPr="00474947">
        <w:rPr>
          <w:noProof/>
          <w:sz w:val="40"/>
          <w:szCs w:val="40"/>
          <w:lang w:eastAsia="en-GB"/>
        </w:rPr>
        <w:drawing>
          <wp:inline distT="0" distB="0" distL="0" distR="0" wp14:anchorId="489B992F" wp14:editId="14508ADA">
            <wp:extent cx="3495284" cy="2420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inelLMNO-loadcurv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5284" cy="2420440"/>
                    </a:xfrm>
                    <a:prstGeom prst="rect">
                      <a:avLst/>
                    </a:prstGeom>
                  </pic:spPr>
                </pic:pic>
              </a:graphicData>
            </a:graphic>
          </wp:inline>
        </w:drawing>
      </w:r>
    </w:p>
    <w:p w:rsidR="00987435" w:rsidRDefault="00987435" w:rsidP="00A672BC">
      <w:pPr>
        <w:spacing w:line="480" w:lineRule="auto"/>
      </w:pPr>
      <w:bookmarkStart w:id="12" w:name="_Ref524039755"/>
      <w:r w:rsidRPr="00053307">
        <w:t>Figure S</w:t>
      </w:r>
      <w:r>
        <w:rPr>
          <w:noProof/>
        </w:rPr>
        <w:fldChar w:fldCharType="begin"/>
      </w:r>
      <w:r>
        <w:rPr>
          <w:noProof/>
        </w:rPr>
        <w:instrText xml:space="preserve"> SEQ Figure_S \* ARABIC </w:instrText>
      </w:r>
      <w:r>
        <w:rPr>
          <w:noProof/>
        </w:rPr>
        <w:fldChar w:fldCharType="separate"/>
      </w:r>
      <w:r w:rsidR="00AE3693">
        <w:rPr>
          <w:noProof/>
        </w:rPr>
        <w:t>12</w:t>
      </w:r>
      <w:r>
        <w:rPr>
          <w:noProof/>
        </w:rPr>
        <w:fldChar w:fldCharType="end"/>
      </w:r>
      <w:bookmarkEnd w:id="12"/>
      <w:r w:rsidRPr="00474947">
        <w:t>. Voltage profile</w:t>
      </w:r>
      <w:r>
        <w:t xml:space="preserve"> for cells with </w:t>
      </w:r>
      <w:r w:rsidRPr="00474947">
        <w:t>LiNi</w:t>
      </w:r>
      <w:r w:rsidRPr="003445BD">
        <w:rPr>
          <w:vertAlign w:val="subscript"/>
        </w:rPr>
        <w:t>0.5</w:t>
      </w:r>
      <w:r w:rsidRPr="00474947">
        <w:t>Mn</w:t>
      </w:r>
      <w:r w:rsidRPr="003445BD">
        <w:rPr>
          <w:vertAlign w:val="subscript"/>
        </w:rPr>
        <w:t>1.5</w:t>
      </w:r>
      <w:r w:rsidRPr="00474947">
        <w:t>O</w:t>
      </w:r>
      <w:r w:rsidRPr="003445BD">
        <w:rPr>
          <w:vertAlign w:val="subscript"/>
        </w:rPr>
        <w:t>4</w:t>
      </w:r>
      <w:r>
        <w:t xml:space="preserve"> electrodes, charged to 4.75, and 5 V </w:t>
      </w:r>
      <w:r w:rsidRPr="00532510">
        <w:rPr>
          <w:i/>
        </w:rPr>
        <w:t>vs.</w:t>
      </w:r>
      <w:r>
        <w:t xml:space="preserve"> Li/Li</w:t>
      </w:r>
      <w:r w:rsidRPr="00532510">
        <w:rPr>
          <w:vertAlign w:val="superscript"/>
        </w:rPr>
        <w:t>+</w:t>
      </w:r>
      <w:r>
        <w:t>. Red-coloured markers represent points at which samples were prepared for photoelectron spectroscopy measurements.</w:t>
      </w:r>
      <w:r>
        <w:br w:type="page"/>
      </w:r>
    </w:p>
    <w:p w:rsidR="00BB373C" w:rsidRPr="00082F04" w:rsidRDefault="00BB373C" w:rsidP="00BB373C">
      <w:pPr>
        <w:spacing w:line="480" w:lineRule="auto"/>
        <w:rPr>
          <w:b/>
          <w:u w:val="single"/>
        </w:rPr>
      </w:pPr>
      <w:r w:rsidRPr="00082F04">
        <w:rPr>
          <w:b/>
          <w:u w:val="single"/>
        </w:rPr>
        <w:t xml:space="preserve">Note 9. </w:t>
      </w:r>
      <w:r w:rsidR="00CC501F" w:rsidRPr="00082F04">
        <w:rPr>
          <w:b/>
          <w:u w:val="single"/>
        </w:rPr>
        <w:t xml:space="preserve">Galvanostatic cycling curves for cells </w:t>
      </w:r>
      <w:r w:rsidR="00C0590F" w:rsidRPr="00082F04">
        <w:rPr>
          <w:b/>
          <w:u w:val="single"/>
        </w:rPr>
        <w:t>tested</w:t>
      </w:r>
      <w:r w:rsidR="00CC501F" w:rsidRPr="00082F04">
        <w:rPr>
          <w:b/>
          <w:u w:val="single"/>
        </w:rPr>
        <w:t xml:space="preserve"> over multiple cycles.</w:t>
      </w:r>
    </w:p>
    <w:p w:rsidR="001401D9" w:rsidRDefault="001401D9" w:rsidP="001401D9">
      <w:pPr>
        <w:keepNext/>
        <w:spacing w:line="360" w:lineRule="auto"/>
        <w:jc w:val="center"/>
      </w:pPr>
      <w:r w:rsidRPr="001401D9">
        <w:rPr>
          <w:b/>
          <w:noProof/>
          <w:lang w:eastAsia="en-GB"/>
        </w:rPr>
        <w:drawing>
          <wp:inline distT="0" distB="0" distL="0" distR="0">
            <wp:extent cx="4351668" cy="3506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yc-electrochem-v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4783" cy="3508980"/>
                    </a:xfrm>
                    <a:prstGeom prst="rect">
                      <a:avLst/>
                    </a:prstGeom>
                  </pic:spPr>
                </pic:pic>
              </a:graphicData>
            </a:graphic>
          </wp:inline>
        </w:drawing>
      </w:r>
    </w:p>
    <w:p w:rsidR="00BB373C" w:rsidRPr="00082F04" w:rsidRDefault="001401D9" w:rsidP="001401D9">
      <w:pPr>
        <w:pStyle w:val="Caption"/>
        <w:spacing w:line="360" w:lineRule="auto"/>
        <w:rPr>
          <w:b/>
          <w:i w:val="0"/>
          <w:color w:val="auto"/>
          <w:sz w:val="22"/>
          <w:szCs w:val="22"/>
          <w:u w:val="single"/>
        </w:rPr>
      </w:pPr>
      <w:r w:rsidRPr="00082F04">
        <w:rPr>
          <w:i w:val="0"/>
          <w:color w:val="auto"/>
          <w:sz w:val="22"/>
          <w:szCs w:val="22"/>
        </w:rPr>
        <w:t>Figure S</w:t>
      </w:r>
      <w:r w:rsidRPr="00082F04">
        <w:rPr>
          <w:i w:val="0"/>
          <w:color w:val="auto"/>
          <w:sz w:val="22"/>
          <w:szCs w:val="22"/>
        </w:rPr>
        <w:fldChar w:fldCharType="begin"/>
      </w:r>
      <w:r w:rsidRPr="00082F04">
        <w:rPr>
          <w:i w:val="0"/>
          <w:color w:val="auto"/>
          <w:sz w:val="22"/>
          <w:szCs w:val="22"/>
        </w:rPr>
        <w:instrText xml:space="preserve"> SEQ Figure_S \* ARABIC </w:instrText>
      </w:r>
      <w:r w:rsidRPr="00082F04">
        <w:rPr>
          <w:i w:val="0"/>
          <w:color w:val="auto"/>
          <w:sz w:val="22"/>
          <w:szCs w:val="22"/>
        </w:rPr>
        <w:fldChar w:fldCharType="separate"/>
      </w:r>
      <w:r w:rsidR="00AE3693">
        <w:rPr>
          <w:i w:val="0"/>
          <w:noProof/>
          <w:color w:val="auto"/>
          <w:sz w:val="22"/>
          <w:szCs w:val="22"/>
        </w:rPr>
        <w:t>13</w:t>
      </w:r>
      <w:r w:rsidRPr="00082F04">
        <w:rPr>
          <w:i w:val="0"/>
          <w:color w:val="auto"/>
          <w:sz w:val="22"/>
          <w:szCs w:val="22"/>
        </w:rPr>
        <w:fldChar w:fldCharType="end"/>
      </w:r>
      <w:r w:rsidRPr="00082F04">
        <w:rPr>
          <w:i w:val="0"/>
          <w:color w:val="auto"/>
          <w:sz w:val="22"/>
          <w:szCs w:val="22"/>
        </w:rPr>
        <w:t>. Galvanostatic cycling curves of Li</w:t>
      </w:r>
      <w:r w:rsidRPr="00082F04">
        <w:rPr>
          <w:i w:val="0"/>
          <w:color w:val="auto"/>
          <w:sz w:val="22"/>
          <w:szCs w:val="22"/>
          <w:vertAlign w:val="subscript"/>
        </w:rPr>
        <w:t>1.2</w:t>
      </w:r>
      <w:r w:rsidRPr="00082F04">
        <w:rPr>
          <w:i w:val="0"/>
          <w:color w:val="auto"/>
          <w:sz w:val="22"/>
          <w:szCs w:val="22"/>
        </w:rPr>
        <w:t>Ni</w:t>
      </w:r>
      <w:r w:rsidRPr="00082F04">
        <w:rPr>
          <w:i w:val="0"/>
          <w:color w:val="auto"/>
          <w:sz w:val="22"/>
          <w:szCs w:val="22"/>
          <w:vertAlign w:val="subscript"/>
        </w:rPr>
        <w:t>0.2</w:t>
      </w:r>
      <w:r w:rsidRPr="00082F04">
        <w:rPr>
          <w:i w:val="0"/>
          <w:color w:val="auto"/>
          <w:sz w:val="22"/>
          <w:szCs w:val="22"/>
        </w:rPr>
        <w:t>Mn</w:t>
      </w:r>
      <w:r w:rsidRPr="00082F04">
        <w:rPr>
          <w:i w:val="0"/>
          <w:color w:val="auto"/>
          <w:sz w:val="22"/>
          <w:szCs w:val="22"/>
          <w:vertAlign w:val="subscript"/>
        </w:rPr>
        <w:t>0.6</w:t>
      </w:r>
      <w:r w:rsidRPr="00082F04">
        <w:rPr>
          <w:i w:val="0"/>
          <w:color w:val="auto"/>
          <w:sz w:val="22"/>
          <w:szCs w:val="22"/>
        </w:rPr>
        <w:t>O</w:t>
      </w:r>
      <w:r w:rsidRPr="00082F04">
        <w:rPr>
          <w:i w:val="0"/>
          <w:color w:val="auto"/>
          <w:sz w:val="22"/>
          <w:szCs w:val="22"/>
          <w:vertAlign w:val="subscript"/>
        </w:rPr>
        <w:t>2</w:t>
      </w:r>
      <w:r w:rsidRPr="00082F04">
        <w:rPr>
          <w:i w:val="0"/>
          <w:color w:val="auto"/>
          <w:sz w:val="22"/>
          <w:szCs w:val="22"/>
        </w:rPr>
        <w:t xml:space="preserve"> </w:t>
      </w:r>
      <w:r w:rsidRPr="00082F04">
        <w:rPr>
          <w:color w:val="auto"/>
          <w:sz w:val="22"/>
          <w:szCs w:val="22"/>
        </w:rPr>
        <w:t>vs.</w:t>
      </w:r>
      <w:r w:rsidRPr="00082F04">
        <w:rPr>
          <w:i w:val="0"/>
          <w:color w:val="auto"/>
          <w:sz w:val="22"/>
          <w:szCs w:val="22"/>
        </w:rPr>
        <w:t xml:space="preserve"> Li metal cells for the 1</w:t>
      </w:r>
      <w:r w:rsidRPr="00082F04">
        <w:rPr>
          <w:i w:val="0"/>
          <w:color w:val="auto"/>
          <w:sz w:val="22"/>
          <w:szCs w:val="22"/>
          <w:vertAlign w:val="superscript"/>
        </w:rPr>
        <w:t>st</w:t>
      </w:r>
      <w:r w:rsidRPr="00082F04">
        <w:rPr>
          <w:i w:val="0"/>
          <w:color w:val="auto"/>
          <w:sz w:val="22"/>
          <w:szCs w:val="22"/>
        </w:rPr>
        <w:t xml:space="preserve"> cycle, 10</w:t>
      </w:r>
      <w:r w:rsidRPr="00082F04">
        <w:rPr>
          <w:i w:val="0"/>
          <w:color w:val="auto"/>
          <w:sz w:val="22"/>
          <w:szCs w:val="22"/>
          <w:vertAlign w:val="superscript"/>
        </w:rPr>
        <w:t>th</w:t>
      </w:r>
      <w:r w:rsidRPr="00082F04">
        <w:rPr>
          <w:i w:val="0"/>
          <w:color w:val="auto"/>
          <w:sz w:val="22"/>
          <w:szCs w:val="22"/>
        </w:rPr>
        <w:t xml:space="preserve"> charge and 11</w:t>
      </w:r>
      <w:r w:rsidRPr="00082F04">
        <w:rPr>
          <w:i w:val="0"/>
          <w:color w:val="auto"/>
          <w:sz w:val="22"/>
          <w:szCs w:val="22"/>
          <w:vertAlign w:val="superscript"/>
        </w:rPr>
        <w:t>th</w:t>
      </w:r>
      <w:r w:rsidRPr="00082F04">
        <w:rPr>
          <w:i w:val="0"/>
          <w:color w:val="auto"/>
          <w:sz w:val="22"/>
          <w:szCs w:val="22"/>
        </w:rPr>
        <w:t xml:space="preserve"> charge.</w:t>
      </w:r>
    </w:p>
    <w:p w:rsidR="00BB373C" w:rsidRDefault="00BB373C">
      <w:pPr>
        <w:rPr>
          <w:b/>
          <w:u w:val="single"/>
        </w:rPr>
      </w:pPr>
      <w:r>
        <w:rPr>
          <w:b/>
          <w:u w:val="single"/>
        </w:rPr>
        <w:br w:type="page"/>
      </w:r>
    </w:p>
    <w:p w:rsidR="00987435" w:rsidRPr="00B05382" w:rsidRDefault="00987435" w:rsidP="001401D9">
      <w:pPr>
        <w:spacing w:line="480" w:lineRule="auto"/>
        <w:rPr>
          <w:b/>
          <w:u w:val="single"/>
        </w:rPr>
      </w:pPr>
      <w:r w:rsidRPr="00B05382">
        <w:rPr>
          <w:b/>
          <w:u w:val="single"/>
        </w:rPr>
        <w:t xml:space="preserve">Note </w:t>
      </w:r>
      <w:r w:rsidR="00BB373C">
        <w:rPr>
          <w:b/>
          <w:u w:val="single"/>
        </w:rPr>
        <w:t>10</w:t>
      </w:r>
      <w:r>
        <w:rPr>
          <w:b/>
          <w:u w:val="single"/>
        </w:rPr>
        <w:t>. Supplementary information related to the simulations and calculations.</w:t>
      </w:r>
    </w:p>
    <w:p w:rsidR="00987435" w:rsidRPr="001428D3" w:rsidRDefault="00987435" w:rsidP="00A672BC">
      <w:pPr>
        <w:spacing w:line="480" w:lineRule="auto"/>
        <w:rPr>
          <w:i/>
        </w:rPr>
      </w:pPr>
      <w:r w:rsidRPr="001428D3">
        <w:rPr>
          <w:i/>
        </w:rPr>
        <w:t>Bulk structures:</w:t>
      </w:r>
    </w:p>
    <w:p w:rsidR="00987435" w:rsidRPr="00276D72" w:rsidRDefault="00987435" w:rsidP="00A672BC">
      <w:pPr>
        <w:spacing w:line="480" w:lineRule="auto"/>
      </w:pPr>
      <w:r w:rsidRPr="00276D72">
        <w:t>The structure of the layered Li-excess material was simulated with the following composition: Li</w:t>
      </w:r>
      <w:r w:rsidRPr="00276D72">
        <w:rPr>
          <w:vertAlign w:val="subscript"/>
        </w:rPr>
        <w:t>1.17</w:t>
      </w:r>
      <w:r w:rsidRPr="00276D72">
        <w:t>Ni</w:t>
      </w:r>
      <w:r w:rsidRPr="00276D72">
        <w:rPr>
          <w:vertAlign w:val="subscript"/>
        </w:rPr>
        <w:t>0.25</w:t>
      </w:r>
      <w:r w:rsidRPr="00276D72">
        <w:t>Mn</w:t>
      </w:r>
      <w:r w:rsidRPr="00276D72">
        <w:rPr>
          <w:vertAlign w:val="subscript"/>
        </w:rPr>
        <w:t>0.58</w:t>
      </w:r>
      <w:r w:rsidRPr="00276D72">
        <w:t>O</w:t>
      </w:r>
      <w:r w:rsidRPr="00276D72">
        <w:rPr>
          <w:vertAlign w:val="subscript"/>
        </w:rPr>
        <w:t>2</w:t>
      </w:r>
      <w:r w:rsidRPr="00276D72">
        <w:t>. Following the footsteps of previous publications on the same material</w:t>
      </w:r>
      <w:r w:rsidRPr="00276D72">
        <w:fldChar w:fldCharType="begin" w:fldLock="1"/>
      </w:r>
      <w:r w:rsidR="00E6771F">
        <w:instrText>ADDIN CSL_CITATION {"citationItems":[{"id":"ITEM-1","itemData":{"DOI":"10.1038/nchem.2524","ISBN":"1755-4330","ISSN":"1755-4330","PMID":"27325096","author":[{"dropping-particle":"","family":"Seo","given":"Dong-Hwa","non-dropping-particle":"","parse-names":false,"suffix":""},{"dropping-particle":"","family":"Lee","given":"Jinhyuk","non-dropping-particle":"","parse-names":false,"suffix":""},{"dropping-particle":"","family":"Urban","given":"Alexander","non-dropping-particle":"","parse-names":false,"suffix":""},{"dropping-particle":"","family":"Malik","given":"Rahul","non-dropping-particle":"","parse-names":false,"suffix":""},{"dropping-particle":"","family":"Kang","given":"ShinYoung","non-dropping-particle":"","parse-names":false,"suffix":""},{"dropping-particle":"","family":"Ceder","given":"Gerbrand","non-dropping-particle":"","parse-names":false,"suffix":""}],"container-title":"Nature Chemistry","id":"ITEM-1","issue":"7","issued":{"date-parts":[["2016","7","30"]]},"page":"692-697","publisher":"Nature Publishing Group","title":"The structural and chemical origin of the oxygen redox activity in layered and cation-disordered Li-excess cathode materials","type":"article-journal","volume":"8"},"uris":["http://www.mendeley.com/documents/?uuid=6b6e6705-56f7-4529-baf1-642ee8a76f7f"]}],"mendeley":{"formattedCitation":"&lt;sup&gt;12&lt;/sup&gt;","plainTextFormattedCitation":"12","previouslyFormattedCitation":"&lt;sup&gt;12&lt;/sup&gt;"},"properties":{"noteIndex":0},"schema":"https://github.com/citation-style-language/schema/raw/master/csl-citation.json"}</w:instrText>
      </w:r>
      <w:r w:rsidRPr="00276D72">
        <w:fldChar w:fldCharType="separate"/>
      </w:r>
      <w:r w:rsidR="00160EBA" w:rsidRPr="00160EBA">
        <w:rPr>
          <w:noProof/>
          <w:vertAlign w:val="superscript"/>
        </w:rPr>
        <w:t>12</w:t>
      </w:r>
      <w:r w:rsidRPr="00276D72">
        <w:fldChar w:fldCharType="end"/>
      </w:r>
      <w:r w:rsidRPr="00276D72">
        <w:t>, several starting geometries were considered for the pristine structure and supercells containing 24 formula unit (Li28Ni6Mn14O48, 96 atoms in total) were created from each. The cation ordering within the transition metal layers was generated using the Python Materials Genomics tool (</w:t>
      </w:r>
      <w:proofErr w:type="spellStart"/>
      <w:r w:rsidRPr="00276D72">
        <w:rPr>
          <w:noProof/>
        </w:rPr>
        <w:t>pymatgen</w:t>
      </w:r>
      <w:proofErr w:type="spellEnd"/>
      <w:r w:rsidRPr="00276D72">
        <w:t>)</w:t>
      </w:r>
      <w:r w:rsidRPr="00276D72">
        <w:fldChar w:fldCharType="begin" w:fldLock="1"/>
      </w:r>
      <w:r w:rsidR="00E6771F">
        <w:instrText>ADDIN CSL_CITATION {"citationItems":[{"id":"ITEM-1","itemData":{"DOI":"10.1016/j.commatsci.2012.10.028","ISBN":"0927-0256","ISSN":"09270256","abstract":"We present the Python Materials Genomics (pymatgen) library, a robust, open-source Python library for materials analysis. A key enabler in high-throughput computational materials science efforts is a robust set of software tools to perform initial setup for the calculations (e.g., generation of structures and necessary input files) and post-calculation analysis to derive useful material properties from raw calculated data. The pymatgen library aims to meet these needs by (1) defining core Python objects for materials data representation, (2) providing a well-tested set of structure and thermodynamic analyses relevant to many applications, and (3) establishing an open platform for researchers to collaboratively develop sophisticated analyses of materials data obtained both from first principles calculations and experiments. The pymatgen library also provides convenient tools to obtain useful materials data via the Materials Project's REpresentational State Transfer (REST) Application Programming Interface (API). As an example, using pymatgen's interface to the Materials Project's RESTful API and phasediagram package, we demonstrate how the phase and electrochemical stability of a recently synthesized material, Li 4SnS4, can be analyzed using a minimum of computing resources. We find that Li4SnS4 is a stable phase in the Li-Sn-S phase diagram (consistent with the fact that it can be synthesized), but the narrow range of lithium chemical potentials for which it is predicted to be stable would suggest that it is not intrinsically stable against typical electrodes used in lithium-ion batteries. © 2012 Elsevier B.V. All rights reserved.","author":[{"dropping-particle":"","family":"Ong","given":"Shyue Ping","non-dropping-particle":"","parse-names":false,"suffix":""},{"dropping-particle":"","family":"Richards","given":"William Davidson","non-dropping-particle":"","parse-names":false,"suffix":""},{"dropping-particle":"","family":"Jain","given":"Anubhav","non-dropping-particle":"","parse-names":false,"suffix":""},{"dropping-particle":"","family":"Hautier","given":"Geoffroy","non-dropping-particle":"","parse-names":false,"suffix":""},{"dropping-particle":"","family":"Kocher","given":"Michael","non-dropping-particle":"","parse-names":false,"suffix":""},{"dropping-particle":"","family":"Cholia","given":"Shreyas","non-dropping-particle":"","parse-names":false,"suffix":""},{"dropping-particle":"","family":"Gunter","given":"Dan","non-dropping-particle":"","parse-names":false,"suffix":""},{"dropping-particle":"","family":"Chevrier","given":"Vincent L.","non-dropping-particle":"","parse-names":false,"suffix":""},{"dropping-particle":"","family":"Persson","given":"Kristin A.","non-dropping-particle":"","parse-names":false,"suffix":""},{"dropping-particle":"","family":"Ceder","given":"Gerbrand","non-dropping-particle":"","parse-names":false,"suffix":""}],"container-title":"Computational Materials Science","id":"ITEM-1","issued":{"date-parts":[["2013"]]},"page":"314-319","publisher":"Elsevier B.V.","title":"Python Materials Genomics (pymatgen): A robust, open-source python library for materials analysis","type":"article-journal","volume":"68"},"uris":["http://www.mendeley.com/documents/?uuid=4937995b-d161-46f2-b60f-472aaf63fa89","http://www.mendeley.com/documents/?uuid=b0649bb3-17c0-4f89-9d58-b565dd3adcc1"]}],"mendeley":{"formattedCitation":"&lt;sup&gt;13&lt;/sup&gt;","plainTextFormattedCitation":"13","previouslyFormattedCitation":"&lt;sup&gt;13&lt;/sup&gt;"},"properties":{"noteIndex":0},"schema":"https://github.com/citation-style-language/schema/raw/master/csl-citation.json"}</w:instrText>
      </w:r>
      <w:r w:rsidRPr="00276D72">
        <w:fldChar w:fldCharType="separate"/>
      </w:r>
      <w:r w:rsidR="00160EBA" w:rsidRPr="00160EBA">
        <w:rPr>
          <w:noProof/>
          <w:vertAlign w:val="superscript"/>
        </w:rPr>
        <w:t>13</w:t>
      </w:r>
      <w:r w:rsidRPr="00276D72">
        <w:fldChar w:fldCharType="end"/>
      </w:r>
      <w:r w:rsidRPr="00276D72">
        <w:t xml:space="preserve">. The most stable structure was determined by first ranking the cation arrangements by their </w:t>
      </w:r>
      <w:r w:rsidRPr="00276D72">
        <w:rPr>
          <w:noProof/>
        </w:rPr>
        <w:t>Ewald</w:t>
      </w:r>
      <w:r w:rsidRPr="00276D72">
        <w:t xml:space="preserve"> energies and then by their DFT energies calculated with GGA+U (U equals 3.9 eV for Mn</w:t>
      </w:r>
      <w:r w:rsidRPr="00276D72">
        <w:fldChar w:fldCharType="begin" w:fldLock="1"/>
      </w:r>
      <w:r w:rsidR="00E6771F">
        <w:instrText>ADDIN CSL_CITATION {"citationItems":[{"id":"ITEM-1","itemData":{"DOI":"10.1021/cm300065y","ISBN":"0897-4756","ISSN":"08974756","abstract":"The Na0.44MnO2 structure is a promising cathode material for sodium ion batteries due to a high capacity (?130 mAh/g) and good cycle performance. In this work, we present the results of density functional theory (DFT) calculations on the structural and electrochemical properties of Na0.44MnO2, combined with experiments. Seven intermediate phases and the two-phase reactions among them were found, where the calculated voltage profile agreed well with experiments. We found that the S-shaped tunnel is not empty in the deintercalated Na0.22MnO2 structure but has a partial occupancy of sodium ions. The new sodium sites were found in a limited sodium composition range (x = 0.44?0.55) which is attributed to the electrostatic interactions between sodium ions and manganese atoms. The asymmetric lattice evolution in Na0.44MnO2 as a function of sodium insertion/deinsertion is shown to be due to the Jahn?Teller effects. On the basis of this interpretation, we suggest that the Cr substitution will reduce the volume change significantly.","author":[{"dropping-particle":"","family":"Kim","given":"Heejin","non-dropping-particle":"","parse-names":false,"suffix":""},{"dropping-particle":"","family":"Kim","given":"Dong Jun","non-dropping-particle":"","parse-names":false,"suffix":""},{"dropping-particle":"","family":"Seo","given":"Dong Hwa","non-dropping-particle":"","parse-names":false,"suffix":""},{"dropping-particle":"","family":"Yeom","given":"Min Sun","non-dropping-particle":"","parse-names":false,"suffix":""},{"dropping-particle":"","family":"Kang","given":"Kisuk","non-dropping-particle":"","parse-names":false,"suffix":""},{"dropping-particle":"","family":"Kim","given":"Do Kyung","non-dropping-particle":"","parse-names":false,"suffix":""},{"dropping-particle":"","family":"Jung","given":"Yousung","non-dropping-particle":"","parse-names":false,"suffix":""}],"container-title":"Chemistry of Materials","id":"ITEM-1","issue":"6","issued":{"date-parts":[["2012"]]},"page":"1205-1211","title":"Ab initio study of the sodium intercalation and intermediate phases in Na 0.44MnO 2 for sodium-ion battery","type":"article-journal","volume":"24"},"uris":["http://www.mendeley.com/documents/?uuid=2079e1d8-f478-4179-a63e-b8ff4403985e","http://www.mendeley.com/documents/?uuid=fab06aff-c293-4cfa-a721-060bd34e8c07"]}],"mendeley":{"formattedCitation":"&lt;sup&gt;14&lt;/sup&gt;","plainTextFormattedCitation":"14","previouslyFormattedCitation":"&lt;sup&gt;14&lt;/sup&gt;"},"properties":{"noteIndex":0},"schema":"https://github.com/citation-style-language/schema/raw/master/csl-citation.json"}</w:instrText>
      </w:r>
      <w:r w:rsidRPr="00276D72">
        <w:fldChar w:fldCharType="separate"/>
      </w:r>
      <w:r w:rsidR="00160EBA" w:rsidRPr="00160EBA">
        <w:rPr>
          <w:noProof/>
          <w:vertAlign w:val="superscript"/>
        </w:rPr>
        <w:t>14</w:t>
      </w:r>
      <w:r w:rsidRPr="00276D72">
        <w:fldChar w:fldCharType="end"/>
      </w:r>
      <w:r w:rsidRPr="00276D72">
        <w:t xml:space="preserve"> and 6 eV for Ni</w:t>
      </w:r>
      <w:r w:rsidRPr="00276D72">
        <w:fldChar w:fldCharType="begin" w:fldLock="1"/>
      </w:r>
      <w:r w:rsidR="00E6771F">
        <w:instrText>ADDIN CSL_CITATION {"citationItems":[{"id":"ITEM-1","itemData":{"DOI":"10.1021/cm203243x","ISBN":"0897-4756","ISSN":"08974756","abstract":"The tremendous growth of Li-ion batteries into a wide variety of applications is setting new requirements in terms of cost, energy density, safety, and power density. One route toward meeting these objectives consists in finding alternative chemistries to current cathode materials. In this Article, we describe a new class of materials discovered through a novel high-throughput ab initio computational approach and which can intercalate lithium reversibly. We report on the synthesis, characterization, and electrochemical testing of this novel lithium-carbonophosphate chemistry. This work demonstrates how the novel high-throughput computing approach can identify promising chemistries for next-generation cathode materials.","author":[{"dropping-particle":"","family":"Chen","given":"Hailong","non-dropping-particle":"","parse-names":false,"suffix":""},{"dropping-particle":"","family":"Hautier","given":"Geoffroy","non-dropping-particle":"","parse-names":false,"suffix":""},{"dropping-particle":"","family":"Jain","given":"Anubhav","non-dropping-particle":"","parse-names":false,"suffix":""},{"dropping-particle":"","family":"Moore","given":"Charles","non-dropping-particle":"","parse-names":false,"suffix":""},{"dropping-particle":"","family":"Kang","given":"Byoungwoo","non-dropping-particle":"","parse-names":false,"suffix":""},{"dropping-particle":"","family":"Doe","given":"Robert","non-dropping-particle":"","parse-names":false,"suffix":""},{"dropping-particle":"","family":"Wu","given":"Lijun","non-dropping-particle":"","parse-names":false,"suffix":""},{"dropping-particle":"","family":"Zhu","given":"Yimei","non-dropping-particle":"","parse-names":false,"suffix":""},{"dropping-particle":"","family":"Tang","given":"Yuanzhi","non-dropping-particle":"","parse-names":false,"suffix":""},{"dropping-particle":"","family":"Ceder","given":"Gerbrand","non-dropping-particle":"","parse-names":false,"suffix":""}],"container-title":"Chemistry of Materials","id":"ITEM-1","issue":"11","issued":{"date-parts":[["2012","6","12"]]},"page":"2009-2016","title":"Carbonophosphates: A new family of cathode materials for Li-ion batteries identified computationally","type":"article-journal","volume":"24"},"uris":["http://www.mendeley.com/documents/?uuid=c10e4bee-c18b-4f87-86df-1e292f11080e","http://www.mendeley.com/documents/?uuid=6e4fe87f-1645-419d-aac9-c136b6303f48"]}],"mendeley":{"formattedCitation":"&lt;sup&gt;15&lt;/sup&gt;","plainTextFormattedCitation":"15","previouslyFormattedCitation":"&lt;sup&gt;15&lt;/sup&gt;"},"properties":{"noteIndex":0},"schema":"https://github.com/citation-style-language/schema/raw/master/csl-citation.json"}</w:instrText>
      </w:r>
      <w:r w:rsidRPr="00276D72">
        <w:fldChar w:fldCharType="separate"/>
      </w:r>
      <w:r w:rsidR="00160EBA" w:rsidRPr="00160EBA">
        <w:rPr>
          <w:noProof/>
          <w:vertAlign w:val="superscript"/>
        </w:rPr>
        <w:t>15</w:t>
      </w:r>
      <w:r w:rsidRPr="00276D72">
        <w:fldChar w:fldCharType="end"/>
      </w:r>
      <w:r w:rsidRPr="00276D72">
        <w:t xml:space="preserve">). The most stable arrangements were fully optimised with HSE06. </w:t>
      </w:r>
    </w:p>
    <w:p w:rsidR="00987435" w:rsidRPr="00276D72" w:rsidRDefault="00987435" w:rsidP="00FB12AF">
      <w:pPr>
        <w:spacing w:line="360" w:lineRule="auto"/>
        <w:jc w:val="center"/>
        <w:rPr>
          <w:b/>
        </w:rPr>
      </w:pPr>
      <w:r w:rsidRPr="00276D72">
        <w:rPr>
          <w:noProof/>
          <w:lang w:eastAsia="en-GB"/>
        </w:rPr>
        <w:drawing>
          <wp:inline distT="0" distB="0" distL="0" distR="0" wp14:anchorId="70EB7A73" wp14:editId="14C582E5">
            <wp:extent cx="5499675" cy="2711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ers.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9048" cy="2716071"/>
                    </a:xfrm>
                    <a:prstGeom prst="rect">
                      <a:avLst/>
                    </a:prstGeom>
                  </pic:spPr>
                </pic:pic>
              </a:graphicData>
            </a:graphic>
          </wp:inline>
        </w:drawing>
      </w:r>
    </w:p>
    <w:p w:rsidR="00987435" w:rsidRPr="00276D72" w:rsidRDefault="00987435" w:rsidP="00A672BC">
      <w:pPr>
        <w:spacing w:line="480" w:lineRule="auto"/>
        <w:rPr>
          <w:b/>
        </w:rPr>
      </w:pPr>
      <w:bookmarkStart w:id="13" w:name="_Ref519282796"/>
      <w:r w:rsidRPr="00053307">
        <w:t>Figure S</w:t>
      </w:r>
      <w:r>
        <w:rPr>
          <w:noProof/>
        </w:rPr>
        <w:fldChar w:fldCharType="begin"/>
      </w:r>
      <w:r>
        <w:rPr>
          <w:noProof/>
        </w:rPr>
        <w:instrText xml:space="preserve"> SEQ Figure_S \* ARABIC </w:instrText>
      </w:r>
      <w:r>
        <w:rPr>
          <w:noProof/>
        </w:rPr>
        <w:fldChar w:fldCharType="separate"/>
      </w:r>
      <w:r w:rsidR="00AE3693">
        <w:rPr>
          <w:noProof/>
        </w:rPr>
        <w:t>14</w:t>
      </w:r>
      <w:r>
        <w:rPr>
          <w:noProof/>
        </w:rPr>
        <w:fldChar w:fldCharType="end"/>
      </w:r>
      <w:bookmarkEnd w:id="13"/>
      <w:r w:rsidR="00D65060">
        <w:t>.</w:t>
      </w:r>
      <w:r>
        <w:t xml:space="preserve"> C</w:t>
      </w:r>
      <w:r w:rsidRPr="00053307">
        <w:t>ation ordering in the transition metal layers: The applied unit cell (based on the 2x1x2 supercell of Li</w:t>
      </w:r>
      <w:r w:rsidRPr="00053307">
        <w:rPr>
          <w:vertAlign w:val="subscript"/>
        </w:rPr>
        <w:t>2</w:t>
      </w:r>
      <w:r w:rsidRPr="00053307">
        <w:t>MnO</w:t>
      </w:r>
      <w:r w:rsidRPr="00053307">
        <w:rPr>
          <w:vertAlign w:val="subscript"/>
        </w:rPr>
        <w:t>3</w:t>
      </w:r>
      <w:r w:rsidRPr="00053307">
        <w:t xml:space="preserve">) contains two transition metal layers, which have slightly different cation ordering but in a similar arrangement as it was described by Xu </w:t>
      </w:r>
      <w:r w:rsidRPr="00053307">
        <w:rPr>
          <w:i/>
        </w:rPr>
        <w:t xml:space="preserve">et </w:t>
      </w:r>
      <w:r w:rsidRPr="00053307">
        <w:rPr>
          <w:i/>
          <w:noProof/>
        </w:rPr>
        <w:t>al..</w:t>
      </w:r>
      <w:r w:rsidRPr="00053307">
        <w:rPr>
          <w:i/>
          <w:noProof/>
        </w:rPr>
        <w:fldChar w:fldCharType="begin" w:fldLock="1"/>
      </w:r>
      <w:r w:rsidR="00E6771F">
        <w:rPr>
          <w:i/>
          <w:noProof/>
        </w:rPr>
        <w:instrText>ADDIN CSL_CITATION {"citationItems":[{"id":"ITEM-1","itemData":{"DOI":"10.1039/c1ee01131f","ISBN":"1754-5692\\n1754-5706","ISSN":"1754-5692","abstract":"High voltage cathode materials Li-excess layered oxide compounds Li[NixLi1/32x/3Mn2/3x/3]O2 (0 &lt; x &lt; 1/2) are investigated in a joint study combining both computational and experimental methods. The bulk and surface structures of pristine and cycled samples of Li[Ni1/5Li1/5Mn3/5]O2 are characterized by synchrotron X-Ray diffraction together with aberration corrected Scanning Transmission Electron Microscopy (a-S/TEM). Electron Energy Loss Spectroscopy (EELS) is carried out to investigate the surface changes of the samples before/after electrochemical cycling. Combining first principles computational investigation with our experimental observations, a detailed lithium de-intercalation mechanism is proposed for this family of Li-excess layered oxides. The most striking characteristics in these high voltage high energy density cathode materials are 1) formation of tetrahedral lithium ions at voltage less than 4.45 V and 2) the transition metal (TM) ions migration leading to phase transformation on the surface of the materials. We show clear evidence of a new spinel-like solid phase formed on the surface of the electrode materials after high-voltage cycling. It is proposed that such surface phase transformation is one of the factors contributing to the first cycle irreversible capacity and the main reason for the intrinsic poor rate capability of these materials.","author":[{"dropping-particle":"","family":"Xu","given":"Bo","non-dropping-particle":"","parse-names":false,"suffix":""},{"dropping-particle":"","family":"Fell","given":"Christopher R.","non-dropping-particle":"","parse-names":false,"suffix":""},{"dropping-particle":"","family":"Chi","given":"Miaofang","non-dropping-particle":"","parse-names":false,"suffix":""},{"dropping-particle":"","family":"Meng","given":"Ying Shirley","non-dropping-particle":"","parse-names":false,"suffix":""}],"container-title":"Energy &amp; Environmental Science","id":"ITEM-1","issue":"6","issued":{"date-parts":[["2011"]]},"page":"2223","title":"Identifying surface structural changes in layered Li-excess nickel manganese oxides in high voltage lithium ion batteries: A joint experimental and theoretical study","type":"article-journal","volume":"4"},"uris":["http://www.mendeley.com/documents/?uuid=62ed4907-ba12-4686-9ab6-050089de3ecc","http://www.mendeley.com/documents/?uuid=c7e5d058-b287-4d2d-80fa-3a712a0e76e6"]}],"mendeley":{"formattedCitation":"&lt;sup&gt;16&lt;/sup&gt;","plainTextFormattedCitation":"16","previouslyFormattedCitation":"&lt;sup&gt;16&lt;/sup&gt;"},"properties":{"noteIndex":0},"schema":"https://github.com/citation-style-language/schema/raw/master/csl-citation.json"}</w:instrText>
      </w:r>
      <w:r w:rsidRPr="00053307">
        <w:rPr>
          <w:i/>
          <w:noProof/>
        </w:rPr>
        <w:fldChar w:fldCharType="separate"/>
      </w:r>
      <w:r w:rsidR="00160EBA" w:rsidRPr="00160EBA">
        <w:rPr>
          <w:noProof/>
          <w:vertAlign w:val="superscript"/>
        </w:rPr>
        <w:t>16</w:t>
      </w:r>
      <w:r w:rsidRPr="00053307">
        <w:rPr>
          <w:i/>
          <w:noProof/>
        </w:rPr>
        <w:fldChar w:fldCharType="end"/>
      </w:r>
      <w:r w:rsidRPr="00053307">
        <w:t xml:space="preserve"> The lithium ion is coordinated to 5 </w:t>
      </w:r>
      <w:proofErr w:type="spellStart"/>
      <w:r w:rsidRPr="00053307">
        <w:t>Mn</w:t>
      </w:r>
      <w:proofErr w:type="spellEnd"/>
      <w:r w:rsidRPr="00053307">
        <w:t xml:space="preserve"> and 1Ni in one layer, while it is surrounded with 6 </w:t>
      </w:r>
      <w:proofErr w:type="spellStart"/>
      <w:r w:rsidRPr="00053307">
        <w:t>Mn</w:t>
      </w:r>
      <w:proofErr w:type="spellEnd"/>
      <w:r w:rsidRPr="00053307">
        <w:t xml:space="preserve"> in a honeycomb arrangement in the other. (</w:t>
      </w:r>
      <w:proofErr w:type="spellStart"/>
      <w:r w:rsidRPr="00053307">
        <w:t>Mn</w:t>
      </w:r>
      <w:proofErr w:type="spellEnd"/>
      <w:r w:rsidRPr="00053307">
        <w:t xml:space="preserve"> = purple, Li=green, Ni=grey)</w:t>
      </w:r>
    </w:p>
    <w:p w:rsidR="00FB12AF" w:rsidRPr="00276D72" w:rsidRDefault="00FB12AF" w:rsidP="00A672BC">
      <w:pPr>
        <w:spacing w:line="480" w:lineRule="auto"/>
      </w:pPr>
      <w:r w:rsidRPr="00276D72">
        <w:t>It was experimentally detected that the Li is rather surrounded by an</w:t>
      </w:r>
      <w:r w:rsidRPr="00276D72">
        <w:rPr>
          <w:noProof/>
        </w:rPr>
        <w:t>other type</w:t>
      </w:r>
      <w:r w:rsidRPr="00276D72">
        <w:t xml:space="preserve"> of ions </w:t>
      </w:r>
      <w:r w:rsidRPr="00276D72">
        <w:rPr>
          <w:noProof/>
        </w:rPr>
        <w:t>than</w:t>
      </w:r>
      <w:r w:rsidRPr="00276D72">
        <w:t xml:space="preserve"> form clusters in the transition metal layer</w:t>
      </w:r>
      <w:r w:rsidRPr="00276D72">
        <w:fldChar w:fldCharType="begin" w:fldLock="1"/>
      </w:r>
      <w:r w:rsidR="00E6771F">
        <w:instrText>ADDIN CSL_CITATION {"citationItems":[{"id":"ITEM-1","itemData":{"DOI":"10.1016/j.jssc.2005.05.027","ISBN":"0022-4596","ISSN":"00224596","abstract":"X-ray diffraction patterns of Li[Li(1-2x)/3NixMn2/3-x/3]O2show reflections between 20°and 35°, 2θ (CuKα) due to Li2MnO3-like ordering of the transition metal (Ni, Mn and Li) layers. The ordering is rarely perfect, resulting in characteristic broadening and changes in the intensities of these reflections.6Li MAS NMR studies of Li2MnO3show that the [Li1/3Mn2/3] layers are well ordered, the disorder arising from the stacking of the layers in the c-direction. DIFFaX was used to model the Li2MnO3XRD data and extract the stacking fault frequency. The results show that even well-ordered cation layers may show only weak or no superstructure reflections, if there is no or little ordering in the c-direction. © 2005 Elsevier Inc. All rights reserved.","author":[{"dropping-particle":"","family":"Bréger","given":"Julien","non-dropping-particle":"","parse-names":false,"suffix":""},{"dropping-particle":"","family":"Jiang","given":"Meng","non-dropping-particle":"","parse-names":false,"suffix":""},{"dropping-particle":"","family":"Dupré","given":"Nicolas","non-dropping-particle":"","parse-names":false,"suffix":""},{"dropping-particle":"","family":"Meng","given":"Ying S.","non-dropping-particle":"","parse-names":false,"suffix":""},{"dropping-particle":"","family":"Shao-Horn","given":"Yang","non-dropping-particle":"","parse-names":false,"suffix":""},{"dropping-particle":"","family":"Ceder","given":"Gerbrand","non-dropping-particle":"","parse-names":false,"suffix":""},{"dropping-particle":"","family":"Grey","given":"Clare P.","non-dropping-particle":"","parse-names":false,"suffix":""}],"container-title":"Journal of Solid State Chemistry","id":"ITEM-1","issue":"9","issued":{"date-parts":[["2005","9"]]},"page":"2575-2585","title":"High-resolution X-ray diffraction, DIFFaX, NMR and first principles study of disorder in the Li2MnO3-Li[Ni1/2Mn1/2]O2 solid solution","type":"article-journal","volume":"178"},"uris":["http://www.mendeley.com/documents/?uuid=9efcda0d-d2a6-4144-a5ed-bdf80123ade1","http://www.mendeley.com/documents/?uuid=6c56b4e1-9c8d-42f5-b7df-1e90414b7a37"]},{"id":"ITEM-2","itemData":{"DOI":"10.1039/c1ee01131f","ISBN":"1754-5692\\n1754-5706","ISSN":"1754-5692","abstract":"High voltage cathode materials Li-excess layered oxide compounds Li[NixLi1/32x/3Mn2/3x/3]O2 (0 &lt; x &lt; 1/2) are investigated in a joint study combining both computational and experimental methods. The bulk and surface structures of pristine and cycled samples of Li[Ni1/5Li1/5Mn3/5]O2 are characterized by synchrotron X-Ray diffraction together with aberration corrected Scanning Transmission Electron Microscopy (a-S/TEM). Electron Energy Loss Spectroscopy (EELS) is carried out to investigate the surface changes of the samples before/after electrochemical cycling. Combining first principles computational investigation with our experimental observations, a detailed lithium de-intercalation mechanism is proposed for this family of Li-excess layered oxides. The most striking characteristics in these high voltage high energy density cathode materials are 1) formation of tetrahedral lithium ions at voltage less than 4.45 V and 2) the transition metal (TM) ions migration leading to phase transformation on the surface of the materials. We show clear evidence of a new spinel-like solid phase formed on the surface of the electrode materials after high-voltage cycling. It is proposed that such surface phase transformation is one of the factors contributing to the first cycle irreversible capacity and the main reason for the intrinsic poor rate capability of these materials.","author":[{"dropping-particle":"","family":"Xu","given":"Bo","non-dropping-particle":"","parse-names":false,"suffix":""},{"dropping-particle":"","family":"Fell","given":"Christopher R.","non-dropping-particle":"","parse-names":false,"suffix":""},{"dropping-particle":"","family":"Chi","given":"Miaofang","non-dropping-particle":"","parse-names":false,"suffix":""},{"dropping-particle":"","family":"Meng","given":"Ying Shirley","non-dropping-particle":"","parse-names":false,"suffix":""}],"container-title":"Energy &amp; Environmental Science","id":"ITEM-2","issue":"6","issued":{"date-parts":[["2011"]]},"page":"2223","title":"Identifying surface structural changes in layered Li-excess nickel manganese oxides in high voltage lithium ion batteries: A joint experimental and theoretical study","type":"article-journal","volume":"4"},"uris":["http://www.mendeley.com/documents/?uuid=62ed4907-ba12-4686-9ab6-050089de3ecc"]}],"mendeley":{"formattedCitation":"&lt;sup&gt;16,17&lt;/sup&gt;","plainTextFormattedCitation":"16,17","previouslyFormattedCitation":"&lt;sup&gt;16,17&lt;/sup&gt;"},"properties":{"noteIndex":0},"schema":"https://github.com/citation-style-language/schema/raw/master/csl-citation.json"}</w:instrText>
      </w:r>
      <w:r w:rsidRPr="00276D72">
        <w:fldChar w:fldCharType="separate"/>
      </w:r>
      <w:r w:rsidR="00160EBA" w:rsidRPr="00160EBA">
        <w:rPr>
          <w:noProof/>
          <w:vertAlign w:val="superscript"/>
        </w:rPr>
        <w:t>16,17</w:t>
      </w:r>
      <w:r w:rsidRPr="00276D72">
        <w:fldChar w:fldCharType="end"/>
      </w:r>
      <w:r w:rsidRPr="00276D72">
        <w:t xml:space="preserve">, and the cation arrangement in </w:t>
      </w:r>
      <w:r>
        <w:fldChar w:fldCharType="begin"/>
      </w:r>
      <w:r>
        <w:instrText xml:space="preserve"> REF _Ref519282796 \h </w:instrText>
      </w:r>
      <w:r w:rsidR="00A672BC">
        <w:instrText xml:space="preserve"> \* MERGEFORMAT </w:instrText>
      </w:r>
      <w:r>
        <w:fldChar w:fldCharType="separate"/>
      </w:r>
      <w:r w:rsidR="00AE3693" w:rsidRPr="00053307">
        <w:t>Figure S</w:t>
      </w:r>
      <w:r w:rsidR="00AE3693">
        <w:t>14</w:t>
      </w:r>
      <w:r>
        <w:fldChar w:fldCharType="end"/>
      </w:r>
      <w:r>
        <w:t xml:space="preserve"> </w:t>
      </w:r>
      <w:r w:rsidRPr="00276D72">
        <w:t>is consistent with previous computational studies on this material.</w:t>
      </w:r>
    </w:p>
    <w:p w:rsidR="00FB12AF" w:rsidRDefault="00FB12AF" w:rsidP="00A672BC">
      <w:pPr>
        <w:spacing w:line="480" w:lineRule="auto"/>
      </w:pPr>
      <w:r>
        <w:t xml:space="preserve">After modelling the pristine structure, we </w:t>
      </w:r>
      <w:r w:rsidRPr="00276D72">
        <w:t>continued to optimise several different Li</w:t>
      </w:r>
      <w:r w:rsidRPr="00276D72">
        <w:rPr>
          <w:vertAlign w:val="superscript"/>
        </w:rPr>
        <w:t>+</w:t>
      </w:r>
      <w:r w:rsidRPr="00276D72">
        <w:t xml:space="preserve"> arrangements for the </w:t>
      </w:r>
      <w:r w:rsidRPr="00276D72">
        <w:rPr>
          <w:noProof/>
        </w:rPr>
        <w:t>delithitated</w:t>
      </w:r>
      <w:r w:rsidRPr="00276D72">
        <w:t xml:space="preserve"> phases by using the same enumeration technique as described above to generate structures of Li</w:t>
      </w:r>
      <w:r w:rsidRPr="00276D72">
        <w:rPr>
          <w:vertAlign w:val="subscript"/>
        </w:rPr>
        <w:t>1.17-x</w:t>
      </w:r>
      <w:r w:rsidRPr="00276D72">
        <w:t>Ni</w:t>
      </w:r>
      <w:r w:rsidRPr="00276D72">
        <w:rPr>
          <w:vertAlign w:val="subscript"/>
        </w:rPr>
        <w:t>0.25</w:t>
      </w:r>
      <w:r w:rsidRPr="00276D72">
        <w:t>Mn</w:t>
      </w:r>
      <w:r w:rsidRPr="00276D72">
        <w:rPr>
          <w:vertAlign w:val="subscript"/>
        </w:rPr>
        <w:t>0.58</w:t>
      </w:r>
      <w:r w:rsidRPr="00276D72">
        <w:t>O</w:t>
      </w:r>
      <w:r w:rsidRPr="00276D72">
        <w:rPr>
          <w:vertAlign w:val="subscript"/>
        </w:rPr>
        <w:t>2</w:t>
      </w:r>
      <w:r w:rsidRPr="00276D72">
        <w:t xml:space="preserve"> (x=0.0, 0.5, 0.67, 0.83 and 1.0).</w:t>
      </w:r>
    </w:p>
    <w:p w:rsidR="00987435" w:rsidRPr="00276D72" w:rsidRDefault="00987435" w:rsidP="00A672BC">
      <w:pPr>
        <w:spacing w:line="360" w:lineRule="auto"/>
        <w:rPr>
          <w:b/>
        </w:rPr>
      </w:pPr>
    </w:p>
    <w:p w:rsidR="00987435" w:rsidRDefault="00987435" w:rsidP="00A672BC">
      <w:pPr>
        <w:spacing w:line="480" w:lineRule="auto"/>
        <w:rPr>
          <w:i/>
        </w:rPr>
      </w:pPr>
      <w:r w:rsidRPr="001428D3">
        <w:rPr>
          <w:i/>
        </w:rPr>
        <w:t>XPS calculations</w:t>
      </w:r>
      <w:r>
        <w:rPr>
          <w:i/>
        </w:rPr>
        <w:t>:</w:t>
      </w:r>
    </w:p>
    <w:p w:rsidR="00987435" w:rsidRPr="00276D72" w:rsidRDefault="00987435" w:rsidP="00A672BC">
      <w:pPr>
        <w:spacing w:line="480" w:lineRule="auto"/>
      </w:pPr>
      <w:r w:rsidRPr="00276D72">
        <w:t>The core level binding energies (</w:t>
      </w:r>
      <m:oMath>
        <m:sSub>
          <m:sSubPr>
            <m:ctrlPr>
              <w:rPr>
                <w:rFonts w:ascii="Cambria Math" w:hAnsi="Cambria Math"/>
                <w:i/>
              </w:rPr>
            </m:ctrlPr>
          </m:sSubPr>
          <m:e>
            <m:r>
              <w:rPr>
                <w:rFonts w:ascii="Cambria Math" w:hAnsi="Cambria Math"/>
              </w:rPr>
              <m:t>E</m:t>
            </m:r>
          </m:e>
          <m:sub>
            <m:r>
              <w:rPr>
                <w:rFonts w:ascii="Cambria Math" w:hAnsi="Cambria Math"/>
              </w:rPr>
              <m:t>CL</m:t>
            </m:r>
          </m:sub>
        </m:sSub>
      </m:oMath>
      <w:r w:rsidRPr="00276D72">
        <w:t>) of the O 1s electrons were evaluated with the initial state approximation</w:t>
      </w:r>
      <w:r w:rsidRPr="00276D72">
        <w:fldChar w:fldCharType="begin" w:fldLock="1"/>
      </w:r>
      <w:r w:rsidR="00E6771F">
        <w:instrText>ADDIN CSL_CITATION {"citationItems":[{"id":"ITEM-1","itemData":{"DOI":"10.1103/PhysRevB.63.205419","ISBN":"0163-1829","ISSN":"0163-1829","abstract":"We have performed high resolution x-ray photoemission spectroscopy experiments on the Ru(0001) surface, both clean and covered with well-defined amounts of oxygen up to 1 monolayer coverage. For the clean surface we detected two distinct components in the Ru 3d5/2 core-level spectra, for which a definite assignment was made using the high resolution angle-scan photoelectron diffraction approach. For the p(2x2), p(2x1), (2x2)-3O, and (1x1)-O oxygen structures we found Ru 3d5/2 core-level peaks that are shifted to higher binding energies by up to 1 eV. Very good agreement with density functional theory calculations of these surface core-level shifts (SCLS’s) is reported. The overriding parameter for the resulting Ru SCLS’s turns out to be the number of directly coordinated O atoms. Since the calculations permit the separation of initial and final state effects, our results give valuable information for the understanding of bonding and screening at the surface that is not accessible in measurements of the core-level energies alone.","author":[{"dropping-particle":"","family":"Lizzit","given":"S.","non-dropping-particle":"","parse-names":false,"suffix":""},{"dropping-particle":"","family":"Baraldi","given":"A.","non-dropping-particle":"","parse-names":false,"suffix":""},{"dropping-particle":"","family":"Groso","given":"A.","non-dropping-particle":"","parse-names":false,"suffix":""},{"dropping-particle":"","family":"Reuter","given":"K.","non-dropping-particle":"","parse-names":false,"suffix":""},{"dropping-particle":"V.","family":"Ganduglia-Pirovano","given":"M.","non-dropping-particle":"","parse-names":false,"suffix":""},{"dropping-particle":"","family":"Stampfl","given":"C.","non-dropping-particle":"","parse-names":false,"suffix":""},{"dropping-particle":"","family":"Scheffler","given":"M.","non-dropping-particle":"","parse-names":false,"suffix":""},{"dropping-particle":"","family":"Stichler","given":"M.","non-dropping-particle":"","parse-names":false,"suffix":""},{"dropping-particle":"","family":"Keller","given":"C.","non-dropping-particle":"","parse-names":false,"suffix":""},{"dropping-particle":"","family":"Wurth","given":"W.","non-dropping-particle":"","parse-names":false,"suffix":""},{"dropping-particle":"","family":"Menzel","given":"D.","non-dropping-particle":"","parse-names":false,"suffix":""}],"container-title":"Physical Review B","id":"ITEM-1","issue":"20","issued":{"date-parts":[["2001"]]},"page":"205419","title":"Surface core-level shifts of clean and oxygen-covered Ru(0001)","type":"article-journal","volume":"63"},"uris":["http://www.mendeley.com/documents/?uuid=4eeb1256-66cf-4f6a-9d14-2be7e186c0b7","http://www.mendeley.com/documents/?uuid=cc6cbaf0-1ace-493e-8ddd-5d93d00bbd37"]},{"id":"ITEM-2","itemData":{"DOI":"10.1103/PhysRevB.70.165405","ISSN":"1098-0121","abstract":"We present detailed density functional calculations for CO on Rh(111). At low coverage, the applied semilocal functionals clearly favor CO adsorption in the hollow site. This is in disagreement with experimental studies which all point towards atop adsorption at low coverage. The experimental assignment is confirmed by theoretical calculations of the vibrational frequencies and core level shifts at various coverages, ranging from 1∕9 to 3∕4 [(2×2)-3CO] monolayer CO. For atop adsorption the calculated vibrational frequencies and the Rh surface core level shifts are indeed found to agree very well with experiment. To understand these controversial results, a molecular GGA+U method is applied, which allows one to shift the CO 2π* orbital towards the vacuum level. This reduces the binding energy in the hollow site and brings the theoretical site preference in agreement with experiment. It is investigated how this molecular GGA+U method influences the vibrational properties and the surface core level shifts. Furthermore, details on the molecular GGA+U method are presented.","author":[{"dropping-particle":"","family":"Köhler","given":"Lukas","non-dropping-particle":"","parse-names":false,"suffix":""},{"dropping-particle":"","family":"Kresse","given":"Georg","non-dropping-particle":"","parse-names":false,"suffix":""}],"container-title":"Physical Review B","id":"ITEM-2","issue":"16","issued":{"date-parts":[["2004","10","11"]]},"page":"165405","title":"Density functional study of CO on Rh(111)","type":"article-journal","volume":"70"},"uris":["http://www.mendeley.com/documents/?uuid=08bdd9c8-eb9a-4f15-927c-289982e6fd1a","http://www.mendeley.com/documents/?uuid=2b71d3b4-ce44-4043-b1c5-7ad08e412d37"]},{"id":"ITEM-3","itemData":{"DOI":"10.1063/1.4904720","ISSN":"00219606","PMID":"25554171","abstract":"We present first-principle calculations of core-level binding energies for the study of insulating, bulk phase, compounds, based on the Slater-Janak transition state model. Those calculations were performed in order to find a reliable model of the amorphous LixPOyNz solid electrolyte which is able to reproduce its electronic properties gathered from X-ray photoemission spectroscopy (XPS) experiments. As a starting point, Li2PO2N models were investigated. These models, proposed by Du et al. on the basis of thermodynamics and vibrational properties, were the first structural models of LixPOyNz. Thanks to chemical and structural modifications applied to Li2PO2N structures, which allow to demonstrate the relevance of our computational approach, we raise an issue concerning the possibility of encountering a non-bridging kind of nitrogen atoms (=N(-)) in LixPOyNz compounds.","author":[{"dropping-particle":"","family":"Guille","given":"Émilie","non-dropping-particle":"","parse-names":false,"suffix":""},{"dropping-particle":"","family":"Vallverdu","given":"Germain","non-dropping-particle":"","parse-names":false,"suffix":""},{"dropping-particle":"","family":"Baraille","given":"Isabelle","non-dropping-particle":"","parse-names":false,"suffix":""}],"container-title":"Journal of Chemical Physics","id":"ITEM-3","issue":"244703","issued":{"date-parts":[["2014"]]},"title":"First-principle calculation of core level binding energies of LixPOyNz solid electrolyte","type":"article-journal","volume":"141"},"uris":["http://www.mendeley.com/documents/?uuid=18b307d6-b405-48fd-9c22-701871bf0b90","http://www.mendeley.com/documents/?uuid=29544132-074c-4046-bc48-89008b27bcfe"]},{"id":"ITEM-4","itemData":{"DOI":"10.1021/acs.jpcc.5b08427","ISBN":"1932-7447","ISSN":"19327455","abstract":"Li x PO y N z is an amorphous solid electrolyte widely used in microbattery devices. The present study, based on a confrontation between experiment and theory, aims at providing new knowledge regarding the ionic conductivity model of such systems in correlation with its structure. The computational strategy involved molecular dynamic simula-tions and first-principle calculations on molecular and periodic models. The experimental target data involve electronic and vibrational properties and were considered through the simulation of Raman and X-ray photoemission spectra in order to identify characteristic patterns of Li x PO y N z . In particular, the presence of short phosphate chains is suggested by molecular dynamics calculations, and the simulation of Raman spectra clearly evidenced a new coordination for nitrogen atoms in the amorphous state, not considered until now in the experimental structural model of the electrolyte and initially hypothesized based on core level binding energy computations. Monovalent nitrogen atoms together with short phosphate chains were used to build a structural model of the electrolyte and appeared to lead to a better reproduction of the target experimental results, while it implies a necessary refinement of the diffusion schemes commonly considered for lithium ions.","author":[{"dropping-particle":"","family":"Guille","given":"Émilie","non-dropping-particle":"","parse-names":false,"suffix":""},{"dropping-particle":"","family":"Vallverdu","given":"Germain","non-dropping-particle":"","parse-names":false,"suffix":""},{"dropping-particle":"","family":"Tison","given":"Yann","non-dropping-particle":"","parse-names":false,"suffix":""},{"dropping-particle":"","family":"Bégué","given":"Didier","non-dropping-particle":"","parse-names":false,"suffix":""},{"dropping-particle":"","family":"Baraille","given":"Isabelle","non-dropping-particle":"","parse-names":false,"suffix":""}],"container-title":"Journal of Physical Chemistry C","id":"ITEM-4","issue":"41","issued":{"date-parts":[["2015","10","15"]]},"page":"23379-23387","title":"Possible existence of a monovalent coordination for nitrogen atoms in LixPOyNz solid electrolyte: modeling of X-ray photoelectron spectroscopy and raman spectra","type":"article-journal","volume":"119"},"uris":["http://www.mendeley.com/documents/?uuid=f8829dc6-6729-4222-b50d-8c4df02c05ac","http://www.mendeley.com/documents/?uuid=52cccc00-6f6a-435d-9712-da57ffc88157"]},{"id":"ITEM-5","itemData":{"DOI":"10.1021/cm8014622","ISBN":"0897-4756","ISSN":"08974756","abstract":"We present a theoretical characterization, based on density functional theory, of the indium tin oxide surface and of the nature of the binding sites that determine the adsorption of phosphonic acid monolayers. The validity of our theoretical description is assessed by comparing our first-principles results to X-ray photoelectron spectroscopy data.","author":[{"dropping-particle":"","family":"Paramonov","given":"Pavel B","non-dropping-particle":"","parse-names":false,"suffix":""},{"dropping-particle":"","family":"Paniagua","given":"Sergio A","non-dropping-particle":"","parse-names":false,"suffix":""},{"dropping-particle":"","family":"Hotchkiss","given":"Peter J","non-dropping-particle":"","parse-names":false,"suffix":""},{"dropping-particle":"","family":"Jones","given":"Simon C","non-dropping-particle":"","parse-names":false,"suffix":""},{"dropping-particle":"","family":"Armstrong","given":"Neal R","non-dropping-particle":"","parse-names":false,"suffix":""},{"dropping-particle":"","family":"Marder","given":"Seth R","non-dropping-particle":"","parse-names":false,"suffix":""},{"dropping-particle":"","family":"Bredas","given":"Jean Luc","non-dropping-particle":"","parse-names":false,"suffix":""}],"container-title":"Chemistry of Materials","id":"ITEM-5","issue":"16","issued":{"date-parts":[["2008","8"]]},"page":"5131-5133","title":"Theoretical characterization of the indium tin oxide surface and of its binding sites for adsorption of phosphonic acid monolayers","type":"article-journal","volume":"20"},"uris":["http://www.mendeley.com/documents/?uuid=f54f1550-fc64-485f-93d7-48e423e4e41d","http://www.mendeley.com/documents/?uuid=24c47812-2f28-476b-8c5e-513e7fba3308"]},{"id":"ITEM-6","itemData":{"DOI":"10.1002/jcc.24704","ISSN":"1096987X","author":[{"dropping-particle":"","family":"Pueyo Bellafont","given":"Noelia","non-dropping-particle":"","parse-names":false,"suffix":""},{"dropping-particle":"","family":"Vines","given":"Francesc","non-dropping-particle":"","parse-names":false,"suffix":""},{"dropping-particle":"","family":"Hieringer","given":"Wolfgang","non-dropping-particle":"","parse-names":false,"suffix":""},{"dropping-particle":"","family":"Illas","given":"Francesc","non-dropping-particle":"","parse-names":false,"suffix":""}],"container-title":"Journal of Computational Chemistry","id":"ITEM-6","issue":"8","issued":{"date-parts":[["2017"]]},"page":"518-522","title":"Predicting core level binding energies shifts: Suitability of the projector augmented wave approach as implemented in VASP","type":"article-journal","volume":"38"},"uris":["http://www.mendeley.com/documents/?uuid=e711b767-d83a-4a78-9fdb-50c3495a83df","http://www.mendeley.com/documents/?uuid=6f9da424-12c3-4424-af1c-d38fd7254f34","http://www.mendeley.com/documents/?uuid=b3410dd0-b250-4229-afe6-72d70e9af01b"]}],"mendeley":{"formattedCitation":"&lt;sup&gt;18–23&lt;/sup&gt;","plainTextFormattedCitation":"18–23","previouslyFormattedCitation":"&lt;sup&gt;18–23&lt;/sup&gt;"},"properties":{"noteIndex":0},"schema":"https://github.com/citation-style-language/schema/raw/master/csl-citation.json"}</w:instrText>
      </w:r>
      <w:r w:rsidRPr="00276D72">
        <w:fldChar w:fldCharType="separate"/>
      </w:r>
      <w:r w:rsidR="00160EBA" w:rsidRPr="00160EBA">
        <w:rPr>
          <w:noProof/>
          <w:vertAlign w:val="superscript"/>
        </w:rPr>
        <w:t>18–23</w:t>
      </w:r>
      <w:r w:rsidRPr="00276D72">
        <w:fldChar w:fldCharType="end"/>
      </w:r>
      <w:r w:rsidRPr="00276D72">
        <w:t xml:space="preserve"> in which the energy to remove an electron from a certain core orbital is assumed to be equal to the negative difference between the Kohn-Sham eigenvalue of the investigated core state (</w:t>
      </w:r>
      <m:oMath>
        <m:sSub>
          <m:sSubPr>
            <m:ctrlPr>
              <w:rPr>
                <w:rFonts w:ascii="Cambria Math" w:hAnsi="Cambria Math"/>
                <w:i/>
              </w:rPr>
            </m:ctrlPr>
          </m:sSubPr>
          <m:e>
            <m:r>
              <w:rPr>
                <w:rFonts w:ascii="Cambria Math" w:hAnsi="Cambria Math"/>
              </w:rPr>
              <m:t>ε</m:t>
            </m:r>
          </m:e>
          <m:sub>
            <m:r>
              <w:rPr>
                <w:rFonts w:ascii="Cambria Math" w:hAnsi="Cambria Math"/>
              </w:rPr>
              <m:t>KS</m:t>
            </m:r>
          </m:sub>
        </m:sSub>
      </m:oMath>
      <w:r w:rsidRPr="00276D72">
        <w:t>) and the Fermi level (</w:t>
      </w:r>
      <m:oMath>
        <m:sSub>
          <m:sSubPr>
            <m:ctrlPr>
              <w:rPr>
                <w:rFonts w:ascii="Cambria Math" w:hAnsi="Cambria Math"/>
                <w:i/>
              </w:rPr>
            </m:ctrlPr>
          </m:sSubPr>
          <m:e>
            <m:r>
              <w:rPr>
                <w:rFonts w:ascii="Cambria Math" w:hAnsi="Cambria Math"/>
              </w:rPr>
              <m:t>ε</m:t>
            </m:r>
          </m:e>
          <m:sub>
            <m:r>
              <w:rPr>
                <w:rFonts w:ascii="Cambria Math" w:hAnsi="Cambria Math"/>
              </w:rPr>
              <m:t>F</m:t>
            </m:r>
          </m:sub>
        </m:sSub>
      </m:oMath>
      <w:r w:rsidRPr="00276D72">
        <w:t>):</w:t>
      </w:r>
    </w:p>
    <w:p w:rsidR="00987435" w:rsidRPr="00276D72" w:rsidRDefault="002F0799" w:rsidP="001401D9">
      <w:pPr>
        <w:spacing w:line="480" w:lineRule="auto"/>
        <w:ind w:left="284"/>
        <w:jc w:val="center"/>
      </w:pPr>
      <m:oMath>
        <m:sSub>
          <m:sSubPr>
            <m:ctrlPr>
              <w:rPr>
                <w:rFonts w:ascii="Cambria Math" w:hAnsi="Cambria Math"/>
                <w:i/>
              </w:rPr>
            </m:ctrlPr>
          </m:sSubPr>
          <m:e>
            <m:r>
              <w:rPr>
                <w:rFonts w:ascii="Cambria Math" w:hAnsi="Cambria Math"/>
              </w:rPr>
              <m:t>-E</m:t>
            </m:r>
          </m:e>
          <m:sub>
            <m:r>
              <w:rPr>
                <w:rFonts w:ascii="Cambria Math" w:hAnsi="Cambria Math"/>
              </w:rPr>
              <m:t>CL</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KS</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F</m:t>
            </m:r>
          </m:sub>
        </m:sSub>
      </m:oMath>
      <w:r w:rsidR="00987435" w:rsidRPr="00276D72">
        <w:rPr>
          <w:rFonts w:eastAsiaTheme="minorEastAsia"/>
        </w:rPr>
        <w:tab/>
        <w:t>eq. 1</w:t>
      </w:r>
    </w:p>
    <w:p w:rsidR="00987435" w:rsidRPr="00276D72" w:rsidRDefault="00987435" w:rsidP="00A672BC">
      <w:pPr>
        <w:spacing w:line="480" w:lineRule="auto"/>
      </w:pPr>
      <w:r w:rsidRPr="00276D72">
        <w:t>We note that, within the framework of PAW potentials, the obtained core level energies are not directly comparable with experimentally obtained absolute values, neither with the initial state nor the more sophisticated final state approximation. Furthermore, with the application of a hybrid functional, in which the core states and valence states are treated differently in the nonlocal HF exchange,</w:t>
      </w:r>
      <w:r w:rsidRPr="00276D72">
        <w:fldChar w:fldCharType="begin" w:fldLock="1"/>
      </w:r>
      <w:r w:rsidR="00E6771F">
        <w:instrText>ADDIN CSL_CITATION {"citationItems":[{"id":"ITEM-1","itemData":{"ISBN":"9783893368570","author":[{"dropping-particle":"","family":"Schlipf","given":"Martin","non-dropping-particle":"","parse-names":false,"suffix":""}],"id":"ITEM-1","issued":{"date-parts":[["2012"]]},"publisher":"RWTH Aachen University","title":"Heyd-Scuseria-Ernzerhof Screened-Exchange Hybrid Functional for Complex Materials: All-Electron Implementation and Application","type":"thesis"},"uris":["http://www.mendeley.com/documents/?uuid=cbb448ea-d9bd-4ae3-ac75-74592838c8ee","http://www.mendeley.com/documents/?uuid=24aeb640-219c-4709-9d8c-3256ed8d34f2"]}],"mendeley":{"formattedCitation":"&lt;sup&gt;24&lt;/sup&gt;","plainTextFormattedCitation":"24","previouslyFormattedCitation":"&lt;sup&gt;24&lt;/sup&gt;"},"properties":{"noteIndex":0},"schema":"https://github.com/citation-style-language/schema/raw/master/csl-citation.json"}</w:instrText>
      </w:r>
      <w:r w:rsidRPr="00276D72">
        <w:fldChar w:fldCharType="separate"/>
      </w:r>
      <w:r w:rsidR="00160EBA" w:rsidRPr="00160EBA">
        <w:rPr>
          <w:noProof/>
          <w:vertAlign w:val="superscript"/>
        </w:rPr>
        <w:t>24</w:t>
      </w:r>
      <w:r w:rsidRPr="00276D72">
        <w:fldChar w:fldCharType="end"/>
      </w:r>
      <w:r w:rsidRPr="00276D72">
        <w:t xml:space="preserve"> the absolute values of core level energies are completely meaningless. Nevertheless, the application of hybrid functional is essential not just for the accurate prediction of the band gap but for the prediction of transition metal</w:t>
      </w:r>
      <w:r w:rsidRPr="00276D72">
        <w:fldChar w:fldCharType="begin" w:fldLock="1"/>
      </w:r>
      <w:r w:rsidR="00E6771F">
        <w:instrText>ADDIN CSL_CITATION {"citationItems":[{"id":"ITEM-1","itemData":{"DOI":"10.1103/PhysRevB.82.075122","ISBN":"1098-0121","ISSN":"1098-0121","abstract":"We compare the accuracy of conventional semilocal density functional theory (DFT), the DFT+U method, and the Heyd-Scuseria-Ernzerhof (HSE06) hybrid functional for structural parameters, redox reaction energies, and formation energies of transition metal compounds. Conventional DFT functionals significantly underestimate redox potentials for these compounds. Zhou et al. [Phys. Rev. B 70, 235121 (2004)] addressed this issue with DFT+U and a linear-response scheme for calculating U values. We show that the Li intercalation potentials of prominent Li-ion intercalation battery materials, such as the layered LixMO2 (M=Co and Ni), LixTiS2; olivine LixMPO4 (M=Mn, Fe, Co, and Ni); and spinel-like LixMn2O4, LixTi2O4, are also well reproduced by HSE06, due to the self-interaction error correction from the partial inclusion of Hartree-Fock exchange. For formation energies, HSE06 performs well for transition metal compounds, which typically are not well reproduced by conventional DFT functionals but does not significantly improve the results of nontransition metal oxides. Hence, we find that hybrid functionals provide a good alternative to DFT+U for transition metal applications when the large extra computational effort is compensated by the benefits of (i) avoiding species-specific adjustable parameters and (ii) a more universal treatment of the self-interaction error that is not exclusive to specific atomic orbital projections on selected ions.","author":[{"dropping-particle":"","family":"Chevrier","given":"V. L.","non-dropping-particle":"","parse-names":false,"suffix":""},{"dropping-particle":"","family":"Ong","given":"S. P.","non-dropping-particle":"","parse-names":false,"suffix":""},{"dropping-particle":"","family":"Armiento","given":"R.","non-dropping-particle":"","parse-names":false,"suffix":""},{"dropping-particle":"","family":"Chan","given":"M. K. Y.","non-dropping-particle":"","parse-names":false,"suffix":""},{"dropping-particle":"","family":"Ceder","given":"G.","non-dropping-particle":"","parse-names":false,"suffix":""}],"container-title":"Physical Review B","id":"ITEM-1","issue":"7","issued":{"date-parts":[["2010"]]},"page":"075122","title":"Hybrid density functional calculations of redox potentials and formation energies of transition metal compounds","type":"article-journal","volume":"82"},"uris":["http://www.mendeley.com/documents/?uuid=823a817e-9252-44af-8d10-c297767c1ed6"]}],"mendeley":{"formattedCitation":"&lt;sup&gt;25&lt;/sup&gt;","plainTextFormattedCitation":"25","previouslyFormattedCitation":"&lt;sup&gt;25&lt;/sup&gt;"},"properties":{"noteIndex":0},"schema":"https://github.com/citation-style-language/schema/raw/master/csl-citation.json"}</w:instrText>
      </w:r>
      <w:r w:rsidRPr="00276D72">
        <w:fldChar w:fldCharType="separate"/>
      </w:r>
      <w:r w:rsidR="00160EBA" w:rsidRPr="00160EBA">
        <w:rPr>
          <w:noProof/>
          <w:vertAlign w:val="superscript"/>
        </w:rPr>
        <w:t>25</w:t>
      </w:r>
      <w:r w:rsidRPr="00276D72">
        <w:fldChar w:fldCharType="end"/>
      </w:r>
      <w:r w:rsidRPr="00276D72">
        <w:t xml:space="preserve"> and oxygen redox activity</w:t>
      </w:r>
      <w:r w:rsidRPr="00276D72">
        <w:fldChar w:fldCharType="begin" w:fldLock="1"/>
      </w:r>
      <w:r w:rsidR="00E6771F">
        <w:instrText xml:space="preserve">ADDIN CSL_CITATION {"citationItems":[{"id":"ITEM-1","itemData":{"DOI":"10.1103/PhysRevB.92.115118","ISBN":"1098-0121","ISSN":"1550235X","abstract":"Transition-metal (TM) oxides play an increasingly important role in technology today, including applications such as catalysis, solar energy harvesting, and energy storage. In many of these applications, the details of their electronic structure near the Fermi level are critically important for their properties. We propose a first-principles-based computational methodology for the accurate prediction of oxygen charge transfer in TM oxides and lithium TM (Li-TM) oxides. To obtain accurate electronic structures, the Heyd-Scuseria-Ernzerhof (HSE06) hybrid functional is adopted, and the amount of exact Hartree-Fock exchange (mixing parameter) is adjusted to reproduce reference band gaps. We show that the HSE06 functional with optimal mixing parameter yields not only improved electronic densities of states, but also better energetics (Li-intercalation voltages) for LiCoO2 and LiNiO2 as compared to the generalized gradient approximation (GGA), Hubbard U corrected GGA (GGA+U), and standard HSE06. We find that the optimal mixing parameters for TM oxides are system specific and correlate with the covalency (ionicity) of the TM species. The strong covalent (ionic) nature of TM-O bonding leads to lower (higher) optimal mixing parameters. We find that optimized HSE06 functionals predict stronger hybridization of the Co 3d and O 2p orbitals as compared to GGA, resulting in a greater contribution from oxygen states to charge compensation upon delithiation in LiCoO2. We also find that the band gaps of Li-TM oxides increase linearly with the mixing parameter, enabling the straightforward determination of optimal mixing parameters based on GGA (alpha = 0.0) and HSE06 (alpha = 0.25) calculations. Our results also show that G(0)W(0)@GGA+U band gaps of TM oxides (MO, M = Mn, Co, Ni) and LiCoO2 agree well with experimental references, suggesting that G(0)W(0) calculations can be used as a reference for the calibration of the mixing parameter in cases when no experimental band gap has been reported.","author":[{"dropping-particle":"","family":"Seo","given":"Dong Hwa","non-dropping-particle":"","parse-names":false,"suffix":""},{"dropping-particle":"","family":"Urban","given":"Alexander","non-dropping-particle":"","parse-names":false,"suffix":""},{"dropping-particle":"","family":"Ceder","given":"Gerbrand","non-dropping-particle":"","parse-names":false,"suffix":""}],"container-title":"Physical Review B - Condensed Matter and Materials Physics","id":"ITEM-1","issue":"11","issued":{"date-parts":[["2015"]]},"page":"1-11","title":"Calibrating transition-metal energy levels and oxygen bands in first-principles calculations: Accurate prediction of redox potentials and charge transfer in lithium transition-metal oxides","type":"article-journal","volume":"92"},"uris":["http://www.mendeley.com/documents/?uuid=113ec52c-99ec-410b-8ee8-45758f4c6629","http://www.mendeley.com/documents/?uuid=a0780fd5-c5cb-48f8-9d74-894bce3dafa4"]},{"id":"ITEM-2","itemData":{"DOI":"10.1021/acs.chemmater.6b02870","ISSN":"0897-4756","abstract":"Lithium-rich oxide electrodes with layered structures have attracted considerable interest because they can deliver high energy densities for lithium-ion batteries. However, there is significant debate regarding their redox chemistry. It is apparent that the mechanism of lithium extraction from lithium-rich Li2MnO3 is not fully understood, especially in relation to the observed O2 evolution and structural transformation. Here, delithiation and kinetic processes in Li2MnO3 are investigated using ab initio simulation techniques employing high level hybrid functionals as they reproduce accurately the electronic structure of oxygen hole states. We show that Li extraction is charge-compensated by oxidation of the oxide anion, so that the overall delithiation reaction involves lattice oxygen loss. Localized holes on oxygen (O–) are formed as the first step but are not stable leading to oxygen dimerization (with O–O </w:instrText>
      </w:r>
      <w:r w:rsidR="00E6771F">
        <w:rPr>
          <w:rFonts w:ascii="Cambria Math" w:hAnsi="Cambria Math" w:cs="Cambria Math"/>
        </w:rPr>
        <w:instrText>∼</w:instrText>
      </w:r>
      <w:r w:rsidR="00E6771F">
        <w:instrText xml:space="preserve"> 1.3 </w:instrText>
      </w:r>
      <w:r w:rsidR="00E6771F">
        <w:rPr>
          <w:rFonts w:ascii="Calibri" w:hAnsi="Calibri" w:cs="Calibri"/>
        </w:rPr>
        <w:instrText>Å</w:instrText>
      </w:r>
      <w:r w:rsidR="00E6771F">
        <w:instrText>) and eventually to the formation of molecular O2. Oxygen dimerization facilitates Mn migr...","author":[{"dropping-particle":"","family":"Chen","given":"Hungru","non-dropping-particle":"","parse-names":false,"suffix":""},{"dropping-particle":"","family":"Islam","given":"M. Saiful","non-dropping-particle":"","parse-names":false,"suffix":""}],"container-title":"Chemistry of Materials","id":"ITEM-2","issue":"18","issued":{"date-parts":[["2016","9","27"]]},"page":"6656-6663","title":"Lithium extraction mechanism in Li-rich Li2MnO3 involving oxygen hole formation and dimerization","type":"article-journal","volume":"28"},"uris":["http://www.mendeley.com/documents/?uuid=243342ee-b0f4-4f53-9d30-c20f5e15beec"]}],"mendeley":{"formattedCitation":"&lt;sup&gt;26,27&lt;/sup&gt;","plainTextFormattedCitation":"26,27","previouslyFormattedCitation":"&lt;sup&gt;26,27&lt;/sup&gt;"},"properties":{"noteIndex":0},"schema":"https://github.com/citation-style-language/schema/raw/master/csl-citation.json"}</w:instrText>
      </w:r>
      <w:r w:rsidRPr="00276D72">
        <w:fldChar w:fldCharType="separate"/>
      </w:r>
      <w:r w:rsidR="00160EBA" w:rsidRPr="00160EBA">
        <w:rPr>
          <w:noProof/>
          <w:vertAlign w:val="superscript"/>
        </w:rPr>
        <w:t>26,27</w:t>
      </w:r>
      <w:r w:rsidRPr="00276D72">
        <w:fldChar w:fldCharType="end"/>
      </w:r>
      <w:r w:rsidRPr="00276D72" w:rsidDel="00656C5D">
        <w:t xml:space="preserve"> </w:t>
      </w:r>
      <w:r w:rsidRPr="00276D72">
        <w:t xml:space="preserve">during the charging process. </w:t>
      </w:r>
    </w:p>
    <w:p w:rsidR="00987435" w:rsidRPr="00276D72" w:rsidRDefault="00987435" w:rsidP="00A672BC">
      <w:pPr>
        <w:spacing w:line="480" w:lineRule="auto"/>
      </w:pPr>
      <w:r w:rsidRPr="00276D72">
        <w:t xml:space="preserve">Considering only the core level </w:t>
      </w:r>
      <w:r w:rsidRPr="00276D72">
        <w:rPr>
          <w:noProof/>
        </w:rPr>
        <w:t>shifts</w:t>
      </w:r>
      <w:r w:rsidRPr="00276D72">
        <w:t xml:space="preserve"> (the differences between binding energies), </w:t>
      </w:r>
      <w:r w:rsidRPr="00276D72">
        <w:rPr>
          <w:noProof/>
        </w:rPr>
        <w:t>spin-polarised</w:t>
      </w:r>
      <w:r w:rsidRPr="00276D72">
        <w:t xml:space="preserve"> DFT calculations applying PAW and GGA+U for the O 1s core electrons were shown to be generally reliable in the past, even with the initial state approximation (since the frozen core only contains the 1s electrons).</w:t>
      </w:r>
      <w:r w:rsidRPr="00276D72">
        <w:fldChar w:fldCharType="begin" w:fldLock="1"/>
      </w:r>
      <w:r w:rsidR="00E6771F">
        <w:instrText>ADDIN CSL_CITATION {"citationItems":[{"id":"ITEM-1","itemData":{"DOI":"10.1103/PhysRevB.70.165405","ISSN":"1098-0121","abstract":"We present detailed density functional calculations for CO on Rh(111). At low coverage, the applied semilocal functionals clearly favor CO adsorption in the hollow site. This is in disagreement with experimental studies which all point towards atop adsorption at low coverage. The experimental assignment is confirmed by theoretical calculations of the vibrational frequencies and core level shifts at various coverages, ranging from 1∕9 to 3∕4 [(2×2)-3CO] monolayer CO. For atop adsorption the calculated vibrational frequencies and the Rh surface core level shifts are indeed found to agree very well with experiment. To understand these controversial results, a molecular GGA+U method is applied, which allows one to shift the CO 2π* orbital towards the vacuum level. This reduces the binding energy in the hollow site and brings the theoretical site preference in agreement with experiment. It is investigated how this molecular GGA+U method influences the vibrational properties and the surface core level shifts. Furthermore, details on the molecular GGA+U method are presented.","author":[{"dropping-particle":"","family":"Köhler","given":"Lukas","non-dropping-particle":"","parse-names":false,"suffix":""},{"dropping-particle":"","family":"Kresse","given":"Georg","non-dropping-particle":"","parse-names":false,"suffix":""}],"container-title":"Physical Review B","id":"ITEM-1","issue":"16","issued":{"date-parts":[["2004","10","11"]]},"page":"165405","title":"Density functional study of CO on Rh(111)","type":"article-journal","volume":"70"},"uris":["http://www.mendeley.com/documents/?uuid=2b71d3b4-ce44-4043-b1c5-7ad08e412d37"]}],"mendeley":{"formattedCitation":"&lt;sup&gt;19&lt;/sup&gt;","plainTextFormattedCitation":"19","previouslyFormattedCitation":"&lt;sup&gt;19&lt;/sup&gt;"},"properties":{"noteIndex":0},"schema":"https://github.com/citation-style-language/schema/raw/master/csl-citation.json"}</w:instrText>
      </w:r>
      <w:r w:rsidRPr="00276D72">
        <w:fldChar w:fldCharType="separate"/>
      </w:r>
      <w:r w:rsidR="00160EBA" w:rsidRPr="00160EBA">
        <w:rPr>
          <w:noProof/>
          <w:vertAlign w:val="superscript"/>
        </w:rPr>
        <w:t>19</w:t>
      </w:r>
      <w:r w:rsidRPr="00276D72">
        <w:fldChar w:fldCharType="end"/>
      </w:r>
      <w:r w:rsidRPr="00276D72">
        <w:t xml:space="preserve"> Consequently, provided an adequate reference material exists, the obtained absolute binding energy values with the DFT can be shifted with a reference based correction term into the environmentally observed energy region.</w:t>
      </w:r>
    </w:p>
    <w:p w:rsidR="00FB12AF" w:rsidRDefault="00987435" w:rsidP="00A672BC">
      <w:pPr>
        <w:spacing w:line="480" w:lineRule="auto"/>
        <w:rPr>
          <w:noProof/>
        </w:rPr>
      </w:pPr>
      <w:r w:rsidRPr="00276D72">
        <w:t xml:space="preserve">To ensure that the HSE06 and GGA+U calculations result in the same oxygen core level shifts when there is no alteration between the predicted oxidation states, we compared the average </w:t>
      </w:r>
      <w:r w:rsidRPr="00276D72">
        <w:rPr>
          <w:noProof/>
        </w:rPr>
        <w:t>eigenvalues</w:t>
      </w:r>
      <w:r w:rsidRPr="00276D72">
        <w:t xml:space="preserve"> of the O 1s core states (</w:t>
      </w:r>
      <m:oMath>
        <m:sSubSup>
          <m:sSubSupPr>
            <m:ctrlPr>
              <w:rPr>
                <w:rFonts w:ascii="Cambria Math" w:eastAsia="Times New Roman" w:hAnsi="Cambria Math" w:cs="Times New Roman"/>
                <w:bCs/>
                <w:i/>
                <w:noProof/>
              </w:rPr>
            </m:ctrlPr>
          </m:sSubSupPr>
          <m:e>
            <m:acc>
              <m:accPr>
                <m:chr m:val="̅"/>
                <m:ctrlPr>
                  <w:rPr>
                    <w:rFonts w:ascii="Cambria Math" w:eastAsia="Times New Roman" w:hAnsi="Cambria Math" w:cs="Times New Roman"/>
                    <w:i/>
                    <w:noProof/>
                  </w:rPr>
                </m:ctrlPr>
              </m:accPr>
              <m:e>
                <m:r>
                  <w:rPr>
                    <w:rFonts w:ascii="Cambria Math" w:eastAsia="Times New Roman" w:hAnsi="Cambria Math" w:cs="Times New Roman"/>
                    <w:noProof/>
                  </w:rPr>
                  <m:t>ε</m:t>
                </m:r>
              </m:e>
            </m:acc>
          </m:e>
          <m:sub>
            <m:r>
              <w:rPr>
                <w:rFonts w:ascii="Cambria Math" w:eastAsia="Times New Roman" w:hAnsi="Cambria Math" w:cs="Times New Roman"/>
                <w:noProof/>
              </w:rPr>
              <m:t>O1s</m:t>
            </m:r>
          </m:sub>
          <m:sup>
            <m:r>
              <w:rPr>
                <w:rFonts w:ascii="Cambria Math" w:eastAsia="Times New Roman" w:hAnsi="Cambria Math" w:cs="Times New Roman"/>
                <w:noProof/>
              </w:rPr>
              <m:t>HSE</m:t>
            </m:r>
          </m:sup>
        </m:sSubSup>
      </m:oMath>
      <w:r w:rsidRPr="00276D72">
        <w:rPr>
          <w:rFonts w:eastAsiaTheme="minorEastAsia"/>
          <w:bCs/>
          <w:noProof/>
        </w:rPr>
        <w:t xml:space="preserve">, and </w:t>
      </w:r>
      <m:oMath>
        <m:sSubSup>
          <m:sSubSupPr>
            <m:ctrlPr>
              <w:rPr>
                <w:rFonts w:ascii="Cambria Math" w:eastAsia="Times New Roman" w:hAnsi="Cambria Math" w:cs="Times New Roman"/>
                <w:bCs/>
                <w:i/>
                <w:noProof/>
              </w:rPr>
            </m:ctrlPr>
          </m:sSubSupPr>
          <m:e>
            <m:acc>
              <m:accPr>
                <m:chr m:val="̅"/>
                <m:ctrlPr>
                  <w:rPr>
                    <w:rFonts w:ascii="Cambria Math" w:eastAsia="Times New Roman" w:hAnsi="Cambria Math" w:cs="Times New Roman"/>
                    <w:i/>
                    <w:noProof/>
                  </w:rPr>
                </m:ctrlPr>
              </m:accPr>
              <m:e>
                <m:r>
                  <w:rPr>
                    <w:rFonts w:ascii="Cambria Math" w:eastAsia="Times New Roman" w:hAnsi="Cambria Math" w:cs="Times New Roman"/>
                    <w:noProof/>
                  </w:rPr>
                  <m:t>ε</m:t>
                </m:r>
              </m:e>
            </m:acc>
          </m:e>
          <m:sub>
            <m:r>
              <w:rPr>
                <w:rFonts w:ascii="Cambria Math" w:eastAsia="Times New Roman" w:hAnsi="Cambria Math" w:cs="Times New Roman"/>
                <w:noProof/>
              </w:rPr>
              <m:t>O1s</m:t>
            </m:r>
          </m:sub>
          <m:sup>
            <m:r>
              <w:rPr>
                <w:rFonts w:ascii="Cambria Math" w:eastAsia="Times New Roman" w:hAnsi="Cambria Math" w:cs="Times New Roman"/>
                <w:noProof/>
              </w:rPr>
              <m:t>GGAU</m:t>
            </m:r>
          </m:sup>
        </m:sSubSup>
      </m:oMath>
      <w:r w:rsidRPr="00276D72">
        <w:rPr>
          <w:rFonts w:eastAsiaTheme="minorEastAsia"/>
          <w:bCs/>
          <w:noProof/>
        </w:rPr>
        <w:t xml:space="preserve">) </w:t>
      </w:r>
      <w:r w:rsidRPr="00276D72">
        <w:t>for the pristine material and the chosen reference system: Li</w:t>
      </w:r>
      <w:r w:rsidRPr="00276D72">
        <w:rPr>
          <w:vertAlign w:val="subscript"/>
        </w:rPr>
        <w:t>2</w:t>
      </w:r>
      <w:r w:rsidRPr="00276D72">
        <w:t>MnO</w:t>
      </w:r>
      <w:r w:rsidRPr="00276D72">
        <w:rPr>
          <w:vertAlign w:val="subscript"/>
        </w:rPr>
        <w:t>3</w:t>
      </w:r>
      <w:r w:rsidRPr="00276D72">
        <w:t xml:space="preserve"> </w:t>
      </w:r>
      <w:r>
        <w:rPr>
          <w:rFonts w:eastAsiaTheme="minorEastAsia"/>
          <w:bCs/>
          <w:noProof/>
        </w:rPr>
        <w:t xml:space="preserve">in </w:t>
      </w:r>
      <w:r>
        <w:rPr>
          <w:rFonts w:eastAsiaTheme="minorEastAsia"/>
          <w:bCs/>
          <w:noProof/>
        </w:rPr>
        <w:fldChar w:fldCharType="begin"/>
      </w:r>
      <w:r>
        <w:rPr>
          <w:rFonts w:eastAsiaTheme="minorEastAsia"/>
          <w:bCs/>
          <w:noProof/>
        </w:rPr>
        <w:instrText xml:space="preserve"> REF _Ref519282819 \h </w:instrText>
      </w:r>
      <w:r w:rsidR="00A672BC">
        <w:rPr>
          <w:rFonts w:eastAsiaTheme="minorEastAsia"/>
          <w:bCs/>
          <w:noProof/>
        </w:rPr>
        <w:instrText xml:space="preserve"> \* MERGEFORMAT </w:instrText>
      </w:r>
      <w:r>
        <w:rPr>
          <w:rFonts w:eastAsiaTheme="minorEastAsia"/>
          <w:bCs/>
          <w:noProof/>
        </w:rPr>
      </w:r>
      <w:r>
        <w:rPr>
          <w:rFonts w:eastAsiaTheme="minorEastAsia"/>
          <w:bCs/>
          <w:noProof/>
        </w:rPr>
        <w:fldChar w:fldCharType="separate"/>
      </w:r>
      <w:r w:rsidR="00AE3693">
        <w:t>Table S2</w:t>
      </w:r>
      <w:r>
        <w:rPr>
          <w:rFonts w:eastAsiaTheme="minorEastAsia"/>
          <w:bCs/>
          <w:noProof/>
        </w:rPr>
        <w:fldChar w:fldCharType="end"/>
      </w:r>
      <w:r w:rsidRPr="00276D72">
        <w:rPr>
          <w:noProof/>
        </w:rPr>
        <w:t>.</w:t>
      </w:r>
      <w:r w:rsidRPr="00276D72">
        <w:t xml:space="preserve"> In both cases, we found a constant core level energy </w:t>
      </w:r>
      <w:r w:rsidRPr="00276D72">
        <w:rPr>
          <w:noProof/>
        </w:rPr>
        <w:t>difference (</w:t>
      </w:r>
      <m:oMath>
        <m:sSubSup>
          <m:sSubSupPr>
            <m:ctrlPr>
              <w:rPr>
                <w:rFonts w:ascii="Cambria Math" w:eastAsia="Times New Roman" w:hAnsi="Cambria Math" w:cs="Times New Roman"/>
                <w:bCs/>
                <w:i/>
              </w:rPr>
            </m:ctrlPr>
          </m:sSubSupPr>
          <m:e>
            <m:acc>
              <m:accPr>
                <m:chr m:val="̅"/>
                <m:ctrlPr>
                  <w:rPr>
                    <w:rFonts w:ascii="Cambria Math" w:eastAsia="Times New Roman" w:hAnsi="Cambria Math" w:cs="Times New Roman"/>
                    <w:i/>
                  </w:rPr>
                </m:ctrlPr>
              </m:accPr>
              <m:e>
                <m:r>
                  <w:rPr>
                    <w:rFonts w:ascii="Cambria Math" w:eastAsia="Times New Roman" w:hAnsi="Cambria Math" w:cs="Times New Roman"/>
                  </w:rPr>
                  <m:t>ε</m:t>
                </m:r>
              </m:e>
            </m:acc>
          </m:e>
          <m:sub>
            <m:r>
              <w:rPr>
                <w:rFonts w:ascii="Cambria Math" w:eastAsia="Times New Roman" w:hAnsi="Cambria Math" w:cs="Times New Roman"/>
              </w:rPr>
              <m:t>O1s</m:t>
            </m:r>
          </m:sub>
          <m:sup>
            <m:r>
              <w:rPr>
                <w:rFonts w:ascii="Cambria Math" w:eastAsia="Times New Roman" w:hAnsi="Cambria Math" w:cs="Times New Roman"/>
              </w:rPr>
              <m:t>HSE-GGAU</m:t>
            </m:r>
          </m:sup>
        </m:sSubSup>
      </m:oMath>
      <w:r w:rsidRPr="00276D72">
        <w:rPr>
          <w:rFonts w:eastAsiaTheme="minorEastAsia"/>
          <w:b/>
          <w:bCs/>
          <w:noProof/>
        </w:rPr>
        <w:t xml:space="preserve"> </w:t>
      </w:r>
      <w:r w:rsidRPr="00276D72">
        <w:rPr>
          <w:rFonts w:eastAsiaTheme="minorEastAsia"/>
          <w:bCs/>
          <w:noProof/>
        </w:rPr>
        <w:t>is</w:t>
      </w:r>
      <w:r w:rsidRPr="00276D72">
        <w:rPr>
          <w:rFonts w:eastAsiaTheme="minorEastAsia"/>
          <w:b/>
          <w:bCs/>
          <w:noProof/>
        </w:rPr>
        <w:t xml:space="preserve"> </w:t>
      </w:r>
      <w:r w:rsidRPr="00276D72">
        <w:rPr>
          <w:noProof/>
        </w:rPr>
        <w:t>-</w:t>
      </w:r>
      <w:r>
        <w:rPr>
          <w:noProof/>
        </w:rPr>
        <w:t xml:space="preserve">436.9 </w:t>
      </w:r>
      <w:r w:rsidRPr="00276D72">
        <w:rPr>
          <w:noProof/>
        </w:rPr>
        <w:t>eV) between the two functionals, regardless of the environment of the oxygen. However, if we calculate the mean value of the O 1s core states for structures with partial Li content (x=0.67 and 0.5), we see a larger deviation in the energy, which is clearly relatated to the description of oxygen redox. While applying the HSE06 functional predicts oxygen oxidation within the structure and therefore results in ~1.4 eV difference in eigenvalues, the GGA+U results do not contain oxidised oxygens. Based on this observation, we assumed that HSE06 values can also be shifted with respect to a reference material.</w:t>
      </w:r>
    </w:p>
    <w:p w:rsidR="00FB12AF" w:rsidRDefault="00FB12AF" w:rsidP="00A672BC">
      <w:pPr>
        <w:rPr>
          <w:noProof/>
        </w:rPr>
      </w:pPr>
    </w:p>
    <w:p w:rsidR="00987435" w:rsidRPr="00276D72" w:rsidRDefault="00987435" w:rsidP="00A672BC">
      <w:pPr>
        <w:spacing w:line="480" w:lineRule="auto"/>
        <w:rPr>
          <w:noProof/>
        </w:rPr>
      </w:pPr>
      <w:bookmarkStart w:id="14" w:name="_Ref519282819"/>
      <w:r>
        <w:t>Table S</w:t>
      </w:r>
      <w:r>
        <w:rPr>
          <w:noProof/>
        </w:rPr>
        <w:fldChar w:fldCharType="begin"/>
      </w:r>
      <w:r>
        <w:rPr>
          <w:noProof/>
        </w:rPr>
        <w:instrText xml:space="preserve"> SEQ Table_S \* ARABIC </w:instrText>
      </w:r>
      <w:r>
        <w:rPr>
          <w:noProof/>
        </w:rPr>
        <w:fldChar w:fldCharType="separate"/>
      </w:r>
      <w:r w:rsidR="00AE3693">
        <w:rPr>
          <w:noProof/>
        </w:rPr>
        <w:t>2</w:t>
      </w:r>
      <w:r>
        <w:rPr>
          <w:noProof/>
        </w:rPr>
        <w:fldChar w:fldCharType="end"/>
      </w:r>
      <w:bookmarkEnd w:id="14"/>
      <w:r w:rsidR="00FB12AF">
        <w:rPr>
          <w:noProof/>
        </w:rPr>
        <w:t>.</w:t>
      </w:r>
      <w:r w:rsidRPr="00276D72">
        <w:rPr>
          <w:noProof/>
        </w:rPr>
        <w:t xml:space="preserve"> Average O 1s eigenvalues are calculated by HSE (</w:t>
      </w:r>
      <m:oMath>
        <m:sSubSup>
          <m:sSubSupPr>
            <m:ctrlPr>
              <w:rPr>
                <w:rFonts w:ascii="Cambria Math" w:eastAsia="Times New Roman" w:hAnsi="Cambria Math" w:cs="Times New Roman"/>
                <w:bCs/>
                <w:i/>
              </w:rPr>
            </m:ctrlPr>
          </m:sSubSupPr>
          <m:e>
            <m:acc>
              <m:accPr>
                <m:chr m:val="̅"/>
                <m:ctrlPr>
                  <w:rPr>
                    <w:rFonts w:ascii="Cambria Math" w:eastAsia="Times New Roman" w:hAnsi="Cambria Math" w:cs="Times New Roman"/>
                    <w:i/>
                  </w:rPr>
                </m:ctrlPr>
              </m:accPr>
              <m:e>
                <m:r>
                  <w:rPr>
                    <w:rFonts w:ascii="Cambria Math" w:eastAsia="Times New Roman" w:hAnsi="Cambria Math" w:cs="Times New Roman"/>
                  </w:rPr>
                  <m:t>ε</m:t>
                </m:r>
              </m:e>
            </m:acc>
          </m:e>
          <m:sub>
            <m:r>
              <w:rPr>
                <w:rFonts w:ascii="Cambria Math" w:eastAsia="Times New Roman" w:hAnsi="Cambria Math" w:cs="Times New Roman"/>
              </w:rPr>
              <m:t>O1s</m:t>
            </m:r>
          </m:sub>
          <m:sup>
            <m:r>
              <w:rPr>
                <w:rFonts w:ascii="Cambria Math" w:eastAsia="Times New Roman" w:hAnsi="Cambria Math" w:cs="Times New Roman"/>
              </w:rPr>
              <m:t>HSE</m:t>
            </m:r>
          </m:sup>
        </m:sSubSup>
      </m:oMath>
      <w:r w:rsidRPr="00276D72">
        <w:rPr>
          <w:noProof/>
        </w:rPr>
        <w:t xml:space="preserve">) or GGA+U </w:t>
      </w:r>
      <w:r w:rsidRPr="00B45BF6">
        <w:rPr>
          <w:noProof/>
        </w:rPr>
        <w:t>(</w:t>
      </w:r>
      <m:oMath>
        <m:sSubSup>
          <m:sSubSupPr>
            <m:ctrlPr>
              <w:rPr>
                <w:rFonts w:ascii="Cambria Math" w:eastAsia="Times New Roman" w:hAnsi="Cambria Math" w:cs="Times New Roman"/>
                <w:bCs/>
                <w:i/>
              </w:rPr>
            </m:ctrlPr>
          </m:sSubSupPr>
          <m:e>
            <m:acc>
              <m:accPr>
                <m:chr m:val="̅"/>
                <m:ctrlPr>
                  <w:rPr>
                    <w:rFonts w:ascii="Cambria Math" w:eastAsia="Times New Roman" w:hAnsi="Cambria Math" w:cs="Times New Roman"/>
                    <w:i/>
                  </w:rPr>
                </m:ctrlPr>
              </m:accPr>
              <m:e>
                <m:r>
                  <w:rPr>
                    <w:rFonts w:ascii="Cambria Math" w:eastAsia="Times New Roman" w:hAnsi="Cambria Math" w:cs="Times New Roman"/>
                  </w:rPr>
                  <m:t>ε</m:t>
                </m:r>
              </m:e>
            </m:acc>
          </m:e>
          <m:sub>
            <m:r>
              <w:rPr>
                <w:rFonts w:ascii="Cambria Math" w:eastAsia="Times New Roman" w:hAnsi="Cambria Math" w:cs="Times New Roman"/>
              </w:rPr>
              <m:t>O1s</m:t>
            </m:r>
          </m:sub>
          <m:sup>
            <m:r>
              <w:rPr>
                <w:rFonts w:ascii="Cambria Math" w:eastAsia="Times New Roman" w:hAnsi="Cambria Math" w:cs="Times New Roman"/>
              </w:rPr>
              <m:t>GGAU</m:t>
            </m:r>
          </m:sup>
        </m:sSubSup>
      </m:oMath>
      <w:r w:rsidRPr="00B45BF6">
        <w:rPr>
          <w:noProof/>
        </w:rPr>
        <w:t xml:space="preserve">) </w:t>
      </w:r>
      <w:r w:rsidRPr="00276D72">
        <w:rPr>
          <w:noProof/>
        </w:rPr>
        <w:t xml:space="preserve">and their difference </w:t>
      </w:r>
      <w:r w:rsidRPr="00B45BF6">
        <w:rPr>
          <w:noProof/>
        </w:rPr>
        <w:t>(</w:t>
      </w:r>
      <m:oMath>
        <m:sSubSup>
          <m:sSubSupPr>
            <m:ctrlPr>
              <w:rPr>
                <w:rFonts w:ascii="Cambria Math" w:eastAsia="Times New Roman" w:hAnsi="Cambria Math" w:cs="Times New Roman"/>
                <w:bCs/>
                <w:i/>
              </w:rPr>
            </m:ctrlPr>
          </m:sSubSupPr>
          <m:e>
            <m:acc>
              <m:accPr>
                <m:chr m:val="̅"/>
                <m:ctrlPr>
                  <w:rPr>
                    <w:rFonts w:ascii="Cambria Math" w:eastAsia="Times New Roman" w:hAnsi="Cambria Math" w:cs="Times New Roman"/>
                    <w:i/>
                  </w:rPr>
                </m:ctrlPr>
              </m:accPr>
              <m:e>
                <m:r>
                  <w:rPr>
                    <w:rFonts w:ascii="Cambria Math" w:eastAsia="Times New Roman" w:hAnsi="Cambria Math" w:cs="Times New Roman"/>
                  </w:rPr>
                  <m:t>ε</m:t>
                </m:r>
              </m:e>
            </m:acc>
          </m:e>
          <m:sub>
            <m:r>
              <w:rPr>
                <w:rFonts w:ascii="Cambria Math" w:eastAsia="Times New Roman" w:hAnsi="Cambria Math" w:cs="Times New Roman"/>
              </w:rPr>
              <m:t>O1s</m:t>
            </m:r>
          </m:sub>
          <m:sup>
            <m:r>
              <w:rPr>
                <w:rFonts w:ascii="Cambria Math" w:eastAsia="Times New Roman" w:hAnsi="Cambria Math" w:cs="Times New Roman"/>
              </w:rPr>
              <m:t>HSE-GGAU</m:t>
            </m:r>
          </m:sup>
        </m:sSubSup>
      </m:oMath>
      <w:r w:rsidRPr="00B45BF6">
        <w:rPr>
          <w:noProof/>
        </w:rPr>
        <w:t xml:space="preserve">) </w:t>
      </w:r>
      <w:r w:rsidRPr="00276D72">
        <w:rPr>
          <w:noProof/>
        </w:rPr>
        <w:t>for structures with x=1.17, 0.67 and 0.5 Li content and for Li</w:t>
      </w:r>
      <w:r w:rsidRPr="00276D72">
        <w:rPr>
          <w:noProof/>
          <w:vertAlign w:val="subscript"/>
        </w:rPr>
        <w:t>2</w:t>
      </w:r>
      <w:r w:rsidRPr="00276D72">
        <w:rPr>
          <w:noProof/>
        </w:rPr>
        <w:t>MnO</w:t>
      </w:r>
      <w:r w:rsidRPr="00276D72">
        <w:rPr>
          <w:noProof/>
          <w:vertAlign w:val="subscript"/>
        </w:rPr>
        <w:t>3</w:t>
      </w:r>
      <w:r w:rsidRPr="00276D72">
        <w:rPr>
          <w:noProof/>
        </w:rPr>
        <w:t>. In case of partially delithitated structures the core state eigenvalues of the supposed O</w:t>
      </w:r>
      <w:r w:rsidRPr="00276D72">
        <w:rPr>
          <w:noProof/>
          <w:vertAlign w:val="superscript"/>
        </w:rPr>
        <w:t>2-</w:t>
      </w:r>
      <w:r w:rsidRPr="00276D72">
        <w:rPr>
          <w:noProof/>
        </w:rPr>
        <w:t xml:space="preserve"> and O</w:t>
      </w:r>
      <w:r w:rsidRPr="00276D72">
        <w:rPr>
          <w:noProof/>
          <w:vertAlign w:val="superscript"/>
        </w:rPr>
        <w:t>-</w:t>
      </w:r>
      <w:r w:rsidRPr="00276D72">
        <w:rPr>
          <w:noProof/>
        </w:rPr>
        <w:t xml:space="preserve"> spec</w:t>
      </w:r>
      <w:r>
        <w:rPr>
          <w:noProof/>
        </w:rPr>
        <w:t>i</w:t>
      </w:r>
      <w:r w:rsidRPr="00276D72">
        <w:rPr>
          <w:noProof/>
        </w:rPr>
        <w:t>es were separated and their difference were calculated too. (All values are in eV.)</w:t>
      </w:r>
    </w:p>
    <w:tbl>
      <w:tblPr>
        <w:tblStyle w:val="TableGrid"/>
        <w:tblW w:w="9634" w:type="dxa"/>
        <w:jc w:val="center"/>
        <w:tblLayout w:type="fixed"/>
        <w:tblLook w:val="04A0" w:firstRow="1" w:lastRow="0" w:firstColumn="1" w:lastColumn="0" w:noHBand="0" w:noVBand="1"/>
      </w:tblPr>
      <w:tblGrid>
        <w:gridCol w:w="1065"/>
        <w:gridCol w:w="620"/>
        <w:gridCol w:w="1226"/>
        <w:gridCol w:w="1110"/>
        <w:gridCol w:w="1361"/>
        <w:gridCol w:w="1075"/>
        <w:gridCol w:w="376"/>
        <w:gridCol w:w="1384"/>
        <w:gridCol w:w="1417"/>
      </w:tblGrid>
      <w:tr w:rsidR="00987435" w:rsidRPr="00276D72" w:rsidTr="000B1CCC">
        <w:trPr>
          <w:trHeight w:val="280"/>
          <w:jc w:val="center"/>
        </w:trPr>
        <w:tc>
          <w:tcPr>
            <w:tcW w:w="1065" w:type="dxa"/>
            <w:tcBorders>
              <w:bottom w:val="single" w:sz="4" w:space="0" w:color="auto"/>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x</w:t>
            </w:r>
          </w:p>
        </w:tc>
        <w:tc>
          <w:tcPr>
            <w:tcW w:w="620" w:type="dxa"/>
            <w:tcBorders>
              <w:bottom w:val="single" w:sz="4" w:space="0" w:color="auto"/>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O type</w:t>
            </w:r>
          </w:p>
        </w:tc>
        <w:tc>
          <w:tcPr>
            <w:tcW w:w="1226" w:type="dxa"/>
            <w:tcBorders>
              <w:bottom w:val="single" w:sz="4" w:space="0" w:color="auto"/>
            </w:tcBorders>
            <w:noWrap/>
            <w:hideMark/>
          </w:tcPr>
          <w:p w:rsidR="00987435" w:rsidRPr="00276D72" w:rsidRDefault="002F0799" w:rsidP="000B1CCC">
            <w:pPr>
              <w:jc w:val="center"/>
              <w:rPr>
                <w:rFonts w:ascii="Times New Roman" w:eastAsia="Times New Roman" w:hAnsi="Times New Roman" w:cs="Times New Roman"/>
                <w:b/>
                <w:bCs/>
                <w:sz w:val="20"/>
                <w:szCs w:val="20"/>
              </w:rPr>
            </w:pPr>
            <m:oMathPara>
              <m:oMath>
                <m:sSubSup>
                  <m:sSubSupPr>
                    <m:ctrlPr>
                      <w:rPr>
                        <w:rFonts w:ascii="Cambria Math" w:eastAsia="Times New Roman" w:hAnsi="Cambria Math" w:cs="Times New Roman"/>
                        <w:b/>
                        <w:bCs/>
                        <w:i/>
                        <w:sz w:val="20"/>
                        <w:szCs w:val="20"/>
                      </w:rPr>
                    </m:ctrlPr>
                  </m:sSubSupPr>
                  <m:e>
                    <m:acc>
                      <m:accPr>
                        <m:chr m:val="̅"/>
                        <m:ctrlPr>
                          <w:rPr>
                            <w:rFonts w:ascii="Cambria Math" w:eastAsia="Times New Roman" w:hAnsi="Cambria Math" w:cs="Times New Roman"/>
                            <w:b/>
                            <w:i/>
                            <w:sz w:val="20"/>
                            <w:szCs w:val="20"/>
                          </w:rPr>
                        </m:ctrlPr>
                      </m:accPr>
                      <m:e>
                        <m:r>
                          <m:rPr>
                            <m:sty m:val="bi"/>
                          </m:rPr>
                          <w:rPr>
                            <w:rFonts w:ascii="Cambria Math" w:eastAsia="Times New Roman" w:hAnsi="Cambria Math" w:cs="Times New Roman"/>
                            <w:sz w:val="20"/>
                            <w:szCs w:val="20"/>
                          </w:rPr>
                          <m:t>ε</m:t>
                        </m:r>
                      </m:e>
                    </m:acc>
                  </m:e>
                  <m:sub>
                    <m:r>
                      <m:rPr>
                        <m:sty m:val="bi"/>
                      </m:rPr>
                      <w:rPr>
                        <w:rFonts w:ascii="Cambria Math" w:eastAsia="Times New Roman" w:hAnsi="Cambria Math" w:cs="Times New Roman"/>
                        <w:sz w:val="20"/>
                        <w:szCs w:val="20"/>
                      </w:rPr>
                      <m:t>O</m:t>
                    </m:r>
                    <m:r>
                      <m:rPr>
                        <m:sty m:val="bi"/>
                      </m:rPr>
                      <w:rPr>
                        <w:rFonts w:ascii="Cambria Math" w:eastAsia="Times New Roman" w:hAnsi="Cambria Math" w:cs="Times New Roman"/>
                        <w:sz w:val="20"/>
                        <w:szCs w:val="20"/>
                      </w:rPr>
                      <m:t>1</m:t>
                    </m:r>
                    <m:r>
                      <m:rPr>
                        <m:sty m:val="bi"/>
                      </m:rPr>
                      <w:rPr>
                        <w:rFonts w:ascii="Cambria Math" w:eastAsia="Times New Roman" w:hAnsi="Cambria Math" w:cs="Times New Roman"/>
                        <w:sz w:val="20"/>
                        <w:szCs w:val="20"/>
                      </w:rPr>
                      <m:t>s</m:t>
                    </m:r>
                  </m:sub>
                  <m:sup>
                    <m:r>
                      <m:rPr>
                        <m:sty m:val="bi"/>
                      </m:rPr>
                      <w:rPr>
                        <w:rFonts w:ascii="Cambria Math" w:eastAsia="Times New Roman" w:hAnsi="Cambria Math" w:cs="Times New Roman"/>
                        <w:sz w:val="20"/>
                        <w:szCs w:val="20"/>
                      </w:rPr>
                      <m:t>HSE</m:t>
                    </m:r>
                  </m:sup>
                </m:sSubSup>
              </m:oMath>
            </m:oMathPara>
          </w:p>
        </w:tc>
        <w:tc>
          <w:tcPr>
            <w:tcW w:w="1110" w:type="dxa"/>
            <w:tcBorders>
              <w:bottom w:val="single" w:sz="4" w:space="0" w:color="auto"/>
            </w:tcBorders>
            <w:noWrap/>
            <w:hideMark/>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noProof/>
                <w:sz w:val="20"/>
                <w:szCs w:val="20"/>
              </w:rPr>
              <w:t>Δ</w:t>
            </w:r>
            <m:oMath>
              <m:sSubSup>
                <m:sSubSupPr>
                  <m:ctrlPr>
                    <w:rPr>
                      <w:rFonts w:ascii="Cambria Math" w:eastAsia="Times New Roman" w:hAnsi="Cambria Math" w:cs="Times New Roman"/>
                      <w:b/>
                      <w:bCs/>
                      <w:i/>
                      <w:sz w:val="20"/>
                      <w:szCs w:val="20"/>
                    </w:rPr>
                  </m:ctrlPr>
                </m:sSubSupPr>
                <m:e>
                  <m:acc>
                    <m:accPr>
                      <m:chr m:val="̅"/>
                      <m:ctrlPr>
                        <w:rPr>
                          <w:rFonts w:ascii="Cambria Math" w:eastAsia="Times New Roman" w:hAnsi="Cambria Math" w:cs="Times New Roman"/>
                          <w:b/>
                          <w:bCs/>
                          <w:i/>
                          <w:sz w:val="20"/>
                          <w:szCs w:val="20"/>
                        </w:rPr>
                      </m:ctrlPr>
                    </m:accPr>
                    <m:e>
                      <m:r>
                        <m:rPr>
                          <m:sty m:val="bi"/>
                        </m:rPr>
                        <w:rPr>
                          <w:rFonts w:ascii="Cambria Math" w:eastAsia="Times New Roman" w:hAnsi="Cambria Math" w:cs="Times New Roman"/>
                          <w:sz w:val="20"/>
                          <w:szCs w:val="20"/>
                        </w:rPr>
                        <m:t>ε</m:t>
                      </m:r>
                    </m:e>
                  </m:acc>
                </m:e>
                <m:sub>
                  <m:sSup>
                    <m:sSupPr>
                      <m:ctrlPr>
                        <w:rPr>
                          <w:rFonts w:ascii="Cambria Math" w:eastAsia="Times New Roman" w:hAnsi="Cambria Math" w:cs="Times New Roman"/>
                          <w:b/>
                          <w:bCs/>
                          <w:i/>
                          <w:sz w:val="20"/>
                          <w:szCs w:val="20"/>
                        </w:rPr>
                      </m:ctrlPr>
                    </m:sSupPr>
                    <m:e>
                      <m:r>
                        <m:rPr>
                          <m:sty m:val="bi"/>
                        </m:rPr>
                        <w:rPr>
                          <w:rFonts w:ascii="Cambria Math" w:eastAsia="Times New Roman" w:hAnsi="Cambria Math" w:cs="Times New Roman"/>
                          <w:sz w:val="20"/>
                          <w:szCs w:val="20"/>
                        </w:rPr>
                        <m:t>O</m:t>
                      </m:r>
                    </m:e>
                    <m:sup>
                      <m:r>
                        <m:rPr>
                          <m:sty m:val="bi"/>
                        </m:rPr>
                        <w:rPr>
                          <w:rFonts w:ascii="Cambria Math" w:eastAsia="Times New Roman" w:hAnsi="Cambria Math" w:cs="Times New Roman"/>
                          <w:sz w:val="20"/>
                          <w:szCs w:val="20"/>
                        </w:rPr>
                        <m:t>2-</m:t>
                      </m:r>
                    </m:sup>
                  </m:sSup>
                  <m:r>
                    <m:rPr>
                      <m:sty m:val="bi"/>
                    </m:rPr>
                    <w:rPr>
                      <w:rFonts w:ascii="Cambria Math" w:eastAsia="Times New Roman" w:hAnsi="Cambria Math" w:cs="Times New Roman"/>
                      <w:sz w:val="20"/>
                      <w:szCs w:val="20"/>
                    </w:rPr>
                    <m:t>/</m:t>
                  </m:r>
                  <m:sSup>
                    <m:sSupPr>
                      <m:ctrlPr>
                        <w:rPr>
                          <w:rFonts w:ascii="Cambria Math" w:eastAsia="Times New Roman" w:hAnsi="Cambria Math" w:cs="Times New Roman"/>
                          <w:b/>
                          <w:bCs/>
                          <w:i/>
                          <w:sz w:val="20"/>
                          <w:szCs w:val="20"/>
                        </w:rPr>
                      </m:ctrlPr>
                    </m:sSupPr>
                    <m:e>
                      <m:r>
                        <m:rPr>
                          <m:sty m:val="bi"/>
                        </m:rPr>
                        <w:rPr>
                          <w:rFonts w:ascii="Cambria Math" w:eastAsia="Times New Roman" w:hAnsi="Cambria Math" w:cs="Times New Roman"/>
                          <w:sz w:val="20"/>
                          <w:szCs w:val="20"/>
                        </w:rPr>
                        <m:t>O</m:t>
                      </m:r>
                    </m:e>
                    <m:sup>
                      <m:r>
                        <m:rPr>
                          <m:sty m:val="bi"/>
                        </m:rPr>
                        <w:rPr>
                          <w:rFonts w:ascii="Cambria Math" w:eastAsia="Times New Roman" w:hAnsi="Cambria Math" w:cs="Times New Roman"/>
                          <w:sz w:val="20"/>
                          <w:szCs w:val="20"/>
                        </w:rPr>
                        <m:t>-</m:t>
                      </m:r>
                    </m:sup>
                  </m:sSup>
                </m:sub>
                <m:sup>
                  <m:r>
                    <m:rPr>
                      <m:sty m:val="bi"/>
                    </m:rPr>
                    <w:rPr>
                      <w:rFonts w:ascii="Cambria Math" w:eastAsia="Times New Roman" w:hAnsi="Cambria Math" w:cs="Times New Roman"/>
                      <w:sz w:val="20"/>
                      <w:szCs w:val="20"/>
                    </w:rPr>
                    <m:t>HSE</m:t>
                  </m:r>
                </m:sup>
              </m:sSubSup>
            </m:oMath>
          </w:p>
        </w:tc>
        <w:tc>
          <w:tcPr>
            <w:tcW w:w="1361" w:type="dxa"/>
            <w:tcBorders>
              <w:bottom w:val="single" w:sz="4" w:space="0" w:color="auto"/>
            </w:tcBorders>
            <w:noWrap/>
            <w:hideMark/>
          </w:tcPr>
          <w:p w:rsidR="00987435" w:rsidRPr="00276D72" w:rsidRDefault="002F0799" w:rsidP="000B1CCC">
            <w:pPr>
              <w:jc w:val="center"/>
              <w:rPr>
                <w:rFonts w:ascii="Times New Roman" w:eastAsia="Times New Roman" w:hAnsi="Times New Roman" w:cs="Times New Roman"/>
                <w:b/>
                <w:bCs/>
                <w:sz w:val="20"/>
                <w:szCs w:val="20"/>
              </w:rPr>
            </w:pPr>
            <m:oMathPara>
              <m:oMath>
                <m:sSubSup>
                  <m:sSubSupPr>
                    <m:ctrlPr>
                      <w:rPr>
                        <w:rFonts w:ascii="Cambria Math" w:eastAsia="Times New Roman" w:hAnsi="Cambria Math" w:cs="Times New Roman"/>
                        <w:b/>
                        <w:bCs/>
                        <w:i/>
                        <w:sz w:val="20"/>
                        <w:szCs w:val="20"/>
                      </w:rPr>
                    </m:ctrlPr>
                  </m:sSubSupPr>
                  <m:e>
                    <m:acc>
                      <m:accPr>
                        <m:chr m:val="̅"/>
                        <m:ctrlPr>
                          <w:rPr>
                            <w:rFonts w:ascii="Cambria Math" w:eastAsia="Times New Roman" w:hAnsi="Cambria Math" w:cs="Times New Roman"/>
                            <w:b/>
                            <w:i/>
                            <w:sz w:val="20"/>
                            <w:szCs w:val="20"/>
                          </w:rPr>
                        </m:ctrlPr>
                      </m:accPr>
                      <m:e>
                        <m:r>
                          <m:rPr>
                            <m:sty m:val="bi"/>
                          </m:rPr>
                          <w:rPr>
                            <w:rFonts w:ascii="Cambria Math" w:eastAsia="Times New Roman" w:hAnsi="Cambria Math" w:cs="Times New Roman"/>
                            <w:sz w:val="20"/>
                            <w:szCs w:val="20"/>
                          </w:rPr>
                          <m:t>ε</m:t>
                        </m:r>
                      </m:e>
                    </m:acc>
                  </m:e>
                  <m:sub>
                    <m:r>
                      <m:rPr>
                        <m:sty m:val="bi"/>
                      </m:rPr>
                      <w:rPr>
                        <w:rFonts w:ascii="Cambria Math" w:eastAsia="Times New Roman" w:hAnsi="Cambria Math" w:cs="Times New Roman"/>
                        <w:sz w:val="20"/>
                        <w:szCs w:val="20"/>
                      </w:rPr>
                      <m:t>O</m:t>
                    </m:r>
                    <m:r>
                      <m:rPr>
                        <m:sty m:val="bi"/>
                      </m:rPr>
                      <w:rPr>
                        <w:rFonts w:ascii="Cambria Math" w:eastAsia="Times New Roman" w:hAnsi="Cambria Math" w:cs="Times New Roman"/>
                        <w:sz w:val="20"/>
                        <w:szCs w:val="20"/>
                      </w:rPr>
                      <m:t>1</m:t>
                    </m:r>
                    <m:r>
                      <m:rPr>
                        <m:sty m:val="bi"/>
                      </m:rPr>
                      <w:rPr>
                        <w:rFonts w:ascii="Cambria Math" w:eastAsia="Times New Roman" w:hAnsi="Cambria Math" w:cs="Times New Roman"/>
                        <w:sz w:val="20"/>
                        <w:szCs w:val="20"/>
                      </w:rPr>
                      <m:t>s</m:t>
                    </m:r>
                  </m:sub>
                  <m:sup>
                    <m:r>
                      <m:rPr>
                        <m:sty m:val="bi"/>
                      </m:rPr>
                      <w:rPr>
                        <w:rFonts w:ascii="Cambria Math" w:eastAsia="Times New Roman" w:hAnsi="Cambria Math" w:cs="Times New Roman"/>
                        <w:sz w:val="20"/>
                        <w:szCs w:val="20"/>
                      </w:rPr>
                      <m:t>GGAU</m:t>
                    </m:r>
                  </m:sup>
                </m:sSubSup>
              </m:oMath>
            </m:oMathPara>
          </w:p>
        </w:tc>
        <w:tc>
          <w:tcPr>
            <w:tcW w:w="1075" w:type="dxa"/>
            <w:tcBorders>
              <w:bottom w:val="single" w:sz="4" w:space="0" w:color="auto"/>
            </w:tcBorders>
            <w:noWrap/>
            <w:hideMark/>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noProof/>
                <w:sz w:val="20"/>
                <w:szCs w:val="20"/>
              </w:rPr>
              <w:t>Δ</w:t>
            </w:r>
            <m:oMath>
              <m:sSubSup>
                <m:sSubSupPr>
                  <m:ctrlPr>
                    <w:rPr>
                      <w:rFonts w:ascii="Cambria Math" w:eastAsia="Times New Roman" w:hAnsi="Cambria Math" w:cs="Times New Roman"/>
                      <w:b/>
                      <w:bCs/>
                      <w:i/>
                      <w:sz w:val="20"/>
                      <w:szCs w:val="20"/>
                    </w:rPr>
                  </m:ctrlPr>
                </m:sSubSupPr>
                <m:e>
                  <m:acc>
                    <m:accPr>
                      <m:chr m:val="̅"/>
                      <m:ctrlPr>
                        <w:rPr>
                          <w:rFonts w:ascii="Cambria Math" w:eastAsia="Times New Roman" w:hAnsi="Cambria Math" w:cs="Times New Roman"/>
                          <w:b/>
                          <w:bCs/>
                          <w:i/>
                          <w:sz w:val="20"/>
                          <w:szCs w:val="20"/>
                        </w:rPr>
                      </m:ctrlPr>
                    </m:accPr>
                    <m:e>
                      <m:r>
                        <m:rPr>
                          <m:sty m:val="bi"/>
                        </m:rPr>
                        <w:rPr>
                          <w:rFonts w:ascii="Cambria Math" w:eastAsia="Times New Roman" w:hAnsi="Cambria Math" w:cs="Times New Roman"/>
                          <w:sz w:val="20"/>
                          <w:szCs w:val="20"/>
                        </w:rPr>
                        <m:t>ε</m:t>
                      </m:r>
                    </m:e>
                  </m:acc>
                </m:e>
                <m:sub>
                  <m:sSup>
                    <m:sSupPr>
                      <m:ctrlPr>
                        <w:rPr>
                          <w:rFonts w:ascii="Cambria Math" w:eastAsia="Times New Roman" w:hAnsi="Cambria Math" w:cs="Times New Roman"/>
                          <w:b/>
                          <w:bCs/>
                          <w:i/>
                          <w:sz w:val="20"/>
                          <w:szCs w:val="20"/>
                        </w:rPr>
                      </m:ctrlPr>
                    </m:sSupPr>
                    <m:e>
                      <m:r>
                        <m:rPr>
                          <m:sty m:val="bi"/>
                        </m:rPr>
                        <w:rPr>
                          <w:rFonts w:ascii="Cambria Math" w:eastAsia="Times New Roman" w:hAnsi="Cambria Math" w:cs="Times New Roman"/>
                          <w:sz w:val="20"/>
                          <w:szCs w:val="20"/>
                        </w:rPr>
                        <m:t>O</m:t>
                      </m:r>
                    </m:e>
                    <m:sup>
                      <m:r>
                        <m:rPr>
                          <m:sty m:val="bi"/>
                        </m:rPr>
                        <w:rPr>
                          <w:rFonts w:ascii="Cambria Math" w:eastAsia="Times New Roman" w:hAnsi="Cambria Math" w:cs="Times New Roman"/>
                          <w:sz w:val="20"/>
                          <w:szCs w:val="20"/>
                        </w:rPr>
                        <m:t>2-</m:t>
                      </m:r>
                    </m:sup>
                  </m:sSup>
                  <m:r>
                    <m:rPr>
                      <m:sty m:val="bi"/>
                    </m:rPr>
                    <w:rPr>
                      <w:rFonts w:ascii="Cambria Math" w:eastAsia="Times New Roman" w:hAnsi="Cambria Math" w:cs="Times New Roman"/>
                      <w:sz w:val="20"/>
                      <w:szCs w:val="20"/>
                    </w:rPr>
                    <m:t>/</m:t>
                  </m:r>
                  <m:sSup>
                    <m:sSupPr>
                      <m:ctrlPr>
                        <w:rPr>
                          <w:rFonts w:ascii="Cambria Math" w:eastAsia="Times New Roman" w:hAnsi="Cambria Math" w:cs="Times New Roman"/>
                          <w:b/>
                          <w:bCs/>
                          <w:i/>
                          <w:sz w:val="20"/>
                          <w:szCs w:val="20"/>
                        </w:rPr>
                      </m:ctrlPr>
                    </m:sSupPr>
                    <m:e>
                      <m:r>
                        <m:rPr>
                          <m:sty m:val="bi"/>
                        </m:rPr>
                        <w:rPr>
                          <w:rFonts w:ascii="Cambria Math" w:eastAsia="Times New Roman" w:hAnsi="Cambria Math" w:cs="Times New Roman"/>
                          <w:sz w:val="20"/>
                          <w:szCs w:val="20"/>
                        </w:rPr>
                        <m:t>O</m:t>
                      </m:r>
                    </m:e>
                    <m:sup>
                      <m:r>
                        <m:rPr>
                          <m:sty m:val="bi"/>
                        </m:rPr>
                        <w:rPr>
                          <w:rFonts w:ascii="Cambria Math" w:eastAsia="Times New Roman" w:hAnsi="Cambria Math" w:cs="Times New Roman"/>
                          <w:sz w:val="20"/>
                          <w:szCs w:val="20"/>
                        </w:rPr>
                        <m:t>-</m:t>
                      </m:r>
                    </m:sup>
                  </m:sSup>
                </m:sub>
                <m:sup>
                  <m:r>
                    <m:rPr>
                      <m:sty m:val="bi"/>
                    </m:rPr>
                    <w:rPr>
                      <w:rFonts w:ascii="Cambria Math" w:eastAsia="Times New Roman" w:hAnsi="Cambria Math" w:cs="Times New Roman"/>
                      <w:sz w:val="20"/>
                      <w:szCs w:val="20"/>
                    </w:rPr>
                    <m:t>GGAU</m:t>
                  </m:r>
                </m:sup>
              </m:sSubSup>
            </m:oMath>
          </w:p>
        </w:tc>
        <w:tc>
          <w:tcPr>
            <w:tcW w:w="1760" w:type="dxa"/>
            <w:gridSpan w:val="2"/>
            <w:tcBorders>
              <w:bottom w:val="single" w:sz="4" w:space="0" w:color="auto"/>
            </w:tcBorders>
          </w:tcPr>
          <w:p w:rsidR="00987435" w:rsidRPr="00276D72" w:rsidRDefault="002F0799" w:rsidP="000B1CCC">
            <w:pPr>
              <w:jc w:val="center"/>
              <w:rPr>
                <w:rFonts w:ascii="Times New Roman" w:eastAsia="Times New Roman" w:hAnsi="Times New Roman" w:cs="Times New Roman"/>
                <w:b/>
                <w:bCs/>
                <w:sz w:val="20"/>
                <w:szCs w:val="20"/>
              </w:rPr>
            </w:pPr>
            <m:oMathPara>
              <m:oMath>
                <m:sSubSup>
                  <m:sSubSupPr>
                    <m:ctrlPr>
                      <w:rPr>
                        <w:rFonts w:ascii="Cambria Math" w:eastAsia="Times New Roman" w:hAnsi="Cambria Math" w:cs="Times New Roman"/>
                        <w:b/>
                        <w:bCs/>
                        <w:i/>
                        <w:sz w:val="20"/>
                        <w:szCs w:val="20"/>
                      </w:rPr>
                    </m:ctrlPr>
                  </m:sSubSupPr>
                  <m:e>
                    <m:acc>
                      <m:accPr>
                        <m:chr m:val="̅"/>
                        <m:ctrlPr>
                          <w:rPr>
                            <w:rFonts w:ascii="Cambria Math" w:eastAsia="Times New Roman" w:hAnsi="Cambria Math" w:cs="Times New Roman"/>
                            <w:b/>
                            <w:i/>
                            <w:sz w:val="20"/>
                            <w:szCs w:val="20"/>
                          </w:rPr>
                        </m:ctrlPr>
                      </m:accPr>
                      <m:e>
                        <m:r>
                          <m:rPr>
                            <m:sty m:val="bi"/>
                          </m:rPr>
                          <w:rPr>
                            <w:rFonts w:ascii="Cambria Math" w:eastAsia="Times New Roman" w:hAnsi="Cambria Math" w:cs="Times New Roman"/>
                            <w:sz w:val="20"/>
                            <w:szCs w:val="20"/>
                          </w:rPr>
                          <m:t>ε</m:t>
                        </m:r>
                      </m:e>
                    </m:acc>
                  </m:e>
                  <m:sub>
                    <m:r>
                      <m:rPr>
                        <m:sty m:val="bi"/>
                      </m:rPr>
                      <w:rPr>
                        <w:rFonts w:ascii="Cambria Math" w:eastAsia="Times New Roman" w:hAnsi="Cambria Math" w:cs="Times New Roman"/>
                        <w:sz w:val="20"/>
                        <w:szCs w:val="20"/>
                      </w:rPr>
                      <m:t>O</m:t>
                    </m:r>
                    <m:r>
                      <m:rPr>
                        <m:sty m:val="bi"/>
                      </m:rPr>
                      <w:rPr>
                        <w:rFonts w:ascii="Cambria Math" w:eastAsia="Times New Roman" w:hAnsi="Cambria Math" w:cs="Times New Roman"/>
                        <w:sz w:val="20"/>
                        <w:szCs w:val="20"/>
                      </w:rPr>
                      <m:t>1</m:t>
                    </m:r>
                    <m:r>
                      <m:rPr>
                        <m:sty m:val="bi"/>
                      </m:rPr>
                      <w:rPr>
                        <w:rFonts w:ascii="Cambria Math" w:eastAsia="Times New Roman" w:hAnsi="Cambria Math" w:cs="Times New Roman"/>
                        <w:sz w:val="20"/>
                        <w:szCs w:val="20"/>
                      </w:rPr>
                      <m:t>s</m:t>
                    </m:r>
                  </m:sub>
                  <m:sup>
                    <m:r>
                      <m:rPr>
                        <m:sty m:val="bi"/>
                      </m:rPr>
                      <w:rPr>
                        <w:rFonts w:ascii="Cambria Math" w:eastAsia="Times New Roman" w:hAnsi="Cambria Math" w:cs="Times New Roman"/>
                        <w:sz w:val="20"/>
                        <w:szCs w:val="20"/>
                      </w:rPr>
                      <m:t>HSE-GGAU</m:t>
                    </m:r>
                  </m:sup>
                </m:sSubSup>
              </m:oMath>
            </m:oMathPara>
          </w:p>
        </w:tc>
        <w:tc>
          <w:tcPr>
            <w:tcW w:w="1417" w:type="dxa"/>
            <w:tcBorders>
              <w:bottom w:val="single" w:sz="4" w:space="0" w:color="auto"/>
            </w:tcBorders>
          </w:tcPr>
          <w:p w:rsidR="00987435" w:rsidRPr="00276D72" w:rsidRDefault="00987435" w:rsidP="000B1CCC">
            <w:pPr>
              <w:jc w:val="center"/>
              <w:rPr>
                <w:rFonts w:ascii="Times New Roman" w:eastAsia="Calibri" w:hAnsi="Times New Roman" w:cs="Times New Roman"/>
                <w:b/>
                <w:bCs/>
                <w:sz w:val="20"/>
                <w:szCs w:val="20"/>
              </w:rPr>
            </w:pPr>
            <w:r w:rsidRPr="00276D72">
              <w:rPr>
                <w:rFonts w:ascii="Times New Roman" w:eastAsia="Times New Roman" w:hAnsi="Times New Roman" w:cs="Times New Roman"/>
                <w:b/>
                <w:bCs/>
                <w:noProof/>
                <w:sz w:val="20"/>
                <w:szCs w:val="20"/>
              </w:rPr>
              <w:t>Δ</w:t>
            </w:r>
            <m:oMath>
              <m:sSubSup>
                <m:sSubSupPr>
                  <m:ctrlPr>
                    <w:rPr>
                      <w:rFonts w:ascii="Cambria Math" w:eastAsia="Times New Roman" w:hAnsi="Cambria Math" w:cs="Times New Roman"/>
                      <w:b/>
                      <w:bCs/>
                      <w:i/>
                      <w:sz w:val="20"/>
                      <w:szCs w:val="20"/>
                    </w:rPr>
                  </m:ctrlPr>
                </m:sSubSupPr>
                <m:e>
                  <m:acc>
                    <m:accPr>
                      <m:chr m:val="̅"/>
                      <m:ctrlPr>
                        <w:rPr>
                          <w:rFonts w:ascii="Cambria Math" w:eastAsia="Times New Roman" w:hAnsi="Cambria Math" w:cs="Times New Roman"/>
                          <w:b/>
                          <w:bCs/>
                          <w:i/>
                          <w:sz w:val="20"/>
                          <w:szCs w:val="20"/>
                        </w:rPr>
                      </m:ctrlPr>
                    </m:accPr>
                    <m:e>
                      <m:r>
                        <m:rPr>
                          <m:sty m:val="bi"/>
                        </m:rPr>
                        <w:rPr>
                          <w:rFonts w:ascii="Cambria Math" w:eastAsia="Times New Roman" w:hAnsi="Cambria Math" w:cs="Times New Roman"/>
                          <w:sz w:val="20"/>
                          <w:szCs w:val="20"/>
                        </w:rPr>
                        <m:t>ε</m:t>
                      </m:r>
                    </m:e>
                  </m:acc>
                </m:e>
                <m:sub>
                  <m:sSup>
                    <m:sSupPr>
                      <m:ctrlPr>
                        <w:rPr>
                          <w:rFonts w:ascii="Cambria Math" w:eastAsia="Times New Roman" w:hAnsi="Cambria Math" w:cs="Times New Roman"/>
                          <w:b/>
                          <w:bCs/>
                          <w:i/>
                          <w:sz w:val="20"/>
                          <w:szCs w:val="20"/>
                        </w:rPr>
                      </m:ctrlPr>
                    </m:sSupPr>
                    <m:e>
                      <m:r>
                        <m:rPr>
                          <m:sty m:val="bi"/>
                        </m:rPr>
                        <w:rPr>
                          <w:rFonts w:ascii="Cambria Math" w:eastAsia="Times New Roman" w:hAnsi="Cambria Math" w:cs="Times New Roman"/>
                          <w:sz w:val="20"/>
                          <w:szCs w:val="20"/>
                        </w:rPr>
                        <m:t>O</m:t>
                      </m:r>
                    </m:e>
                    <m:sup>
                      <m:r>
                        <m:rPr>
                          <m:sty m:val="bi"/>
                        </m:rPr>
                        <w:rPr>
                          <w:rFonts w:ascii="Cambria Math" w:eastAsia="Times New Roman" w:hAnsi="Cambria Math" w:cs="Times New Roman"/>
                          <w:sz w:val="20"/>
                          <w:szCs w:val="20"/>
                        </w:rPr>
                        <m:t>2-</m:t>
                      </m:r>
                    </m:sup>
                  </m:sSup>
                  <m:r>
                    <m:rPr>
                      <m:sty m:val="bi"/>
                    </m:rPr>
                    <w:rPr>
                      <w:rFonts w:ascii="Cambria Math" w:eastAsia="Times New Roman" w:hAnsi="Cambria Math" w:cs="Times New Roman"/>
                      <w:sz w:val="20"/>
                      <w:szCs w:val="20"/>
                    </w:rPr>
                    <m:t>/</m:t>
                  </m:r>
                  <m:sSup>
                    <m:sSupPr>
                      <m:ctrlPr>
                        <w:rPr>
                          <w:rFonts w:ascii="Cambria Math" w:eastAsia="Times New Roman" w:hAnsi="Cambria Math" w:cs="Times New Roman"/>
                          <w:b/>
                          <w:bCs/>
                          <w:i/>
                          <w:sz w:val="20"/>
                          <w:szCs w:val="20"/>
                        </w:rPr>
                      </m:ctrlPr>
                    </m:sSupPr>
                    <m:e>
                      <m:r>
                        <m:rPr>
                          <m:sty m:val="bi"/>
                        </m:rPr>
                        <w:rPr>
                          <w:rFonts w:ascii="Cambria Math" w:eastAsia="Times New Roman" w:hAnsi="Cambria Math" w:cs="Times New Roman"/>
                          <w:sz w:val="20"/>
                          <w:szCs w:val="20"/>
                        </w:rPr>
                        <m:t>O</m:t>
                      </m:r>
                    </m:e>
                    <m:sup>
                      <m:r>
                        <m:rPr>
                          <m:sty m:val="bi"/>
                        </m:rPr>
                        <w:rPr>
                          <w:rFonts w:ascii="Cambria Math" w:eastAsia="Times New Roman" w:hAnsi="Cambria Math" w:cs="Times New Roman"/>
                          <w:sz w:val="20"/>
                          <w:szCs w:val="20"/>
                        </w:rPr>
                        <m:t>-</m:t>
                      </m:r>
                    </m:sup>
                  </m:sSup>
                </m:sub>
                <m:sup>
                  <m:r>
                    <m:rPr>
                      <m:sty m:val="bi"/>
                    </m:rPr>
                    <w:rPr>
                      <w:rFonts w:ascii="Cambria Math" w:eastAsia="Times New Roman" w:hAnsi="Cambria Math" w:cs="Times New Roman"/>
                      <w:sz w:val="20"/>
                      <w:szCs w:val="20"/>
                    </w:rPr>
                    <m:t>HSE-GGAU</m:t>
                  </m:r>
                </m:sup>
              </m:sSubSup>
            </m:oMath>
          </w:p>
        </w:tc>
      </w:tr>
      <w:tr w:rsidR="00987435" w:rsidRPr="00276D72" w:rsidTr="000B1CCC">
        <w:trPr>
          <w:trHeight w:val="280"/>
          <w:jc w:val="center"/>
        </w:trPr>
        <w:tc>
          <w:tcPr>
            <w:tcW w:w="1065" w:type="dxa"/>
            <w:tcBorders>
              <w:right w:val="nil"/>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Li</w:t>
            </w:r>
            <w:r w:rsidRPr="00276D72">
              <w:rPr>
                <w:rFonts w:ascii="Times New Roman" w:eastAsia="Times New Roman" w:hAnsi="Times New Roman" w:cs="Times New Roman"/>
                <w:b/>
                <w:bCs/>
                <w:sz w:val="20"/>
                <w:szCs w:val="20"/>
                <w:vertAlign w:val="subscript"/>
              </w:rPr>
              <w:t>2</w:t>
            </w:r>
            <w:r w:rsidRPr="00276D72">
              <w:rPr>
                <w:rFonts w:ascii="Times New Roman" w:eastAsia="Times New Roman" w:hAnsi="Times New Roman" w:cs="Times New Roman"/>
                <w:b/>
                <w:bCs/>
                <w:sz w:val="20"/>
                <w:szCs w:val="20"/>
              </w:rPr>
              <w:t>MnO</w:t>
            </w:r>
            <w:r w:rsidRPr="00276D72">
              <w:rPr>
                <w:rFonts w:ascii="Times New Roman" w:eastAsia="Times New Roman" w:hAnsi="Times New Roman" w:cs="Times New Roman"/>
                <w:b/>
                <w:bCs/>
                <w:sz w:val="20"/>
                <w:szCs w:val="20"/>
                <w:vertAlign w:val="subscript"/>
              </w:rPr>
              <w:t>3</w:t>
            </w:r>
          </w:p>
        </w:tc>
        <w:tc>
          <w:tcPr>
            <w:tcW w:w="620" w:type="dxa"/>
            <w:tcBorders>
              <w:left w:val="nil"/>
              <w:bottom w:val="single" w:sz="4" w:space="0" w:color="auto"/>
              <w:right w:val="nil"/>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O</w:t>
            </w:r>
            <w:r w:rsidRPr="00276D72">
              <w:rPr>
                <w:rFonts w:ascii="Times New Roman" w:eastAsia="Times New Roman" w:hAnsi="Times New Roman" w:cs="Times New Roman"/>
                <w:b/>
                <w:bCs/>
                <w:sz w:val="20"/>
                <w:szCs w:val="20"/>
                <w:vertAlign w:val="superscript"/>
              </w:rPr>
              <w:t>2-</w:t>
            </w:r>
          </w:p>
        </w:tc>
        <w:tc>
          <w:tcPr>
            <w:tcW w:w="1226" w:type="dxa"/>
            <w:tcBorders>
              <w:left w:val="nil"/>
              <w:bottom w:val="single" w:sz="4" w:space="0" w:color="auto"/>
              <w:right w:val="nil"/>
            </w:tcBorders>
            <w:noWrap/>
          </w:tcPr>
          <w:p w:rsidR="00987435" w:rsidRPr="00276D72" w:rsidRDefault="00987435" w:rsidP="000B1CCC">
            <w:pPr>
              <w:jc w:val="center"/>
              <w:rPr>
                <w:rFonts w:ascii="Times New Roman" w:eastAsia="Times New Roman" w:hAnsi="Times New Roman" w:cs="Times New Roman"/>
                <w:bCs/>
                <w:sz w:val="20"/>
                <w:szCs w:val="20"/>
              </w:rPr>
            </w:pPr>
            <w:r w:rsidRPr="00276D72">
              <w:rPr>
                <w:rFonts w:ascii="Times New Roman" w:eastAsia="Times New Roman" w:hAnsi="Times New Roman" w:cs="Times New Roman"/>
                <w:sz w:val="20"/>
                <w:szCs w:val="20"/>
              </w:rPr>
              <w:t>-64.8 (0.0)</w:t>
            </w:r>
          </w:p>
        </w:tc>
        <w:tc>
          <w:tcPr>
            <w:tcW w:w="1110" w:type="dxa"/>
            <w:tcBorders>
              <w:left w:val="nil"/>
              <w:bottom w:val="single" w:sz="4" w:space="0" w:color="auto"/>
              <w:right w:val="nil"/>
            </w:tcBorders>
            <w:noWrap/>
          </w:tcPr>
          <w:p w:rsidR="00987435" w:rsidRPr="00276D72" w:rsidRDefault="00987435" w:rsidP="000B1CCC">
            <w:pPr>
              <w:jc w:val="center"/>
              <w:rPr>
                <w:rFonts w:ascii="Times New Roman" w:eastAsia="Times New Roman" w:hAnsi="Times New Roman" w:cs="Times New Roman"/>
                <w:bCs/>
                <w:sz w:val="20"/>
                <w:szCs w:val="20"/>
              </w:rPr>
            </w:pPr>
            <w:r w:rsidRPr="00276D72">
              <w:rPr>
                <w:rFonts w:ascii="Times New Roman" w:eastAsia="Times New Roman" w:hAnsi="Times New Roman" w:cs="Times New Roman"/>
                <w:bCs/>
                <w:sz w:val="20"/>
                <w:szCs w:val="20"/>
              </w:rPr>
              <w:t>-</w:t>
            </w:r>
          </w:p>
        </w:tc>
        <w:tc>
          <w:tcPr>
            <w:tcW w:w="1361" w:type="dxa"/>
            <w:tcBorders>
              <w:left w:val="nil"/>
              <w:bottom w:val="single" w:sz="4" w:space="0" w:color="auto"/>
              <w:right w:val="nil"/>
            </w:tcBorders>
            <w:noWrap/>
          </w:tcPr>
          <w:p w:rsidR="00987435" w:rsidRPr="00276D72" w:rsidRDefault="00987435" w:rsidP="000B1CCC">
            <w:pPr>
              <w:jc w:val="center"/>
              <w:rPr>
                <w:rFonts w:ascii="Times New Roman" w:eastAsia="Times New Roman" w:hAnsi="Times New Roman" w:cs="Times New Roman"/>
                <w:bCs/>
                <w:sz w:val="20"/>
                <w:szCs w:val="20"/>
              </w:rPr>
            </w:pPr>
            <w:r w:rsidRPr="00276D72">
              <w:rPr>
                <w:rFonts w:ascii="Times New Roman" w:eastAsia="Times New Roman" w:hAnsi="Times New Roman" w:cs="Times New Roman"/>
                <w:bCs/>
                <w:sz w:val="20"/>
                <w:szCs w:val="20"/>
              </w:rPr>
              <w:t>-501.8 (0.0)</w:t>
            </w:r>
          </w:p>
        </w:tc>
        <w:tc>
          <w:tcPr>
            <w:tcW w:w="1451" w:type="dxa"/>
            <w:gridSpan w:val="2"/>
            <w:tcBorders>
              <w:left w:val="nil"/>
              <w:bottom w:val="single" w:sz="4" w:space="0" w:color="auto"/>
              <w:right w:val="nil"/>
            </w:tcBorders>
            <w:noWrap/>
          </w:tcPr>
          <w:p w:rsidR="00987435" w:rsidRPr="00276D72" w:rsidRDefault="00987435" w:rsidP="000B1CCC">
            <w:pPr>
              <w:jc w:val="center"/>
              <w:rPr>
                <w:rFonts w:ascii="Times New Roman" w:eastAsia="Times New Roman" w:hAnsi="Times New Roman" w:cs="Times New Roman"/>
                <w:bCs/>
                <w:sz w:val="20"/>
                <w:szCs w:val="20"/>
              </w:rPr>
            </w:pPr>
            <w:r w:rsidRPr="00276D72">
              <w:rPr>
                <w:rFonts w:ascii="Times New Roman" w:eastAsia="Times New Roman" w:hAnsi="Times New Roman" w:cs="Times New Roman"/>
                <w:bCs/>
                <w:sz w:val="20"/>
                <w:szCs w:val="20"/>
              </w:rPr>
              <w:t>-</w:t>
            </w:r>
          </w:p>
        </w:tc>
        <w:tc>
          <w:tcPr>
            <w:tcW w:w="1384" w:type="dxa"/>
            <w:tcBorders>
              <w:left w:val="nil"/>
              <w:bottom w:val="single" w:sz="4" w:space="0" w:color="auto"/>
              <w:right w:val="nil"/>
            </w:tcBorders>
          </w:tcPr>
          <w:p w:rsidR="00987435" w:rsidRPr="00276D72" w:rsidRDefault="00987435" w:rsidP="000B1CCC">
            <w:pPr>
              <w:jc w:val="center"/>
              <w:rPr>
                <w:rFonts w:ascii="Times New Roman" w:eastAsia="Times New Roman" w:hAnsi="Times New Roman" w:cs="Times New Roman"/>
                <w:bCs/>
                <w:sz w:val="20"/>
                <w:szCs w:val="20"/>
              </w:rPr>
            </w:pPr>
            <w:r w:rsidRPr="00276D72">
              <w:rPr>
                <w:rFonts w:ascii="Times New Roman" w:eastAsia="Times New Roman" w:hAnsi="Times New Roman" w:cs="Times New Roman"/>
                <w:bCs/>
                <w:sz w:val="20"/>
                <w:szCs w:val="20"/>
              </w:rPr>
              <w:t>-43</w:t>
            </w:r>
            <w:r>
              <w:rPr>
                <w:rFonts w:ascii="Times New Roman" w:eastAsia="Times New Roman" w:hAnsi="Times New Roman" w:cs="Times New Roman"/>
                <w:bCs/>
                <w:sz w:val="20"/>
                <w:szCs w:val="20"/>
              </w:rPr>
              <w:t>6.9</w:t>
            </w:r>
            <w:r w:rsidRPr="00276D72">
              <w:rPr>
                <w:rFonts w:ascii="Times New Roman" w:eastAsia="Times New Roman" w:hAnsi="Times New Roman" w:cs="Times New Roman"/>
                <w:bCs/>
                <w:sz w:val="20"/>
                <w:szCs w:val="20"/>
              </w:rPr>
              <w:t xml:space="preserve"> (0.00)</w:t>
            </w:r>
          </w:p>
        </w:tc>
        <w:tc>
          <w:tcPr>
            <w:tcW w:w="1417" w:type="dxa"/>
            <w:tcBorders>
              <w:left w:val="nil"/>
              <w:bottom w:val="single" w:sz="4" w:space="0" w:color="auto"/>
            </w:tcBorders>
          </w:tcPr>
          <w:p w:rsidR="00987435" w:rsidRPr="00276D72" w:rsidRDefault="00987435" w:rsidP="000B1CCC">
            <w:pPr>
              <w:jc w:val="center"/>
              <w:rPr>
                <w:rFonts w:ascii="Times New Roman" w:eastAsia="Calibri" w:hAnsi="Times New Roman" w:cs="Times New Roman"/>
                <w:bCs/>
                <w:sz w:val="20"/>
                <w:szCs w:val="20"/>
              </w:rPr>
            </w:pPr>
            <w:r w:rsidRPr="00276D72">
              <w:rPr>
                <w:rFonts w:ascii="Times New Roman" w:eastAsia="Calibri" w:hAnsi="Times New Roman" w:cs="Times New Roman"/>
                <w:bCs/>
                <w:sz w:val="20"/>
                <w:szCs w:val="20"/>
              </w:rPr>
              <w:t>-</w:t>
            </w:r>
          </w:p>
        </w:tc>
      </w:tr>
      <w:tr w:rsidR="00987435" w:rsidRPr="00276D72" w:rsidTr="000B1CCC">
        <w:trPr>
          <w:trHeight w:val="271"/>
          <w:jc w:val="center"/>
        </w:trPr>
        <w:tc>
          <w:tcPr>
            <w:tcW w:w="1065" w:type="dxa"/>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1.17</w:t>
            </w:r>
          </w:p>
        </w:tc>
        <w:tc>
          <w:tcPr>
            <w:tcW w:w="620" w:type="dxa"/>
            <w:tcBorders>
              <w:bottom w:val="single" w:sz="4" w:space="0" w:color="auto"/>
              <w:right w:val="nil"/>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O</w:t>
            </w:r>
            <w:r w:rsidRPr="00276D72">
              <w:rPr>
                <w:rFonts w:ascii="Times New Roman" w:eastAsia="Times New Roman" w:hAnsi="Times New Roman" w:cs="Times New Roman"/>
                <w:b/>
                <w:bCs/>
                <w:sz w:val="20"/>
                <w:szCs w:val="20"/>
                <w:vertAlign w:val="superscript"/>
              </w:rPr>
              <w:t>2-</w:t>
            </w:r>
          </w:p>
        </w:tc>
        <w:tc>
          <w:tcPr>
            <w:tcW w:w="1226" w:type="dxa"/>
            <w:tcBorders>
              <w:left w:val="nil"/>
              <w:bottom w:val="single" w:sz="4" w:space="0" w:color="auto"/>
              <w:right w:val="nil"/>
            </w:tcBorders>
            <w:noWrap/>
            <w:hideMark/>
          </w:tcPr>
          <w:p w:rsidR="00987435" w:rsidRPr="00276D72" w:rsidRDefault="00987435" w:rsidP="000B1CCC">
            <w:pPr>
              <w:jc w:val="center"/>
              <w:rPr>
                <w:rFonts w:ascii="Times New Roman" w:hAnsi="Times New Roman" w:cs="Times New Roman"/>
                <w:sz w:val="20"/>
                <w:szCs w:val="20"/>
              </w:rPr>
            </w:pPr>
            <w:r w:rsidRPr="00276D72">
              <w:rPr>
                <w:rFonts w:ascii="Times New Roman" w:hAnsi="Times New Roman" w:cs="Times New Roman"/>
                <w:sz w:val="20"/>
                <w:szCs w:val="20"/>
              </w:rPr>
              <w:t>-64.8 (0.3)</w:t>
            </w:r>
          </w:p>
        </w:tc>
        <w:tc>
          <w:tcPr>
            <w:tcW w:w="1110" w:type="dxa"/>
            <w:tcBorders>
              <w:left w:val="nil"/>
              <w:bottom w:val="single" w:sz="4" w:space="0" w:color="auto"/>
              <w:right w:val="nil"/>
            </w:tcBorders>
            <w:noWrap/>
            <w:hideMark/>
          </w:tcPr>
          <w:p w:rsidR="00987435" w:rsidRPr="00276D72" w:rsidRDefault="00987435" w:rsidP="000B1CCC">
            <w:pPr>
              <w:jc w:val="center"/>
              <w:rPr>
                <w:rFonts w:ascii="Times New Roman" w:hAnsi="Times New Roman" w:cs="Times New Roman"/>
                <w:sz w:val="20"/>
                <w:szCs w:val="20"/>
              </w:rPr>
            </w:pPr>
            <w:r w:rsidRPr="00276D72">
              <w:rPr>
                <w:rFonts w:ascii="Times New Roman" w:hAnsi="Times New Roman" w:cs="Times New Roman"/>
                <w:sz w:val="20"/>
                <w:szCs w:val="20"/>
              </w:rPr>
              <w:t>-</w:t>
            </w:r>
          </w:p>
        </w:tc>
        <w:tc>
          <w:tcPr>
            <w:tcW w:w="1361" w:type="dxa"/>
            <w:tcBorders>
              <w:left w:val="nil"/>
              <w:bottom w:val="single" w:sz="4" w:space="0" w:color="auto"/>
              <w:right w:val="nil"/>
            </w:tcBorders>
            <w:noWrap/>
            <w:hideMark/>
          </w:tcPr>
          <w:p w:rsidR="00987435" w:rsidRPr="00276D72" w:rsidRDefault="00987435" w:rsidP="000B1CCC">
            <w:pPr>
              <w:jc w:val="center"/>
              <w:rPr>
                <w:rFonts w:ascii="Times New Roman" w:hAnsi="Times New Roman" w:cs="Times New Roman"/>
                <w:sz w:val="20"/>
                <w:szCs w:val="20"/>
              </w:rPr>
            </w:pPr>
            <w:r w:rsidRPr="00276D72">
              <w:rPr>
                <w:rFonts w:ascii="Times New Roman" w:hAnsi="Times New Roman" w:cs="Times New Roman"/>
                <w:sz w:val="20"/>
                <w:szCs w:val="20"/>
              </w:rPr>
              <w:t>-501.7 (0.4)</w:t>
            </w:r>
          </w:p>
        </w:tc>
        <w:tc>
          <w:tcPr>
            <w:tcW w:w="1451" w:type="dxa"/>
            <w:gridSpan w:val="2"/>
            <w:tcBorders>
              <w:left w:val="nil"/>
              <w:bottom w:val="single" w:sz="4" w:space="0" w:color="auto"/>
              <w:right w:val="nil"/>
            </w:tcBorders>
            <w:noWrap/>
            <w:hideMark/>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w:t>
            </w:r>
          </w:p>
        </w:tc>
        <w:tc>
          <w:tcPr>
            <w:tcW w:w="1384" w:type="dxa"/>
            <w:tcBorders>
              <w:left w:val="nil"/>
              <w:bottom w:val="single" w:sz="4" w:space="0" w:color="auto"/>
              <w:right w:val="nil"/>
            </w:tcBorders>
          </w:tcPr>
          <w:p w:rsidR="00987435" w:rsidRPr="00276D72" w:rsidRDefault="00987435" w:rsidP="000B1CCC">
            <w:pPr>
              <w:jc w:val="center"/>
              <w:rPr>
                <w:rFonts w:ascii="Times New Roman" w:hAnsi="Times New Roman" w:cs="Times New Roman"/>
                <w:sz w:val="20"/>
                <w:szCs w:val="20"/>
              </w:rPr>
            </w:pPr>
            <w:r w:rsidRPr="00276D72">
              <w:rPr>
                <w:rFonts w:ascii="Times New Roman" w:hAnsi="Times New Roman" w:cs="Times New Roman"/>
                <w:sz w:val="20"/>
                <w:szCs w:val="20"/>
              </w:rPr>
              <w:t>-436.9 (0.03)</w:t>
            </w:r>
          </w:p>
        </w:tc>
        <w:tc>
          <w:tcPr>
            <w:tcW w:w="1417" w:type="dxa"/>
            <w:tcBorders>
              <w:left w:val="nil"/>
              <w:bottom w:val="single" w:sz="4" w:space="0" w:color="auto"/>
            </w:tcBorders>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w:t>
            </w:r>
          </w:p>
        </w:tc>
      </w:tr>
      <w:tr w:rsidR="00987435" w:rsidRPr="00276D72" w:rsidTr="000B1CCC">
        <w:trPr>
          <w:trHeight w:val="280"/>
          <w:jc w:val="center"/>
        </w:trPr>
        <w:tc>
          <w:tcPr>
            <w:tcW w:w="1065" w:type="dxa"/>
            <w:vMerge w:val="restart"/>
            <w:vAlign w:val="center"/>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0.67</w:t>
            </w:r>
          </w:p>
        </w:tc>
        <w:tc>
          <w:tcPr>
            <w:tcW w:w="620" w:type="dxa"/>
            <w:tcBorders>
              <w:bottom w:val="nil"/>
              <w:right w:val="nil"/>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O</w:t>
            </w:r>
            <w:r w:rsidRPr="00276D72">
              <w:rPr>
                <w:rFonts w:ascii="Times New Roman" w:eastAsia="Times New Roman" w:hAnsi="Times New Roman" w:cs="Times New Roman"/>
                <w:b/>
                <w:bCs/>
                <w:sz w:val="20"/>
                <w:szCs w:val="20"/>
                <w:vertAlign w:val="superscript"/>
              </w:rPr>
              <w:t>2-</w:t>
            </w:r>
          </w:p>
        </w:tc>
        <w:tc>
          <w:tcPr>
            <w:tcW w:w="1226" w:type="dxa"/>
            <w:tcBorders>
              <w:left w:val="nil"/>
              <w:bottom w:val="nil"/>
              <w:right w:val="nil"/>
            </w:tcBorders>
            <w:noWrap/>
            <w:hideMark/>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-66.3 (0.5)</w:t>
            </w:r>
          </w:p>
        </w:tc>
        <w:tc>
          <w:tcPr>
            <w:tcW w:w="1110" w:type="dxa"/>
            <w:vMerge w:val="restart"/>
            <w:tcBorders>
              <w:left w:val="nil"/>
              <w:right w:val="nil"/>
            </w:tcBorders>
            <w:noWrap/>
            <w:vAlign w:val="center"/>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1.5</w:t>
            </w:r>
          </w:p>
        </w:tc>
        <w:tc>
          <w:tcPr>
            <w:tcW w:w="1361" w:type="dxa"/>
            <w:tcBorders>
              <w:left w:val="nil"/>
              <w:bottom w:val="nil"/>
              <w:right w:val="nil"/>
            </w:tcBorders>
            <w:noWrap/>
            <w:hideMark/>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-503.</w:t>
            </w:r>
            <w:r>
              <w:rPr>
                <w:rFonts w:ascii="Times New Roman" w:eastAsia="Times New Roman" w:hAnsi="Times New Roman" w:cs="Times New Roman"/>
                <w:sz w:val="20"/>
                <w:szCs w:val="20"/>
              </w:rPr>
              <w:t>0</w:t>
            </w:r>
            <w:r w:rsidRPr="00276D72">
              <w:rPr>
                <w:rFonts w:ascii="Times New Roman" w:eastAsia="Times New Roman" w:hAnsi="Times New Roman" w:cs="Times New Roman"/>
                <w:sz w:val="20"/>
                <w:szCs w:val="20"/>
              </w:rPr>
              <w:t xml:space="preserve"> (0.</w:t>
            </w:r>
            <w:r>
              <w:rPr>
                <w:rFonts w:ascii="Times New Roman" w:eastAsia="Times New Roman" w:hAnsi="Times New Roman" w:cs="Times New Roman"/>
                <w:sz w:val="20"/>
                <w:szCs w:val="20"/>
              </w:rPr>
              <w:t>5</w:t>
            </w:r>
            <w:r w:rsidRPr="00276D72">
              <w:rPr>
                <w:rFonts w:ascii="Times New Roman" w:eastAsia="Times New Roman" w:hAnsi="Times New Roman" w:cs="Times New Roman"/>
                <w:sz w:val="20"/>
                <w:szCs w:val="20"/>
              </w:rPr>
              <w:t>)</w:t>
            </w:r>
          </w:p>
        </w:tc>
        <w:tc>
          <w:tcPr>
            <w:tcW w:w="1451" w:type="dxa"/>
            <w:gridSpan w:val="2"/>
            <w:vMerge w:val="restart"/>
            <w:tcBorders>
              <w:left w:val="nil"/>
              <w:right w:val="nil"/>
            </w:tcBorders>
            <w:noWrap/>
            <w:vAlign w:val="center"/>
            <w:hideMark/>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0.1</w:t>
            </w:r>
          </w:p>
        </w:tc>
        <w:tc>
          <w:tcPr>
            <w:tcW w:w="1384" w:type="dxa"/>
            <w:tcBorders>
              <w:left w:val="nil"/>
              <w:bottom w:val="nil"/>
              <w:right w:val="nil"/>
            </w:tcBorders>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-436.7 (0.1)</w:t>
            </w:r>
          </w:p>
        </w:tc>
        <w:tc>
          <w:tcPr>
            <w:tcW w:w="1417" w:type="dxa"/>
            <w:vMerge w:val="restart"/>
            <w:tcBorders>
              <w:left w:val="nil"/>
            </w:tcBorders>
            <w:vAlign w:val="center"/>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1.4</w:t>
            </w:r>
          </w:p>
        </w:tc>
      </w:tr>
      <w:tr w:rsidR="00987435" w:rsidRPr="00276D72" w:rsidTr="000B1CCC">
        <w:trPr>
          <w:trHeight w:val="280"/>
          <w:jc w:val="center"/>
        </w:trPr>
        <w:tc>
          <w:tcPr>
            <w:tcW w:w="1065" w:type="dxa"/>
            <w:vMerge/>
            <w:vAlign w:val="center"/>
          </w:tcPr>
          <w:p w:rsidR="00987435" w:rsidRPr="00276D72" w:rsidRDefault="00987435" w:rsidP="000B1CCC">
            <w:pPr>
              <w:jc w:val="center"/>
              <w:rPr>
                <w:rFonts w:ascii="Times New Roman" w:eastAsia="Times New Roman" w:hAnsi="Times New Roman" w:cs="Times New Roman"/>
                <w:b/>
                <w:bCs/>
                <w:sz w:val="20"/>
                <w:szCs w:val="20"/>
              </w:rPr>
            </w:pPr>
          </w:p>
        </w:tc>
        <w:tc>
          <w:tcPr>
            <w:tcW w:w="620" w:type="dxa"/>
            <w:tcBorders>
              <w:top w:val="nil"/>
              <w:bottom w:val="single" w:sz="4" w:space="0" w:color="auto"/>
              <w:right w:val="nil"/>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O</w:t>
            </w:r>
            <w:r w:rsidRPr="00276D72">
              <w:rPr>
                <w:rFonts w:ascii="Times New Roman" w:eastAsia="Times New Roman" w:hAnsi="Times New Roman" w:cs="Times New Roman"/>
                <w:b/>
                <w:bCs/>
                <w:sz w:val="20"/>
                <w:szCs w:val="20"/>
                <w:vertAlign w:val="superscript"/>
              </w:rPr>
              <w:t>-</w:t>
            </w:r>
          </w:p>
        </w:tc>
        <w:tc>
          <w:tcPr>
            <w:tcW w:w="1226" w:type="dxa"/>
            <w:tcBorders>
              <w:top w:val="nil"/>
              <w:left w:val="nil"/>
              <w:bottom w:val="single" w:sz="4" w:space="0" w:color="auto"/>
              <w:right w:val="nil"/>
            </w:tcBorders>
            <w:noWrap/>
            <w:hideMark/>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-67.8 (0.0)</w:t>
            </w:r>
          </w:p>
        </w:tc>
        <w:tc>
          <w:tcPr>
            <w:tcW w:w="1110" w:type="dxa"/>
            <w:vMerge/>
            <w:tcBorders>
              <w:left w:val="nil"/>
              <w:bottom w:val="single" w:sz="4" w:space="0" w:color="auto"/>
              <w:right w:val="nil"/>
            </w:tcBorders>
            <w:noWrap/>
            <w:hideMark/>
          </w:tcPr>
          <w:p w:rsidR="00987435" w:rsidRPr="00276D72" w:rsidRDefault="00987435" w:rsidP="000B1CCC">
            <w:pPr>
              <w:jc w:val="center"/>
              <w:rPr>
                <w:rFonts w:ascii="Times New Roman" w:eastAsia="Times New Roman" w:hAnsi="Times New Roman" w:cs="Times New Roman"/>
                <w:sz w:val="20"/>
                <w:szCs w:val="20"/>
              </w:rPr>
            </w:pPr>
          </w:p>
        </w:tc>
        <w:tc>
          <w:tcPr>
            <w:tcW w:w="1361" w:type="dxa"/>
            <w:tcBorders>
              <w:top w:val="nil"/>
              <w:left w:val="nil"/>
              <w:bottom w:val="single" w:sz="4" w:space="0" w:color="auto"/>
              <w:right w:val="nil"/>
            </w:tcBorders>
            <w:noWrap/>
            <w:hideMark/>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-503.</w:t>
            </w:r>
            <w:r>
              <w:rPr>
                <w:rFonts w:ascii="Times New Roman" w:eastAsia="Times New Roman" w:hAnsi="Times New Roman" w:cs="Times New Roman"/>
                <w:sz w:val="20"/>
                <w:szCs w:val="20"/>
              </w:rPr>
              <w:t>1</w:t>
            </w:r>
            <w:r w:rsidRPr="00276D72">
              <w:rPr>
                <w:rFonts w:ascii="Times New Roman" w:eastAsia="Times New Roman" w:hAnsi="Times New Roman" w:cs="Times New Roman"/>
                <w:sz w:val="20"/>
                <w:szCs w:val="20"/>
              </w:rPr>
              <w:t xml:space="preserve"> (0.</w:t>
            </w:r>
            <w:r>
              <w:rPr>
                <w:rFonts w:ascii="Times New Roman" w:eastAsia="Times New Roman" w:hAnsi="Times New Roman" w:cs="Times New Roman"/>
                <w:sz w:val="20"/>
                <w:szCs w:val="20"/>
              </w:rPr>
              <w:t>2</w:t>
            </w:r>
            <w:r w:rsidRPr="00276D72">
              <w:rPr>
                <w:rFonts w:ascii="Times New Roman" w:eastAsia="Times New Roman" w:hAnsi="Times New Roman" w:cs="Times New Roman"/>
                <w:sz w:val="20"/>
                <w:szCs w:val="20"/>
              </w:rPr>
              <w:t>)</w:t>
            </w:r>
          </w:p>
        </w:tc>
        <w:tc>
          <w:tcPr>
            <w:tcW w:w="1451" w:type="dxa"/>
            <w:gridSpan w:val="2"/>
            <w:vMerge/>
            <w:tcBorders>
              <w:left w:val="nil"/>
              <w:bottom w:val="single" w:sz="4" w:space="0" w:color="auto"/>
              <w:right w:val="nil"/>
            </w:tcBorders>
            <w:noWrap/>
            <w:vAlign w:val="center"/>
            <w:hideMark/>
          </w:tcPr>
          <w:p w:rsidR="00987435" w:rsidRPr="00276D72" w:rsidRDefault="00987435" w:rsidP="000B1CCC">
            <w:pPr>
              <w:jc w:val="center"/>
              <w:rPr>
                <w:rFonts w:ascii="Times New Roman" w:eastAsia="Times New Roman" w:hAnsi="Times New Roman" w:cs="Times New Roman"/>
                <w:sz w:val="20"/>
                <w:szCs w:val="20"/>
              </w:rPr>
            </w:pPr>
          </w:p>
        </w:tc>
        <w:tc>
          <w:tcPr>
            <w:tcW w:w="1384" w:type="dxa"/>
            <w:tcBorders>
              <w:top w:val="nil"/>
              <w:left w:val="nil"/>
              <w:bottom w:val="single" w:sz="4" w:space="0" w:color="auto"/>
              <w:right w:val="nil"/>
            </w:tcBorders>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-435.2 (0.2)</w:t>
            </w:r>
          </w:p>
        </w:tc>
        <w:tc>
          <w:tcPr>
            <w:tcW w:w="1417" w:type="dxa"/>
            <w:vMerge/>
            <w:tcBorders>
              <w:left w:val="nil"/>
              <w:bottom w:val="single" w:sz="4" w:space="0" w:color="auto"/>
            </w:tcBorders>
            <w:vAlign w:val="center"/>
          </w:tcPr>
          <w:p w:rsidR="00987435" w:rsidRPr="00276D72" w:rsidRDefault="00987435" w:rsidP="000B1CCC">
            <w:pPr>
              <w:jc w:val="center"/>
              <w:rPr>
                <w:rFonts w:ascii="Times New Roman" w:eastAsia="Times New Roman" w:hAnsi="Times New Roman" w:cs="Times New Roman"/>
                <w:sz w:val="20"/>
                <w:szCs w:val="20"/>
              </w:rPr>
            </w:pPr>
          </w:p>
        </w:tc>
      </w:tr>
      <w:tr w:rsidR="00987435" w:rsidRPr="00276D72" w:rsidTr="000B1CCC">
        <w:trPr>
          <w:trHeight w:val="280"/>
          <w:jc w:val="center"/>
        </w:trPr>
        <w:tc>
          <w:tcPr>
            <w:tcW w:w="1065" w:type="dxa"/>
            <w:vMerge w:val="restart"/>
            <w:vAlign w:val="center"/>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0.5</w:t>
            </w:r>
          </w:p>
        </w:tc>
        <w:tc>
          <w:tcPr>
            <w:tcW w:w="620" w:type="dxa"/>
            <w:tcBorders>
              <w:bottom w:val="nil"/>
              <w:right w:val="nil"/>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O</w:t>
            </w:r>
            <w:r w:rsidRPr="00276D72">
              <w:rPr>
                <w:rFonts w:ascii="Times New Roman" w:eastAsia="Times New Roman" w:hAnsi="Times New Roman" w:cs="Times New Roman"/>
                <w:b/>
                <w:bCs/>
                <w:sz w:val="20"/>
                <w:szCs w:val="20"/>
                <w:vertAlign w:val="superscript"/>
              </w:rPr>
              <w:t>2-</w:t>
            </w:r>
          </w:p>
        </w:tc>
        <w:tc>
          <w:tcPr>
            <w:tcW w:w="1226" w:type="dxa"/>
            <w:tcBorders>
              <w:left w:val="nil"/>
              <w:bottom w:val="nil"/>
              <w:right w:val="nil"/>
            </w:tcBorders>
            <w:noWrap/>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-66.7 (0.6)</w:t>
            </w:r>
          </w:p>
        </w:tc>
        <w:tc>
          <w:tcPr>
            <w:tcW w:w="1110" w:type="dxa"/>
            <w:vMerge w:val="restart"/>
            <w:tcBorders>
              <w:left w:val="nil"/>
              <w:right w:val="nil"/>
            </w:tcBorders>
            <w:noWrap/>
            <w:vAlign w:val="center"/>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1.4</w:t>
            </w:r>
          </w:p>
        </w:tc>
        <w:tc>
          <w:tcPr>
            <w:tcW w:w="1361" w:type="dxa"/>
            <w:tcBorders>
              <w:left w:val="nil"/>
              <w:bottom w:val="nil"/>
              <w:right w:val="nil"/>
            </w:tcBorders>
            <w:noWrap/>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-503.7 (0.5)</w:t>
            </w:r>
          </w:p>
        </w:tc>
        <w:tc>
          <w:tcPr>
            <w:tcW w:w="1451" w:type="dxa"/>
            <w:gridSpan w:val="2"/>
            <w:vMerge w:val="restart"/>
            <w:tcBorders>
              <w:left w:val="nil"/>
              <w:right w:val="nil"/>
            </w:tcBorders>
            <w:noWrap/>
            <w:vAlign w:val="center"/>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0.0</w:t>
            </w:r>
          </w:p>
        </w:tc>
        <w:tc>
          <w:tcPr>
            <w:tcW w:w="1384" w:type="dxa"/>
            <w:tcBorders>
              <w:left w:val="nil"/>
              <w:bottom w:val="nil"/>
              <w:right w:val="nil"/>
            </w:tcBorders>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-437.0 (0.2)</w:t>
            </w:r>
          </w:p>
        </w:tc>
        <w:tc>
          <w:tcPr>
            <w:tcW w:w="1417" w:type="dxa"/>
            <w:vMerge w:val="restart"/>
            <w:tcBorders>
              <w:left w:val="nil"/>
            </w:tcBorders>
            <w:vAlign w:val="center"/>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1.4</w:t>
            </w:r>
          </w:p>
        </w:tc>
      </w:tr>
      <w:tr w:rsidR="00987435" w:rsidRPr="00276D72" w:rsidTr="000B1CCC">
        <w:trPr>
          <w:trHeight w:val="280"/>
          <w:jc w:val="center"/>
        </w:trPr>
        <w:tc>
          <w:tcPr>
            <w:tcW w:w="1065" w:type="dxa"/>
            <w:vMerge/>
          </w:tcPr>
          <w:p w:rsidR="00987435" w:rsidRPr="00276D72" w:rsidRDefault="00987435" w:rsidP="000B1CCC">
            <w:pPr>
              <w:jc w:val="center"/>
              <w:rPr>
                <w:rFonts w:ascii="Times New Roman" w:eastAsia="Times New Roman" w:hAnsi="Times New Roman" w:cs="Times New Roman"/>
                <w:b/>
                <w:bCs/>
                <w:sz w:val="20"/>
                <w:szCs w:val="20"/>
              </w:rPr>
            </w:pPr>
          </w:p>
        </w:tc>
        <w:tc>
          <w:tcPr>
            <w:tcW w:w="620" w:type="dxa"/>
            <w:tcBorders>
              <w:top w:val="nil"/>
              <w:right w:val="nil"/>
            </w:tcBorders>
          </w:tcPr>
          <w:p w:rsidR="00987435" w:rsidRPr="00276D72" w:rsidRDefault="00987435" w:rsidP="000B1CCC">
            <w:pPr>
              <w:jc w:val="center"/>
              <w:rPr>
                <w:rFonts w:ascii="Times New Roman" w:eastAsia="Times New Roman" w:hAnsi="Times New Roman" w:cs="Times New Roman"/>
                <w:b/>
                <w:bCs/>
                <w:sz w:val="20"/>
                <w:szCs w:val="20"/>
              </w:rPr>
            </w:pPr>
            <w:r w:rsidRPr="00276D72">
              <w:rPr>
                <w:rFonts w:ascii="Times New Roman" w:eastAsia="Times New Roman" w:hAnsi="Times New Roman" w:cs="Times New Roman"/>
                <w:b/>
                <w:bCs/>
                <w:sz w:val="20"/>
                <w:szCs w:val="20"/>
              </w:rPr>
              <w:t>O</w:t>
            </w:r>
            <w:r w:rsidRPr="00276D72">
              <w:rPr>
                <w:rFonts w:ascii="Times New Roman" w:eastAsia="Times New Roman" w:hAnsi="Times New Roman" w:cs="Times New Roman"/>
                <w:b/>
                <w:bCs/>
                <w:sz w:val="20"/>
                <w:szCs w:val="20"/>
                <w:vertAlign w:val="superscript"/>
              </w:rPr>
              <w:t>-</w:t>
            </w:r>
          </w:p>
        </w:tc>
        <w:tc>
          <w:tcPr>
            <w:tcW w:w="1226" w:type="dxa"/>
            <w:tcBorders>
              <w:top w:val="nil"/>
              <w:left w:val="nil"/>
              <w:right w:val="nil"/>
            </w:tcBorders>
            <w:noWrap/>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-68.1 (0.4)</w:t>
            </w:r>
          </w:p>
        </w:tc>
        <w:tc>
          <w:tcPr>
            <w:tcW w:w="1110" w:type="dxa"/>
            <w:vMerge/>
            <w:tcBorders>
              <w:left w:val="nil"/>
              <w:right w:val="nil"/>
            </w:tcBorders>
            <w:noWrap/>
          </w:tcPr>
          <w:p w:rsidR="00987435" w:rsidRPr="00276D72" w:rsidRDefault="00987435" w:rsidP="000B1CCC">
            <w:pPr>
              <w:jc w:val="center"/>
              <w:rPr>
                <w:rFonts w:ascii="Times New Roman" w:eastAsia="Times New Roman" w:hAnsi="Times New Roman" w:cs="Times New Roman"/>
                <w:sz w:val="20"/>
                <w:szCs w:val="20"/>
              </w:rPr>
            </w:pPr>
          </w:p>
        </w:tc>
        <w:tc>
          <w:tcPr>
            <w:tcW w:w="1361" w:type="dxa"/>
            <w:tcBorders>
              <w:top w:val="nil"/>
              <w:left w:val="nil"/>
              <w:right w:val="nil"/>
            </w:tcBorders>
            <w:noWrap/>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-503.7 (0.2)</w:t>
            </w:r>
          </w:p>
        </w:tc>
        <w:tc>
          <w:tcPr>
            <w:tcW w:w="1451" w:type="dxa"/>
            <w:gridSpan w:val="2"/>
            <w:vMerge/>
            <w:tcBorders>
              <w:left w:val="nil"/>
              <w:right w:val="nil"/>
            </w:tcBorders>
            <w:noWrap/>
          </w:tcPr>
          <w:p w:rsidR="00987435" w:rsidRPr="00276D72" w:rsidRDefault="00987435" w:rsidP="000B1CCC">
            <w:pPr>
              <w:jc w:val="center"/>
              <w:rPr>
                <w:rFonts w:ascii="Times New Roman" w:eastAsia="Times New Roman" w:hAnsi="Times New Roman" w:cs="Times New Roman"/>
                <w:sz w:val="20"/>
                <w:szCs w:val="20"/>
              </w:rPr>
            </w:pPr>
          </w:p>
        </w:tc>
        <w:tc>
          <w:tcPr>
            <w:tcW w:w="1384" w:type="dxa"/>
            <w:tcBorders>
              <w:top w:val="nil"/>
              <w:left w:val="nil"/>
              <w:right w:val="nil"/>
            </w:tcBorders>
          </w:tcPr>
          <w:p w:rsidR="00987435" w:rsidRPr="00276D72" w:rsidRDefault="00987435" w:rsidP="000B1CCC">
            <w:pPr>
              <w:jc w:val="center"/>
              <w:rPr>
                <w:rFonts w:ascii="Times New Roman" w:eastAsia="Times New Roman" w:hAnsi="Times New Roman" w:cs="Times New Roman"/>
                <w:sz w:val="20"/>
                <w:szCs w:val="20"/>
              </w:rPr>
            </w:pPr>
            <w:r w:rsidRPr="00276D72">
              <w:rPr>
                <w:rFonts w:ascii="Times New Roman" w:eastAsia="Times New Roman" w:hAnsi="Times New Roman" w:cs="Times New Roman"/>
                <w:sz w:val="20"/>
                <w:szCs w:val="20"/>
              </w:rPr>
              <w:t>-435.6 (0.3)</w:t>
            </w:r>
          </w:p>
        </w:tc>
        <w:tc>
          <w:tcPr>
            <w:tcW w:w="1417" w:type="dxa"/>
            <w:vMerge/>
            <w:tcBorders>
              <w:left w:val="nil"/>
            </w:tcBorders>
          </w:tcPr>
          <w:p w:rsidR="00987435" w:rsidRPr="00276D72" w:rsidRDefault="00987435" w:rsidP="000B1CCC">
            <w:pPr>
              <w:jc w:val="center"/>
              <w:rPr>
                <w:rFonts w:ascii="Times New Roman" w:eastAsia="Times New Roman" w:hAnsi="Times New Roman" w:cs="Times New Roman"/>
                <w:sz w:val="20"/>
                <w:szCs w:val="20"/>
              </w:rPr>
            </w:pPr>
          </w:p>
        </w:tc>
      </w:tr>
    </w:tbl>
    <w:p w:rsidR="00987435" w:rsidRPr="00276D72" w:rsidRDefault="00987435" w:rsidP="00987435">
      <w:pPr>
        <w:spacing w:line="480" w:lineRule="auto"/>
        <w:jc w:val="center"/>
      </w:pPr>
    </w:p>
    <w:p w:rsidR="00987435" w:rsidRPr="00276D72" w:rsidRDefault="00987435" w:rsidP="00A672BC">
      <w:pPr>
        <w:spacing w:line="480" w:lineRule="auto"/>
      </w:pPr>
      <w:r w:rsidRPr="00276D72">
        <w:t>In the pristine Li</w:t>
      </w:r>
      <w:r w:rsidRPr="00276D72">
        <w:rPr>
          <w:vertAlign w:val="subscript"/>
        </w:rPr>
        <w:t>1.17</w:t>
      </w:r>
      <w:r w:rsidRPr="00276D72">
        <w:t>Ni</w:t>
      </w:r>
      <w:r w:rsidRPr="00276D72">
        <w:rPr>
          <w:vertAlign w:val="subscript"/>
        </w:rPr>
        <w:t>0.25</w:t>
      </w:r>
      <w:r w:rsidRPr="00276D72">
        <w:t>Mn</w:t>
      </w:r>
      <w:r w:rsidRPr="00276D72">
        <w:rPr>
          <w:vertAlign w:val="subscript"/>
        </w:rPr>
        <w:t>0.58</w:t>
      </w:r>
      <w:r w:rsidRPr="00276D72">
        <w:t>O</w:t>
      </w:r>
      <w:r w:rsidRPr="00276D72">
        <w:rPr>
          <w:vertAlign w:val="subscript"/>
        </w:rPr>
        <w:t>2</w:t>
      </w:r>
      <w:r w:rsidRPr="00276D72">
        <w:t xml:space="preserve"> material every oxygen atom is directly coordinated to six metal </w:t>
      </w:r>
      <w:r w:rsidRPr="00276D72">
        <w:rPr>
          <w:noProof/>
        </w:rPr>
        <w:t>ions</w:t>
      </w:r>
      <w:r w:rsidRPr="00276D72">
        <w:t xml:space="preserve"> (Li</w:t>
      </w:r>
      <w:r w:rsidRPr="00276D72">
        <w:rPr>
          <w:vertAlign w:val="superscript"/>
        </w:rPr>
        <w:t>+</w:t>
      </w:r>
      <w:r w:rsidRPr="00276D72">
        <w:t>, Mn</w:t>
      </w:r>
      <w:r w:rsidRPr="00276D72">
        <w:rPr>
          <w:vertAlign w:val="superscript"/>
        </w:rPr>
        <w:t>4+</w:t>
      </w:r>
      <w:r w:rsidRPr="00276D72">
        <w:t xml:space="preserve"> or Ni</w:t>
      </w:r>
      <w:r w:rsidRPr="00276D72">
        <w:rPr>
          <w:vertAlign w:val="superscript"/>
        </w:rPr>
        <w:t>2+</w:t>
      </w:r>
      <w:r w:rsidRPr="00276D72">
        <w:t>) in an octahedral coordination but the exact environment can differ in the type of the coordinating cations. Most of the oxygen atoms are coordinated to 4 Li</w:t>
      </w:r>
      <w:r w:rsidRPr="00276D72">
        <w:rPr>
          <w:vertAlign w:val="superscript"/>
        </w:rPr>
        <w:t>+</w:t>
      </w:r>
      <w:r w:rsidRPr="00276D72">
        <w:t xml:space="preserve"> and 2 Mn</w:t>
      </w:r>
      <w:r w:rsidRPr="00276D72">
        <w:rPr>
          <w:vertAlign w:val="superscript"/>
        </w:rPr>
        <w:t xml:space="preserve">4+ </w:t>
      </w:r>
      <w:r w:rsidRPr="00276D72">
        <w:t xml:space="preserve">(4Li/2Mn, 46%), however, there are also </w:t>
      </w:r>
      <w:proofErr w:type="spellStart"/>
      <w:r w:rsidRPr="00276D72">
        <w:t>oxygens</w:t>
      </w:r>
      <w:proofErr w:type="spellEnd"/>
      <w:r w:rsidRPr="00276D72">
        <w:t xml:space="preserve"> surrounded by 3 Li</w:t>
      </w:r>
      <w:r w:rsidRPr="00276D72">
        <w:rPr>
          <w:vertAlign w:val="superscript"/>
        </w:rPr>
        <w:t>+</w:t>
      </w:r>
      <w:r w:rsidRPr="00276D72">
        <w:t>, 2 Mn</w:t>
      </w:r>
      <w:r w:rsidRPr="00276D72">
        <w:rPr>
          <w:vertAlign w:val="superscript"/>
        </w:rPr>
        <w:t>4+</w:t>
      </w:r>
      <w:r w:rsidRPr="00276D72">
        <w:t xml:space="preserve"> and 1 Ni</w:t>
      </w:r>
      <w:r w:rsidRPr="00276D72">
        <w:rPr>
          <w:vertAlign w:val="superscript"/>
        </w:rPr>
        <w:t>2+</w:t>
      </w:r>
      <w:r w:rsidRPr="00276D72">
        <w:t xml:space="preserve"> (3Li/2Mn/1Ni, 29%) or 3 Li</w:t>
      </w:r>
      <w:r w:rsidRPr="00276D72">
        <w:rPr>
          <w:vertAlign w:val="superscript"/>
        </w:rPr>
        <w:t>+</w:t>
      </w:r>
      <w:r w:rsidRPr="00276D72">
        <w:t>, 1 Mn</w:t>
      </w:r>
      <w:r w:rsidRPr="00276D72">
        <w:rPr>
          <w:vertAlign w:val="superscript"/>
        </w:rPr>
        <w:t>4+</w:t>
      </w:r>
      <w:r w:rsidRPr="00276D72">
        <w:t xml:space="preserve"> and 2 Ni</w:t>
      </w:r>
      <w:r w:rsidRPr="00276D72">
        <w:rPr>
          <w:vertAlign w:val="superscript"/>
        </w:rPr>
        <w:t xml:space="preserve">2+ </w:t>
      </w:r>
      <w:r w:rsidRPr="00276D72">
        <w:t>(3Li/1Mn/2Ni, 21%), while a few anions have 4 Li</w:t>
      </w:r>
      <w:r w:rsidRPr="00276D72">
        <w:rPr>
          <w:vertAlign w:val="superscript"/>
        </w:rPr>
        <w:t>+</w:t>
      </w:r>
      <w:r w:rsidRPr="00276D72">
        <w:t>, 1 Mn</w:t>
      </w:r>
      <w:r w:rsidRPr="00276D72">
        <w:rPr>
          <w:vertAlign w:val="superscript"/>
        </w:rPr>
        <w:t>4+</w:t>
      </w:r>
      <w:r w:rsidRPr="00276D72">
        <w:t xml:space="preserve"> and 1Ni</w:t>
      </w:r>
      <w:r w:rsidRPr="00276D72">
        <w:rPr>
          <w:vertAlign w:val="superscript"/>
        </w:rPr>
        <w:t>2+</w:t>
      </w:r>
      <w:r w:rsidRPr="00276D72">
        <w:t xml:space="preserve"> (4Li/1Mn/1Ni, 4%) coordinated to them. By differentiating between the O 1s core level binding energies depending on the direct coordination environment, we can single out the binding energies of 4Li/2Mn </w:t>
      </w:r>
      <w:proofErr w:type="spellStart"/>
      <w:r w:rsidRPr="00276D72">
        <w:t>oxygens</w:t>
      </w:r>
      <w:proofErr w:type="spellEnd"/>
      <w:r w:rsidRPr="00276D72">
        <w:t xml:space="preserve"> and use the following equation (</w:t>
      </w:r>
      <w:proofErr w:type="spellStart"/>
      <w:r w:rsidRPr="00276D72">
        <w:t>eq</w:t>
      </w:r>
      <w:proofErr w:type="spellEnd"/>
      <w:r w:rsidRPr="00276D72">
        <w:t xml:space="preserve"> 2) to shift their calculated core level energies into the right energy region:</w:t>
      </w:r>
    </w:p>
    <w:p w:rsidR="00987435" w:rsidRPr="00276D72" w:rsidRDefault="002F0799" w:rsidP="00987435">
      <w:pPr>
        <w:spacing w:line="480" w:lineRule="auto"/>
        <w:ind w:left="284"/>
        <w:jc w:val="center"/>
      </w:pPr>
      <m:oMath>
        <m:sSubSup>
          <m:sSubSupPr>
            <m:ctrlPr>
              <w:rPr>
                <w:rFonts w:ascii="Cambria Math" w:hAnsi="Cambria Math"/>
                <w:i/>
              </w:rPr>
            </m:ctrlPr>
          </m:sSubSupPr>
          <m:e>
            <m:r>
              <w:rPr>
                <w:rFonts w:ascii="Cambria Math" w:hAnsi="Cambria Math"/>
              </w:rPr>
              <m:t>E</m:t>
            </m:r>
          </m:e>
          <m:sub>
            <m:r>
              <w:rPr>
                <w:rFonts w:ascii="Cambria Math" w:hAnsi="Cambria Math"/>
              </w:rPr>
              <m:t>corr</m:t>
            </m:r>
          </m:sub>
          <m:sup>
            <m:r>
              <w:rPr>
                <w:rFonts w:ascii="Cambria Math" w:hAnsi="Cambria Math"/>
              </w:rPr>
              <m:t>4Li/2Mn</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exp</m:t>
            </m:r>
          </m:sub>
          <m:sup>
            <m:sSub>
              <m:sSubPr>
                <m:ctrlPr>
                  <w:rPr>
                    <w:rFonts w:ascii="Cambria Math" w:hAnsi="Cambria Math"/>
                    <w:i/>
                  </w:rPr>
                </m:ctrlPr>
              </m:sSubPr>
              <m:e>
                <m:r>
                  <w:rPr>
                    <w:rFonts w:ascii="Cambria Math" w:hAnsi="Cambria Math"/>
                  </w:rPr>
                  <m:t>Li</m:t>
                </m:r>
              </m:e>
              <m:sub>
                <m:r>
                  <w:rPr>
                    <w:rFonts w:ascii="Cambria Math" w:hAnsi="Cambria Math"/>
                  </w:rPr>
                  <m:t>2</m:t>
                </m:r>
              </m:sub>
            </m:sSub>
            <m:sSub>
              <m:sSubPr>
                <m:ctrlPr>
                  <w:rPr>
                    <w:rFonts w:ascii="Cambria Math" w:hAnsi="Cambria Math"/>
                    <w:i/>
                  </w:rPr>
                </m:ctrlPr>
              </m:sSubPr>
              <m:e>
                <m:r>
                  <w:rPr>
                    <w:rFonts w:ascii="Cambria Math" w:hAnsi="Cambria Math"/>
                  </w:rPr>
                  <m:t>MnO</m:t>
                </m:r>
              </m:e>
              <m:sub>
                <m:r>
                  <w:rPr>
                    <w:rFonts w:ascii="Cambria Math" w:hAnsi="Cambria Math"/>
                  </w:rPr>
                  <m:t>3</m:t>
                </m:r>
              </m:sub>
            </m:sSub>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calc</m:t>
            </m:r>
          </m:sub>
          <m:sup>
            <m:r>
              <w:rPr>
                <w:rFonts w:ascii="Cambria Math" w:hAnsi="Cambria Math"/>
              </w:rPr>
              <m:t>4Li/2Mn</m:t>
            </m:r>
          </m:sup>
        </m:sSub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calc</m:t>
                </m:r>
              </m:sub>
              <m:sup>
                <m:sSub>
                  <m:sSubPr>
                    <m:ctrlPr>
                      <w:rPr>
                        <w:rFonts w:ascii="Cambria Math" w:hAnsi="Cambria Math"/>
                        <w:i/>
                      </w:rPr>
                    </m:ctrlPr>
                  </m:sSubPr>
                  <m:e>
                    <m:r>
                      <w:rPr>
                        <w:rFonts w:ascii="Cambria Math" w:hAnsi="Cambria Math"/>
                      </w:rPr>
                      <m:t>Li</m:t>
                    </m:r>
                  </m:e>
                  <m:sub>
                    <m:r>
                      <w:rPr>
                        <w:rFonts w:ascii="Cambria Math" w:hAnsi="Cambria Math"/>
                      </w:rPr>
                      <m:t>2</m:t>
                    </m:r>
                  </m:sub>
                </m:sSub>
                <m:sSub>
                  <m:sSubPr>
                    <m:ctrlPr>
                      <w:rPr>
                        <w:rFonts w:ascii="Cambria Math" w:hAnsi="Cambria Math"/>
                        <w:i/>
                      </w:rPr>
                    </m:ctrlPr>
                  </m:sSubPr>
                  <m:e>
                    <m:r>
                      <w:rPr>
                        <w:rFonts w:ascii="Cambria Math" w:hAnsi="Cambria Math"/>
                      </w:rPr>
                      <m:t>MnO</m:t>
                    </m:r>
                  </m:e>
                  <m:sub>
                    <m:r>
                      <w:rPr>
                        <w:rFonts w:ascii="Cambria Math" w:hAnsi="Cambria Math"/>
                      </w:rPr>
                      <m:t>3</m:t>
                    </m:r>
                  </m:sub>
                </m:sSub>
              </m:sup>
            </m:sSubSup>
          </m:e>
        </m:d>
        <m:r>
          <w:rPr>
            <w:rFonts w:ascii="Cambria Math" w:hAnsi="Cambria Math"/>
          </w:rPr>
          <m:t>)</m:t>
        </m:r>
      </m:oMath>
      <w:r w:rsidR="00987435" w:rsidRPr="00276D72">
        <w:rPr>
          <w:rFonts w:eastAsiaTheme="minorEastAsia"/>
        </w:rPr>
        <w:tab/>
        <w:t>eq. 2</w:t>
      </w:r>
    </w:p>
    <w:p w:rsidR="00987435" w:rsidRPr="00276D72" w:rsidRDefault="00987435" w:rsidP="00A672BC">
      <w:pPr>
        <w:spacing w:line="480" w:lineRule="auto"/>
      </w:pPr>
      <w:r w:rsidRPr="00276D72">
        <w:t xml:space="preserve">Where </w:t>
      </w:r>
      <m:oMath>
        <m:sSubSup>
          <m:sSubSupPr>
            <m:ctrlPr>
              <w:rPr>
                <w:rFonts w:ascii="Cambria Math" w:hAnsi="Cambria Math"/>
                <w:i/>
              </w:rPr>
            </m:ctrlPr>
          </m:sSubSupPr>
          <m:e>
            <m:r>
              <w:rPr>
                <w:rFonts w:ascii="Cambria Math" w:hAnsi="Cambria Math"/>
              </w:rPr>
              <m:t>E</m:t>
            </m:r>
          </m:e>
          <m:sub>
            <m:r>
              <w:rPr>
                <w:rFonts w:ascii="Cambria Math" w:hAnsi="Cambria Math"/>
              </w:rPr>
              <m:t>exp</m:t>
            </m:r>
          </m:sub>
          <m:sup>
            <m:sSub>
              <m:sSubPr>
                <m:ctrlPr>
                  <w:rPr>
                    <w:rFonts w:ascii="Cambria Math" w:hAnsi="Cambria Math"/>
                    <w:i/>
                  </w:rPr>
                </m:ctrlPr>
              </m:sSubPr>
              <m:e>
                <m:r>
                  <w:rPr>
                    <w:rFonts w:ascii="Cambria Math" w:hAnsi="Cambria Math"/>
                  </w:rPr>
                  <m:t>Li</m:t>
                </m:r>
              </m:e>
              <m:sub>
                <m:r>
                  <w:rPr>
                    <w:rFonts w:ascii="Cambria Math" w:hAnsi="Cambria Math"/>
                  </w:rPr>
                  <m:t>2</m:t>
                </m:r>
              </m:sub>
            </m:sSub>
            <m:sSub>
              <m:sSubPr>
                <m:ctrlPr>
                  <w:rPr>
                    <w:rFonts w:ascii="Cambria Math" w:hAnsi="Cambria Math"/>
                    <w:i/>
                  </w:rPr>
                </m:ctrlPr>
              </m:sSubPr>
              <m:e>
                <m:r>
                  <w:rPr>
                    <w:rFonts w:ascii="Cambria Math" w:hAnsi="Cambria Math"/>
                  </w:rPr>
                  <m:t>MnO</m:t>
                </m:r>
              </m:e>
              <m:sub>
                <m:r>
                  <w:rPr>
                    <w:rFonts w:ascii="Cambria Math" w:hAnsi="Cambria Math"/>
                  </w:rPr>
                  <m:t>3</m:t>
                </m:r>
              </m:sub>
            </m:sSub>
          </m:sup>
        </m:sSubSup>
      </m:oMath>
      <w:r w:rsidRPr="00276D72">
        <w:t xml:space="preserve"> is 529.4 eV, the experimentally measured binding energy of the O 1s electrons in the Li</w:t>
      </w:r>
      <w:r w:rsidRPr="00276D72">
        <w:rPr>
          <w:vertAlign w:val="subscript"/>
        </w:rPr>
        <w:t>2</w:t>
      </w:r>
      <w:r w:rsidRPr="00276D72">
        <w:t>MnO</w:t>
      </w:r>
      <w:r w:rsidRPr="00276D72">
        <w:rPr>
          <w:vertAlign w:val="subscript"/>
        </w:rPr>
        <w:t>3</w:t>
      </w:r>
      <w:r w:rsidRPr="00276D72">
        <w:t xml:space="preserve"> crystal,</w:t>
      </w:r>
      <w:r w:rsidRPr="00276D72">
        <w:fldChar w:fldCharType="begin" w:fldLock="1"/>
      </w:r>
      <w:r w:rsidR="00E6771F">
        <w:instrText>ADDIN CSL_CITATION {"citationItems":[{"id":"ITEM-1","itemData":{"DOI":"10.1039/C5TA02161H","ISBN":"8657486685096","ISSN":"2050-7488","abstract":"The charge compensation from lattice oxygen in the Li 2 MnO 3 component is responsible for the high specific capacity of Li-rich layered oxides.","author":[{"dropping-particle":"","family":"Han","given":"Shaojie","non-dropping-particle":"","parse-names":false,"suffix":""},{"dropping-particle":"","family":"Xia","given":"Yonggao","non-dropping-particle":"","parse-names":false,"suffix":""},{"dropping-particle":"","family":"Wei","given":"Zhen","non-dropping-particle":"","parse-names":false,"suffix":""},{"dropping-particle":"","family":"Qiu","given":"Bao","non-dropping-particle":"","parse-names":false,"suffix":""},{"dropping-particle":"","family":"Pan","given":"Lingchao","non-dropping-particle":"","parse-names":false,"suffix":""},{"dropping-particle":"","family":"Gu","given":"Qingwen","non-dropping-particle":"","parse-names":false,"suffix":""},{"dropping-particle":"","family":"Liu","given":"Zhaoping","non-dropping-particle":"","parse-names":false,"suffix":""},{"dropping-particle":"","family":"Guo","given":"Zhiyong","non-dropping-particle":"","parse-names":false,"suffix":""}],"container-title":"J. Mater. Chem. A","id":"ITEM-1","issue":"22","issued":{"date-parts":[["2015"]]},"page":"11930-11939","publisher":"Royal Society of Chemistry","title":"A comparative study on the oxidation state of lattice oxygen among Li1.14Ni0.136Co0.136Mn0.544O2, Li2MnO3, LiNi0.5Co0.2Mn0.3O2 and LiCoO2 for the initial charge–discharge","type":"article-journal","volume":"3"},"uris":["http://www.mendeley.com/documents/?uuid=48a06be7-3aca-4487-bca2-c669efef6ac2","http://www.mendeley.com/documents/?uuid=4bf9ba41-c622-4e48-8d0d-468dfcad3b93"]}],"mendeley":{"formattedCitation":"&lt;sup&gt;28&lt;/sup&gt;","plainTextFormattedCitation":"28","previouslyFormattedCitation":"&lt;sup&gt;28&lt;/sup&gt;"},"properties":{"noteIndex":0},"schema":"https://github.com/citation-style-language/schema/raw/master/csl-citation.json"}</w:instrText>
      </w:r>
      <w:r w:rsidRPr="00276D72">
        <w:fldChar w:fldCharType="separate"/>
      </w:r>
      <w:r w:rsidR="00160EBA" w:rsidRPr="00160EBA">
        <w:rPr>
          <w:noProof/>
          <w:vertAlign w:val="superscript"/>
        </w:rPr>
        <w:t>28</w:t>
      </w:r>
      <w:r w:rsidRPr="00276D72">
        <w:fldChar w:fldCharType="end"/>
      </w:r>
      <w:r w:rsidRPr="00276D72">
        <w:t xml:space="preserve"> in which every oxygen atom is in the 4Li/2Mn coordination.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calc</m:t>
                </m:r>
              </m:sub>
              <m:sup>
                <m:sSub>
                  <m:sSubPr>
                    <m:ctrlPr>
                      <w:rPr>
                        <w:rFonts w:ascii="Cambria Math" w:hAnsi="Cambria Math"/>
                        <w:i/>
                      </w:rPr>
                    </m:ctrlPr>
                  </m:sSubPr>
                  <m:e>
                    <m:r>
                      <w:rPr>
                        <w:rFonts w:ascii="Cambria Math" w:hAnsi="Cambria Math"/>
                      </w:rPr>
                      <m:t>Li</m:t>
                    </m:r>
                  </m:e>
                  <m:sub>
                    <m:r>
                      <w:rPr>
                        <w:rFonts w:ascii="Cambria Math" w:hAnsi="Cambria Math"/>
                      </w:rPr>
                      <m:t>2</m:t>
                    </m:r>
                  </m:sub>
                </m:sSub>
                <m:sSub>
                  <m:sSubPr>
                    <m:ctrlPr>
                      <w:rPr>
                        <w:rFonts w:ascii="Cambria Math" w:hAnsi="Cambria Math"/>
                        <w:i/>
                      </w:rPr>
                    </m:ctrlPr>
                  </m:sSubPr>
                  <m:e>
                    <m:r>
                      <w:rPr>
                        <w:rFonts w:ascii="Cambria Math" w:hAnsi="Cambria Math"/>
                      </w:rPr>
                      <m:t>MnO</m:t>
                    </m:r>
                  </m:e>
                  <m:sub>
                    <m:r>
                      <w:rPr>
                        <w:rFonts w:ascii="Cambria Math" w:hAnsi="Cambria Math"/>
                      </w:rPr>
                      <m:t>3</m:t>
                    </m:r>
                  </m:sub>
                </m:sSub>
              </m:sup>
            </m:sSubSup>
          </m:e>
        </m:d>
      </m:oMath>
      <w:r w:rsidRPr="00276D72">
        <w:t xml:space="preserve"> is the average binding energy calculated for this material using </w:t>
      </w:r>
      <w:r>
        <w:t xml:space="preserve">eq.1 and </w:t>
      </w:r>
      <w:r w:rsidRPr="00276D72">
        <w:t>the same computational details used for Li</w:t>
      </w:r>
      <w:r w:rsidRPr="00276D72">
        <w:rPr>
          <w:vertAlign w:val="subscript"/>
        </w:rPr>
        <w:t>1.17</w:t>
      </w:r>
      <w:r w:rsidRPr="00276D72">
        <w:t>Mn</w:t>
      </w:r>
      <w:r w:rsidRPr="00276D72">
        <w:rPr>
          <w:vertAlign w:val="subscript"/>
        </w:rPr>
        <w:t>0.58</w:t>
      </w:r>
      <w:r w:rsidRPr="00276D72">
        <w:t>Ni</w:t>
      </w:r>
      <w:r w:rsidRPr="00276D72">
        <w:rPr>
          <w:vertAlign w:val="subscript"/>
        </w:rPr>
        <w:t>0.17</w:t>
      </w:r>
      <w:r w:rsidRPr="00276D72">
        <w:t>O</w:t>
      </w:r>
      <w:r w:rsidRPr="00276D72">
        <w:rPr>
          <w:vertAlign w:val="subscript"/>
        </w:rPr>
        <w:t>2</w:t>
      </w:r>
      <w:r w:rsidRPr="00276D72">
        <w:t xml:space="preserve"> (66.4 eV) and </w:t>
      </w:r>
      <m:oMath>
        <m:sSubSup>
          <m:sSubSupPr>
            <m:ctrlPr>
              <w:rPr>
                <w:rFonts w:ascii="Cambria Math" w:hAnsi="Cambria Math"/>
                <w:i/>
              </w:rPr>
            </m:ctrlPr>
          </m:sSubSupPr>
          <m:e>
            <m:r>
              <w:rPr>
                <w:rFonts w:ascii="Cambria Math" w:hAnsi="Cambria Math"/>
              </w:rPr>
              <m:t>E</m:t>
            </m:r>
          </m:e>
          <m:sub>
            <m:r>
              <w:rPr>
                <w:rFonts w:ascii="Cambria Math" w:hAnsi="Cambria Math"/>
              </w:rPr>
              <m:t>calc</m:t>
            </m:r>
          </m:sub>
          <m:sup>
            <m:r>
              <w:rPr>
                <w:rFonts w:ascii="Cambria Math" w:hAnsi="Cambria Math"/>
              </w:rPr>
              <m:t>4Li/2Mn</m:t>
            </m:r>
          </m:sup>
        </m:sSubSup>
      </m:oMath>
      <w:r w:rsidRPr="00276D72">
        <w:t xml:space="preserve"> is the binding energy of one oxygen in the Li-rich oxide.</w:t>
      </w:r>
    </w:p>
    <w:p w:rsidR="00987435" w:rsidRPr="00276D72" w:rsidRDefault="00987435" w:rsidP="00A672BC">
      <w:pPr>
        <w:spacing w:line="480" w:lineRule="auto"/>
      </w:pPr>
      <w:r w:rsidRPr="00276D72">
        <w:t xml:space="preserve">The binding energies of every other O 1s electrons in the pristine material are adjusted relative to the corrected values of 4Li/2Mn </w:t>
      </w:r>
      <w:proofErr w:type="spellStart"/>
      <w:r w:rsidRPr="00276D72">
        <w:t>oxygens</w:t>
      </w:r>
      <w:proofErr w:type="spellEnd"/>
      <w:r>
        <w:t>. T</w:t>
      </w:r>
      <w:r w:rsidRPr="00276D72">
        <w:t xml:space="preserve">he spectra of the partially </w:t>
      </w:r>
      <w:r w:rsidRPr="00276D72">
        <w:rPr>
          <w:noProof/>
        </w:rPr>
        <w:t>delithiated</w:t>
      </w:r>
      <w:r w:rsidRPr="00276D72">
        <w:t xml:space="preserve"> structures are shifted considering the relative change in the core level energies of every oxygen compared to the </w:t>
      </w:r>
      <w:r>
        <w:t xml:space="preserve">corrected values of the </w:t>
      </w:r>
      <w:r w:rsidRPr="00276D72">
        <w:t xml:space="preserve">fully lithiated structure. </w:t>
      </w:r>
    </w:p>
    <w:p w:rsidR="00987435" w:rsidRPr="00276D72" w:rsidRDefault="00987435" w:rsidP="00987435">
      <w:pPr>
        <w:spacing w:line="480" w:lineRule="auto"/>
        <w:jc w:val="center"/>
        <w:rPr>
          <w:highlight w:val="yellow"/>
        </w:rPr>
      </w:pPr>
      <w:r w:rsidRPr="00276D72">
        <w:rPr>
          <w:noProof/>
          <w:lang w:eastAsia="en-GB"/>
        </w:rPr>
        <w:drawing>
          <wp:inline distT="0" distB="0" distL="0" distR="0" wp14:anchorId="783B3B11" wp14:editId="1355FE01">
            <wp:extent cx="3374385" cy="64470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s_ossz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1252" cy="6460220"/>
                    </a:xfrm>
                    <a:prstGeom prst="rect">
                      <a:avLst/>
                    </a:prstGeom>
                  </pic:spPr>
                </pic:pic>
              </a:graphicData>
            </a:graphic>
          </wp:inline>
        </w:drawing>
      </w:r>
    </w:p>
    <w:p w:rsidR="00987435" w:rsidRDefault="00987435" w:rsidP="00A672BC">
      <w:pPr>
        <w:spacing w:line="480" w:lineRule="auto"/>
        <w:rPr>
          <w:rFonts w:eastAsiaTheme="minorEastAsia"/>
        </w:rPr>
      </w:pPr>
      <w:r w:rsidRPr="00053307">
        <w:t>Figure S</w:t>
      </w:r>
      <w:r>
        <w:rPr>
          <w:noProof/>
        </w:rPr>
        <w:fldChar w:fldCharType="begin"/>
      </w:r>
      <w:r>
        <w:rPr>
          <w:noProof/>
        </w:rPr>
        <w:instrText xml:space="preserve"> SEQ Figure_S \* ARABIC </w:instrText>
      </w:r>
      <w:r>
        <w:rPr>
          <w:noProof/>
        </w:rPr>
        <w:fldChar w:fldCharType="separate"/>
      </w:r>
      <w:r w:rsidR="00AE3693">
        <w:rPr>
          <w:noProof/>
        </w:rPr>
        <w:t>15</w:t>
      </w:r>
      <w:r>
        <w:rPr>
          <w:noProof/>
        </w:rPr>
        <w:fldChar w:fldCharType="end"/>
      </w:r>
      <w:r w:rsidR="00FB12AF">
        <w:t>.</w:t>
      </w:r>
      <w:r w:rsidRPr="00053307">
        <w:t xml:space="preserve"> Total and partial density of states (DOS) </w:t>
      </w:r>
      <w:r w:rsidRPr="00053307">
        <w:rPr>
          <w:noProof/>
        </w:rPr>
        <w:t>plot</w:t>
      </w:r>
      <w:r w:rsidRPr="00053307">
        <w:t xml:space="preserve"> for the Li</w:t>
      </w:r>
      <w:r w:rsidRPr="00053307">
        <w:rPr>
          <w:vertAlign w:val="subscript"/>
        </w:rPr>
        <w:t>1.17-x</w:t>
      </w:r>
      <w:r w:rsidRPr="00053307">
        <w:t>Ni</w:t>
      </w:r>
      <w:r w:rsidRPr="00053307">
        <w:rPr>
          <w:vertAlign w:val="subscript"/>
        </w:rPr>
        <w:t>0.25</w:t>
      </w:r>
      <w:r w:rsidRPr="00053307">
        <w:t>Mn</w:t>
      </w:r>
      <w:r w:rsidRPr="00053307">
        <w:rPr>
          <w:vertAlign w:val="subscript"/>
        </w:rPr>
        <w:t>0.58</w:t>
      </w:r>
      <w:r w:rsidRPr="00053307">
        <w:t>O</w:t>
      </w:r>
      <w:r w:rsidRPr="00053307">
        <w:rPr>
          <w:vertAlign w:val="subscript"/>
        </w:rPr>
        <w:t>2</w:t>
      </w:r>
      <w:r w:rsidRPr="00053307">
        <w:t xml:space="preserve"> structure with varying Li content (x=0.0, 0.5, 0.67, 0.83 and 1.0). The Fermi level is set to 0 eV. Plotting the </w:t>
      </w:r>
      <w:r w:rsidRPr="00053307">
        <w:rPr>
          <w:noProof/>
        </w:rPr>
        <w:t>pDOS</w:t>
      </w:r>
      <w:r w:rsidRPr="00053307">
        <w:t xml:space="preserve"> for only the oxygen ions with magnetic moment close to -0.8 </w:t>
      </w:r>
      <m:oMath>
        <m:sSub>
          <m:sSubPr>
            <m:ctrlPr>
              <w:rPr>
                <w:rFonts w:ascii="Cambria Math" w:hAnsi="Cambria Math"/>
                <w:i/>
              </w:rPr>
            </m:ctrlPr>
          </m:sSubPr>
          <m:e>
            <m:r>
              <w:rPr>
                <w:rFonts w:ascii="Cambria Math" w:hAnsi="Cambria Math"/>
              </w:rPr>
              <m:t>μ</m:t>
            </m:r>
          </m:e>
          <m:sub>
            <m:r>
              <w:rPr>
                <w:rFonts w:ascii="Cambria Math" w:hAnsi="Cambria Math"/>
              </w:rPr>
              <m:t>B</m:t>
            </m:r>
          </m:sub>
        </m:sSub>
      </m:oMath>
      <w:r w:rsidRPr="00053307">
        <w:rPr>
          <w:rFonts w:eastAsiaTheme="minorEastAsia"/>
        </w:rPr>
        <w:t xml:space="preserve"> (filled yellow plot) demonstrates that the lowest unoccupied states are mostly related to these species. The fully </w:t>
      </w:r>
      <w:proofErr w:type="spellStart"/>
      <w:r w:rsidRPr="00053307">
        <w:rPr>
          <w:rFonts w:eastAsiaTheme="minorEastAsia"/>
        </w:rPr>
        <w:t>delithitated</w:t>
      </w:r>
      <w:proofErr w:type="spellEnd"/>
      <w:r w:rsidRPr="00053307">
        <w:rPr>
          <w:rFonts w:eastAsiaTheme="minorEastAsia"/>
        </w:rPr>
        <w:t xml:space="preserve"> structure (x=1.0) is an exception, in which the lowest unoccupied states are related to the oxidised Ni ions as well as the </w:t>
      </w:r>
      <w:proofErr w:type="spellStart"/>
      <w:r w:rsidRPr="00053307">
        <w:rPr>
          <w:rFonts w:eastAsiaTheme="minorEastAsia"/>
        </w:rPr>
        <w:t>oxygens</w:t>
      </w:r>
      <w:proofErr w:type="spellEnd"/>
      <w:r w:rsidRPr="00053307">
        <w:rPr>
          <w:rFonts w:eastAsiaTheme="minorEastAsia"/>
        </w:rPr>
        <w:t>.</w:t>
      </w:r>
      <w:r>
        <w:rPr>
          <w:rFonts w:eastAsiaTheme="minorEastAsia"/>
        </w:rPr>
        <w:br w:type="page"/>
      </w:r>
    </w:p>
    <w:p w:rsidR="00987435" w:rsidRPr="00B05382" w:rsidRDefault="00987435" w:rsidP="001401D9">
      <w:pPr>
        <w:spacing w:line="480" w:lineRule="auto"/>
        <w:rPr>
          <w:b/>
          <w:u w:val="single"/>
        </w:rPr>
      </w:pPr>
      <w:r w:rsidRPr="00B05382">
        <w:rPr>
          <w:b/>
          <w:u w:val="single"/>
        </w:rPr>
        <w:t xml:space="preserve">Note </w:t>
      </w:r>
      <w:r w:rsidR="001401D9">
        <w:rPr>
          <w:b/>
          <w:u w:val="single"/>
        </w:rPr>
        <w:t>11</w:t>
      </w:r>
      <w:r>
        <w:rPr>
          <w:b/>
          <w:u w:val="single"/>
        </w:rPr>
        <w:t xml:space="preserve">. STEM images of </w:t>
      </w:r>
      <w:r w:rsidRPr="00D12605">
        <w:rPr>
          <w:b/>
          <w:u w:val="single"/>
        </w:rPr>
        <w:t>Li</w:t>
      </w:r>
      <w:r w:rsidRPr="00D12605">
        <w:rPr>
          <w:b/>
          <w:u w:val="single"/>
          <w:vertAlign w:val="subscript"/>
        </w:rPr>
        <w:t>1.2</w:t>
      </w:r>
      <w:r w:rsidRPr="00D12605">
        <w:rPr>
          <w:b/>
          <w:u w:val="single"/>
        </w:rPr>
        <w:t>Ni</w:t>
      </w:r>
      <w:r w:rsidRPr="00D12605">
        <w:rPr>
          <w:b/>
          <w:u w:val="single"/>
          <w:vertAlign w:val="subscript"/>
        </w:rPr>
        <w:t>0.2</w:t>
      </w:r>
      <w:r w:rsidRPr="00D12605">
        <w:rPr>
          <w:b/>
          <w:u w:val="single"/>
        </w:rPr>
        <w:t>Mn</w:t>
      </w:r>
      <w:r w:rsidRPr="00D12605">
        <w:rPr>
          <w:b/>
          <w:u w:val="single"/>
          <w:vertAlign w:val="subscript"/>
        </w:rPr>
        <w:t>0.6</w:t>
      </w:r>
      <w:r w:rsidRPr="00D12605">
        <w:rPr>
          <w:b/>
          <w:u w:val="single"/>
        </w:rPr>
        <w:t>O</w:t>
      </w:r>
      <w:r w:rsidRPr="00D12605">
        <w:rPr>
          <w:b/>
          <w:u w:val="single"/>
          <w:vertAlign w:val="subscript"/>
        </w:rPr>
        <w:t>2</w:t>
      </w:r>
      <w:r w:rsidRPr="00D12605">
        <w:rPr>
          <w:b/>
          <w:u w:val="single"/>
        </w:rPr>
        <w:t xml:space="preserve"> samples</w:t>
      </w:r>
      <w:r>
        <w:rPr>
          <w:b/>
          <w:u w:val="single"/>
        </w:rPr>
        <w:t>.</w:t>
      </w:r>
    </w:p>
    <w:p w:rsidR="00987435" w:rsidRDefault="00987435" w:rsidP="00A672BC">
      <w:pPr>
        <w:spacing w:line="480" w:lineRule="auto"/>
      </w:pPr>
      <w:r>
        <w:t xml:space="preserve">STEM images show a disordered rocksalt phase formed at the surface in the charged </w:t>
      </w:r>
      <w:proofErr w:type="spellStart"/>
      <w:r>
        <w:t>LiRich</w:t>
      </w:r>
      <w:proofErr w:type="spellEnd"/>
      <w:r>
        <w:t xml:space="preserve"> LMNO material. Lithium layers are filled with transition metal atoms in the disordered rocksalt layer.</w:t>
      </w:r>
    </w:p>
    <w:p w:rsidR="00987435" w:rsidRDefault="00987435" w:rsidP="00987435">
      <w:pPr>
        <w:spacing w:line="480" w:lineRule="auto"/>
        <w:jc w:val="center"/>
      </w:pPr>
      <w:r>
        <w:rPr>
          <w:noProof/>
          <w:lang w:eastAsia="en-GB"/>
        </w:rPr>
        <w:drawing>
          <wp:inline distT="0" distB="0" distL="0" distR="0" wp14:anchorId="64FE2588" wp14:editId="04F2C2F4">
            <wp:extent cx="5099860" cy="2750024"/>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for Andy.png"/>
                    <pic:cNvPicPr/>
                  </pic:nvPicPr>
                  <pic:blipFill rotWithShape="1">
                    <a:blip r:embed="rId23">
                      <a:extLst>
                        <a:ext uri="{28A0092B-C50C-407E-A947-70E740481C1C}">
                          <a14:useLocalDpi xmlns:a14="http://schemas.microsoft.com/office/drawing/2010/main" val="0"/>
                        </a:ext>
                      </a:extLst>
                    </a:blip>
                    <a:srcRect l="16079" t="15663" r="17229" b="20402"/>
                    <a:stretch/>
                  </pic:blipFill>
                  <pic:spPr bwMode="auto">
                    <a:xfrm>
                      <a:off x="0" y="0"/>
                      <a:ext cx="5108576" cy="2754724"/>
                    </a:xfrm>
                    <a:prstGeom prst="rect">
                      <a:avLst/>
                    </a:prstGeom>
                    <a:ln>
                      <a:noFill/>
                    </a:ln>
                    <a:extLst>
                      <a:ext uri="{53640926-AAD7-44D8-BBD7-CCE9431645EC}">
                        <a14:shadowObscured xmlns:a14="http://schemas.microsoft.com/office/drawing/2010/main"/>
                      </a:ext>
                    </a:extLst>
                  </pic:spPr>
                </pic:pic>
              </a:graphicData>
            </a:graphic>
          </wp:inline>
        </w:drawing>
      </w:r>
    </w:p>
    <w:p w:rsidR="00987435" w:rsidRPr="00053307" w:rsidRDefault="00987435" w:rsidP="001401D9">
      <w:r w:rsidRPr="00053307">
        <w:t>Figure S</w:t>
      </w:r>
      <w:r>
        <w:rPr>
          <w:noProof/>
        </w:rPr>
        <w:fldChar w:fldCharType="begin"/>
      </w:r>
      <w:r>
        <w:rPr>
          <w:noProof/>
        </w:rPr>
        <w:instrText xml:space="preserve"> SEQ Figure_S \* ARABIC </w:instrText>
      </w:r>
      <w:r>
        <w:rPr>
          <w:noProof/>
        </w:rPr>
        <w:fldChar w:fldCharType="separate"/>
      </w:r>
      <w:r w:rsidR="00AE3693">
        <w:rPr>
          <w:noProof/>
        </w:rPr>
        <w:t>16</w:t>
      </w:r>
      <w:r>
        <w:rPr>
          <w:noProof/>
        </w:rPr>
        <w:fldChar w:fldCharType="end"/>
      </w:r>
      <w:r w:rsidR="00FB12AF">
        <w:t>.</w:t>
      </w:r>
      <w:r w:rsidRPr="00053307">
        <w:t xml:space="preserve"> High resolution ADF-STEM images of a) pristine and b) charged (4.5V) layered LMNO.</w:t>
      </w:r>
    </w:p>
    <w:p w:rsidR="00987435" w:rsidRDefault="00987435" w:rsidP="00987435">
      <w:pPr>
        <w:spacing w:line="480" w:lineRule="auto"/>
      </w:pPr>
    </w:p>
    <w:p w:rsidR="00987435" w:rsidRPr="009D3723" w:rsidRDefault="00987435" w:rsidP="00987435">
      <w:pPr>
        <w:spacing w:line="480" w:lineRule="auto"/>
      </w:pPr>
    </w:p>
    <w:p w:rsidR="00987435" w:rsidRPr="00F806C1" w:rsidRDefault="00987435" w:rsidP="00F806C1">
      <w:pPr>
        <w:spacing w:line="480" w:lineRule="auto"/>
        <w:rPr>
          <w:b/>
          <w:u w:val="single"/>
        </w:rPr>
      </w:pPr>
      <w:r>
        <w:rPr>
          <w:b/>
          <w:sz w:val="28"/>
          <w:szCs w:val="28"/>
          <w:u w:val="single"/>
        </w:rPr>
        <w:br w:type="page"/>
      </w:r>
      <w:r w:rsidR="00F806C1" w:rsidRPr="00F806C1">
        <w:rPr>
          <w:b/>
          <w:u w:val="single"/>
        </w:rPr>
        <w:t>References</w:t>
      </w:r>
    </w:p>
    <w:p w:rsidR="00E6771F" w:rsidRPr="00E6771F" w:rsidRDefault="00987435" w:rsidP="00E6771F">
      <w:pPr>
        <w:widowControl w:val="0"/>
        <w:autoSpaceDE w:val="0"/>
        <w:autoSpaceDN w:val="0"/>
        <w:adjustRightInd w:val="0"/>
        <w:spacing w:line="480" w:lineRule="auto"/>
        <w:ind w:left="640" w:hanging="640"/>
        <w:rPr>
          <w:rFonts w:ascii="Calibri" w:hAnsi="Calibri" w:cs="Calibri"/>
          <w:noProof/>
          <w:szCs w:val="24"/>
        </w:rPr>
      </w:pPr>
      <w:r w:rsidRPr="00F806C1">
        <w:fldChar w:fldCharType="begin" w:fldLock="1"/>
      </w:r>
      <w:r w:rsidRPr="00F806C1">
        <w:instrText xml:space="preserve">ADDIN Mendeley Bibliography CSL_BIBLIOGRAPHY </w:instrText>
      </w:r>
      <w:r w:rsidRPr="00F806C1">
        <w:fldChar w:fldCharType="separate"/>
      </w:r>
      <w:r w:rsidR="00E6771F" w:rsidRPr="00E6771F">
        <w:rPr>
          <w:rFonts w:ascii="Calibri" w:hAnsi="Calibri" w:cs="Calibri"/>
          <w:noProof/>
          <w:szCs w:val="24"/>
        </w:rPr>
        <w:t>1</w:t>
      </w:r>
      <w:r w:rsidR="00E6771F" w:rsidRPr="00E6771F">
        <w:rPr>
          <w:rFonts w:ascii="Calibri" w:hAnsi="Calibri" w:cs="Calibri"/>
          <w:noProof/>
          <w:szCs w:val="24"/>
        </w:rPr>
        <w:tab/>
        <w:t xml:space="preserve">A.B. Christie, in </w:t>
      </w:r>
      <w:r w:rsidR="00E6771F" w:rsidRPr="00E6771F">
        <w:rPr>
          <w:rFonts w:ascii="Calibri" w:hAnsi="Calibri" w:cs="Calibri"/>
          <w:i/>
          <w:iCs/>
          <w:noProof/>
          <w:szCs w:val="24"/>
        </w:rPr>
        <w:t>Methods of Surface Analysis: Techniques and Applications</w:t>
      </w:r>
      <w:r w:rsidR="00E6771F" w:rsidRPr="00E6771F">
        <w:rPr>
          <w:rFonts w:ascii="Calibri" w:hAnsi="Calibri" w:cs="Calibri"/>
          <w:noProof/>
          <w:szCs w:val="24"/>
        </w:rPr>
        <w:t>, ed. J. M. Walls, Cambridge University Press, 1989, p. 342.</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w:t>
      </w:r>
      <w:r w:rsidRPr="00E6771F">
        <w:rPr>
          <w:rFonts w:ascii="Calibri" w:hAnsi="Calibri" w:cs="Calibri"/>
          <w:noProof/>
          <w:szCs w:val="24"/>
        </w:rPr>
        <w:tab/>
        <w:t xml:space="preserve">S. Tanuma, C. J. Powell and D. R. Penn, </w:t>
      </w:r>
      <w:r w:rsidRPr="00E6771F">
        <w:rPr>
          <w:rFonts w:ascii="Calibri" w:hAnsi="Calibri" w:cs="Calibri"/>
          <w:i/>
          <w:iCs/>
          <w:noProof/>
          <w:szCs w:val="24"/>
        </w:rPr>
        <w:t>Surf. Interface Anal.</w:t>
      </w:r>
      <w:r w:rsidRPr="00E6771F">
        <w:rPr>
          <w:rFonts w:ascii="Calibri" w:hAnsi="Calibri" w:cs="Calibri"/>
          <w:noProof/>
          <w:szCs w:val="24"/>
        </w:rPr>
        <w:t xml:space="preserve">, 1994, </w:t>
      </w:r>
      <w:r w:rsidRPr="00E6771F">
        <w:rPr>
          <w:rFonts w:ascii="Calibri" w:hAnsi="Calibri" w:cs="Calibri"/>
          <w:b/>
          <w:bCs/>
          <w:noProof/>
          <w:szCs w:val="24"/>
        </w:rPr>
        <w:t>21</w:t>
      </w:r>
      <w:r w:rsidRPr="00E6771F">
        <w:rPr>
          <w:rFonts w:ascii="Calibri" w:hAnsi="Calibri" w:cs="Calibri"/>
          <w:noProof/>
          <w:szCs w:val="24"/>
        </w:rPr>
        <w:t>, 165–176.</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3</w:t>
      </w:r>
      <w:r w:rsidRPr="00E6771F">
        <w:rPr>
          <w:rFonts w:ascii="Calibri" w:hAnsi="Calibri" w:cs="Calibri"/>
          <w:noProof/>
          <w:szCs w:val="24"/>
        </w:rPr>
        <w:tab/>
        <w:t xml:space="preserve">M. P. Seah and W. A. Dench, </w:t>
      </w:r>
      <w:r w:rsidRPr="00E6771F">
        <w:rPr>
          <w:rFonts w:ascii="Calibri" w:hAnsi="Calibri" w:cs="Calibri"/>
          <w:i/>
          <w:iCs/>
          <w:noProof/>
          <w:szCs w:val="24"/>
        </w:rPr>
        <w:t>Surf. Interface Anal.</w:t>
      </w:r>
      <w:r w:rsidRPr="00E6771F">
        <w:rPr>
          <w:rFonts w:ascii="Calibri" w:hAnsi="Calibri" w:cs="Calibri"/>
          <w:noProof/>
          <w:szCs w:val="24"/>
        </w:rPr>
        <w:t xml:space="preserve">, 1979, </w:t>
      </w:r>
      <w:r w:rsidRPr="00E6771F">
        <w:rPr>
          <w:rFonts w:ascii="Calibri" w:hAnsi="Calibri" w:cs="Calibri"/>
          <w:b/>
          <w:bCs/>
          <w:noProof/>
          <w:szCs w:val="24"/>
        </w:rPr>
        <w:t>1</w:t>
      </w:r>
      <w:r w:rsidRPr="00E6771F">
        <w:rPr>
          <w:rFonts w:ascii="Calibri" w:hAnsi="Calibri" w:cs="Calibri"/>
          <w:noProof/>
          <w:szCs w:val="24"/>
        </w:rPr>
        <w:t>, 2–11.</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4</w:t>
      </w:r>
      <w:r w:rsidRPr="00E6771F">
        <w:rPr>
          <w:rFonts w:ascii="Calibri" w:hAnsi="Calibri" w:cs="Calibri"/>
          <w:noProof/>
          <w:szCs w:val="24"/>
        </w:rPr>
        <w:tab/>
        <w:t xml:space="preserve">K. Shimoda, T. Minato, K. Nakanishi, H. Komatsu, T. Matsunaga, H. Tanida, H. Arai, Y. Ukyo, Y. Uchimoto and Z. Ogumi, </w:t>
      </w:r>
      <w:r w:rsidRPr="00E6771F">
        <w:rPr>
          <w:rFonts w:ascii="Calibri" w:hAnsi="Calibri" w:cs="Calibri"/>
          <w:i/>
          <w:iCs/>
          <w:noProof/>
          <w:szCs w:val="24"/>
        </w:rPr>
        <w:t>J. Mater. Chem. A</w:t>
      </w:r>
      <w:r w:rsidRPr="00E6771F">
        <w:rPr>
          <w:rFonts w:ascii="Calibri" w:hAnsi="Calibri" w:cs="Calibri"/>
          <w:noProof/>
          <w:szCs w:val="24"/>
        </w:rPr>
        <w:t xml:space="preserve">, 2016, </w:t>
      </w:r>
      <w:r w:rsidRPr="00E6771F">
        <w:rPr>
          <w:rFonts w:ascii="Calibri" w:hAnsi="Calibri" w:cs="Calibri"/>
          <w:b/>
          <w:bCs/>
          <w:noProof/>
          <w:szCs w:val="24"/>
        </w:rPr>
        <w:t>4</w:t>
      </w:r>
      <w:r w:rsidRPr="00E6771F">
        <w:rPr>
          <w:rFonts w:ascii="Calibri" w:hAnsi="Calibri" w:cs="Calibri"/>
          <w:noProof/>
          <w:szCs w:val="24"/>
        </w:rPr>
        <w:t>, 5909–5916.</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5</w:t>
      </w:r>
      <w:r w:rsidRPr="00E6771F">
        <w:rPr>
          <w:rFonts w:ascii="Calibri" w:hAnsi="Calibri" w:cs="Calibri"/>
          <w:noProof/>
          <w:szCs w:val="24"/>
        </w:rPr>
        <w:tab/>
        <w:t xml:space="preserve">D. Foix, M. Sathiya, E. McCalla, J.-M. Tarascon and D. Gonbeau, </w:t>
      </w:r>
      <w:r w:rsidRPr="00E6771F">
        <w:rPr>
          <w:rFonts w:ascii="Calibri" w:hAnsi="Calibri" w:cs="Calibri"/>
          <w:i/>
          <w:iCs/>
          <w:noProof/>
          <w:szCs w:val="24"/>
        </w:rPr>
        <w:t>J. Phys. Chem. C</w:t>
      </w:r>
      <w:r w:rsidRPr="00E6771F">
        <w:rPr>
          <w:rFonts w:ascii="Calibri" w:hAnsi="Calibri" w:cs="Calibri"/>
          <w:noProof/>
          <w:szCs w:val="24"/>
        </w:rPr>
        <w:t xml:space="preserve">, 2016, </w:t>
      </w:r>
      <w:r w:rsidRPr="00E6771F">
        <w:rPr>
          <w:rFonts w:ascii="Calibri" w:hAnsi="Calibri" w:cs="Calibri"/>
          <w:b/>
          <w:bCs/>
          <w:noProof/>
          <w:szCs w:val="24"/>
        </w:rPr>
        <w:t>120</w:t>
      </w:r>
      <w:r w:rsidRPr="00E6771F">
        <w:rPr>
          <w:rFonts w:ascii="Calibri" w:hAnsi="Calibri" w:cs="Calibri"/>
          <w:noProof/>
          <w:szCs w:val="24"/>
        </w:rPr>
        <w:t>, 862–874.</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6</w:t>
      </w:r>
      <w:r w:rsidRPr="00E6771F">
        <w:rPr>
          <w:rFonts w:ascii="Calibri" w:hAnsi="Calibri" w:cs="Calibri"/>
          <w:noProof/>
          <w:szCs w:val="24"/>
        </w:rPr>
        <w:tab/>
        <w:t xml:space="preserve">M. Sathiya, G. Rousse, K. Ramesha, C. P. Laisa, H. Vezin, M. T. Sougrati, M.-L. Doublet, D. Foix, D. Gonbeau, W. Walker,  a S. Prakash, M. Ben Hassine, L. Dupont and J.-M. Tarascon, </w:t>
      </w:r>
      <w:r w:rsidRPr="00E6771F">
        <w:rPr>
          <w:rFonts w:ascii="Calibri" w:hAnsi="Calibri" w:cs="Calibri"/>
          <w:i/>
          <w:iCs/>
          <w:noProof/>
          <w:szCs w:val="24"/>
        </w:rPr>
        <w:t>Nat. Mater.</w:t>
      </w:r>
      <w:r w:rsidRPr="00E6771F">
        <w:rPr>
          <w:rFonts w:ascii="Calibri" w:hAnsi="Calibri" w:cs="Calibri"/>
          <w:noProof/>
          <w:szCs w:val="24"/>
        </w:rPr>
        <w:t xml:space="preserve">, 2013, </w:t>
      </w:r>
      <w:r w:rsidRPr="00E6771F">
        <w:rPr>
          <w:rFonts w:ascii="Calibri" w:hAnsi="Calibri" w:cs="Calibri"/>
          <w:b/>
          <w:bCs/>
          <w:noProof/>
          <w:szCs w:val="24"/>
        </w:rPr>
        <w:t>12</w:t>
      </w:r>
      <w:r w:rsidRPr="00E6771F">
        <w:rPr>
          <w:rFonts w:ascii="Calibri" w:hAnsi="Calibri" w:cs="Calibri"/>
          <w:noProof/>
          <w:szCs w:val="24"/>
        </w:rPr>
        <w:t>, 827–835.</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7</w:t>
      </w:r>
      <w:r w:rsidRPr="00E6771F">
        <w:rPr>
          <w:rFonts w:ascii="Calibri" w:hAnsi="Calibri" w:cs="Calibri"/>
          <w:noProof/>
          <w:szCs w:val="24"/>
        </w:rPr>
        <w:tab/>
        <w:t xml:space="preserve">G. Assat, D. Foix, C. Delacourt, A. Iadecola, R. Dedryvère and J.-M. Tarascon, </w:t>
      </w:r>
      <w:r w:rsidRPr="00E6771F">
        <w:rPr>
          <w:rFonts w:ascii="Calibri" w:hAnsi="Calibri" w:cs="Calibri"/>
          <w:i/>
          <w:iCs/>
          <w:noProof/>
          <w:szCs w:val="24"/>
        </w:rPr>
        <w:t>Nat. Commun.</w:t>
      </w:r>
      <w:r w:rsidRPr="00E6771F">
        <w:rPr>
          <w:rFonts w:ascii="Calibri" w:hAnsi="Calibri" w:cs="Calibri"/>
          <w:noProof/>
          <w:szCs w:val="24"/>
        </w:rPr>
        <w:t xml:space="preserve">, 2017, </w:t>
      </w:r>
      <w:r w:rsidRPr="00E6771F">
        <w:rPr>
          <w:rFonts w:ascii="Calibri" w:hAnsi="Calibri" w:cs="Calibri"/>
          <w:b/>
          <w:bCs/>
          <w:noProof/>
          <w:szCs w:val="24"/>
        </w:rPr>
        <w:t>8</w:t>
      </w:r>
      <w:r w:rsidRPr="00E6771F">
        <w:rPr>
          <w:rFonts w:ascii="Calibri" w:hAnsi="Calibri" w:cs="Calibri"/>
          <w:noProof/>
          <w:szCs w:val="24"/>
        </w:rPr>
        <w:t>, 2219.</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8</w:t>
      </w:r>
      <w:r w:rsidRPr="00E6771F">
        <w:rPr>
          <w:rFonts w:ascii="Calibri" w:hAnsi="Calibri" w:cs="Calibri"/>
          <w:noProof/>
          <w:szCs w:val="24"/>
        </w:rPr>
        <w:tab/>
        <w:t xml:space="preserve">B. Philippe, M. Hahlin, K. Edstro m, T. Gustafsson, H. Siegbahn and H. Rensmo, </w:t>
      </w:r>
      <w:r w:rsidRPr="00E6771F">
        <w:rPr>
          <w:rFonts w:ascii="Calibri" w:hAnsi="Calibri" w:cs="Calibri"/>
          <w:i/>
          <w:iCs/>
          <w:noProof/>
          <w:szCs w:val="24"/>
        </w:rPr>
        <w:t>J. Electrochem. Soc.</w:t>
      </w:r>
      <w:r w:rsidRPr="00E6771F">
        <w:rPr>
          <w:rFonts w:ascii="Calibri" w:hAnsi="Calibri" w:cs="Calibri"/>
          <w:noProof/>
          <w:szCs w:val="24"/>
        </w:rPr>
        <w:t xml:space="preserve">, 2015, </w:t>
      </w:r>
      <w:r w:rsidRPr="00E6771F">
        <w:rPr>
          <w:rFonts w:ascii="Calibri" w:hAnsi="Calibri" w:cs="Calibri"/>
          <w:b/>
          <w:bCs/>
          <w:noProof/>
          <w:szCs w:val="24"/>
        </w:rPr>
        <w:t>163</w:t>
      </w:r>
      <w:r w:rsidRPr="00E6771F">
        <w:rPr>
          <w:rFonts w:ascii="Calibri" w:hAnsi="Calibri" w:cs="Calibri"/>
          <w:noProof/>
          <w:szCs w:val="24"/>
        </w:rPr>
        <w:t>, A178–A191.</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9</w:t>
      </w:r>
      <w:r w:rsidRPr="00E6771F">
        <w:rPr>
          <w:rFonts w:ascii="Calibri" w:hAnsi="Calibri" w:cs="Calibri"/>
          <w:noProof/>
          <w:szCs w:val="24"/>
        </w:rPr>
        <w:tab/>
        <w:t xml:space="preserve">R. Azmi, V. Trouillet, M. Strafela, S. Ulrich, H. Ehrenberg and M. Bruns, </w:t>
      </w:r>
      <w:r w:rsidRPr="00E6771F">
        <w:rPr>
          <w:rFonts w:ascii="Calibri" w:hAnsi="Calibri" w:cs="Calibri"/>
          <w:i/>
          <w:iCs/>
          <w:noProof/>
          <w:szCs w:val="24"/>
        </w:rPr>
        <w:t>Surf. Interface Anal.</w:t>
      </w:r>
      <w:r w:rsidRPr="00E6771F">
        <w:rPr>
          <w:rFonts w:ascii="Calibri" w:hAnsi="Calibri" w:cs="Calibri"/>
          <w:noProof/>
          <w:szCs w:val="24"/>
        </w:rPr>
        <w:t xml:space="preserve">, 2018, </w:t>
      </w:r>
      <w:r w:rsidRPr="00E6771F">
        <w:rPr>
          <w:rFonts w:ascii="Calibri" w:hAnsi="Calibri" w:cs="Calibri"/>
          <w:b/>
          <w:bCs/>
          <w:noProof/>
          <w:szCs w:val="24"/>
        </w:rPr>
        <w:t>50</w:t>
      </w:r>
      <w:r w:rsidRPr="00E6771F">
        <w:rPr>
          <w:rFonts w:ascii="Calibri" w:hAnsi="Calibri" w:cs="Calibri"/>
          <w:noProof/>
          <w:szCs w:val="24"/>
        </w:rPr>
        <w:t>, 43–51.</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10</w:t>
      </w:r>
      <w:r w:rsidRPr="00E6771F">
        <w:rPr>
          <w:rFonts w:ascii="Calibri" w:hAnsi="Calibri" w:cs="Calibri"/>
          <w:noProof/>
          <w:szCs w:val="24"/>
        </w:rPr>
        <w:tab/>
        <w:t xml:space="preserve">G. Gabrielli, M. Marinaro, M. Mancini, P. Axmann and M. Wohlfahrt-Mehrens, </w:t>
      </w:r>
      <w:r w:rsidRPr="00E6771F">
        <w:rPr>
          <w:rFonts w:ascii="Calibri" w:hAnsi="Calibri" w:cs="Calibri"/>
          <w:i/>
          <w:iCs/>
          <w:noProof/>
          <w:szCs w:val="24"/>
        </w:rPr>
        <w:t>J. Power Sources</w:t>
      </w:r>
      <w:r w:rsidRPr="00E6771F">
        <w:rPr>
          <w:rFonts w:ascii="Calibri" w:hAnsi="Calibri" w:cs="Calibri"/>
          <w:noProof/>
          <w:szCs w:val="24"/>
        </w:rPr>
        <w:t xml:space="preserve">, 2017, </w:t>
      </w:r>
      <w:r w:rsidRPr="00E6771F">
        <w:rPr>
          <w:rFonts w:ascii="Calibri" w:hAnsi="Calibri" w:cs="Calibri"/>
          <w:b/>
          <w:bCs/>
          <w:noProof/>
          <w:szCs w:val="24"/>
        </w:rPr>
        <w:t>351</w:t>
      </w:r>
      <w:r w:rsidRPr="00E6771F">
        <w:rPr>
          <w:rFonts w:ascii="Calibri" w:hAnsi="Calibri" w:cs="Calibri"/>
          <w:noProof/>
          <w:szCs w:val="24"/>
        </w:rPr>
        <w:t>, 35–44.</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11</w:t>
      </w:r>
      <w:r w:rsidRPr="00E6771F">
        <w:rPr>
          <w:rFonts w:ascii="Calibri" w:hAnsi="Calibri" w:cs="Calibri"/>
          <w:noProof/>
          <w:szCs w:val="24"/>
        </w:rPr>
        <w:tab/>
        <w:t xml:space="preserve">M. A. Kebede, S. N. Yannopoulos, L. Sygellou and K. I. Ozoemena, </w:t>
      </w:r>
      <w:r w:rsidRPr="00E6771F">
        <w:rPr>
          <w:rFonts w:ascii="Calibri" w:hAnsi="Calibri" w:cs="Calibri"/>
          <w:i/>
          <w:iCs/>
          <w:noProof/>
          <w:szCs w:val="24"/>
        </w:rPr>
        <w:t>J. Electrochem. Soc.</w:t>
      </w:r>
      <w:r w:rsidRPr="00E6771F">
        <w:rPr>
          <w:rFonts w:ascii="Calibri" w:hAnsi="Calibri" w:cs="Calibri"/>
          <w:noProof/>
          <w:szCs w:val="24"/>
        </w:rPr>
        <w:t xml:space="preserve">, 2017, </w:t>
      </w:r>
      <w:r w:rsidRPr="00E6771F">
        <w:rPr>
          <w:rFonts w:ascii="Calibri" w:hAnsi="Calibri" w:cs="Calibri"/>
          <w:b/>
          <w:bCs/>
          <w:noProof/>
          <w:szCs w:val="24"/>
        </w:rPr>
        <w:t>164</w:t>
      </w:r>
      <w:r w:rsidRPr="00E6771F">
        <w:rPr>
          <w:rFonts w:ascii="Calibri" w:hAnsi="Calibri" w:cs="Calibri"/>
          <w:noProof/>
          <w:szCs w:val="24"/>
        </w:rPr>
        <w:t>, A3259–A3265.</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12</w:t>
      </w:r>
      <w:r w:rsidRPr="00E6771F">
        <w:rPr>
          <w:rFonts w:ascii="Calibri" w:hAnsi="Calibri" w:cs="Calibri"/>
          <w:noProof/>
          <w:szCs w:val="24"/>
        </w:rPr>
        <w:tab/>
        <w:t xml:space="preserve">D.-H. Seo, J. Lee, A. Urban, R. Malik, S. Kang and G. Ceder, </w:t>
      </w:r>
      <w:r w:rsidRPr="00E6771F">
        <w:rPr>
          <w:rFonts w:ascii="Calibri" w:hAnsi="Calibri" w:cs="Calibri"/>
          <w:i/>
          <w:iCs/>
          <w:noProof/>
          <w:szCs w:val="24"/>
        </w:rPr>
        <w:t>Nat. Chem.</w:t>
      </w:r>
      <w:r w:rsidRPr="00E6771F">
        <w:rPr>
          <w:rFonts w:ascii="Calibri" w:hAnsi="Calibri" w:cs="Calibri"/>
          <w:noProof/>
          <w:szCs w:val="24"/>
        </w:rPr>
        <w:t xml:space="preserve">, 2016, </w:t>
      </w:r>
      <w:r w:rsidRPr="00E6771F">
        <w:rPr>
          <w:rFonts w:ascii="Calibri" w:hAnsi="Calibri" w:cs="Calibri"/>
          <w:b/>
          <w:bCs/>
          <w:noProof/>
          <w:szCs w:val="24"/>
        </w:rPr>
        <w:t>8</w:t>
      </w:r>
      <w:r w:rsidRPr="00E6771F">
        <w:rPr>
          <w:rFonts w:ascii="Calibri" w:hAnsi="Calibri" w:cs="Calibri"/>
          <w:noProof/>
          <w:szCs w:val="24"/>
        </w:rPr>
        <w:t>, 692–697.</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13</w:t>
      </w:r>
      <w:r w:rsidRPr="00E6771F">
        <w:rPr>
          <w:rFonts w:ascii="Calibri" w:hAnsi="Calibri" w:cs="Calibri"/>
          <w:noProof/>
          <w:szCs w:val="24"/>
        </w:rPr>
        <w:tab/>
        <w:t xml:space="preserve">S. P. Ong, W. D. Richards, A. Jain, G. Hautier, M. Kocher, S. Cholia, D. Gunter, V. L. Chevrier, K. A. Persson and G. Ceder, </w:t>
      </w:r>
      <w:r w:rsidRPr="00E6771F">
        <w:rPr>
          <w:rFonts w:ascii="Calibri" w:hAnsi="Calibri" w:cs="Calibri"/>
          <w:i/>
          <w:iCs/>
          <w:noProof/>
          <w:szCs w:val="24"/>
        </w:rPr>
        <w:t>Comput. Mater. Sci.</w:t>
      </w:r>
      <w:r w:rsidRPr="00E6771F">
        <w:rPr>
          <w:rFonts w:ascii="Calibri" w:hAnsi="Calibri" w:cs="Calibri"/>
          <w:noProof/>
          <w:szCs w:val="24"/>
        </w:rPr>
        <w:t xml:space="preserve">, 2013, </w:t>
      </w:r>
      <w:r w:rsidRPr="00E6771F">
        <w:rPr>
          <w:rFonts w:ascii="Calibri" w:hAnsi="Calibri" w:cs="Calibri"/>
          <w:b/>
          <w:bCs/>
          <w:noProof/>
          <w:szCs w:val="24"/>
        </w:rPr>
        <w:t>68</w:t>
      </w:r>
      <w:r w:rsidRPr="00E6771F">
        <w:rPr>
          <w:rFonts w:ascii="Calibri" w:hAnsi="Calibri" w:cs="Calibri"/>
          <w:noProof/>
          <w:szCs w:val="24"/>
        </w:rPr>
        <w:t>, 314–319.</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14</w:t>
      </w:r>
      <w:r w:rsidRPr="00E6771F">
        <w:rPr>
          <w:rFonts w:ascii="Calibri" w:hAnsi="Calibri" w:cs="Calibri"/>
          <w:noProof/>
          <w:szCs w:val="24"/>
        </w:rPr>
        <w:tab/>
        <w:t xml:space="preserve">H. Kim, D. J. Kim, D. H. Seo, M. S. Yeom, K. Kang, D. K. Kim and Y. Jung, </w:t>
      </w:r>
      <w:r w:rsidRPr="00E6771F">
        <w:rPr>
          <w:rFonts w:ascii="Calibri" w:hAnsi="Calibri" w:cs="Calibri"/>
          <w:i/>
          <w:iCs/>
          <w:noProof/>
          <w:szCs w:val="24"/>
        </w:rPr>
        <w:t>Chem. Mater.</w:t>
      </w:r>
      <w:r w:rsidRPr="00E6771F">
        <w:rPr>
          <w:rFonts w:ascii="Calibri" w:hAnsi="Calibri" w:cs="Calibri"/>
          <w:noProof/>
          <w:szCs w:val="24"/>
        </w:rPr>
        <w:t xml:space="preserve">, 2012, </w:t>
      </w:r>
      <w:r w:rsidRPr="00E6771F">
        <w:rPr>
          <w:rFonts w:ascii="Calibri" w:hAnsi="Calibri" w:cs="Calibri"/>
          <w:b/>
          <w:bCs/>
          <w:noProof/>
          <w:szCs w:val="24"/>
        </w:rPr>
        <w:t>24</w:t>
      </w:r>
      <w:r w:rsidRPr="00E6771F">
        <w:rPr>
          <w:rFonts w:ascii="Calibri" w:hAnsi="Calibri" w:cs="Calibri"/>
          <w:noProof/>
          <w:szCs w:val="24"/>
        </w:rPr>
        <w:t>, 1205–1211.</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15</w:t>
      </w:r>
      <w:r w:rsidRPr="00E6771F">
        <w:rPr>
          <w:rFonts w:ascii="Calibri" w:hAnsi="Calibri" w:cs="Calibri"/>
          <w:noProof/>
          <w:szCs w:val="24"/>
        </w:rPr>
        <w:tab/>
        <w:t xml:space="preserve">H. Chen, G. Hautier, A. Jain, C. Moore, B. Kang, R. Doe, L. Wu, Y. Zhu, Y. Tang and G. Ceder, </w:t>
      </w:r>
      <w:r w:rsidRPr="00E6771F">
        <w:rPr>
          <w:rFonts w:ascii="Calibri" w:hAnsi="Calibri" w:cs="Calibri"/>
          <w:i/>
          <w:iCs/>
          <w:noProof/>
          <w:szCs w:val="24"/>
        </w:rPr>
        <w:t>Chem. Mater.</w:t>
      </w:r>
      <w:r w:rsidRPr="00E6771F">
        <w:rPr>
          <w:rFonts w:ascii="Calibri" w:hAnsi="Calibri" w:cs="Calibri"/>
          <w:noProof/>
          <w:szCs w:val="24"/>
        </w:rPr>
        <w:t xml:space="preserve">, 2012, </w:t>
      </w:r>
      <w:r w:rsidRPr="00E6771F">
        <w:rPr>
          <w:rFonts w:ascii="Calibri" w:hAnsi="Calibri" w:cs="Calibri"/>
          <w:b/>
          <w:bCs/>
          <w:noProof/>
          <w:szCs w:val="24"/>
        </w:rPr>
        <w:t>24</w:t>
      </w:r>
      <w:r w:rsidRPr="00E6771F">
        <w:rPr>
          <w:rFonts w:ascii="Calibri" w:hAnsi="Calibri" w:cs="Calibri"/>
          <w:noProof/>
          <w:szCs w:val="24"/>
        </w:rPr>
        <w:t>, 2009–2016.</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16</w:t>
      </w:r>
      <w:r w:rsidRPr="00E6771F">
        <w:rPr>
          <w:rFonts w:ascii="Calibri" w:hAnsi="Calibri" w:cs="Calibri"/>
          <w:noProof/>
          <w:szCs w:val="24"/>
        </w:rPr>
        <w:tab/>
        <w:t xml:space="preserve">B. Xu, C. R. Fell, M. Chi and Y. S. Meng, </w:t>
      </w:r>
      <w:r w:rsidRPr="00E6771F">
        <w:rPr>
          <w:rFonts w:ascii="Calibri" w:hAnsi="Calibri" w:cs="Calibri"/>
          <w:i/>
          <w:iCs/>
          <w:noProof/>
          <w:szCs w:val="24"/>
        </w:rPr>
        <w:t>Energy Environ. Sci.</w:t>
      </w:r>
      <w:r w:rsidRPr="00E6771F">
        <w:rPr>
          <w:rFonts w:ascii="Calibri" w:hAnsi="Calibri" w:cs="Calibri"/>
          <w:noProof/>
          <w:szCs w:val="24"/>
        </w:rPr>
        <w:t xml:space="preserve">, 2011, </w:t>
      </w:r>
      <w:r w:rsidRPr="00E6771F">
        <w:rPr>
          <w:rFonts w:ascii="Calibri" w:hAnsi="Calibri" w:cs="Calibri"/>
          <w:b/>
          <w:bCs/>
          <w:noProof/>
          <w:szCs w:val="24"/>
        </w:rPr>
        <w:t>4</w:t>
      </w:r>
      <w:r w:rsidRPr="00E6771F">
        <w:rPr>
          <w:rFonts w:ascii="Calibri" w:hAnsi="Calibri" w:cs="Calibri"/>
          <w:noProof/>
          <w:szCs w:val="24"/>
        </w:rPr>
        <w:t>, 2223.</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17</w:t>
      </w:r>
      <w:r w:rsidRPr="00E6771F">
        <w:rPr>
          <w:rFonts w:ascii="Calibri" w:hAnsi="Calibri" w:cs="Calibri"/>
          <w:noProof/>
          <w:szCs w:val="24"/>
        </w:rPr>
        <w:tab/>
        <w:t xml:space="preserve">J. Bréger, M. Jiang, N. Dupré, Y. S. Meng, Y. Shao-Horn, G. Ceder and C. P. Grey, </w:t>
      </w:r>
      <w:r w:rsidRPr="00E6771F">
        <w:rPr>
          <w:rFonts w:ascii="Calibri" w:hAnsi="Calibri" w:cs="Calibri"/>
          <w:i/>
          <w:iCs/>
          <w:noProof/>
          <w:szCs w:val="24"/>
        </w:rPr>
        <w:t>J. Solid State Chem.</w:t>
      </w:r>
      <w:r w:rsidRPr="00E6771F">
        <w:rPr>
          <w:rFonts w:ascii="Calibri" w:hAnsi="Calibri" w:cs="Calibri"/>
          <w:noProof/>
          <w:szCs w:val="24"/>
        </w:rPr>
        <w:t xml:space="preserve">, 2005, </w:t>
      </w:r>
      <w:r w:rsidRPr="00E6771F">
        <w:rPr>
          <w:rFonts w:ascii="Calibri" w:hAnsi="Calibri" w:cs="Calibri"/>
          <w:b/>
          <w:bCs/>
          <w:noProof/>
          <w:szCs w:val="24"/>
        </w:rPr>
        <w:t>178</w:t>
      </w:r>
      <w:r w:rsidRPr="00E6771F">
        <w:rPr>
          <w:rFonts w:ascii="Calibri" w:hAnsi="Calibri" w:cs="Calibri"/>
          <w:noProof/>
          <w:szCs w:val="24"/>
        </w:rPr>
        <w:t>, 2575–2585.</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18</w:t>
      </w:r>
      <w:r w:rsidRPr="00E6771F">
        <w:rPr>
          <w:rFonts w:ascii="Calibri" w:hAnsi="Calibri" w:cs="Calibri"/>
          <w:noProof/>
          <w:szCs w:val="24"/>
        </w:rPr>
        <w:tab/>
        <w:t xml:space="preserve">S. Lizzit, A. Baraldi, A. Groso, K. Reuter, M. V. Ganduglia-Pirovano, C. Stampfl, M. Scheffler, M. Stichler, C. Keller, W. Wurth and D. Menzel, </w:t>
      </w:r>
      <w:r w:rsidRPr="00E6771F">
        <w:rPr>
          <w:rFonts w:ascii="Calibri" w:hAnsi="Calibri" w:cs="Calibri"/>
          <w:i/>
          <w:iCs/>
          <w:noProof/>
          <w:szCs w:val="24"/>
        </w:rPr>
        <w:t>Phys. Rev. B</w:t>
      </w:r>
      <w:r w:rsidRPr="00E6771F">
        <w:rPr>
          <w:rFonts w:ascii="Calibri" w:hAnsi="Calibri" w:cs="Calibri"/>
          <w:noProof/>
          <w:szCs w:val="24"/>
        </w:rPr>
        <w:t xml:space="preserve">, 2001, </w:t>
      </w:r>
      <w:r w:rsidRPr="00E6771F">
        <w:rPr>
          <w:rFonts w:ascii="Calibri" w:hAnsi="Calibri" w:cs="Calibri"/>
          <w:b/>
          <w:bCs/>
          <w:noProof/>
          <w:szCs w:val="24"/>
        </w:rPr>
        <w:t>63</w:t>
      </w:r>
      <w:r w:rsidRPr="00E6771F">
        <w:rPr>
          <w:rFonts w:ascii="Calibri" w:hAnsi="Calibri" w:cs="Calibri"/>
          <w:noProof/>
          <w:szCs w:val="24"/>
        </w:rPr>
        <w:t>, 205419.</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19</w:t>
      </w:r>
      <w:r w:rsidRPr="00E6771F">
        <w:rPr>
          <w:rFonts w:ascii="Calibri" w:hAnsi="Calibri" w:cs="Calibri"/>
          <w:noProof/>
          <w:szCs w:val="24"/>
        </w:rPr>
        <w:tab/>
        <w:t xml:space="preserve">L. Köhler and G. Kresse, </w:t>
      </w:r>
      <w:r w:rsidRPr="00E6771F">
        <w:rPr>
          <w:rFonts w:ascii="Calibri" w:hAnsi="Calibri" w:cs="Calibri"/>
          <w:i/>
          <w:iCs/>
          <w:noProof/>
          <w:szCs w:val="24"/>
        </w:rPr>
        <w:t>Phys. Rev. B</w:t>
      </w:r>
      <w:r w:rsidRPr="00E6771F">
        <w:rPr>
          <w:rFonts w:ascii="Calibri" w:hAnsi="Calibri" w:cs="Calibri"/>
          <w:noProof/>
          <w:szCs w:val="24"/>
        </w:rPr>
        <w:t xml:space="preserve">, 2004, </w:t>
      </w:r>
      <w:r w:rsidRPr="00E6771F">
        <w:rPr>
          <w:rFonts w:ascii="Calibri" w:hAnsi="Calibri" w:cs="Calibri"/>
          <w:b/>
          <w:bCs/>
          <w:noProof/>
          <w:szCs w:val="24"/>
        </w:rPr>
        <w:t>70</w:t>
      </w:r>
      <w:r w:rsidRPr="00E6771F">
        <w:rPr>
          <w:rFonts w:ascii="Calibri" w:hAnsi="Calibri" w:cs="Calibri"/>
          <w:noProof/>
          <w:szCs w:val="24"/>
        </w:rPr>
        <w:t>, 165405.</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20</w:t>
      </w:r>
      <w:r w:rsidRPr="00E6771F">
        <w:rPr>
          <w:rFonts w:ascii="Calibri" w:hAnsi="Calibri" w:cs="Calibri"/>
          <w:noProof/>
          <w:szCs w:val="24"/>
        </w:rPr>
        <w:tab/>
        <w:t xml:space="preserve">É. Guille, G. Vallverdu and I. Baraille, </w:t>
      </w:r>
      <w:r w:rsidRPr="00E6771F">
        <w:rPr>
          <w:rFonts w:ascii="Calibri" w:hAnsi="Calibri" w:cs="Calibri"/>
          <w:i/>
          <w:iCs/>
          <w:noProof/>
          <w:szCs w:val="24"/>
        </w:rPr>
        <w:t>J. Chem. Phys.</w:t>
      </w:r>
      <w:r w:rsidRPr="00E6771F">
        <w:rPr>
          <w:rFonts w:ascii="Calibri" w:hAnsi="Calibri" w:cs="Calibri"/>
          <w:noProof/>
          <w:szCs w:val="24"/>
        </w:rPr>
        <w:t>, , DOI:10.1063/1.4904720.</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21</w:t>
      </w:r>
      <w:r w:rsidRPr="00E6771F">
        <w:rPr>
          <w:rFonts w:ascii="Calibri" w:hAnsi="Calibri" w:cs="Calibri"/>
          <w:noProof/>
          <w:szCs w:val="24"/>
        </w:rPr>
        <w:tab/>
        <w:t xml:space="preserve">É. Guille, G. Vallverdu, Y. Tison, D. Bégué and I. Baraille, </w:t>
      </w:r>
      <w:r w:rsidRPr="00E6771F">
        <w:rPr>
          <w:rFonts w:ascii="Calibri" w:hAnsi="Calibri" w:cs="Calibri"/>
          <w:i/>
          <w:iCs/>
          <w:noProof/>
          <w:szCs w:val="24"/>
        </w:rPr>
        <w:t>J. Phys. Chem. C</w:t>
      </w:r>
      <w:r w:rsidRPr="00E6771F">
        <w:rPr>
          <w:rFonts w:ascii="Calibri" w:hAnsi="Calibri" w:cs="Calibri"/>
          <w:noProof/>
          <w:szCs w:val="24"/>
        </w:rPr>
        <w:t xml:space="preserve">, 2015, </w:t>
      </w:r>
      <w:r w:rsidRPr="00E6771F">
        <w:rPr>
          <w:rFonts w:ascii="Calibri" w:hAnsi="Calibri" w:cs="Calibri"/>
          <w:b/>
          <w:bCs/>
          <w:noProof/>
          <w:szCs w:val="24"/>
        </w:rPr>
        <w:t>119</w:t>
      </w:r>
      <w:r w:rsidRPr="00E6771F">
        <w:rPr>
          <w:rFonts w:ascii="Calibri" w:hAnsi="Calibri" w:cs="Calibri"/>
          <w:noProof/>
          <w:szCs w:val="24"/>
        </w:rPr>
        <w:t>, 23379–23387.</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22</w:t>
      </w:r>
      <w:r w:rsidRPr="00E6771F">
        <w:rPr>
          <w:rFonts w:ascii="Calibri" w:hAnsi="Calibri" w:cs="Calibri"/>
          <w:noProof/>
          <w:szCs w:val="24"/>
        </w:rPr>
        <w:tab/>
        <w:t xml:space="preserve">P. B. Paramonov, S. A. Paniagua, P. J. Hotchkiss, S. C. Jones, N. R. Armstrong, S. R. Marder and J. L. Bredas, </w:t>
      </w:r>
      <w:r w:rsidRPr="00E6771F">
        <w:rPr>
          <w:rFonts w:ascii="Calibri" w:hAnsi="Calibri" w:cs="Calibri"/>
          <w:i/>
          <w:iCs/>
          <w:noProof/>
          <w:szCs w:val="24"/>
        </w:rPr>
        <w:t>Chem. Mater.</w:t>
      </w:r>
      <w:r w:rsidRPr="00E6771F">
        <w:rPr>
          <w:rFonts w:ascii="Calibri" w:hAnsi="Calibri" w:cs="Calibri"/>
          <w:noProof/>
          <w:szCs w:val="24"/>
        </w:rPr>
        <w:t xml:space="preserve">, 2008, </w:t>
      </w:r>
      <w:r w:rsidRPr="00E6771F">
        <w:rPr>
          <w:rFonts w:ascii="Calibri" w:hAnsi="Calibri" w:cs="Calibri"/>
          <w:b/>
          <w:bCs/>
          <w:noProof/>
          <w:szCs w:val="24"/>
        </w:rPr>
        <w:t>20</w:t>
      </w:r>
      <w:r w:rsidRPr="00E6771F">
        <w:rPr>
          <w:rFonts w:ascii="Calibri" w:hAnsi="Calibri" w:cs="Calibri"/>
          <w:noProof/>
          <w:szCs w:val="24"/>
        </w:rPr>
        <w:t>, 5131–5133.</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23</w:t>
      </w:r>
      <w:r w:rsidRPr="00E6771F">
        <w:rPr>
          <w:rFonts w:ascii="Calibri" w:hAnsi="Calibri" w:cs="Calibri"/>
          <w:noProof/>
          <w:szCs w:val="24"/>
        </w:rPr>
        <w:tab/>
        <w:t xml:space="preserve">N. Pueyo Bellafont, F. Vines, W. Hieringer and F. Illas, </w:t>
      </w:r>
      <w:r w:rsidRPr="00E6771F">
        <w:rPr>
          <w:rFonts w:ascii="Calibri" w:hAnsi="Calibri" w:cs="Calibri"/>
          <w:i/>
          <w:iCs/>
          <w:noProof/>
          <w:szCs w:val="24"/>
        </w:rPr>
        <w:t>J. Comput. Chem.</w:t>
      </w:r>
      <w:r w:rsidRPr="00E6771F">
        <w:rPr>
          <w:rFonts w:ascii="Calibri" w:hAnsi="Calibri" w:cs="Calibri"/>
          <w:noProof/>
          <w:szCs w:val="24"/>
        </w:rPr>
        <w:t xml:space="preserve">, 2017, </w:t>
      </w:r>
      <w:r w:rsidRPr="00E6771F">
        <w:rPr>
          <w:rFonts w:ascii="Calibri" w:hAnsi="Calibri" w:cs="Calibri"/>
          <w:b/>
          <w:bCs/>
          <w:noProof/>
          <w:szCs w:val="24"/>
        </w:rPr>
        <w:t>38</w:t>
      </w:r>
      <w:r w:rsidRPr="00E6771F">
        <w:rPr>
          <w:rFonts w:ascii="Calibri" w:hAnsi="Calibri" w:cs="Calibri"/>
          <w:noProof/>
          <w:szCs w:val="24"/>
        </w:rPr>
        <w:t>, 518–522.</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24</w:t>
      </w:r>
      <w:r w:rsidRPr="00E6771F">
        <w:rPr>
          <w:rFonts w:ascii="Calibri" w:hAnsi="Calibri" w:cs="Calibri"/>
          <w:noProof/>
          <w:szCs w:val="24"/>
        </w:rPr>
        <w:tab/>
        <w:t>M. Schlipf, RWTH Aachen University, 2012.</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25</w:t>
      </w:r>
      <w:r w:rsidRPr="00E6771F">
        <w:rPr>
          <w:rFonts w:ascii="Calibri" w:hAnsi="Calibri" w:cs="Calibri"/>
          <w:noProof/>
          <w:szCs w:val="24"/>
        </w:rPr>
        <w:tab/>
        <w:t xml:space="preserve">V. L. Chevrier, S. P. Ong, R. Armiento, M. K. Y. Chan and G. Ceder, </w:t>
      </w:r>
      <w:r w:rsidRPr="00E6771F">
        <w:rPr>
          <w:rFonts w:ascii="Calibri" w:hAnsi="Calibri" w:cs="Calibri"/>
          <w:i/>
          <w:iCs/>
          <w:noProof/>
          <w:szCs w:val="24"/>
        </w:rPr>
        <w:t>Phys. Rev. B</w:t>
      </w:r>
      <w:r w:rsidRPr="00E6771F">
        <w:rPr>
          <w:rFonts w:ascii="Calibri" w:hAnsi="Calibri" w:cs="Calibri"/>
          <w:noProof/>
          <w:szCs w:val="24"/>
        </w:rPr>
        <w:t xml:space="preserve">, 2010, </w:t>
      </w:r>
      <w:r w:rsidRPr="00E6771F">
        <w:rPr>
          <w:rFonts w:ascii="Calibri" w:hAnsi="Calibri" w:cs="Calibri"/>
          <w:b/>
          <w:bCs/>
          <w:noProof/>
          <w:szCs w:val="24"/>
        </w:rPr>
        <w:t>82</w:t>
      </w:r>
      <w:r w:rsidRPr="00E6771F">
        <w:rPr>
          <w:rFonts w:ascii="Calibri" w:hAnsi="Calibri" w:cs="Calibri"/>
          <w:noProof/>
          <w:szCs w:val="24"/>
        </w:rPr>
        <w:t>, 075122.</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26</w:t>
      </w:r>
      <w:r w:rsidRPr="00E6771F">
        <w:rPr>
          <w:rFonts w:ascii="Calibri" w:hAnsi="Calibri" w:cs="Calibri"/>
          <w:noProof/>
          <w:szCs w:val="24"/>
        </w:rPr>
        <w:tab/>
        <w:t xml:space="preserve">D. H. Seo, A. Urban and G. Ceder, </w:t>
      </w:r>
      <w:r w:rsidRPr="00E6771F">
        <w:rPr>
          <w:rFonts w:ascii="Calibri" w:hAnsi="Calibri" w:cs="Calibri"/>
          <w:i/>
          <w:iCs/>
          <w:noProof/>
          <w:szCs w:val="24"/>
        </w:rPr>
        <w:t xml:space="preserve">Phys. </w:t>
      </w:r>
      <w:r w:rsidRPr="00EA5144">
        <w:rPr>
          <w:rFonts w:ascii="Calibri" w:hAnsi="Calibri" w:cs="Calibri"/>
          <w:i/>
          <w:iCs/>
          <w:noProof/>
          <w:szCs w:val="24"/>
          <w:lang w:val="sv-SE"/>
        </w:rPr>
        <w:t xml:space="preserve">Rev. B - Condens. Matter Mater. </w:t>
      </w:r>
      <w:r w:rsidRPr="00E6771F">
        <w:rPr>
          <w:rFonts w:ascii="Calibri" w:hAnsi="Calibri" w:cs="Calibri"/>
          <w:i/>
          <w:iCs/>
          <w:noProof/>
          <w:szCs w:val="24"/>
        </w:rPr>
        <w:t>Phys.</w:t>
      </w:r>
      <w:r w:rsidRPr="00E6771F">
        <w:rPr>
          <w:rFonts w:ascii="Calibri" w:hAnsi="Calibri" w:cs="Calibri"/>
          <w:noProof/>
          <w:szCs w:val="24"/>
        </w:rPr>
        <w:t xml:space="preserve">, 2015, </w:t>
      </w:r>
      <w:r w:rsidRPr="00E6771F">
        <w:rPr>
          <w:rFonts w:ascii="Calibri" w:hAnsi="Calibri" w:cs="Calibri"/>
          <w:b/>
          <w:bCs/>
          <w:noProof/>
          <w:szCs w:val="24"/>
        </w:rPr>
        <w:t>92</w:t>
      </w:r>
      <w:r w:rsidRPr="00E6771F">
        <w:rPr>
          <w:rFonts w:ascii="Calibri" w:hAnsi="Calibri" w:cs="Calibri"/>
          <w:noProof/>
          <w:szCs w:val="24"/>
        </w:rPr>
        <w:t>, 1–11.</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szCs w:val="24"/>
        </w:rPr>
      </w:pPr>
      <w:r w:rsidRPr="00E6771F">
        <w:rPr>
          <w:rFonts w:ascii="Calibri" w:hAnsi="Calibri" w:cs="Calibri"/>
          <w:noProof/>
          <w:szCs w:val="24"/>
        </w:rPr>
        <w:t>27</w:t>
      </w:r>
      <w:r w:rsidRPr="00E6771F">
        <w:rPr>
          <w:rFonts w:ascii="Calibri" w:hAnsi="Calibri" w:cs="Calibri"/>
          <w:noProof/>
          <w:szCs w:val="24"/>
        </w:rPr>
        <w:tab/>
        <w:t xml:space="preserve">H. Chen and M. S. Islam, </w:t>
      </w:r>
      <w:r w:rsidRPr="00E6771F">
        <w:rPr>
          <w:rFonts w:ascii="Calibri" w:hAnsi="Calibri" w:cs="Calibri"/>
          <w:i/>
          <w:iCs/>
          <w:noProof/>
          <w:szCs w:val="24"/>
        </w:rPr>
        <w:t>Chem. Mater.</w:t>
      </w:r>
      <w:r w:rsidRPr="00E6771F">
        <w:rPr>
          <w:rFonts w:ascii="Calibri" w:hAnsi="Calibri" w:cs="Calibri"/>
          <w:noProof/>
          <w:szCs w:val="24"/>
        </w:rPr>
        <w:t xml:space="preserve">, 2016, </w:t>
      </w:r>
      <w:r w:rsidRPr="00E6771F">
        <w:rPr>
          <w:rFonts w:ascii="Calibri" w:hAnsi="Calibri" w:cs="Calibri"/>
          <w:b/>
          <w:bCs/>
          <w:noProof/>
          <w:szCs w:val="24"/>
        </w:rPr>
        <w:t>28</w:t>
      </w:r>
      <w:r w:rsidRPr="00E6771F">
        <w:rPr>
          <w:rFonts w:ascii="Calibri" w:hAnsi="Calibri" w:cs="Calibri"/>
          <w:noProof/>
          <w:szCs w:val="24"/>
        </w:rPr>
        <w:t>, 6656–6663.</w:t>
      </w:r>
    </w:p>
    <w:p w:rsidR="00E6771F" w:rsidRPr="00E6771F" w:rsidRDefault="00E6771F" w:rsidP="00E6771F">
      <w:pPr>
        <w:widowControl w:val="0"/>
        <w:autoSpaceDE w:val="0"/>
        <w:autoSpaceDN w:val="0"/>
        <w:adjustRightInd w:val="0"/>
        <w:spacing w:line="480" w:lineRule="auto"/>
        <w:ind w:left="640" w:hanging="640"/>
        <w:rPr>
          <w:rFonts w:ascii="Calibri" w:hAnsi="Calibri" w:cs="Calibri"/>
          <w:noProof/>
        </w:rPr>
      </w:pPr>
      <w:r w:rsidRPr="00E6771F">
        <w:rPr>
          <w:rFonts w:ascii="Calibri" w:hAnsi="Calibri" w:cs="Calibri"/>
          <w:noProof/>
          <w:szCs w:val="24"/>
        </w:rPr>
        <w:t>28</w:t>
      </w:r>
      <w:r w:rsidRPr="00E6771F">
        <w:rPr>
          <w:rFonts w:ascii="Calibri" w:hAnsi="Calibri" w:cs="Calibri"/>
          <w:noProof/>
          <w:szCs w:val="24"/>
        </w:rPr>
        <w:tab/>
        <w:t xml:space="preserve">S. Han, Y. Xia, Z. Wei, B. Qiu, L. Pan, Q. Gu, Z. Liu and Z. Guo, </w:t>
      </w:r>
      <w:r w:rsidRPr="00E6771F">
        <w:rPr>
          <w:rFonts w:ascii="Calibri" w:hAnsi="Calibri" w:cs="Calibri"/>
          <w:i/>
          <w:iCs/>
          <w:noProof/>
          <w:szCs w:val="24"/>
        </w:rPr>
        <w:t>J. Mater. Chem. A</w:t>
      </w:r>
      <w:r w:rsidRPr="00E6771F">
        <w:rPr>
          <w:rFonts w:ascii="Calibri" w:hAnsi="Calibri" w:cs="Calibri"/>
          <w:noProof/>
          <w:szCs w:val="24"/>
        </w:rPr>
        <w:t xml:space="preserve">, 2015, </w:t>
      </w:r>
      <w:r w:rsidRPr="00E6771F">
        <w:rPr>
          <w:rFonts w:ascii="Calibri" w:hAnsi="Calibri" w:cs="Calibri"/>
          <w:b/>
          <w:bCs/>
          <w:noProof/>
          <w:szCs w:val="24"/>
        </w:rPr>
        <w:t>3</w:t>
      </w:r>
      <w:r w:rsidRPr="00E6771F">
        <w:rPr>
          <w:rFonts w:ascii="Calibri" w:hAnsi="Calibri" w:cs="Calibri"/>
          <w:noProof/>
          <w:szCs w:val="24"/>
        </w:rPr>
        <w:t>, 11930–11939.</w:t>
      </w:r>
    </w:p>
    <w:p w:rsidR="008A4C39" w:rsidRPr="00F806C1" w:rsidRDefault="00987435" w:rsidP="00F806C1">
      <w:pPr>
        <w:spacing w:line="480" w:lineRule="auto"/>
      </w:pPr>
      <w:r w:rsidRPr="00F806C1">
        <w:fldChar w:fldCharType="end"/>
      </w:r>
    </w:p>
    <w:sectPr w:rsidR="008A4C39" w:rsidRPr="00F806C1" w:rsidSect="00183F9F">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799" w:rsidRDefault="002F0799" w:rsidP="00987435">
      <w:pPr>
        <w:spacing w:after="0" w:line="240" w:lineRule="auto"/>
      </w:pPr>
      <w:r>
        <w:separator/>
      </w:r>
    </w:p>
  </w:endnote>
  <w:endnote w:type="continuationSeparator" w:id="0">
    <w:p w:rsidR="002F0799" w:rsidRDefault="002F0799" w:rsidP="00987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186187"/>
      <w:docPartObj>
        <w:docPartGallery w:val="Page Numbers (Bottom of Page)"/>
        <w:docPartUnique/>
      </w:docPartObj>
    </w:sdtPr>
    <w:sdtContent>
      <w:p w:rsidR="002F0799" w:rsidRDefault="002F0799">
        <w:pPr>
          <w:pStyle w:val="Footer"/>
          <w:jc w:val="center"/>
        </w:pPr>
        <w:r>
          <w:fldChar w:fldCharType="begin"/>
        </w:r>
        <w:r>
          <w:instrText>PAGE   \* MERGEFORMAT</w:instrText>
        </w:r>
        <w:r>
          <w:fldChar w:fldCharType="separate"/>
        </w:r>
        <w:r w:rsidR="002A16C6" w:rsidRPr="002A16C6">
          <w:rPr>
            <w:noProof/>
            <w:lang w:val="sv-SE"/>
          </w:rPr>
          <w:t>1</w:t>
        </w:r>
        <w:r>
          <w:fldChar w:fldCharType="end"/>
        </w:r>
      </w:p>
    </w:sdtContent>
  </w:sdt>
  <w:p w:rsidR="002F0799" w:rsidRDefault="002F0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799" w:rsidRDefault="002F0799" w:rsidP="00987435">
      <w:pPr>
        <w:spacing w:after="0" w:line="240" w:lineRule="auto"/>
      </w:pPr>
      <w:r>
        <w:separator/>
      </w:r>
    </w:p>
  </w:footnote>
  <w:footnote w:type="continuationSeparator" w:id="0">
    <w:p w:rsidR="002F0799" w:rsidRDefault="002F0799" w:rsidP="00987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5EBB"/>
    <w:multiLevelType w:val="hybridMultilevel"/>
    <w:tmpl w:val="62665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83209"/>
    <w:multiLevelType w:val="hybridMultilevel"/>
    <w:tmpl w:val="8EC6DF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E3129CF"/>
    <w:multiLevelType w:val="hybridMultilevel"/>
    <w:tmpl w:val="10528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157569"/>
    <w:multiLevelType w:val="hybridMultilevel"/>
    <w:tmpl w:val="19C4B4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4520774"/>
    <w:multiLevelType w:val="hybridMultilevel"/>
    <w:tmpl w:val="1C404C1E"/>
    <w:lvl w:ilvl="0" w:tplc="A5C62154">
      <w:numFmt w:val="bullet"/>
      <w:lvlText w:val="-"/>
      <w:lvlJc w:val="left"/>
      <w:pPr>
        <w:ind w:left="1069" w:hanging="360"/>
      </w:pPr>
      <w:rPr>
        <w:rFonts w:ascii="Calibri" w:eastAsiaTheme="minorEastAsia"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25AC7FE6"/>
    <w:multiLevelType w:val="hybridMultilevel"/>
    <w:tmpl w:val="DB90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52E34"/>
    <w:multiLevelType w:val="hybridMultilevel"/>
    <w:tmpl w:val="641C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CC430B"/>
    <w:multiLevelType w:val="hybridMultilevel"/>
    <w:tmpl w:val="AC76CA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9762300"/>
    <w:multiLevelType w:val="hybridMultilevel"/>
    <w:tmpl w:val="DA1A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1E73F8"/>
    <w:multiLevelType w:val="hybridMultilevel"/>
    <w:tmpl w:val="96F0EE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7FD7674"/>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995934"/>
    <w:multiLevelType w:val="hybridMultilevel"/>
    <w:tmpl w:val="83806B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CF065E"/>
    <w:multiLevelType w:val="hybridMultilevel"/>
    <w:tmpl w:val="CCFEB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D53248"/>
    <w:multiLevelType w:val="hybridMultilevel"/>
    <w:tmpl w:val="68BC9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B036F5"/>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26C58AA"/>
    <w:multiLevelType w:val="hybridMultilevel"/>
    <w:tmpl w:val="6536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AA4CBE"/>
    <w:multiLevelType w:val="hybridMultilevel"/>
    <w:tmpl w:val="A4FCF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6"/>
  </w:num>
  <w:num w:numId="4">
    <w:abstractNumId w:val="9"/>
  </w:num>
  <w:num w:numId="5">
    <w:abstractNumId w:val="8"/>
  </w:num>
  <w:num w:numId="6">
    <w:abstractNumId w:val="12"/>
  </w:num>
  <w:num w:numId="7">
    <w:abstractNumId w:val="16"/>
  </w:num>
  <w:num w:numId="8">
    <w:abstractNumId w:val="13"/>
  </w:num>
  <w:num w:numId="9">
    <w:abstractNumId w:val="4"/>
  </w:num>
  <w:num w:numId="10">
    <w:abstractNumId w:val="0"/>
  </w:num>
  <w:num w:numId="11">
    <w:abstractNumId w:val="3"/>
  </w:num>
  <w:num w:numId="12">
    <w:abstractNumId w:val="14"/>
  </w:num>
  <w:num w:numId="13">
    <w:abstractNumId w:val="7"/>
  </w:num>
  <w:num w:numId="14">
    <w:abstractNumId w:val="10"/>
  </w:num>
  <w:num w:numId="15">
    <w:abstractNumId w:val="2"/>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435"/>
    <w:rsid w:val="000051B6"/>
    <w:rsid w:val="000332C5"/>
    <w:rsid w:val="00082F04"/>
    <w:rsid w:val="00097C6C"/>
    <w:rsid w:val="000A1193"/>
    <w:rsid w:val="000A52AA"/>
    <w:rsid w:val="000B1CCC"/>
    <w:rsid w:val="001401D9"/>
    <w:rsid w:val="00160EBA"/>
    <w:rsid w:val="00183F9F"/>
    <w:rsid w:val="00185DA7"/>
    <w:rsid w:val="001A7F1E"/>
    <w:rsid w:val="001E43FA"/>
    <w:rsid w:val="00221117"/>
    <w:rsid w:val="00237F81"/>
    <w:rsid w:val="002A16C6"/>
    <w:rsid w:val="002C5189"/>
    <w:rsid w:val="002F0799"/>
    <w:rsid w:val="0031196F"/>
    <w:rsid w:val="003526EB"/>
    <w:rsid w:val="003912F7"/>
    <w:rsid w:val="00405693"/>
    <w:rsid w:val="0043348A"/>
    <w:rsid w:val="00580202"/>
    <w:rsid w:val="00585405"/>
    <w:rsid w:val="005E5043"/>
    <w:rsid w:val="005F518A"/>
    <w:rsid w:val="006456A6"/>
    <w:rsid w:val="0066636C"/>
    <w:rsid w:val="00677864"/>
    <w:rsid w:val="006D2203"/>
    <w:rsid w:val="006D6768"/>
    <w:rsid w:val="007424B3"/>
    <w:rsid w:val="00754FD7"/>
    <w:rsid w:val="007D25F1"/>
    <w:rsid w:val="00846DEC"/>
    <w:rsid w:val="00874A94"/>
    <w:rsid w:val="008A4C39"/>
    <w:rsid w:val="008A7E17"/>
    <w:rsid w:val="008D38EB"/>
    <w:rsid w:val="008E020B"/>
    <w:rsid w:val="008F5F33"/>
    <w:rsid w:val="00987435"/>
    <w:rsid w:val="009B2BEC"/>
    <w:rsid w:val="009E3176"/>
    <w:rsid w:val="009F3430"/>
    <w:rsid w:val="00A03C5D"/>
    <w:rsid w:val="00A2372A"/>
    <w:rsid w:val="00A672BC"/>
    <w:rsid w:val="00AA53A5"/>
    <w:rsid w:val="00AE3693"/>
    <w:rsid w:val="00B018F5"/>
    <w:rsid w:val="00B131FD"/>
    <w:rsid w:val="00B933FB"/>
    <w:rsid w:val="00BB373C"/>
    <w:rsid w:val="00BF66F6"/>
    <w:rsid w:val="00C0407A"/>
    <w:rsid w:val="00C0590F"/>
    <w:rsid w:val="00C87577"/>
    <w:rsid w:val="00CC501F"/>
    <w:rsid w:val="00CE1048"/>
    <w:rsid w:val="00D033D3"/>
    <w:rsid w:val="00D06AB8"/>
    <w:rsid w:val="00D12F99"/>
    <w:rsid w:val="00D13D2E"/>
    <w:rsid w:val="00D15004"/>
    <w:rsid w:val="00D65060"/>
    <w:rsid w:val="00D728BF"/>
    <w:rsid w:val="00D77D53"/>
    <w:rsid w:val="00E6771F"/>
    <w:rsid w:val="00EA5144"/>
    <w:rsid w:val="00EE0471"/>
    <w:rsid w:val="00F218A5"/>
    <w:rsid w:val="00F806C1"/>
    <w:rsid w:val="00FB12AF"/>
    <w:rsid w:val="00FB32EF"/>
    <w:rsid w:val="00FD222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DFA043"/>
  <w15:chartTrackingRefBased/>
  <w15:docId w15:val="{C2A9AD06-20DE-46B0-881F-AA5D0C24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43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87435"/>
    <w:rPr>
      <w:sz w:val="16"/>
      <w:szCs w:val="16"/>
    </w:rPr>
  </w:style>
  <w:style w:type="paragraph" w:styleId="CommentText">
    <w:name w:val="annotation text"/>
    <w:basedOn w:val="Normal"/>
    <w:link w:val="CommentTextChar"/>
    <w:uiPriority w:val="99"/>
    <w:unhideWhenUsed/>
    <w:rsid w:val="00987435"/>
    <w:pPr>
      <w:spacing w:line="240" w:lineRule="auto"/>
    </w:pPr>
    <w:rPr>
      <w:sz w:val="20"/>
      <w:szCs w:val="20"/>
    </w:rPr>
  </w:style>
  <w:style w:type="character" w:customStyle="1" w:styleId="CommentTextChar">
    <w:name w:val="Comment Text Char"/>
    <w:basedOn w:val="DefaultParagraphFont"/>
    <w:link w:val="CommentText"/>
    <w:uiPriority w:val="99"/>
    <w:rsid w:val="00987435"/>
    <w:rPr>
      <w:sz w:val="20"/>
      <w:szCs w:val="20"/>
      <w:lang w:val="en-GB"/>
    </w:rPr>
  </w:style>
  <w:style w:type="paragraph" w:styleId="CommentSubject">
    <w:name w:val="annotation subject"/>
    <w:basedOn w:val="CommentText"/>
    <w:next w:val="CommentText"/>
    <w:link w:val="CommentSubjectChar"/>
    <w:uiPriority w:val="99"/>
    <w:semiHidden/>
    <w:unhideWhenUsed/>
    <w:rsid w:val="00987435"/>
    <w:rPr>
      <w:b/>
      <w:bCs/>
    </w:rPr>
  </w:style>
  <w:style w:type="character" w:customStyle="1" w:styleId="CommentSubjectChar">
    <w:name w:val="Comment Subject Char"/>
    <w:basedOn w:val="CommentTextChar"/>
    <w:link w:val="CommentSubject"/>
    <w:uiPriority w:val="99"/>
    <w:semiHidden/>
    <w:rsid w:val="00987435"/>
    <w:rPr>
      <w:b/>
      <w:bCs/>
      <w:sz w:val="20"/>
      <w:szCs w:val="20"/>
      <w:lang w:val="en-GB"/>
    </w:rPr>
  </w:style>
  <w:style w:type="paragraph" w:styleId="BalloonText">
    <w:name w:val="Balloon Text"/>
    <w:basedOn w:val="Normal"/>
    <w:link w:val="BalloonTextChar"/>
    <w:uiPriority w:val="99"/>
    <w:semiHidden/>
    <w:unhideWhenUsed/>
    <w:rsid w:val="009874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435"/>
    <w:rPr>
      <w:rFonts w:ascii="Segoe UI" w:hAnsi="Segoe UI" w:cs="Segoe UI"/>
      <w:sz w:val="18"/>
      <w:szCs w:val="18"/>
      <w:lang w:val="en-GB"/>
    </w:rPr>
  </w:style>
  <w:style w:type="paragraph" w:styleId="ListParagraph">
    <w:name w:val="List Paragraph"/>
    <w:basedOn w:val="Normal"/>
    <w:uiPriority w:val="34"/>
    <w:qFormat/>
    <w:rsid w:val="00987435"/>
    <w:pPr>
      <w:ind w:left="720"/>
      <w:contextualSpacing/>
    </w:pPr>
  </w:style>
  <w:style w:type="paragraph" w:styleId="Caption">
    <w:name w:val="caption"/>
    <w:basedOn w:val="Normal"/>
    <w:next w:val="Normal"/>
    <w:uiPriority w:val="35"/>
    <w:unhideWhenUsed/>
    <w:qFormat/>
    <w:rsid w:val="00987435"/>
    <w:pPr>
      <w:spacing w:after="200" w:line="240" w:lineRule="auto"/>
    </w:pPr>
    <w:rPr>
      <w:i/>
      <w:iCs/>
      <w:color w:val="44546A" w:themeColor="text2"/>
      <w:sz w:val="18"/>
      <w:szCs w:val="18"/>
    </w:rPr>
  </w:style>
  <w:style w:type="table" w:styleId="TableGrid">
    <w:name w:val="Table Grid"/>
    <w:basedOn w:val="TableNormal"/>
    <w:uiPriority w:val="39"/>
    <w:rsid w:val="0098743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7435"/>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PlaceholderText">
    <w:name w:val="Placeholder Text"/>
    <w:basedOn w:val="DefaultParagraphFont"/>
    <w:uiPriority w:val="99"/>
    <w:semiHidden/>
    <w:rsid w:val="00987435"/>
    <w:rPr>
      <w:color w:val="808080"/>
    </w:rPr>
  </w:style>
  <w:style w:type="paragraph" w:styleId="Header">
    <w:name w:val="header"/>
    <w:basedOn w:val="Normal"/>
    <w:link w:val="HeaderChar"/>
    <w:uiPriority w:val="99"/>
    <w:unhideWhenUsed/>
    <w:rsid w:val="00987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435"/>
    <w:rPr>
      <w:lang w:val="en-GB"/>
    </w:rPr>
  </w:style>
  <w:style w:type="paragraph" w:styleId="Footer">
    <w:name w:val="footer"/>
    <w:basedOn w:val="Normal"/>
    <w:link w:val="FooterChar"/>
    <w:uiPriority w:val="99"/>
    <w:unhideWhenUsed/>
    <w:rsid w:val="00987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435"/>
    <w:rPr>
      <w:lang w:val="en-GB"/>
    </w:rPr>
  </w:style>
  <w:style w:type="character" w:styleId="Emphasis">
    <w:name w:val="Emphasis"/>
    <w:basedOn w:val="DefaultParagraphFont"/>
    <w:uiPriority w:val="20"/>
    <w:qFormat/>
    <w:rsid w:val="00987435"/>
    <w:rPr>
      <w:i/>
      <w:iCs/>
    </w:rPr>
  </w:style>
  <w:style w:type="paragraph" w:styleId="Revision">
    <w:name w:val="Revision"/>
    <w:hidden/>
    <w:uiPriority w:val="99"/>
    <w:semiHidden/>
    <w:rsid w:val="00987435"/>
    <w:pPr>
      <w:spacing w:after="0" w:line="240" w:lineRule="auto"/>
    </w:pPr>
    <w:rPr>
      <w:lang w:val="en-GB"/>
    </w:rPr>
  </w:style>
  <w:style w:type="character" w:styleId="LineNumber">
    <w:name w:val="line number"/>
    <w:basedOn w:val="DefaultParagraphFont"/>
    <w:uiPriority w:val="99"/>
    <w:semiHidden/>
    <w:unhideWhenUsed/>
    <w:rsid w:val="007424B3"/>
  </w:style>
  <w:style w:type="table" w:styleId="PlainTable2">
    <w:name w:val="Plain Table 2"/>
    <w:basedOn w:val="TableNormal"/>
    <w:uiPriority w:val="42"/>
    <w:rsid w:val="00FB32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25164">
      <w:bodyDiv w:val="1"/>
      <w:marLeft w:val="0"/>
      <w:marRight w:val="0"/>
      <w:marTop w:val="0"/>
      <w:marBottom w:val="0"/>
      <w:divBdr>
        <w:top w:val="none" w:sz="0" w:space="0" w:color="auto"/>
        <w:left w:val="none" w:sz="0" w:space="0" w:color="auto"/>
        <w:bottom w:val="none" w:sz="0" w:space="0" w:color="auto"/>
        <w:right w:val="none" w:sz="0" w:space="0" w:color="auto"/>
      </w:divBdr>
    </w:div>
    <w:div w:id="876508350">
      <w:bodyDiv w:val="1"/>
      <w:marLeft w:val="0"/>
      <w:marRight w:val="0"/>
      <w:marTop w:val="0"/>
      <w:marBottom w:val="0"/>
      <w:divBdr>
        <w:top w:val="none" w:sz="0" w:space="0" w:color="auto"/>
        <w:left w:val="none" w:sz="0" w:space="0" w:color="auto"/>
        <w:bottom w:val="none" w:sz="0" w:space="0" w:color="auto"/>
        <w:right w:val="none" w:sz="0" w:space="0" w:color="auto"/>
      </w:divBdr>
    </w:div>
    <w:div w:id="1055811664">
      <w:bodyDiv w:val="1"/>
      <w:marLeft w:val="0"/>
      <w:marRight w:val="0"/>
      <w:marTop w:val="0"/>
      <w:marBottom w:val="0"/>
      <w:divBdr>
        <w:top w:val="none" w:sz="0" w:space="0" w:color="auto"/>
        <w:left w:val="none" w:sz="0" w:space="0" w:color="auto"/>
        <w:bottom w:val="none" w:sz="0" w:space="0" w:color="auto"/>
        <w:right w:val="none" w:sz="0" w:space="0" w:color="auto"/>
      </w:divBdr>
    </w:div>
    <w:div w:id="184242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01E5C-CDB9-4999-97EB-5D357D3C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5270</TotalTime>
  <Pages>31</Pages>
  <Words>15311</Words>
  <Characters>87273</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Uppsala universitet</Company>
  <LinksUpToDate>false</LinksUpToDate>
  <CharactersWithSpaces>102380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Naylor</dc:creator>
  <cp:keywords/>
  <dc:description/>
  <cp:lastModifiedBy>Andrew Naylor</cp:lastModifiedBy>
  <cp:revision>50</cp:revision>
  <cp:lastPrinted>2019-07-03T15:15:00Z</cp:lastPrinted>
  <dcterms:created xsi:type="dcterms:W3CDTF">2018-09-27T16:58:00Z</dcterms:created>
  <dcterms:modified xsi:type="dcterms:W3CDTF">2019-09-09T07:50:00Z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http://www.zotero.org/styles/chemical-communications</vt:lpwstr>
  </property>
  <property fmtid="{D5CDD505-2E9C-101B-9397-08002B2CF9AE}" pid="13" name="Mendeley Recent Style Name 5_1">
    <vt:lpwstr>Chemical Communications</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7741afaa-1c8e-3880-ad96-bc80f6ffede9</vt:lpwstr>
  </property>
  <property fmtid="{D5CDD505-2E9C-101B-9397-08002B2CF9AE}" pid="24" name="Mendeley Citation Style_1">
    <vt:lpwstr>http://www.zotero.org/styles/chemical-communications</vt:lpwstr>
  </property>
</Properties>
</file>